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9" w:rsidRDefault="00BD093F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80D896" wp14:editId="431222F3">
                <wp:simplePos x="0" y="0"/>
                <wp:positionH relativeFrom="margin">
                  <wp:posOffset>1990725</wp:posOffset>
                </wp:positionH>
                <wp:positionV relativeFrom="paragraph">
                  <wp:posOffset>1477010</wp:posOffset>
                </wp:positionV>
                <wp:extent cx="5029200" cy="81915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3F" w:rsidRDefault="00BD093F" w:rsidP="00BD093F">
                            <w:pP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The Vietnam Veterans Family Study (VVFS) is the most significant research program ever undertaken by the Australian Government into the health of the families of </w:t>
                            </w:r>
                            <w:smartTag w:uri="urn:schemas-microsoft-com:office:smarttags" w:element="country-region">
                              <w:r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  <w:t>Australia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’s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Calibri" w:hAnsi="Calibri"/>
                                    <w:sz w:val="19"/>
                                    <w:szCs w:val="19"/>
                                  </w:rPr>
                                  <w:t>Vietnam</w:t>
                                </w:r>
                              </w:smartTag>
                            </w:smartTag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 veterans.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The Department of Veterans’ Affairs (DVA) undertook this study to better understand the long-term impacts of service on the health and welfare of the families of Vietnam veterans. 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The study examined the physical, mental and social health of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Calibri" w:hAnsi="Calibri"/>
                                    <w:sz w:val="19"/>
                                    <w:szCs w:val="19"/>
                                  </w:rPr>
                                  <w:t>Vietnam</w:t>
                                </w:r>
                              </w:smartTag>
                            </w:smartTag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 veterans and their families, covering a broad range of health outcomes for these people.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More than 27,000 people participated in the studies, comprising veterans, partners and their children. These included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: </w:t>
                            </w:r>
                          </w:p>
                          <w:p w:rsidR="00BD093F" w:rsidRDefault="00BD093F" w:rsidP="00BD093F">
                            <w:pPr>
                              <w:pStyle w:val="List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10,000 randomly selected Army Vietnam veterans and their families, including their partners, ex</w:t>
                            </w: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noBreakHyphen/>
                              <w:t>partners, children, stepchildren, brothers, sisters, nieces and nephews; and</w:t>
                            </w:r>
                          </w:p>
                          <w:p w:rsidR="00BD093F" w:rsidRDefault="00BD093F" w:rsidP="00BD093F">
                            <w:pPr>
                              <w:pStyle w:val="ListBullet"/>
                              <w:numPr>
                                <w:ilvl w:val="0"/>
                                <w:numId w:val="5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10,000 randomly selected Defence Force personnel who served in the Army during the Vietnam War era (1962–75) but did not deploy to Vietnam and their families, including their partners, ex</w:t>
                            </w: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noBreakHyphen/>
                              <w:t xml:space="preserve">partners, children and stepchildren. This provided a control group representing comparable families.  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A Scientific Advisory Committee of independent research experts provided oversight of the study and a Consultative Forum represented the veteran community perspective.</w:t>
                            </w:r>
                          </w:p>
                          <w:p w:rsidR="00BD093F" w:rsidRDefault="00BD093F" w:rsidP="00BD093F">
                            <w:pPr>
                              <w:pStyle w:val="Tabletext"/>
                              <w:spacing w:before="120" w:after="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The key findings found that the majority of sons and daughters born to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Calibri" w:hAnsi="Calibri"/>
                                    <w:sz w:val="19"/>
                                    <w:szCs w:val="19"/>
                                  </w:rPr>
                                  <w:t>Vietnam</w:t>
                                </w:r>
                              </w:smartTag>
                            </w:smartTag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 veterans are leading healthy and productive lives. However, analysis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found that the families of Australia’s Vietnam veterans are more likely to have significant emotional, physical, and social problems when compared to families of those who served in that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>era  who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 did not go to Vietnam.</w:t>
                            </w:r>
                          </w:p>
                          <w:p w:rsidR="00BD093F" w:rsidRDefault="00BD093F" w:rsidP="00BD093F">
                            <w:pPr>
                              <w:pStyle w:val="Tabletext"/>
                              <w:spacing w:before="120" w:after="0"/>
                              <w:ind w:right="181"/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The key factors that appeared to explain the intergenerational impact of deployment were:</w:t>
                            </w:r>
                          </w:p>
                          <w:p w:rsidR="00BD093F" w:rsidRDefault="00BD093F" w:rsidP="00BD093F">
                            <w:pPr>
                              <w:pStyle w:val="List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servicemen’s post-traumatic s</w:t>
                            </w:r>
                            <w:r w:rsidR="00711FB5"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tress disorder (PTSD)</w:t>
                            </w:r>
                          </w:p>
                          <w:p w:rsidR="00BD093F" w:rsidRDefault="00BD093F" w:rsidP="00BD093F">
                            <w:pPr>
                              <w:pStyle w:val="List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harsh parenting in childhood among the offspring of Vietnam</w:t>
                            </w:r>
                            <w:r w:rsidR="00711FB5"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 xml:space="preserve"> veterans</w:t>
                            </w:r>
                          </w:p>
                          <w:p w:rsidR="00BD093F" w:rsidRDefault="00BD093F" w:rsidP="00BD093F">
                            <w:pPr>
                              <w:pStyle w:val="List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>problems at school among the sons and daughters of Vietnam</w:t>
                            </w:r>
                            <w:r w:rsidR="00711FB5"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 xml:space="preserve"> veterans</w:t>
                            </w:r>
                          </w:p>
                          <w:p w:rsidR="00BD093F" w:rsidRDefault="00BD093F" w:rsidP="00BD093F">
                            <w:pPr>
                              <w:pStyle w:val="Tabletext"/>
                              <w:spacing w:before="120" w:after="0"/>
                              <w:ind w:right="181"/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 xml:space="preserve">When examining mortality amongst the children of Vietnam veterans, the research found that the children of Vietnam veterans and Vietnam-era personnel had lower mortality rates when compared to the general population, and that there were no significant differences in deaths from cancer. 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sz w:val="19"/>
                                <w:szCs w:val="19"/>
                              </w:rPr>
                              <w:t xml:space="preserve">The research shows that operational service affects more than just the person who serves; it can also impact on family members. </w:t>
                            </w:r>
                          </w:p>
                          <w:p w:rsidR="00BD093F" w:rsidRDefault="00BD093F" w:rsidP="00BD093F">
                            <w:pPr>
                              <w:pStyle w:val="Tabletext"/>
                              <w:spacing w:before="120" w:after="0"/>
                              <w:ind w:right="181"/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9"/>
                                <w:szCs w:val="19"/>
                              </w:rPr>
                              <w:t xml:space="preserve">The research did not find a causal link between a father being exposed to Agent Orange and the health of children.  </w:t>
                            </w:r>
                          </w:p>
                          <w:p w:rsidR="00BD093F" w:rsidRDefault="00BD093F" w:rsidP="00BD093F">
                            <w:pPr>
                              <w:pStyle w:val="Tabletext"/>
                              <w:spacing w:before="120" w:after="0"/>
                              <w:ind w:right="181"/>
                              <w:outlineLvl w:val="0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Support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816DF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Open Arms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>—</w:t>
                            </w:r>
                            <w:r w:rsidRPr="004816DF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 Veterans and Families Counselling (formerly VVCS), is a national mental health service that provides 24-hour free and confidential counselling, group programs and suicide prevention training for current and ex-serving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Australian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>Defence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 Force </w:t>
                            </w:r>
                            <w:r w:rsidRPr="004816DF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>personnel, and their families.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816DF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To get support or to find out more, call 1800 011 046 or visit </w:t>
                            </w: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the </w:t>
                            </w:r>
                            <w:hyperlink r:id="rId8" w:history="1">
                              <w:r w:rsidRPr="00BD093F">
                                <w:rPr>
                                  <w:rStyle w:val="Hyperlink"/>
                                  <w:rFonts w:ascii="Calibri" w:hAnsi="Calibri"/>
                                  <w:iCs/>
                                  <w:sz w:val="19"/>
                                  <w:szCs w:val="19"/>
                                  <w:lang w:val="en-US"/>
                                </w:rPr>
                                <w:t>Open Arms website</w:t>
                              </w:r>
                            </w:hyperlink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Further self-help support tools and information is available through the </w:t>
                            </w:r>
                            <w:hyperlink r:id="rId9" w:history="1">
                              <w:r w:rsidRPr="00BD093F">
                                <w:rPr>
                                  <w:rStyle w:val="Hyperlink"/>
                                  <w:rFonts w:ascii="Calibri" w:hAnsi="Calibri"/>
                                  <w:iCs/>
                                  <w:sz w:val="19"/>
                                  <w:szCs w:val="19"/>
                                  <w:lang w:val="en-US"/>
                                </w:rPr>
                                <w:t>At-Ease portal</w:t>
                              </w:r>
                            </w:hyperlink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>.</w:t>
                            </w:r>
                          </w:p>
                          <w:p w:rsidR="00BD093F" w:rsidRDefault="00BD093F" w:rsidP="00BD093F">
                            <w:pPr>
                              <w:spacing w:before="120"/>
                              <w:ind w:right="181"/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In addition, all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Calibri" w:hAnsi="Calibri"/>
                                    <w:iCs/>
                                    <w:sz w:val="19"/>
                                    <w:szCs w:val="19"/>
                                    <w:lang w:val="en-US"/>
                                  </w:rPr>
                                  <w:t>Vietnam</w:t>
                                </w:r>
                              </w:smartTag>
                            </w:smartTag>
                            <w:r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 veterans are eligible for a Gold Card at age 70.</w:t>
                            </w:r>
                          </w:p>
                          <w:p w:rsidR="000A2B29" w:rsidRPr="00BD093F" w:rsidRDefault="00BD093F" w:rsidP="00BD093F">
                            <w:pPr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A73CD1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  <w:lang w:val="en-US"/>
                              </w:rPr>
                              <w:t xml:space="preserve">The suite of VVFS reports is available on the </w:t>
                            </w:r>
                            <w:hyperlink r:id="rId10" w:history="1">
                              <w:r w:rsidRPr="00BD093F">
                                <w:rPr>
                                  <w:rStyle w:val="Hyperlink"/>
                                  <w:rFonts w:ascii="Calibri" w:hAnsi="Calibri"/>
                                  <w:iCs/>
                                  <w:sz w:val="19"/>
                                  <w:szCs w:val="19"/>
                                  <w:lang w:val="en-US"/>
                                </w:rPr>
                                <w:t>DVA website</w:t>
                              </w:r>
                            </w:hyperlink>
                            <w:r w:rsidRPr="00A73CD1">
                              <w:rPr>
                                <w:rFonts w:ascii="Calibri" w:hAnsi="Calibri"/>
                                <w:iCs/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0D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116.3pt;width:396pt;height:6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" stroked="f">
                <v:textbox>
                  <w:txbxContent>
                    <w:p w:rsidR="00BD093F" w:rsidRDefault="00BD093F" w:rsidP="00BD093F">
                      <w:pPr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The Vietnam Veterans Family Study (VVFS) is the most significant research program ever undertaken by the Australian Government into the health of the families of </w:t>
                      </w:r>
                      <w:smartTag w:uri="urn:schemas-microsoft-com:office:smarttags" w:element="country-region">
                        <w:r>
                          <w:rPr>
                            <w:rFonts w:ascii="Calibri" w:hAnsi="Calibri"/>
                            <w:sz w:val="19"/>
                            <w:szCs w:val="19"/>
                          </w:rPr>
                          <w:t>Australia</w:t>
                        </w:r>
                      </w:smartTag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’s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Vietnam</w:t>
                          </w:r>
                        </w:smartTag>
                      </w:smartTag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 veterans.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The Department of Veterans’ Affairs (DVA) undertook this study to better understand the long-term impacts of service on the health and welfare of the families of Vietnam veterans. 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The study examined the physical, mental and social health of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Vietnam</w:t>
                          </w:r>
                        </w:smartTag>
                      </w:smartTag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 veterans and their families, covering a broad range of health outcomes for these people.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>More than 27,000 people participated in the studies, comprising veterans, partners and their children. These included</w:t>
                      </w: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: </w:t>
                      </w:r>
                    </w:p>
                    <w:p w:rsidR="00BD093F" w:rsidRDefault="00BD093F" w:rsidP="00BD093F">
                      <w:pPr>
                        <w:pStyle w:val="ListBullet"/>
                        <w:numPr>
                          <w:ilvl w:val="0"/>
                          <w:numId w:val="5"/>
                        </w:numPr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10,000 randomly selected Army Vietnam veterans and their families, including their partners, ex</w:t>
                      </w: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noBreakHyphen/>
                        <w:t>partners, children, stepchildren, brothers, sisters, nieces and nephews; and</w:t>
                      </w:r>
                    </w:p>
                    <w:p w:rsidR="00BD093F" w:rsidRDefault="00BD093F" w:rsidP="00BD093F">
                      <w:pPr>
                        <w:pStyle w:val="ListBullet"/>
                        <w:numPr>
                          <w:ilvl w:val="0"/>
                          <w:numId w:val="5"/>
                        </w:numPr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10,000 randomly selected Defence Force personnel who served in the Army during the Vietnam War era (1962–75) but did not deploy to Vietnam and their families, including their partners, ex</w:t>
                      </w: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noBreakHyphen/>
                        <w:t xml:space="preserve">partners, children and stepchildren. This provided a control group representing comparable families.  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>A Scientific Advisory Committee of independent research experts provided oversight of the study and a Consultative Forum represented the veteran community perspective.</w:t>
                      </w:r>
                    </w:p>
                    <w:p w:rsidR="00BD093F" w:rsidRDefault="00BD093F" w:rsidP="00BD093F">
                      <w:pPr>
                        <w:pStyle w:val="Tabletext"/>
                        <w:spacing w:before="120" w:after="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The key findings found that the majority of sons and daughters born to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Calibri" w:hAnsi="Calibri"/>
                              <w:sz w:val="19"/>
                              <w:szCs w:val="19"/>
                            </w:rPr>
                            <w:t>Vietnam</w:t>
                          </w:r>
                        </w:smartTag>
                      </w:smartTag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 veterans are leading healthy and productive lives. However, analysis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found that the families of Australia’s Vietnam veterans are more likely to have significant emotional, physical, and social problems when compared to families of those who served in that </w:t>
                      </w:r>
                      <w:proofErr w:type="gramStart"/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>era  who</w:t>
                      </w:r>
                      <w:proofErr w:type="gramEnd"/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 did not go to Vietnam.</w:t>
                      </w:r>
                    </w:p>
                    <w:p w:rsidR="00BD093F" w:rsidRDefault="00BD093F" w:rsidP="00BD093F">
                      <w:pPr>
                        <w:pStyle w:val="Tabletext"/>
                        <w:spacing w:before="120" w:after="0"/>
                        <w:ind w:right="181"/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The key factors that appeared to explain the intergenerational impact of deployment were:</w:t>
                      </w:r>
                    </w:p>
                    <w:p w:rsidR="00BD093F" w:rsidRDefault="00BD093F" w:rsidP="00BD093F">
                      <w:pPr>
                        <w:pStyle w:val="ListBullet"/>
                        <w:numPr>
                          <w:ilvl w:val="0"/>
                          <w:numId w:val="5"/>
                        </w:numPr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servicemen’s post-traumatic s</w:t>
                      </w:r>
                      <w:r w:rsidR="00711FB5">
                        <w:rPr>
                          <w:rFonts w:ascii="Calibri" w:hAnsi="Calibri" w:cs="Arial"/>
                          <w:sz w:val="19"/>
                          <w:szCs w:val="19"/>
                        </w:rPr>
                        <w:t>tress disorder (PTSD)</w:t>
                      </w:r>
                    </w:p>
                    <w:p w:rsidR="00BD093F" w:rsidRDefault="00BD093F" w:rsidP="00BD093F">
                      <w:pPr>
                        <w:pStyle w:val="ListBullet"/>
                        <w:numPr>
                          <w:ilvl w:val="0"/>
                          <w:numId w:val="5"/>
                        </w:numPr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harsh parenting in childhood among the offspring of Vietnam</w:t>
                      </w:r>
                      <w:r w:rsidR="00711FB5">
                        <w:rPr>
                          <w:rFonts w:ascii="Calibri" w:hAnsi="Calibri" w:cs="Arial"/>
                          <w:sz w:val="19"/>
                          <w:szCs w:val="19"/>
                        </w:rPr>
                        <w:t xml:space="preserve"> veterans</w:t>
                      </w:r>
                    </w:p>
                    <w:p w:rsidR="00BD093F" w:rsidRDefault="00BD093F" w:rsidP="00BD093F">
                      <w:pPr>
                        <w:pStyle w:val="ListBullet"/>
                        <w:numPr>
                          <w:ilvl w:val="0"/>
                          <w:numId w:val="5"/>
                        </w:numPr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>problems at school among the sons and daughters of Vietnam</w:t>
                      </w:r>
                      <w:r w:rsidR="00711FB5">
                        <w:rPr>
                          <w:rFonts w:ascii="Calibri" w:hAnsi="Calibri" w:cs="Arial"/>
                          <w:sz w:val="19"/>
                          <w:szCs w:val="19"/>
                        </w:rPr>
                        <w:t xml:space="preserve"> veterans</w:t>
                      </w:r>
                    </w:p>
                    <w:p w:rsidR="00BD093F" w:rsidRDefault="00BD093F" w:rsidP="00BD093F">
                      <w:pPr>
                        <w:pStyle w:val="Tabletext"/>
                        <w:spacing w:before="120" w:after="0"/>
                        <w:ind w:right="181"/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 xml:space="preserve">When examining mortality amongst the children of Vietnam veterans, the research found that the children of Vietnam veterans and Vietnam-era personnel had lower mortality rates when compared to the general population, and that there were no significant differences in deaths from cancer. 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  <w:szCs w:val="19"/>
                        </w:rPr>
                        <w:t xml:space="preserve">The research shows that operational service affects more than just the person who serves; it can also impact on family members. </w:t>
                      </w:r>
                    </w:p>
                    <w:p w:rsidR="00BD093F" w:rsidRDefault="00BD093F" w:rsidP="00BD093F">
                      <w:pPr>
                        <w:pStyle w:val="Tabletext"/>
                        <w:spacing w:before="120" w:after="0"/>
                        <w:ind w:right="181"/>
                        <w:rPr>
                          <w:rFonts w:ascii="Calibri" w:hAnsi="Calibri" w:cs="Arial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sz w:val="19"/>
                          <w:szCs w:val="19"/>
                        </w:rPr>
                        <w:t xml:space="preserve">The research did not find a causal link between a father being exposed to Agent Orange and the health of children.  </w:t>
                      </w:r>
                    </w:p>
                    <w:p w:rsidR="00BD093F" w:rsidRDefault="00BD093F" w:rsidP="00BD093F">
                      <w:pPr>
                        <w:pStyle w:val="Tabletext"/>
                        <w:spacing w:before="120" w:after="0"/>
                        <w:ind w:right="181"/>
                        <w:outlineLvl w:val="0"/>
                        <w:rPr>
                          <w:rFonts w:ascii="Calibri" w:hAnsi="Calibri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9"/>
                          <w:szCs w:val="19"/>
                        </w:rPr>
                        <w:t>Support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</w:pPr>
                      <w:r w:rsidRPr="004816DF"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Open Arms </w:t>
                      </w: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>—</w:t>
                      </w:r>
                      <w:r w:rsidRPr="004816DF"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 Veterans and Families Counselling (formerly VVCS), is a national mental health service that provides 24-hour free and confidential counselling, group programs and suicide prevention training for current and ex-serving </w:t>
                      </w: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Australian </w:t>
                      </w:r>
                      <w:proofErr w:type="spellStart"/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>Defence</w:t>
                      </w:r>
                      <w:proofErr w:type="spellEnd"/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 Force </w:t>
                      </w:r>
                      <w:r w:rsidRPr="004816DF"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>personnel, and their families.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</w:pPr>
                      <w:r w:rsidRPr="004816DF"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To get support or to find out more, call 1800 011 046 or visit </w:t>
                      </w: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the </w:t>
                      </w:r>
                      <w:hyperlink r:id="rId11" w:history="1">
                        <w:r w:rsidRPr="00BD093F">
                          <w:rPr>
                            <w:rStyle w:val="Hyperlink"/>
                            <w:rFonts w:ascii="Calibri" w:hAnsi="Calibri"/>
                            <w:iCs/>
                            <w:sz w:val="19"/>
                            <w:szCs w:val="19"/>
                            <w:lang w:val="en-US"/>
                          </w:rPr>
                          <w:t>Open Arms website</w:t>
                        </w:r>
                      </w:hyperlink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Further self-help support tools and information is available through the </w:t>
                      </w:r>
                      <w:hyperlink r:id="rId12" w:history="1">
                        <w:r w:rsidRPr="00BD093F">
                          <w:rPr>
                            <w:rStyle w:val="Hyperlink"/>
                            <w:rFonts w:ascii="Calibri" w:hAnsi="Calibri"/>
                            <w:iCs/>
                            <w:sz w:val="19"/>
                            <w:szCs w:val="19"/>
                            <w:lang w:val="en-US"/>
                          </w:rPr>
                          <w:t>At-Ease portal</w:t>
                        </w:r>
                      </w:hyperlink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>.</w:t>
                      </w:r>
                    </w:p>
                    <w:p w:rsidR="00BD093F" w:rsidRDefault="00BD093F" w:rsidP="00BD093F">
                      <w:pPr>
                        <w:spacing w:before="120"/>
                        <w:ind w:right="181"/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In addition, all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Calibri" w:hAnsi="Calibri"/>
                              <w:iCs/>
                              <w:sz w:val="19"/>
                              <w:szCs w:val="19"/>
                              <w:lang w:val="en-US"/>
                            </w:rPr>
                            <w:t>Vietnam</w:t>
                          </w:r>
                        </w:smartTag>
                      </w:smartTag>
                      <w:r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 veterans are eligible for a Gold Card at age 70.</w:t>
                      </w:r>
                    </w:p>
                    <w:p w:rsidR="000A2B29" w:rsidRPr="00BD093F" w:rsidRDefault="00BD093F" w:rsidP="00BD093F">
                      <w:pPr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</w:pPr>
                      <w:r w:rsidRPr="00A73CD1">
                        <w:rPr>
                          <w:rFonts w:ascii="Calibri" w:hAnsi="Calibri"/>
                          <w:iCs/>
                          <w:sz w:val="19"/>
                          <w:szCs w:val="19"/>
                          <w:lang w:val="en-US"/>
                        </w:rPr>
                        <w:t xml:space="preserve">The suite of VVFS reports is available on the </w:t>
                      </w:r>
                      <w:hyperlink r:id="rId13" w:history="1">
                        <w:r w:rsidRPr="00BD093F">
                          <w:rPr>
                            <w:rStyle w:val="Hyperlink"/>
                            <w:rFonts w:ascii="Calibri" w:hAnsi="Calibri"/>
                            <w:iCs/>
                            <w:sz w:val="19"/>
                            <w:szCs w:val="19"/>
                            <w:lang w:val="en-US"/>
                          </w:rPr>
                          <w:t>DVA website</w:t>
                        </w:r>
                      </w:hyperlink>
                      <w:r w:rsidRPr="00A73CD1">
                        <w:rPr>
                          <w:rFonts w:ascii="Calibri" w:hAnsi="Calibri"/>
                          <w:iCs/>
                          <w:sz w:val="19"/>
                          <w:szCs w:val="19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1C22F1F" wp14:editId="44F153AD">
                <wp:simplePos x="0" y="0"/>
                <wp:positionH relativeFrom="column">
                  <wp:posOffset>-247650</wp:posOffset>
                </wp:positionH>
                <wp:positionV relativeFrom="paragraph">
                  <wp:posOffset>1486535</wp:posOffset>
                </wp:positionV>
                <wp:extent cx="2057400" cy="8058150"/>
                <wp:effectExtent l="0" t="0" r="0" b="0"/>
                <wp:wrapTight wrapText="bothSides">
                  <wp:wrapPolygon edited="0">
                    <wp:start x="600" y="0"/>
                    <wp:lineTo x="600" y="21549"/>
                    <wp:lineTo x="20800" y="21549"/>
                    <wp:lineTo x="20800" y="0"/>
                    <wp:lineTo x="60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5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Vietnam Veterans Family Study</w:t>
                            </w: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Aim: To determine the effect, if any, that active Vietnam service had on the physical, mental and social wellbeing of the sons and daughters of Australian Vietnam veterans.</w:t>
                            </w: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Cost: $11.5 million</w:t>
                            </w: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Participation: more than</w:t>
                            </w: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27,000 including veterans, partners and their children.</w:t>
                            </w:r>
                          </w:p>
                          <w:p w:rsidR="00BD093F" w:rsidRPr="00BD093F" w:rsidRDefault="00BD093F" w:rsidP="00BD093F">
                            <w:pPr>
                              <w:rPr>
                                <w:rFonts w:ascii="Calibri" w:hAnsi="Calibri" w:cs="Courier Ne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D093F" w:rsidRPr="00BD093F" w:rsidRDefault="00BD093F" w:rsidP="00BD093F">
                            <w:pPr>
                              <w:rPr>
                                <w:rFonts w:ascii="Calibri" w:hAnsi="Calibri" w:cs="Courier Ne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Research contributors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Australian Institute of Family Studies (AIFS)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Australian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D093F">
                                  <w:rPr>
                                    <w:rFonts w:ascii="Calibri" w:hAnsi="Calibri" w:cs="Courier New"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Institute</w:t>
                                </w:r>
                              </w:smartTag>
                              <w:r w:rsidRPr="00BD093F">
                                <w:rPr>
                                  <w:rFonts w:ascii="Calibri" w:hAnsi="Calibri" w:cs="Courier New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BD093F">
                                  <w:rPr>
                                    <w:rFonts w:ascii="Calibri" w:hAnsi="Calibri" w:cs="Courier New"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Health</w:t>
                                </w:r>
                              </w:smartTag>
                            </w:smartTag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Welfare (AIHW)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Open Mind Research Group Pty Ltd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Taylor Nelson </w:t>
                            </w:r>
                            <w:proofErr w:type="spellStart"/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Sofres</w:t>
                            </w:r>
                            <w:proofErr w:type="spellEnd"/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Research Australia Pty Ltd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Enhance Management Pty Ltd</w:t>
                            </w:r>
                          </w:p>
                          <w:p w:rsid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Colmar </w:t>
                            </w:r>
                            <w:proofErr w:type="spellStart"/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Brunton</w:t>
                            </w:r>
                            <w:proofErr w:type="spellEnd"/>
                            <w:r w:rsidRPr="00BD093F"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Social Research Pty Ltd</w:t>
                            </w: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Key findings (compared to Vietnam-era personnel)</w:t>
                            </w:r>
                          </w:p>
                          <w:p w:rsidR="00BD093F" w:rsidRPr="00BD093F" w:rsidRDefault="00BD093F" w:rsidP="00BD093F">
                            <w:pPr>
                              <w:spacing w:after="120"/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majority of children of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BD093F">
                                  <w:rPr>
                                    <w:rFonts w:ascii="Calibri" w:hAnsi="Calibri" w:cs="Courier New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Vietnam</w:t>
                                </w:r>
                              </w:smartTag>
                            </w:smartTag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veterans were leading healthy and productive lives. However</w:t>
                            </w:r>
                            <w:r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they were more likely to: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be</w:t>
                            </w:r>
                            <w:proofErr w:type="gramEnd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diagnosed with or treated for depression (21% vs 14%), anxiety (22%  vs 13%) or PTSD (4% vs 1%);</w:t>
                            </w:r>
                          </w:p>
                          <w:p w:rsidR="00BD093F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suicidal thoughts (41% vs 31%), suicidal plans/actions (12% vs 7%);</w:t>
                            </w:r>
                          </w:p>
                          <w:p w:rsidR="00BE2B60" w:rsidRPr="00BD093F" w:rsidRDefault="00BD093F" w:rsidP="00BD093F">
                            <w:pPr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>have</w:t>
                            </w:r>
                            <w:proofErr w:type="gramEnd"/>
                            <w:r w:rsidRPr="00BD093F">
                              <w:rPr>
                                <w:rFonts w:ascii="Calibri" w:hAnsi="Calibri" w:cs="Courier New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skin conditions (21% vs 14%), migraines (13% vs 7%) and experience sleep disturbances (15% vs 9%).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2F1F" id="_x0000_s1027" type="#_x0000_t202" style="position:absolute;margin-left:-19.5pt;margin-top:117.05pt;width:162pt;height:634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" filled="f" stroked="f">
                <v:textbox>
                  <w:txbxContent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Vietnam Veterans Family Study</w:t>
                      </w: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Aim: To determine the effect, if any, that active Vietnam service had on the physical, mental and social wellbeing of the sons and daughters of Australian Vietnam veterans.</w:t>
                      </w: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Cost: $11.5 million</w:t>
                      </w: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Participation: more than</w:t>
                      </w: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27,000 including veterans, partners and their children.</w:t>
                      </w:r>
                    </w:p>
                    <w:p w:rsidR="00BD093F" w:rsidRPr="00BD093F" w:rsidRDefault="00BD093F" w:rsidP="00BD093F">
                      <w:pPr>
                        <w:rPr>
                          <w:rFonts w:ascii="Calibri" w:hAnsi="Calibri" w:cs="Courier Ne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D093F" w:rsidRPr="00BD093F" w:rsidRDefault="00BD093F" w:rsidP="00BD093F">
                      <w:pPr>
                        <w:rPr>
                          <w:rFonts w:ascii="Calibri" w:hAnsi="Calibri" w:cs="Courier Ne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Research contributors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Australian Institute of Family Studies (AIFS)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Australian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BD093F">
                            <w:rPr>
                              <w:rFonts w:ascii="Calibri" w:hAnsi="Calibri" w:cs="Courier New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Institute</w:t>
                          </w:r>
                        </w:smartTag>
                        <w:r w:rsidRPr="00BD093F">
                          <w:rPr>
                            <w:rFonts w:ascii="Calibri" w:hAnsi="Calibri" w:cs="Courier New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BD093F">
                            <w:rPr>
                              <w:rFonts w:ascii="Calibri" w:hAnsi="Calibri" w:cs="Courier New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Health</w:t>
                          </w:r>
                        </w:smartTag>
                      </w:smartTag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Welfare (AIHW)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Open Mind Research Group Pty Ltd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Taylor Nelson </w:t>
                      </w:r>
                      <w:proofErr w:type="spellStart"/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Sofres</w:t>
                      </w:r>
                      <w:proofErr w:type="spellEnd"/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Research Australia Pty Ltd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Enhance Management Pty Ltd</w:t>
                      </w:r>
                    </w:p>
                    <w:p w:rsid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Colmar </w:t>
                      </w:r>
                      <w:proofErr w:type="spellStart"/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>Brunton</w:t>
                      </w:r>
                      <w:proofErr w:type="spellEnd"/>
                      <w:r w:rsidRPr="00BD093F"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Social Research Pty Ltd</w:t>
                      </w: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b/>
                          <w:color w:val="FFFFFF" w:themeColor="background1"/>
                          <w:sz w:val="20"/>
                          <w:szCs w:val="20"/>
                        </w:rPr>
                        <w:t>Key findings (compared to Vietnam-era personnel)</w:t>
                      </w:r>
                    </w:p>
                    <w:p w:rsidR="00BD093F" w:rsidRPr="00BD093F" w:rsidRDefault="00BD093F" w:rsidP="00BD093F">
                      <w:pPr>
                        <w:spacing w:after="120"/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 xml:space="preserve">The majority of children of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BD093F">
                            <w:rPr>
                              <w:rFonts w:ascii="Calibri" w:hAnsi="Calibri" w:cs="Courier New"/>
                              <w:color w:val="FFFFFF" w:themeColor="background1"/>
                              <w:sz w:val="20"/>
                              <w:szCs w:val="20"/>
                            </w:rPr>
                            <w:t>Vietnam</w:t>
                          </w:r>
                        </w:smartTag>
                      </w:smartTag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 xml:space="preserve"> veterans were leading healthy and productive lives. However</w:t>
                      </w:r>
                      <w:r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 xml:space="preserve"> they were more likely to: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>be diagnosed with or treated for depression (21% vs 14%), anxiety (22%  vs 13%) or PTSD (4% vs 1%);</w:t>
                      </w:r>
                    </w:p>
                    <w:p w:rsidR="00BD093F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 xml:space="preserve">have suicidal thoughts (41% vs 31%), suicidal plans/actions </w:t>
                      </w:r>
                      <w:bookmarkStart w:id="1" w:name="_GoBack"/>
                      <w:bookmarkEnd w:id="1"/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>(12% vs 7%);</w:t>
                      </w:r>
                    </w:p>
                    <w:p w:rsidR="00BE2B60" w:rsidRPr="00BD093F" w:rsidRDefault="00BD093F" w:rsidP="00BD093F">
                      <w:pPr>
                        <w:numPr>
                          <w:ilvl w:val="0"/>
                          <w:numId w:val="3"/>
                        </w:numPr>
                        <w:spacing w:after="120"/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D093F">
                        <w:rPr>
                          <w:rFonts w:ascii="Calibri" w:hAnsi="Calibri" w:cs="Courier New"/>
                          <w:color w:val="FFFFFF" w:themeColor="background1"/>
                          <w:sz w:val="20"/>
                          <w:szCs w:val="20"/>
                        </w:rPr>
                        <w:t>have skin conditions (21% vs 14%), migraines (13% vs 7%) and experience sleep disturbances (15% vs 9%).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5AD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DACF2D" wp14:editId="18AC1228">
                <wp:simplePos x="0" y="0"/>
                <wp:positionH relativeFrom="column">
                  <wp:posOffset>1990725</wp:posOffset>
                </wp:positionH>
                <wp:positionV relativeFrom="paragraph">
                  <wp:posOffset>838835</wp:posOffset>
                </wp:positionV>
                <wp:extent cx="5057775" cy="533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A25" w:rsidRPr="00BD093F" w:rsidRDefault="00BD093F">
                            <w:pPr>
                              <w:rPr>
                                <w:rFonts w:ascii="Rockwell" w:hAnsi="Rockwell"/>
                                <w:sz w:val="72"/>
                                <w:szCs w:val="60"/>
                              </w:rPr>
                            </w:pPr>
                            <w:r w:rsidRPr="00BD093F">
                              <w:rPr>
                                <w:rFonts w:ascii="Rockwell" w:hAnsi="Rockwell"/>
                                <w:b/>
                                <w:sz w:val="48"/>
                                <w:szCs w:val="46"/>
                              </w:rPr>
                              <w:t>Vietnam Veterans Family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CF2D" id="_x0000_s1028" type="#_x0000_t202" style="position:absolute;margin-left:156.75pt;margin-top:66.05pt;width:398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" stroked="f">
                <v:textbox>
                  <w:txbxContent>
                    <w:p w:rsidR="000D0A25" w:rsidRPr="00BD093F" w:rsidRDefault="00BD093F">
                      <w:pPr>
                        <w:rPr>
                          <w:rFonts w:ascii="Rockwell" w:hAnsi="Rockwell"/>
                          <w:sz w:val="72"/>
                          <w:szCs w:val="60"/>
                        </w:rPr>
                      </w:pPr>
                      <w:r w:rsidRPr="00BD093F">
                        <w:rPr>
                          <w:rFonts w:ascii="Rockwell" w:hAnsi="Rockwell"/>
                          <w:b/>
                          <w:sz w:val="48"/>
                          <w:szCs w:val="46"/>
                        </w:rPr>
                        <w:t>Vietnam Veterans Family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4494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editId="13B54DF7">
            <wp:simplePos x="0" y="0"/>
            <wp:positionH relativeFrom="column">
              <wp:posOffset>2095500</wp:posOffset>
            </wp:positionH>
            <wp:positionV relativeFrom="paragraph">
              <wp:posOffset>80323</wp:posOffset>
            </wp:positionV>
            <wp:extent cx="3200400" cy="666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6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4EAD" wp14:editId="1AC99E36">
                <wp:simplePos x="0" y="0"/>
                <wp:positionH relativeFrom="column">
                  <wp:posOffset>-457200</wp:posOffset>
                </wp:positionH>
                <wp:positionV relativeFrom="paragraph">
                  <wp:posOffset>-167005</wp:posOffset>
                </wp:positionV>
                <wp:extent cx="2404110" cy="10712450"/>
                <wp:effectExtent l="0" t="0" r="152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10712450"/>
                        </a:xfrm>
                        <a:prstGeom prst="rect">
                          <a:avLst/>
                        </a:prstGeom>
                        <a:solidFill>
                          <a:srgbClr val="1F2C56"/>
                        </a:solidFill>
                        <a:ln>
                          <a:solidFill>
                            <a:srgbClr val="1F2C5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FB82" id="Rectangle 1" o:spid="_x0000_s1026" style="position:absolute;margin-left:-36pt;margin-top:-13.15pt;width:189.3pt;height:8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" fillcolor="#1f2c56" strokecolor="#1f2c56" strokeweight="1pt"/>
            </w:pict>
          </mc:Fallback>
        </mc:AlternateContent>
      </w:r>
      <w:r w:rsidR="00794E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43C14" wp14:editId="47E1D51E">
                <wp:simplePos x="0" y="0"/>
                <wp:positionH relativeFrom="page">
                  <wp:posOffset>12700</wp:posOffset>
                </wp:positionH>
                <wp:positionV relativeFrom="paragraph">
                  <wp:posOffset>1409065</wp:posOffset>
                </wp:positionV>
                <wp:extent cx="7534275" cy="13532"/>
                <wp:effectExtent l="0" t="19050" r="47625" b="438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353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D59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4D6C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pt,110.95pt" to="594.2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" strokecolor="#3d5994" strokeweight="4.5pt">
                <v:stroke joinstyle="miter"/>
                <w10:wrap anchorx="page"/>
              </v:line>
            </w:pict>
          </mc:Fallback>
        </mc:AlternateContent>
      </w:r>
    </w:p>
    <w:sectPr w:rsidR="008141A9" w:rsidSect="00927E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3F" w:rsidRDefault="00BD093F" w:rsidP="00BD093F">
      <w:r>
        <w:separator/>
      </w:r>
    </w:p>
  </w:endnote>
  <w:endnote w:type="continuationSeparator" w:id="0">
    <w:p w:rsidR="00BD093F" w:rsidRDefault="00BD093F" w:rsidP="00B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6E" w:rsidRDefault="001A3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3F" w:rsidRDefault="00BD09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6E" w:rsidRDefault="001A3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3F" w:rsidRDefault="00BD093F" w:rsidP="00BD093F">
      <w:r>
        <w:separator/>
      </w:r>
    </w:p>
  </w:footnote>
  <w:footnote w:type="continuationSeparator" w:id="0">
    <w:p w:rsidR="00BD093F" w:rsidRDefault="00BD093F" w:rsidP="00BD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6E" w:rsidRDefault="001A3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6E" w:rsidRDefault="001A3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16E" w:rsidRDefault="001A3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62B"/>
    <w:multiLevelType w:val="hybridMultilevel"/>
    <w:tmpl w:val="C0643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1B46"/>
    <w:multiLevelType w:val="hybridMultilevel"/>
    <w:tmpl w:val="E38E3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68CD"/>
    <w:multiLevelType w:val="hybridMultilevel"/>
    <w:tmpl w:val="4C8854B2"/>
    <w:lvl w:ilvl="0" w:tplc="B1988F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5085"/>
    <w:multiLevelType w:val="hybridMultilevel"/>
    <w:tmpl w:val="9140D1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E3431"/>
    <w:multiLevelType w:val="hybridMultilevel"/>
    <w:tmpl w:val="E9BA1B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BAC6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CE"/>
    <w:rsid w:val="00032030"/>
    <w:rsid w:val="00077B5D"/>
    <w:rsid w:val="000A2B29"/>
    <w:rsid w:val="000D0A25"/>
    <w:rsid w:val="00151138"/>
    <w:rsid w:val="001A316E"/>
    <w:rsid w:val="001E2DBB"/>
    <w:rsid w:val="00241519"/>
    <w:rsid w:val="002A7673"/>
    <w:rsid w:val="002D47EC"/>
    <w:rsid w:val="00422350"/>
    <w:rsid w:val="004674FC"/>
    <w:rsid w:val="004A7B25"/>
    <w:rsid w:val="004C756C"/>
    <w:rsid w:val="0061594B"/>
    <w:rsid w:val="006315DE"/>
    <w:rsid w:val="00667513"/>
    <w:rsid w:val="00700F47"/>
    <w:rsid w:val="00711FB5"/>
    <w:rsid w:val="007549C1"/>
    <w:rsid w:val="00794ECE"/>
    <w:rsid w:val="007C4494"/>
    <w:rsid w:val="007E232A"/>
    <w:rsid w:val="008141A9"/>
    <w:rsid w:val="00860615"/>
    <w:rsid w:val="00927E68"/>
    <w:rsid w:val="00A2625C"/>
    <w:rsid w:val="00A8755B"/>
    <w:rsid w:val="00BD093F"/>
    <w:rsid w:val="00BE2B60"/>
    <w:rsid w:val="00BE4670"/>
    <w:rsid w:val="00BF5ADD"/>
    <w:rsid w:val="00C04831"/>
    <w:rsid w:val="00C81CF2"/>
    <w:rsid w:val="00CC4489"/>
    <w:rsid w:val="00D21457"/>
    <w:rsid w:val="00DA4D0E"/>
    <w:rsid w:val="00E0531F"/>
    <w:rsid w:val="00E13B49"/>
    <w:rsid w:val="00F87B16"/>
    <w:rsid w:val="00FB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9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B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2B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5ADD"/>
    <w:pPr>
      <w:ind w:left="720"/>
      <w:contextualSpacing/>
    </w:pPr>
  </w:style>
  <w:style w:type="paragraph" w:styleId="ListBullet">
    <w:name w:val="List Bullet"/>
    <w:basedOn w:val="BodyText"/>
    <w:rsid w:val="00BD093F"/>
    <w:pPr>
      <w:numPr>
        <w:numId w:val="4"/>
      </w:numPr>
      <w:spacing w:before="120" w:after="0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al"/>
    <w:rsid w:val="00BD093F"/>
    <w:pPr>
      <w:spacing w:before="60" w:after="60"/>
    </w:pPr>
    <w:rPr>
      <w:rFonts w:ascii="Times New Roman" w:eastAsia="MS ??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93F"/>
  </w:style>
  <w:style w:type="paragraph" w:styleId="Header">
    <w:name w:val="header"/>
    <w:basedOn w:val="Normal"/>
    <w:link w:val="HeaderChar"/>
    <w:uiPriority w:val="99"/>
    <w:unhideWhenUsed/>
    <w:rsid w:val="00BD09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93F"/>
  </w:style>
  <w:style w:type="paragraph" w:styleId="Footer">
    <w:name w:val="footer"/>
    <w:basedOn w:val="Normal"/>
    <w:link w:val="FooterChar"/>
    <w:uiPriority w:val="99"/>
    <w:unhideWhenUsed/>
    <w:rsid w:val="00BD09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Arms.gov.au" TargetMode="External"/><Relationship Id="rId13" Type="http://schemas.openxmlformats.org/officeDocument/2006/relationships/hyperlink" Target="http://www.dva.gov.au/vvf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t-ease.dva.gov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Arms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va.gov.au/vvf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t-ease.dva.gov.au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A8BCB-DF07-44E2-B7F6-5DD4F63A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2018-12-21T02:25:00Z</dcterms:created>
  <dcterms:modified xsi:type="dcterms:W3CDTF">2018-12-21T02:25:00Z</dcterms:modified>
</cp:coreProperties>
</file>