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3E" w:rsidRDefault="001D003E" w:rsidP="001D003E">
      <w:pPr>
        <w:pStyle w:val="TPHeading1"/>
        <w:pageBreakBefore/>
        <w:pBdr>
          <w:top w:val="nil"/>
          <w:left w:val="nil"/>
          <w:bottom w:val="nil"/>
          <w:right w:val="nil"/>
          <w:between w:val="nil"/>
          <w:bar w:val="nil"/>
        </w:pBdr>
        <w:spacing w:line="600" w:lineRule="auto"/>
        <w:rPr>
          <w:bdr w:val="nil"/>
        </w:rPr>
      </w:pPr>
    </w:p>
    <w:p w:rsidR="001D003E" w:rsidRDefault="001D003E" w:rsidP="001D003E">
      <w:pPr>
        <w:pStyle w:val="TPHeading1"/>
        <w:pBdr>
          <w:top w:val="nil"/>
          <w:left w:val="nil"/>
          <w:bottom w:val="nil"/>
          <w:right w:val="nil"/>
          <w:between w:val="nil"/>
          <w:bar w:val="nil"/>
        </w:pBdr>
        <w:spacing w:line="600" w:lineRule="auto"/>
        <w:rPr>
          <w:bdr w:val="nil"/>
        </w:rPr>
      </w:pPr>
    </w:p>
    <w:p w:rsidR="001D003E" w:rsidRPr="00334C22" w:rsidRDefault="001D003E" w:rsidP="001D003E">
      <w:pPr>
        <w:pStyle w:val="TPHeading1"/>
        <w:pBdr>
          <w:top w:val="nil"/>
          <w:left w:val="nil"/>
          <w:bottom w:val="nil"/>
          <w:right w:val="nil"/>
          <w:between w:val="nil"/>
          <w:bar w:val="nil"/>
        </w:pBdr>
        <w:rPr>
          <w:rFonts w:ascii="Calibri Light" w:hAnsi="Calibri Light" w:cs="Calibri Light"/>
          <w:caps w:val="0"/>
          <w:sz w:val="40"/>
          <w:bdr w:val="nil"/>
        </w:rPr>
      </w:pPr>
      <w:bookmarkStart w:id="0" w:name="_Toc23559331"/>
      <w:r w:rsidRPr="00334C22">
        <w:rPr>
          <w:rFonts w:ascii="Calibri Light" w:hAnsi="Calibri Light" w:cs="Calibri Light"/>
          <w:caps w:val="0"/>
          <w:sz w:val="40"/>
          <w:bdr w:val="nil"/>
        </w:rPr>
        <w:t>Portfolio Additional Estimates</w:t>
      </w:r>
      <w:bookmarkEnd w:id="0"/>
      <w:r w:rsidRPr="00334C22">
        <w:rPr>
          <w:rFonts w:ascii="Calibri Light" w:hAnsi="Calibri Light" w:cs="Calibri Light"/>
          <w:caps w:val="0"/>
          <w:sz w:val="40"/>
          <w:bdr w:val="nil"/>
        </w:rPr>
        <w:t xml:space="preserve"> </w:t>
      </w:r>
    </w:p>
    <w:p w:rsidR="001D003E" w:rsidRPr="00334C22" w:rsidRDefault="001D003E" w:rsidP="001D003E">
      <w:pPr>
        <w:pStyle w:val="TPHeading1"/>
        <w:pBdr>
          <w:top w:val="nil"/>
          <w:left w:val="nil"/>
          <w:bottom w:val="nil"/>
          <w:right w:val="nil"/>
          <w:between w:val="nil"/>
          <w:bar w:val="nil"/>
        </w:pBdr>
        <w:rPr>
          <w:rFonts w:ascii="Garamond" w:hAnsi="Garamond"/>
          <w:caps w:val="0"/>
          <w:sz w:val="96"/>
          <w:szCs w:val="56"/>
          <w:bdr w:val="nil"/>
        </w:rPr>
      </w:pPr>
      <w:r w:rsidRPr="00334C22">
        <w:rPr>
          <w:rFonts w:ascii="Calibri Light" w:hAnsi="Calibri Light" w:cs="Calibri Light"/>
          <w:caps w:val="0"/>
          <w:sz w:val="40"/>
          <w:bdr w:val="nil"/>
        </w:rPr>
        <w:t>Statements</w:t>
      </w:r>
      <w:r w:rsidRPr="00334C22">
        <w:rPr>
          <w:rFonts w:ascii="Calibri Light" w:hAnsi="Calibri Light" w:cs="Calibri Light"/>
          <w:sz w:val="20"/>
          <w:bdr w:val="nil"/>
        </w:rPr>
        <w:t> </w:t>
      </w:r>
      <w:r w:rsidRPr="00334C22">
        <w:rPr>
          <w:rFonts w:ascii="Calibri Light" w:hAnsi="Calibri Light" w:cs="Calibri Light"/>
          <w:caps w:val="0"/>
          <w:sz w:val="40"/>
          <w:szCs w:val="56"/>
          <w:bdr w:val="nil"/>
        </w:rPr>
        <w:t>2021-22</w:t>
      </w:r>
    </w:p>
    <w:p w:rsidR="001D003E" w:rsidRPr="00334C22" w:rsidRDefault="001D003E" w:rsidP="001D003E">
      <w:pPr>
        <w:pStyle w:val="TPHeading2"/>
        <w:pBdr>
          <w:top w:val="nil"/>
          <w:left w:val="nil"/>
          <w:bottom w:val="nil"/>
          <w:right w:val="nil"/>
          <w:between w:val="nil"/>
          <w:bar w:val="nil"/>
        </w:pBdr>
        <w:spacing w:after="100" w:afterAutospacing="1"/>
        <w:rPr>
          <w:rFonts w:ascii="Book Antiqua" w:hAnsi="Book Antiqua"/>
          <w:b/>
          <w:caps w:val="0"/>
          <w:color w:val="000000"/>
          <w:sz w:val="40"/>
          <w:szCs w:val="36"/>
          <w:bdr w:val="nil"/>
        </w:rPr>
      </w:pPr>
      <w:r w:rsidRPr="00334C22">
        <w:rPr>
          <w:rFonts w:ascii="Book Antiqua" w:hAnsi="Book Antiqua"/>
          <w:b/>
          <w:caps w:val="0"/>
          <w:color w:val="000000"/>
          <w:sz w:val="40"/>
          <w:szCs w:val="36"/>
          <w:bdr w:val="nil"/>
        </w:rPr>
        <w:tab/>
      </w:r>
    </w:p>
    <w:p w:rsidR="001D003E" w:rsidRPr="00334C22" w:rsidRDefault="001D003E" w:rsidP="001D003E">
      <w:pPr>
        <w:pStyle w:val="TPHeading2"/>
        <w:pBdr>
          <w:top w:val="nil"/>
          <w:left w:val="nil"/>
          <w:bottom w:val="nil"/>
          <w:right w:val="nil"/>
          <w:between w:val="nil"/>
          <w:bar w:val="nil"/>
        </w:pBdr>
        <w:rPr>
          <w:rFonts w:ascii="Garamond" w:hAnsi="Garamond"/>
          <w:b/>
          <w:caps w:val="0"/>
          <w:color w:val="000000"/>
          <w:sz w:val="36"/>
          <w:bdr w:val="nil"/>
        </w:rPr>
      </w:pPr>
    </w:p>
    <w:p w:rsidR="001D003E" w:rsidRDefault="001D003E" w:rsidP="001D003E">
      <w:pPr>
        <w:pStyle w:val="TPHeading2"/>
        <w:pBdr>
          <w:top w:val="nil"/>
          <w:left w:val="nil"/>
          <w:bottom w:val="nil"/>
          <w:right w:val="nil"/>
          <w:between w:val="nil"/>
          <w:bar w:val="nil"/>
        </w:pBdr>
        <w:rPr>
          <w:rFonts w:ascii="Calibri Light" w:hAnsi="Calibri Light" w:cs="Calibri Light"/>
          <w:b/>
          <w:caps w:val="0"/>
          <w:color w:val="000000"/>
          <w:sz w:val="40"/>
          <w:bdr w:val="nil"/>
        </w:rPr>
      </w:pPr>
      <w:r>
        <w:rPr>
          <w:rFonts w:ascii="Calibri Light" w:hAnsi="Calibri Light" w:cs="Calibri Light"/>
          <w:b/>
          <w:caps w:val="0"/>
          <w:color w:val="000000"/>
          <w:sz w:val="40"/>
          <w:bdr w:val="nil"/>
        </w:rPr>
        <w:t>Defence</w:t>
      </w:r>
      <w:r w:rsidRPr="00334C22">
        <w:rPr>
          <w:rFonts w:ascii="Calibri Light" w:hAnsi="Calibri Light" w:cs="Calibri Light"/>
          <w:b/>
          <w:caps w:val="0"/>
          <w:color w:val="000000"/>
          <w:sz w:val="40"/>
          <w:bdr w:val="nil"/>
        </w:rPr>
        <w:t xml:space="preserve"> Portfolio</w:t>
      </w:r>
    </w:p>
    <w:p w:rsidR="001D003E" w:rsidRPr="00334C22" w:rsidRDefault="001D003E" w:rsidP="001D003E">
      <w:pPr>
        <w:pStyle w:val="TPHeading2"/>
        <w:pBdr>
          <w:top w:val="nil"/>
          <w:left w:val="nil"/>
          <w:bottom w:val="nil"/>
          <w:right w:val="nil"/>
          <w:between w:val="nil"/>
          <w:bar w:val="nil"/>
        </w:pBdr>
        <w:rPr>
          <w:rFonts w:ascii="Calibri Light" w:hAnsi="Calibri Light" w:cs="Calibri Light"/>
          <w:b/>
          <w:caps w:val="0"/>
          <w:color w:val="000000"/>
          <w:sz w:val="40"/>
          <w:bdr w:val="nil"/>
        </w:rPr>
      </w:pPr>
      <w:r>
        <w:rPr>
          <w:rFonts w:ascii="Calibri Light" w:hAnsi="Calibri Light" w:cs="Calibri Light"/>
          <w:b/>
          <w:caps w:val="0"/>
          <w:color w:val="000000"/>
          <w:sz w:val="40"/>
          <w:bdr w:val="nil"/>
        </w:rPr>
        <w:t>(Department of Veterans' Affairs)</w:t>
      </w:r>
    </w:p>
    <w:p w:rsidR="001D003E" w:rsidRPr="00334C22" w:rsidRDefault="001D003E">
      <w:pPr>
        <w:pStyle w:val="TPHeading3"/>
        <w:pBdr>
          <w:top w:val="nil"/>
          <w:left w:val="nil"/>
          <w:bottom w:val="nil"/>
          <w:right w:val="nil"/>
          <w:between w:val="nil"/>
          <w:bar w:val="nil"/>
        </w:pBdr>
        <w:jc w:val="center"/>
        <w:rPr>
          <w:rFonts w:ascii="Garamond" w:hAnsi="Garamond"/>
          <w:b/>
          <w:caps w:val="0"/>
          <w:sz w:val="32"/>
          <w:bdr w:val="nil"/>
        </w:rPr>
      </w:pPr>
    </w:p>
    <w:p w:rsidR="001D003E" w:rsidRPr="00334C22" w:rsidRDefault="001D003E">
      <w:pPr>
        <w:pStyle w:val="TPHeading3"/>
        <w:pBdr>
          <w:top w:val="nil"/>
          <w:left w:val="nil"/>
          <w:bottom w:val="nil"/>
          <w:right w:val="nil"/>
          <w:between w:val="nil"/>
          <w:bar w:val="nil"/>
        </w:pBdr>
        <w:jc w:val="center"/>
        <w:rPr>
          <w:rFonts w:ascii="Garamond" w:hAnsi="Garamond"/>
          <w:b/>
          <w:caps w:val="0"/>
          <w:sz w:val="32"/>
          <w:bdr w:val="nil"/>
        </w:rPr>
      </w:pPr>
    </w:p>
    <w:p w:rsidR="001D003E" w:rsidRPr="00334C22" w:rsidRDefault="001D003E">
      <w:pPr>
        <w:pStyle w:val="TPHeading3"/>
        <w:pBdr>
          <w:top w:val="nil"/>
          <w:left w:val="nil"/>
          <w:bottom w:val="nil"/>
          <w:right w:val="nil"/>
          <w:between w:val="nil"/>
          <w:bar w:val="nil"/>
        </w:pBdr>
        <w:jc w:val="center"/>
        <w:rPr>
          <w:rFonts w:ascii="Garamond" w:hAnsi="Garamond"/>
          <w:b/>
          <w:caps w:val="0"/>
          <w:sz w:val="32"/>
          <w:bdr w:val="nil"/>
        </w:rPr>
      </w:pPr>
    </w:p>
    <w:p w:rsidR="001D003E" w:rsidRPr="00334C22" w:rsidRDefault="001D003E">
      <w:pPr>
        <w:pStyle w:val="TPHeading3"/>
        <w:pBdr>
          <w:top w:val="nil"/>
          <w:left w:val="nil"/>
          <w:bottom w:val="nil"/>
          <w:right w:val="nil"/>
          <w:between w:val="nil"/>
          <w:bar w:val="nil"/>
        </w:pBdr>
        <w:jc w:val="center"/>
        <w:rPr>
          <w:rFonts w:ascii="Garamond" w:hAnsi="Garamond"/>
          <w:b/>
          <w:caps w:val="0"/>
          <w:sz w:val="32"/>
          <w:bdr w:val="nil"/>
        </w:rPr>
      </w:pPr>
    </w:p>
    <w:p w:rsidR="001D003E" w:rsidRPr="00334C22" w:rsidRDefault="001D003E">
      <w:pPr>
        <w:pStyle w:val="TPHeading3"/>
        <w:pBdr>
          <w:top w:val="nil"/>
          <w:left w:val="nil"/>
          <w:bottom w:val="nil"/>
          <w:right w:val="nil"/>
          <w:between w:val="nil"/>
          <w:bar w:val="nil"/>
        </w:pBdr>
        <w:jc w:val="center"/>
        <w:rPr>
          <w:rFonts w:ascii="Calibri Light" w:hAnsi="Calibri Light" w:cs="Calibri Light"/>
          <w:b/>
          <w:caps w:val="0"/>
          <w:sz w:val="28"/>
          <w:szCs w:val="22"/>
          <w:bdr w:val="nil"/>
        </w:rPr>
      </w:pPr>
      <w:r w:rsidRPr="00334C22">
        <w:rPr>
          <w:rFonts w:ascii="Calibri Light" w:hAnsi="Calibri Light" w:cs="Calibri Light"/>
          <w:b/>
          <w:caps w:val="0"/>
          <w:sz w:val="28"/>
          <w:szCs w:val="22"/>
          <w:bdr w:val="nil"/>
        </w:rPr>
        <w:t>Explanations of Additional Estimates 2021-22</w:t>
      </w:r>
    </w:p>
    <w:p w:rsidR="001D003E" w:rsidRDefault="001D003E" w:rsidP="001D003E">
      <w:pPr>
        <w:keepLines w:val="0"/>
        <w:pageBreakBefore/>
        <w:pBdr>
          <w:top w:val="nil"/>
          <w:left w:val="nil"/>
          <w:bottom w:val="nil"/>
          <w:right w:val="nil"/>
          <w:between w:val="nil"/>
          <w:bar w:val="nil"/>
        </w:pBdr>
        <w:spacing w:after="120" w:line="276" w:lineRule="auto"/>
        <w:jc w:val="left"/>
        <w:rPr>
          <w:rFonts w:eastAsia="Calibri"/>
          <w:bdr w:val="nil"/>
          <w:lang w:eastAsia="en-US"/>
        </w:rPr>
      </w:pPr>
      <w:r>
        <w:rPr>
          <w:rFonts w:eastAsia="Calibri"/>
          <w:bdr w:val="nil"/>
          <w:lang w:eastAsia="en-US"/>
        </w:rPr>
        <w:lastRenderedPageBreak/>
        <w:t>© Commonwealth of Australia 2022</w:t>
      </w:r>
    </w:p>
    <w:p w:rsidR="001D003E" w:rsidRPr="008C53AA" w:rsidRDefault="001D003E" w:rsidP="001D003E">
      <w:pPr>
        <w:keepLines w:val="0"/>
        <w:pBdr>
          <w:top w:val="nil"/>
          <w:left w:val="nil"/>
          <w:bottom w:val="nil"/>
          <w:right w:val="nil"/>
          <w:between w:val="nil"/>
          <w:bar w:val="nil"/>
        </w:pBdr>
        <w:spacing w:before="100" w:after="100" w:line="276" w:lineRule="auto"/>
        <w:jc w:val="left"/>
        <w:rPr>
          <w:rFonts w:eastAsia="Calibri"/>
          <w:bdr w:val="nil"/>
          <w:lang w:eastAsia="en-US"/>
        </w:rPr>
      </w:pPr>
      <w:r w:rsidRPr="008C53AA">
        <w:rPr>
          <w:rFonts w:eastAsia="Calibri"/>
          <w:bdr w:val="nil"/>
          <w:lang w:eastAsia="en-US"/>
        </w:rPr>
        <w:t>ISBN 978-0-6451779-2-3</w:t>
      </w:r>
    </w:p>
    <w:p w:rsidR="001D003E" w:rsidRPr="0031753E" w:rsidRDefault="001D003E" w:rsidP="001D003E">
      <w:pPr>
        <w:keepLines w:val="0"/>
        <w:pBdr>
          <w:top w:val="nil"/>
          <w:left w:val="nil"/>
          <w:bottom w:val="nil"/>
          <w:right w:val="nil"/>
          <w:between w:val="nil"/>
          <w:bar w:val="nil"/>
        </w:pBdr>
        <w:rPr>
          <w:rFonts w:eastAsia="Calibri"/>
          <w:snapToGrid w:val="0"/>
          <w:bdr w:val="nil"/>
          <w:lang w:eastAsia="en-US"/>
        </w:rPr>
      </w:pPr>
      <w:r w:rsidRPr="0031753E">
        <w:rPr>
          <w:rFonts w:eastAsia="Calibri"/>
          <w:snapToGrid w:val="0"/>
          <w:bdr w:val="nil"/>
          <w:lang w:eastAsia="en-US"/>
        </w:rPr>
        <w:t xml:space="preserve">This publication is available for your use under a Creative Commons BY Attribution 3.0 Australia licence, with the exception of the Commonwealth Coat of Arms, the Department of Veterans’ Affairs logo, photographs, images, signatures and where otherwise stated. The full licence terms are available from </w:t>
      </w:r>
      <w:hyperlink r:id="rId8" w:history="1">
        <w:r w:rsidRPr="0031753E">
          <w:rPr>
            <w:rStyle w:val="Hyperlink"/>
            <w:rFonts w:eastAsia="Calibri"/>
            <w:snapToGrid w:val="0"/>
            <w:color w:val="0000FF"/>
            <w:bdr w:val="nil"/>
            <w:lang w:eastAsia="en-US"/>
          </w:rPr>
          <w:t>http://creativecommons.org/licenses/by/3.0/au/legalcode</w:t>
        </w:r>
      </w:hyperlink>
      <w:r>
        <w:rPr>
          <w:rFonts w:eastAsia="Calibri"/>
          <w:bdr w:val="nil"/>
          <w:lang w:eastAsia="en-US"/>
        </w:rPr>
        <w:t>.</w:t>
      </w:r>
    </w:p>
    <w:p w:rsidR="001D003E" w:rsidRPr="008C53AA" w:rsidRDefault="001D003E" w:rsidP="001D003E">
      <w:pPr>
        <w:keepLines w:val="0"/>
        <w:pBdr>
          <w:top w:val="nil"/>
          <w:left w:val="nil"/>
          <w:bottom w:val="nil"/>
          <w:right w:val="nil"/>
          <w:between w:val="nil"/>
          <w:bar w:val="nil"/>
        </w:pBdr>
        <w:spacing w:after="200" w:line="276" w:lineRule="auto"/>
        <w:jc w:val="left"/>
        <w:rPr>
          <w:rFonts w:eastAsia="Calibri"/>
          <w:snapToGrid w:val="0"/>
          <w:bdr w:val="nil"/>
          <w:lang w:eastAsia="en-US"/>
        </w:rPr>
      </w:pPr>
      <w:r>
        <w:rPr>
          <w:rFonts w:ascii="Calibri" w:eastAsia="Calibri" w:hAnsi="Calibri"/>
          <w:noProof/>
          <w:sz w:val="22"/>
          <w:szCs w:val="22"/>
          <w:bdr w:val="nil"/>
        </w:rPr>
        <w:drawing>
          <wp:inline distT="0" distB="0" distL="0" distR="0">
            <wp:extent cx="1066800" cy="361950"/>
            <wp:effectExtent l="0" t="0" r="0" b="0"/>
            <wp:docPr id="2"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66800" cy="361950"/>
                    </a:xfrm>
                    <a:prstGeom prst="rect">
                      <a:avLst/>
                    </a:prstGeom>
                    <a:noFill/>
                  </pic:spPr>
                </pic:pic>
              </a:graphicData>
            </a:graphic>
          </wp:inline>
        </w:drawing>
      </w:r>
    </w:p>
    <w:p w:rsidR="001D003E" w:rsidRDefault="001D003E" w:rsidP="001D003E">
      <w:pPr>
        <w:keepLines w:val="0"/>
        <w:pBdr>
          <w:top w:val="nil"/>
          <w:left w:val="nil"/>
          <w:bottom w:val="nil"/>
          <w:right w:val="nil"/>
          <w:between w:val="nil"/>
          <w:bar w:val="nil"/>
        </w:pBdr>
        <w:spacing w:after="120" w:line="240" w:lineRule="auto"/>
        <w:rPr>
          <w:rFonts w:eastAsia="Calibri"/>
          <w:snapToGrid w:val="0"/>
          <w:bdr w:val="nil"/>
          <w:lang w:eastAsia="en-US"/>
        </w:rPr>
      </w:pPr>
      <w:r>
        <w:rPr>
          <w:rFonts w:eastAsia="Calibri"/>
          <w:snapToGrid w:val="0"/>
          <w:bdr w:val="nil"/>
          <w:lang w:eastAsia="en-US"/>
        </w:rPr>
        <w:t xml:space="preserve">Use of the Department of Veterans’ Affairs material under a </w:t>
      </w:r>
      <w:r w:rsidRPr="003413D7">
        <w:rPr>
          <w:rFonts w:eastAsia="Calibri"/>
          <w:snapToGrid w:val="0"/>
          <w:bdr w:val="nil"/>
          <w:lang w:eastAsia="en-US"/>
        </w:rPr>
        <w:t>Creative Commons BY Attribution 3.0 Australia</w:t>
      </w:r>
      <w:r>
        <w:rPr>
          <w:rFonts w:eastAsia="Calibri"/>
          <w:snapToGrid w:val="0"/>
          <w:bdr w:val="nil"/>
          <w:lang w:eastAsia="en-US"/>
        </w:rPr>
        <w:t xml:space="preserve"> licence requires you to attribute the work (but not in any way that suggests that the Department of Veterans’ Affairs endorses you or your use of the work). </w:t>
      </w:r>
    </w:p>
    <w:p w:rsidR="001D003E" w:rsidRPr="00A05082" w:rsidRDefault="001D003E" w:rsidP="001D003E">
      <w:pPr>
        <w:keepLines w:val="0"/>
        <w:pBdr>
          <w:top w:val="nil"/>
          <w:left w:val="nil"/>
          <w:bottom w:val="nil"/>
          <w:right w:val="nil"/>
          <w:between w:val="nil"/>
          <w:bar w:val="nil"/>
        </w:pBdr>
        <w:spacing w:after="120" w:line="240" w:lineRule="auto"/>
        <w:ind w:left="567"/>
        <w:jc w:val="left"/>
        <w:rPr>
          <w:rFonts w:eastAsia="Calibri"/>
          <w:i/>
          <w:snapToGrid w:val="0"/>
          <w:bdr w:val="nil"/>
          <w:lang w:eastAsia="en-US"/>
        </w:rPr>
      </w:pPr>
      <w:r w:rsidRPr="00AE4A6E">
        <w:rPr>
          <w:rFonts w:eastAsia="Calibri"/>
          <w:i/>
          <w:snapToGrid w:val="0"/>
          <w:bdr w:val="nil"/>
          <w:lang w:eastAsia="en-US"/>
        </w:rPr>
        <w:t>Department of Veterans’ Affairs</w:t>
      </w:r>
      <w:r>
        <w:rPr>
          <w:rFonts w:eastAsia="Calibri"/>
          <w:snapToGrid w:val="0"/>
          <w:bdr w:val="nil"/>
          <w:lang w:eastAsia="en-US"/>
        </w:rPr>
        <w:t xml:space="preserve"> </w:t>
      </w:r>
      <w:r w:rsidRPr="00A05082">
        <w:rPr>
          <w:rFonts w:eastAsia="Calibri"/>
          <w:i/>
          <w:snapToGrid w:val="0"/>
          <w:bdr w:val="nil"/>
          <w:lang w:eastAsia="en-US"/>
        </w:rPr>
        <w:t>material used ‘as supplied’</w:t>
      </w:r>
    </w:p>
    <w:p w:rsidR="001D003E" w:rsidRDefault="001D003E" w:rsidP="001D003E">
      <w:pPr>
        <w:keepLines w:val="0"/>
        <w:pBdr>
          <w:top w:val="nil"/>
          <w:left w:val="nil"/>
          <w:bottom w:val="nil"/>
          <w:right w:val="nil"/>
          <w:between w:val="nil"/>
          <w:bar w:val="nil"/>
        </w:pBdr>
        <w:spacing w:after="120"/>
        <w:rPr>
          <w:rFonts w:eastAsia="Calibri"/>
          <w:snapToGrid w:val="0"/>
          <w:bdr w:val="nil"/>
          <w:lang w:eastAsia="en-US"/>
        </w:rPr>
      </w:pPr>
      <w:r>
        <w:rPr>
          <w:rFonts w:eastAsia="Calibri"/>
          <w:snapToGrid w:val="0"/>
          <w:bdr w:val="nil"/>
          <w:lang w:eastAsia="en-US"/>
        </w:rPr>
        <w:t>Provided you have not modified or transformed the Department of Veterans’ Affairs material in any way including, for example, by changing the Department of Veterans’ Affairs text; calculating percentage changes; graphing or charting data; or delivering new statistics from published Department of Veterans’ Affairs statistics – then the Department of Veterans’ Affairs prefers the following attribution:</w:t>
      </w:r>
    </w:p>
    <w:p w:rsidR="001D003E" w:rsidRPr="00AE4A6E" w:rsidRDefault="001D003E" w:rsidP="001D003E">
      <w:pPr>
        <w:keepLines w:val="0"/>
        <w:pBdr>
          <w:top w:val="nil"/>
          <w:left w:val="nil"/>
          <w:bottom w:val="nil"/>
          <w:right w:val="nil"/>
          <w:between w:val="nil"/>
          <w:bar w:val="nil"/>
        </w:pBdr>
        <w:spacing w:line="240" w:lineRule="auto"/>
        <w:ind w:left="567"/>
        <w:jc w:val="left"/>
        <w:rPr>
          <w:rFonts w:eastAsia="Calibri"/>
          <w:i/>
          <w:snapToGrid w:val="0"/>
          <w:bdr w:val="nil"/>
          <w:lang w:eastAsia="en-US"/>
        </w:rPr>
      </w:pPr>
      <w:r w:rsidRPr="00A05082">
        <w:rPr>
          <w:rFonts w:eastAsia="Calibri"/>
          <w:i/>
          <w:snapToGrid w:val="0"/>
          <w:bdr w:val="nil"/>
          <w:lang w:eastAsia="en-US"/>
        </w:rPr>
        <w:t xml:space="preserve">Source: The Australian </w:t>
      </w:r>
      <w:r w:rsidRPr="00AE4A6E">
        <w:rPr>
          <w:rFonts w:eastAsia="Calibri"/>
          <w:i/>
          <w:snapToGrid w:val="0"/>
          <w:bdr w:val="nil"/>
          <w:lang w:eastAsia="en-US"/>
        </w:rPr>
        <w:t xml:space="preserve">Government Department of Veterans’ Affairs </w:t>
      </w:r>
    </w:p>
    <w:p w:rsidR="001D003E" w:rsidRDefault="001D003E" w:rsidP="001D003E">
      <w:pPr>
        <w:keepLines w:val="0"/>
        <w:pBdr>
          <w:top w:val="nil"/>
          <w:left w:val="nil"/>
          <w:bottom w:val="nil"/>
          <w:right w:val="nil"/>
          <w:between w:val="nil"/>
          <w:bar w:val="nil"/>
        </w:pBdr>
        <w:spacing w:after="120" w:line="240" w:lineRule="auto"/>
        <w:jc w:val="left"/>
        <w:rPr>
          <w:rFonts w:eastAsia="Calibri"/>
          <w:b/>
          <w:snapToGrid w:val="0"/>
          <w:bdr w:val="nil"/>
          <w:lang w:eastAsia="en-US"/>
        </w:rPr>
      </w:pPr>
      <w:r w:rsidRPr="00AE4A6E">
        <w:rPr>
          <w:rFonts w:eastAsia="Calibri"/>
          <w:b/>
          <w:snapToGrid w:val="0"/>
          <w:bdr w:val="nil"/>
          <w:lang w:eastAsia="en-US"/>
        </w:rPr>
        <w:t>Derivative material</w:t>
      </w:r>
    </w:p>
    <w:p w:rsidR="001D003E" w:rsidRPr="00984E78" w:rsidRDefault="001D003E" w:rsidP="001D003E">
      <w:pPr>
        <w:keepLines w:val="0"/>
        <w:pBdr>
          <w:top w:val="nil"/>
          <w:left w:val="nil"/>
          <w:bottom w:val="nil"/>
          <w:right w:val="nil"/>
          <w:between w:val="nil"/>
          <w:bar w:val="nil"/>
        </w:pBdr>
        <w:spacing w:after="120" w:line="240" w:lineRule="auto"/>
        <w:rPr>
          <w:rFonts w:eastAsia="Calibri"/>
          <w:b/>
          <w:snapToGrid w:val="0"/>
          <w:bdr w:val="nil"/>
          <w:lang w:eastAsia="en-US"/>
        </w:rPr>
      </w:pPr>
      <w:r>
        <w:rPr>
          <w:rFonts w:eastAsia="Calibri"/>
          <w:snapToGrid w:val="0"/>
          <w:bdr w:val="nil"/>
          <w:lang w:eastAsia="en-US"/>
        </w:rPr>
        <w:t xml:space="preserve">If you have modified or transformed the Department of Veterans’ Affairs material, or derived new material from those of the Department of Veterans’ Affairs in any way, then the Department of Veterans’ Affairs prefers the following attribution: </w:t>
      </w:r>
    </w:p>
    <w:p w:rsidR="001D003E" w:rsidRDefault="001D003E" w:rsidP="001D003E">
      <w:pPr>
        <w:keepLines w:val="0"/>
        <w:pBdr>
          <w:top w:val="nil"/>
          <w:left w:val="nil"/>
          <w:bottom w:val="nil"/>
          <w:right w:val="nil"/>
          <w:between w:val="nil"/>
          <w:bar w:val="nil"/>
        </w:pBdr>
        <w:spacing w:line="240" w:lineRule="auto"/>
        <w:ind w:left="567"/>
        <w:jc w:val="left"/>
        <w:rPr>
          <w:rFonts w:eastAsia="Calibri"/>
          <w:snapToGrid w:val="0"/>
          <w:bdr w:val="nil"/>
          <w:lang w:eastAsia="en-US"/>
        </w:rPr>
      </w:pPr>
      <w:r w:rsidRPr="00AE4A6E">
        <w:rPr>
          <w:rFonts w:eastAsia="Calibri"/>
          <w:i/>
          <w:snapToGrid w:val="0"/>
          <w:bdr w:val="nil"/>
          <w:lang w:eastAsia="en-US"/>
        </w:rPr>
        <w:t>Based on The Australian Government Department of Veterans’ Affairs data</w:t>
      </w:r>
      <w:r>
        <w:rPr>
          <w:rFonts w:eastAsia="Calibri"/>
          <w:snapToGrid w:val="0"/>
          <w:bdr w:val="nil"/>
          <w:lang w:eastAsia="en-US"/>
        </w:rPr>
        <w:t xml:space="preserve"> </w:t>
      </w:r>
    </w:p>
    <w:p w:rsidR="001D003E" w:rsidRDefault="001D003E" w:rsidP="001D003E">
      <w:pPr>
        <w:keepLines w:val="0"/>
        <w:pBdr>
          <w:top w:val="nil"/>
          <w:left w:val="nil"/>
          <w:bottom w:val="nil"/>
          <w:right w:val="nil"/>
          <w:between w:val="nil"/>
          <w:bar w:val="nil"/>
        </w:pBdr>
        <w:spacing w:after="120" w:line="240" w:lineRule="auto"/>
        <w:jc w:val="left"/>
        <w:rPr>
          <w:rFonts w:eastAsia="Calibri"/>
          <w:b/>
          <w:snapToGrid w:val="0"/>
          <w:bdr w:val="nil"/>
          <w:lang w:eastAsia="en-US"/>
        </w:rPr>
      </w:pPr>
      <w:r w:rsidRPr="00AE4A6E">
        <w:rPr>
          <w:rFonts w:eastAsia="Calibri"/>
          <w:b/>
          <w:snapToGrid w:val="0"/>
          <w:bdr w:val="nil"/>
          <w:lang w:eastAsia="en-US"/>
        </w:rPr>
        <w:t>Use of the Coat of Arms</w:t>
      </w:r>
    </w:p>
    <w:p w:rsidR="001D003E" w:rsidRPr="00984E78" w:rsidRDefault="001D003E" w:rsidP="001D003E">
      <w:pPr>
        <w:keepLines w:val="0"/>
        <w:pBdr>
          <w:top w:val="nil"/>
          <w:left w:val="nil"/>
          <w:bottom w:val="nil"/>
          <w:right w:val="nil"/>
          <w:between w:val="nil"/>
          <w:bar w:val="nil"/>
        </w:pBdr>
        <w:spacing w:line="240" w:lineRule="auto"/>
        <w:jc w:val="left"/>
        <w:rPr>
          <w:rFonts w:eastAsia="Calibri"/>
          <w:b/>
          <w:snapToGrid w:val="0"/>
          <w:bdr w:val="nil"/>
          <w:lang w:eastAsia="en-US"/>
        </w:rPr>
      </w:pPr>
      <w:r>
        <w:rPr>
          <w:rFonts w:eastAsia="Calibri"/>
          <w:snapToGrid w:val="0"/>
          <w:bdr w:val="nil"/>
          <w:lang w:eastAsia="en-US"/>
        </w:rPr>
        <w:t>The terms under which the Coat of Arms can be used are set out on the Department of the Prime Minister and Cabinet website (see </w:t>
      </w:r>
      <w:hyperlink r:id="rId10" w:history="1">
        <w:r w:rsidRPr="001D1587">
          <w:rPr>
            <w:rStyle w:val="Hyperlink"/>
            <w:rFonts w:eastAsia="Calibri"/>
            <w:snapToGrid w:val="0"/>
            <w:color w:val="0000FF"/>
            <w:bdr w:val="nil"/>
            <w:lang w:eastAsia="en-US"/>
          </w:rPr>
          <w:t>www.pmc.gov.au/government/commonwealth-coat-arms</w:t>
        </w:r>
      </w:hyperlink>
      <w:r>
        <w:rPr>
          <w:rFonts w:eastAsia="Calibri"/>
          <w:snapToGrid w:val="0"/>
          <w:bdr w:val="nil"/>
          <w:lang w:eastAsia="en-US"/>
        </w:rPr>
        <w:t>).</w:t>
      </w:r>
    </w:p>
    <w:p w:rsidR="001D003E" w:rsidRDefault="001D003E" w:rsidP="001D003E">
      <w:pPr>
        <w:keepLines w:val="0"/>
        <w:pBdr>
          <w:top w:val="nil"/>
          <w:left w:val="nil"/>
          <w:bottom w:val="nil"/>
          <w:right w:val="nil"/>
          <w:between w:val="nil"/>
          <w:bar w:val="nil"/>
        </w:pBdr>
        <w:spacing w:after="120" w:line="240" w:lineRule="auto"/>
        <w:jc w:val="left"/>
        <w:rPr>
          <w:rFonts w:eastAsia="Calibri"/>
          <w:b/>
          <w:snapToGrid w:val="0"/>
          <w:bdr w:val="nil"/>
          <w:lang w:eastAsia="en-US"/>
        </w:rPr>
      </w:pPr>
      <w:r w:rsidRPr="00AE4A6E">
        <w:rPr>
          <w:rFonts w:eastAsia="Calibri"/>
          <w:b/>
          <w:snapToGrid w:val="0"/>
          <w:bdr w:val="nil"/>
          <w:lang w:eastAsia="en-US"/>
        </w:rPr>
        <w:t>Other uses</w:t>
      </w:r>
    </w:p>
    <w:p w:rsidR="001D003E" w:rsidRDefault="001D003E" w:rsidP="001D003E">
      <w:pPr>
        <w:keepLines w:val="0"/>
        <w:pBdr>
          <w:top w:val="nil"/>
          <w:left w:val="nil"/>
          <w:bottom w:val="nil"/>
          <w:right w:val="nil"/>
          <w:between w:val="nil"/>
          <w:bar w:val="nil"/>
        </w:pBdr>
        <w:spacing w:after="120" w:line="240" w:lineRule="auto"/>
        <w:jc w:val="left"/>
        <w:rPr>
          <w:rFonts w:eastAsia="Calibri"/>
          <w:snapToGrid w:val="0"/>
          <w:bdr w:val="nil"/>
          <w:lang w:eastAsia="en-US"/>
        </w:rPr>
      </w:pPr>
      <w:r>
        <w:rPr>
          <w:rFonts w:eastAsia="Calibri"/>
          <w:snapToGrid w:val="0"/>
          <w:bdr w:val="nil"/>
          <w:lang w:eastAsia="en-US"/>
        </w:rPr>
        <w:t>Enquiries regarding this licence and any other use of this document are welcome at:</w:t>
      </w:r>
    </w:p>
    <w:p w:rsidR="001D003E" w:rsidRPr="00373E36" w:rsidRDefault="001D003E" w:rsidP="001D003E">
      <w:pPr>
        <w:keepLines w:val="0"/>
        <w:pBdr>
          <w:top w:val="nil"/>
          <w:left w:val="nil"/>
          <w:bottom w:val="nil"/>
          <w:right w:val="nil"/>
          <w:between w:val="nil"/>
          <w:bar w:val="nil"/>
        </w:pBdr>
        <w:spacing w:after="120" w:line="240" w:lineRule="auto"/>
        <w:jc w:val="left"/>
        <w:rPr>
          <w:rFonts w:eastAsia="Calibri"/>
          <w:snapToGrid w:val="0"/>
          <w:bdr w:val="nil"/>
          <w:lang w:eastAsia="en-US"/>
        </w:rPr>
      </w:pPr>
      <w:r w:rsidRPr="00373E36">
        <w:rPr>
          <w:rFonts w:eastAsia="Calibri"/>
          <w:snapToGrid w:val="0"/>
          <w:bdr w:val="nil"/>
          <w:lang w:eastAsia="en-US"/>
        </w:rPr>
        <w:t xml:space="preserve">Chief </w:t>
      </w:r>
      <w:r>
        <w:rPr>
          <w:rFonts w:eastAsia="Calibri"/>
          <w:snapToGrid w:val="0"/>
          <w:bdr w:val="nil"/>
          <w:lang w:eastAsia="en-US"/>
        </w:rPr>
        <w:t>Financial</w:t>
      </w:r>
      <w:r w:rsidRPr="00373E36">
        <w:rPr>
          <w:rFonts w:eastAsia="Calibri"/>
          <w:snapToGrid w:val="0"/>
          <w:bdr w:val="nil"/>
          <w:lang w:eastAsia="en-US"/>
        </w:rPr>
        <w:t xml:space="preserve"> Officer, Department of Veterans’ Affairs </w:t>
      </w:r>
      <w:r>
        <w:rPr>
          <w:rFonts w:eastAsia="Calibri"/>
          <w:snapToGrid w:val="0"/>
          <w:bdr w:val="nil"/>
          <w:lang w:eastAsia="en-US"/>
        </w:rPr>
        <w:t>(02) 6276 4845.</w:t>
      </w:r>
    </w:p>
    <w:p w:rsidR="001D003E" w:rsidRPr="00CD6E0C" w:rsidRDefault="001D003E" w:rsidP="001D003E">
      <w:pPr>
        <w:keepLines w:val="0"/>
        <w:pBdr>
          <w:top w:val="nil"/>
          <w:left w:val="nil"/>
          <w:bottom w:val="nil"/>
          <w:right w:val="nil"/>
          <w:between w:val="nil"/>
          <w:bar w:val="nil"/>
        </w:pBdr>
        <w:spacing w:line="240" w:lineRule="auto"/>
        <w:jc w:val="left"/>
        <w:rPr>
          <w:rFonts w:eastAsia="Calibri"/>
          <w:bdr w:val="nil"/>
          <w:lang w:eastAsia="en-US"/>
        </w:rPr>
      </w:pPr>
      <w:r w:rsidRPr="008C53AA">
        <w:rPr>
          <w:rFonts w:eastAsia="Calibri"/>
          <w:bdr w:val="nil"/>
          <w:lang w:eastAsia="en-US"/>
        </w:rPr>
        <w:t>Printed by CanPrint Communications Pty Ltd</w:t>
      </w:r>
    </w:p>
    <w:p w:rsidR="001D003E" w:rsidRDefault="001D003E" w:rsidP="001D003E">
      <w:pPr>
        <w:keepLines w:val="0"/>
        <w:pageBreakBefore/>
        <w:pBdr>
          <w:top w:val="nil"/>
          <w:left w:val="nil"/>
          <w:bottom w:val="nil"/>
          <w:right w:val="nil"/>
          <w:between w:val="nil"/>
          <w:bar w:val="nil"/>
        </w:pBdr>
        <w:spacing w:after="0" w:line="259" w:lineRule="auto"/>
        <w:jc w:val="left"/>
        <w:rPr>
          <w:rFonts w:ascii="Calibri" w:eastAsia="Calibri" w:hAnsi="Calibri" w:cs="Calibri"/>
          <w:color w:val="000000"/>
          <w:sz w:val="22"/>
          <w:szCs w:val="22"/>
          <w:bdr w:val="nil"/>
        </w:rPr>
        <w:sectPr w:rsidR="001D003E" w:rsidSect="001D003E">
          <w:type w:val="continuous"/>
          <w:pgSz w:w="10319" w:h="14572"/>
          <w:pgMar w:top="1304" w:right="1389" w:bottom="1304" w:left="1389" w:header="1021" w:footer="1021" w:gutter="0"/>
          <w:pgBorders>
            <w:top w:val="nil"/>
            <w:left w:val="nil"/>
            <w:bottom w:val="nil"/>
            <w:right w:val="nil"/>
          </w:pgBorders>
          <w:cols w:space="708"/>
          <w:docGrid w:linePitch="360"/>
        </w:sectPr>
      </w:pPr>
      <w:r>
        <w:rPr>
          <w:rFonts w:ascii="Calibri" w:eastAsia="Calibri" w:hAnsi="Calibri" w:cs="Calibri"/>
          <w:noProof/>
          <w:color w:val="000000"/>
          <w:sz w:val="22"/>
          <w:szCs w:val="22"/>
          <w:bdr w:val="nil"/>
        </w:rPr>
        <w:lastRenderedPageBreak/>
        <w:drawing>
          <wp:anchor distT="0" distB="0" distL="114300" distR="114300" simplePos="0" relativeHeight="251655680" behindDoc="1" locked="0" layoutInCell="1" allowOverlap="1">
            <wp:simplePos x="0" y="0"/>
            <wp:positionH relativeFrom="margin">
              <wp:align>center</wp:align>
            </wp:positionH>
            <wp:positionV relativeFrom="paragraph">
              <wp:posOffset>172</wp:posOffset>
            </wp:positionV>
            <wp:extent cx="6343405" cy="7444946"/>
            <wp:effectExtent l="0" t="0" r="635" b="3810"/>
            <wp:wrapTight wrapText="bothSides">
              <wp:wrapPolygon edited="0">
                <wp:start x="0" y="0"/>
                <wp:lineTo x="0" y="21556"/>
                <wp:lineTo x="21537" y="21556"/>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43405" cy="7444946"/>
                    </a:xfrm>
                    <a:prstGeom prst="rect">
                      <a:avLst/>
                    </a:prstGeom>
                  </pic:spPr>
                </pic:pic>
              </a:graphicData>
            </a:graphic>
          </wp:anchor>
        </w:drawing>
      </w:r>
      <w:r>
        <w:t xml:space="preserve"> </w:t>
      </w:r>
    </w:p>
    <w:p w:rsidR="001D003E" w:rsidRDefault="001D003E" w:rsidP="001D003E">
      <w:pPr>
        <w:pStyle w:val="Heading4"/>
        <w:keepLines w:val="0"/>
        <w:pageBreakBefore/>
        <w:pBdr>
          <w:top w:val="nil"/>
          <w:left w:val="nil"/>
          <w:bottom w:val="nil"/>
          <w:right w:val="nil"/>
          <w:between w:val="nil"/>
          <w:bar w:val="nil"/>
        </w:pBdr>
        <w:rPr>
          <w:bdr w:val="nil"/>
        </w:rPr>
      </w:pPr>
      <w:r>
        <w:rPr>
          <w:rFonts w:cs="Arial"/>
          <w:bdr w:val="nil"/>
        </w:rPr>
        <w:lastRenderedPageBreak/>
        <w:t>Abbreviations and conventions</w:t>
      </w:r>
    </w:p>
    <w:p w:rsidR="001D003E" w:rsidRDefault="001D003E" w:rsidP="001D003E">
      <w:pPr>
        <w:keepLines w:val="0"/>
        <w:pBdr>
          <w:top w:val="nil"/>
          <w:left w:val="nil"/>
          <w:bottom w:val="nil"/>
          <w:right w:val="nil"/>
          <w:between w:val="nil"/>
          <w:bar w:val="nil"/>
        </w:pBdr>
        <w:rPr>
          <w:bdr w:val="nil"/>
        </w:rPr>
      </w:pPr>
      <w:r>
        <w:rPr>
          <w:bdr w:val="nil"/>
        </w:rPr>
        <w:t>The following notation may be used:</w:t>
      </w:r>
    </w:p>
    <w:p w:rsidR="001D003E" w:rsidRDefault="001D003E" w:rsidP="001D003E">
      <w:pPr>
        <w:pStyle w:val="SingleParagraph"/>
        <w:keepLines w:val="0"/>
        <w:pBdr>
          <w:top w:val="nil"/>
          <w:left w:val="nil"/>
          <w:bottom w:val="nil"/>
          <w:right w:val="nil"/>
          <w:between w:val="nil"/>
          <w:bar w:val="nil"/>
        </w:pBdr>
        <w:tabs>
          <w:tab w:val="left" w:pos="2268"/>
        </w:tabs>
        <w:ind w:left="567"/>
        <w:rPr>
          <w:bdr w:val="nil"/>
        </w:rPr>
      </w:pPr>
      <w:r>
        <w:rPr>
          <w:bdr w:val="nil"/>
        </w:rPr>
        <w:t>NEC/nec</w:t>
      </w:r>
      <w:r>
        <w:rPr>
          <w:bdr w:val="nil"/>
        </w:rPr>
        <w:tab/>
        <w:t>not elsewhere classified</w:t>
      </w:r>
    </w:p>
    <w:p w:rsidR="001D003E" w:rsidRDefault="001D003E" w:rsidP="001D003E">
      <w:pPr>
        <w:pStyle w:val="SingleParagraph"/>
        <w:keepLines w:val="0"/>
        <w:pBdr>
          <w:top w:val="nil"/>
          <w:left w:val="nil"/>
          <w:bottom w:val="nil"/>
          <w:right w:val="nil"/>
          <w:between w:val="nil"/>
          <w:bar w:val="nil"/>
        </w:pBdr>
        <w:tabs>
          <w:tab w:val="left" w:pos="2268"/>
        </w:tabs>
        <w:ind w:left="567"/>
        <w:rPr>
          <w:bdr w:val="nil"/>
        </w:rPr>
      </w:pPr>
      <w:r>
        <w:rPr>
          <w:bdr w:val="nil"/>
        </w:rPr>
        <w:t>-</w:t>
      </w:r>
      <w:r>
        <w:rPr>
          <w:bdr w:val="nil"/>
        </w:rPr>
        <w:tab/>
        <w:t>nil</w:t>
      </w:r>
    </w:p>
    <w:p w:rsidR="001D003E" w:rsidRDefault="001D003E" w:rsidP="001D003E">
      <w:pPr>
        <w:pStyle w:val="SingleParagraph"/>
        <w:keepLines w:val="0"/>
        <w:pBdr>
          <w:top w:val="nil"/>
          <w:left w:val="nil"/>
          <w:bottom w:val="nil"/>
          <w:right w:val="nil"/>
          <w:between w:val="nil"/>
          <w:bar w:val="nil"/>
        </w:pBdr>
        <w:tabs>
          <w:tab w:val="left" w:pos="2268"/>
        </w:tabs>
        <w:ind w:left="567"/>
        <w:rPr>
          <w:bdr w:val="nil"/>
        </w:rPr>
      </w:pPr>
      <w:r>
        <w:rPr>
          <w:bdr w:val="nil"/>
        </w:rPr>
        <w:t>..</w:t>
      </w:r>
      <w:r>
        <w:rPr>
          <w:bdr w:val="nil"/>
        </w:rPr>
        <w:tab/>
        <w:t>not zero, but rounded to zero</w:t>
      </w:r>
    </w:p>
    <w:p w:rsidR="001D003E" w:rsidRDefault="001D003E" w:rsidP="001D003E">
      <w:pPr>
        <w:pStyle w:val="SingleParagraph"/>
        <w:keepLines w:val="0"/>
        <w:pBdr>
          <w:top w:val="nil"/>
          <w:left w:val="nil"/>
          <w:bottom w:val="nil"/>
          <w:right w:val="nil"/>
          <w:between w:val="nil"/>
          <w:bar w:val="nil"/>
        </w:pBdr>
        <w:tabs>
          <w:tab w:val="left" w:pos="2268"/>
        </w:tabs>
        <w:ind w:left="567"/>
        <w:rPr>
          <w:bdr w:val="nil"/>
        </w:rPr>
      </w:pPr>
      <w:r>
        <w:rPr>
          <w:bdr w:val="nil"/>
        </w:rPr>
        <w:t>na</w:t>
      </w:r>
      <w:r>
        <w:rPr>
          <w:bdr w:val="nil"/>
        </w:rPr>
        <w:tab/>
        <w:t>not applicable (unless otherwise specified)</w:t>
      </w:r>
    </w:p>
    <w:p w:rsidR="001D003E" w:rsidRDefault="001D003E" w:rsidP="001D003E">
      <w:pPr>
        <w:pStyle w:val="SingleParagraph"/>
        <w:keepLines w:val="0"/>
        <w:pBdr>
          <w:top w:val="nil"/>
          <w:left w:val="nil"/>
          <w:bottom w:val="nil"/>
          <w:right w:val="nil"/>
          <w:between w:val="nil"/>
          <w:bar w:val="nil"/>
        </w:pBdr>
        <w:tabs>
          <w:tab w:val="left" w:pos="2268"/>
        </w:tabs>
        <w:ind w:left="567"/>
        <w:rPr>
          <w:bdr w:val="nil"/>
        </w:rPr>
      </w:pPr>
      <w:r>
        <w:rPr>
          <w:bdr w:val="nil"/>
        </w:rPr>
        <w:t>nfp</w:t>
      </w:r>
      <w:r>
        <w:rPr>
          <w:bdr w:val="nil"/>
        </w:rPr>
        <w:tab/>
        <w:t>not for publication</w:t>
      </w:r>
    </w:p>
    <w:p w:rsidR="001D003E" w:rsidRDefault="001D003E" w:rsidP="001D003E">
      <w:pPr>
        <w:pStyle w:val="SingleParagraph"/>
        <w:keepLines w:val="0"/>
        <w:pBdr>
          <w:top w:val="nil"/>
          <w:left w:val="nil"/>
          <w:bottom w:val="nil"/>
          <w:right w:val="nil"/>
          <w:between w:val="nil"/>
          <w:bar w:val="nil"/>
        </w:pBdr>
        <w:tabs>
          <w:tab w:val="left" w:pos="2268"/>
        </w:tabs>
        <w:ind w:left="567"/>
        <w:rPr>
          <w:bdr w:val="nil"/>
        </w:rPr>
      </w:pPr>
      <w:r>
        <w:rPr>
          <w:bdr w:val="nil"/>
        </w:rPr>
        <w:t>$m</w:t>
      </w:r>
      <w:r>
        <w:rPr>
          <w:bdr w:val="nil"/>
        </w:rPr>
        <w:tab/>
        <w:t>$ million</w:t>
      </w:r>
    </w:p>
    <w:p w:rsidR="001D003E" w:rsidRDefault="001D003E" w:rsidP="001D003E">
      <w:pPr>
        <w:keepLines w:val="0"/>
        <w:pBdr>
          <w:top w:val="nil"/>
          <w:left w:val="nil"/>
          <w:bottom w:val="nil"/>
          <w:right w:val="nil"/>
          <w:between w:val="nil"/>
          <w:bar w:val="nil"/>
        </w:pBdr>
        <w:rPr>
          <w:bdr w:val="nil"/>
        </w:rPr>
      </w:pPr>
      <w:r>
        <w:rPr>
          <w:bdr w:val="nil"/>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1D003E" w:rsidRPr="00F817CF" w:rsidRDefault="001D003E" w:rsidP="001D003E">
      <w:pPr>
        <w:pStyle w:val="Heading4"/>
        <w:keepLines w:val="0"/>
        <w:pBdr>
          <w:top w:val="nil"/>
          <w:left w:val="nil"/>
          <w:bottom w:val="nil"/>
          <w:right w:val="nil"/>
          <w:between w:val="nil"/>
          <w:bar w:val="nil"/>
        </w:pBdr>
        <w:spacing w:before="240" w:after="240"/>
        <w:rPr>
          <w:sz w:val="26"/>
          <w:szCs w:val="26"/>
          <w:bdr w:val="nil"/>
        </w:rPr>
      </w:pPr>
      <w:r>
        <w:rPr>
          <w:sz w:val="26"/>
          <w:szCs w:val="26"/>
          <w:bdr w:val="nil"/>
        </w:rPr>
        <w:t>ENQUIRIES</w:t>
      </w:r>
    </w:p>
    <w:p w:rsidR="001D003E" w:rsidRDefault="001D003E" w:rsidP="001D003E">
      <w:pPr>
        <w:keepLines w:val="0"/>
        <w:pBdr>
          <w:top w:val="nil"/>
          <w:left w:val="nil"/>
          <w:bottom w:val="nil"/>
          <w:right w:val="nil"/>
          <w:between w:val="nil"/>
          <w:bar w:val="nil"/>
        </w:pBdr>
        <w:rPr>
          <w:bdr w:val="nil"/>
        </w:rPr>
      </w:pPr>
      <w:r>
        <w:rPr>
          <w:bdr w:val="nil"/>
        </w:rPr>
        <w:t>Should you have any enquiries regarding this publication please contact Glen Casson, Chief Finance Officer, Department of Veterans' Affairs on (02) 6276 4845.</w:t>
      </w:r>
    </w:p>
    <w:p w:rsidR="001D003E" w:rsidRDefault="001D003E" w:rsidP="001D003E">
      <w:pPr>
        <w:keepLines w:val="0"/>
        <w:pBdr>
          <w:top w:val="nil"/>
          <w:left w:val="nil"/>
          <w:bottom w:val="nil"/>
          <w:right w:val="nil"/>
          <w:between w:val="nil"/>
          <w:bar w:val="nil"/>
        </w:pBdr>
        <w:rPr>
          <w:bdr w:val="nil"/>
        </w:rPr>
        <w:sectPr w:rsidR="001D003E" w:rsidSect="001D003E">
          <w:headerReference w:type="even" r:id="rId12"/>
          <w:headerReference w:type="default" r:id="rId13"/>
          <w:footerReference w:type="even" r:id="rId14"/>
          <w:footerReference w:type="default" r:id="rId15"/>
          <w:headerReference w:type="first" r:id="rId16"/>
          <w:footerReference w:type="first" r:id="rId17"/>
          <w:type w:val="continuous"/>
          <w:pgSz w:w="10319" w:h="14572"/>
          <w:pgMar w:top="1304" w:right="1389" w:bottom="1304" w:left="1389" w:header="1021" w:footer="1021" w:gutter="0"/>
          <w:pgBorders>
            <w:top w:val="nil"/>
            <w:left w:val="nil"/>
            <w:bottom w:val="nil"/>
            <w:right w:val="nil"/>
          </w:pgBorders>
          <w:cols w:space="708"/>
          <w:docGrid w:linePitch="360"/>
        </w:sectPr>
      </w:pPr>
      <w:r>
        <w:rPr>
          <w:bdr w:val="nil"/>
        </w:rPr>
        <w:t xml:space="preserve">A copy of this document can be located on the Australian Government Budget website at: </w:t>
      </w:r>
      <w:hyperlink r:id="rId18" w:history="1">
        <w:r w:rsidRPr="00417DE0">
          <w:rPr>
            <w:rStyle w:val="Hyperlink"/>
            <w:color w:val="0000FF"/>
            <w:bdr w:val="nil"/>
          </w:rPr>
          <w:t>http://www.budget.gov.au</w:t>
        </w:r>
      </w:hyperlink>
      <w:r>
        <w:rPr>
          <w:bdr w:val="nil"/>
        </w:rPr>
        <w:t>.</w:t>
      </w:r>
      <w:r>
        <w:rPr>
          <w:bdr w:val="nil"/>
        </w:rPr>
        <w:tab/>
      </w:r>
      <w:r>
        <w:rPr>
          <w:bdr w:val="nil"/>
        </w:rPr>
        <w:tab/>
      </w:r>
      <w:r>
        <w:rPr>
          <w:bdr w:val="nil"/>
        </w:rPr>
        <w:tab/>
      </w:r>
      <w:r>
        <w:rPr>
          <w:bdr w:val="nil"/>
        </w:rPr>
        <w:tab/>
      </w:r>
      <w:r>
        <w:rPr>
          <w:bdr w:val="nil"/>
        </w:rPr>
        <w:tab/>
      </w:r>
      <w:r>
        <w:rPr>
          <w:bdr w:val="nil"/>
        </w:rPr>
        <w:tab/>
      </w:r>
      <w:r>
        <w:rPr>
          <w:bdr w:val="nil"/>
        </w:rPr>
        <w:tab/>
      </w:r>
      <w:r>
        <w:rPr>
          <w:bdr w:val="nil"/>
        </w:rPr>
        <w:tab/>
      </w:r>
      <w:r>
        <w:rPr>
          <w:bdr w:val="nil"/>
        </w:rPr>
        <w:tab/>
      </w:r>
    </w:p>
    <w:p w:rsidR="001D003E" w:rsidRDefault="001D003E" w:rsidP="001D003E">
      <w:pPr>
        <w:pStyle w:val="PartHeading"/>
        <w:keepLines w:val="0"/>
        <w:pageBreakBefore/>
        <w:pBdr>
          <w:top w:val="nil"/>
          <w:left w:val="nil"/>
          <w:bottom w:val="nil"/>
          <w:right w:val="nil"/>
          <w:between w:val="nil"/>
          <w:bar w:val="nil"/>
        </w:pBdr>
        <w:spacing w:after="0" w:line="240" w:lineRule="auto"/>
        <w:rPr>
          <w:bCs w:val="0"/>
          <w:sz w:val="48"/>
          <w:szCs w:val="48"/>
          <w:bdr w:val="nil"/>
        </w:rPr>
      </w:pPr>
    </w:p>
    <w:p w:rsidR="001D003E" w:rsidRDefault="001D003E" w:rsidP="001D003E">
      <w:pPr>
        <w:pStyle w:val="PartHeading"/>
        <w:keepLines w:val="0"/>
        <w:pBdr>
          <w:top w:val="nil"/>
          <w:left w:val="nil"/>
          <w:bottom w:val="nil"/>
          <w:right w:val="nil"/>
          <w:between w:val="nil"/>
          <w:bar w:val="nil"/>
        </w:pBdr>
        <w:spacing w:after="0" w:line="240" w:lineRule="auto"/>
        <w:rPr>
          <w:bCs w:val="0"/>
          <w:sz w:val="48"/>
          <w:szCs w:val="48"/>
          <w:bdr w:val="nil"/>
        </w:rPr>
      </w:pPr>
    </w:p>
    <w:p w:rsidR="001D003E" w:rsidRDefault="001D003E" w:rsidP="001D003E">
      <w:pPr>
        <w:pStyle w:val="PartHeading"/>
        <w:keepLines w:val="0"/>
        <w:pBdr>
          <w:top w:val="nil"/>
          <w:left w:val="nil"/>
          <w:bottom w:val="nil"/>
          <w:right w:val="nil"/>
          <w:between w:val="nil"/>
          <w:bar w:val="nil"/>
        </w:pBdr>
        <w:spacing w:after="0" w:line="240" w:lineRule="auto"/>
        <w:rPr>
          <w:bCs w:val="0"/>
          <w:sz w:val="48"/>
          <w:szCs w:val="48"/>
          <w:bdr w:val="nil"/>
        </w:rPr>
      </w:pPr>
    </w:p>
    <w:p w:rsidR="001D003E" w:rsidRDefault="001D003E" w:rsidP="001D003E">
      <w:pPr>
        <w:pStyle w:val="PartHeading"/>
        <w:keepLines w:val="0"/>
        <w:pBdr>
          <w:top w:val="nil"/>
          <w:left w:val="nil"/>
          <w:bottom w:val="nil"/>
          <w:right w:val="nil"/>
          <w:between w:val="nil"/>
          <w:bar w:val="nil"/>
        </w:pBdr>
        <w:spacing w:after="0" w:line="240" w:lineRule="auto"/>
        <w:rPr>
          <w:bCs w:val="0"/>
          <w:sz w:val="48"/>
          <w:szCs w:val="48"/>
          <w:bdr w:val="nil"/>
        </w:rPr>
      </w:pPr>
    </w:p>
    <w:p w:rsidR="001D003E" w:rsidRPr="003B4806" w:rsidRDefault="001D003E" w:rsidP="001D003E">
      <w:pPr>
        <w:pStyle w:val="PBSMainHeading"/>
        <w:keepLines w:val="0"/>
        <w:pBdr>
          <w:top w:val="nil"/>
          <w:left w:val="nil"/>
          <w:bottom w:val="nil"/>
          <w:right w:val="nil"/>
          <w:between w:val="nil"/>
          <w:bar w:val="nil"/>
        </w:pBdr>
        <w:spacing w:after="0" w:line="240" w:lineRule="auto"/>
        <w:rPr>
          <w:sz w:val="48"/>
          <w:szCs w:val="48"/>
          <w:bdr w:val="nil"/>
        </w:rPr>
      </w:pPr>
      <w:r w:rsidRPr="003B4806">
        <w:rPr>
          <w:bCs w:val="0"/>
          <w:sz w:val="48"/>
          <w:szCs w:val="48"/>
          <w:bdr w:val="nil"/>
        </w:rPr>
        <w:t>User Guide</w:t>
      </w:r>
    </w:p>
    <w:p w:rsidR="001D003E" w:rsidRPr="003B4806" w:rsidRDefault="001D003E" w:rsidP="001D003E">
      <w:pPr>
        <w:pStyle w:val="PartHeading"/>
        <w:keepLines w:val="0"/>
        <w:pBdr>
          <w:top w:val="nil"/>
          <w:left w:val="nil"/>
          <w:bottom w:val="nil"/>
          <w:right w:val="nil"/>
          <w:between w:val="nil"/>
          <w:bar w:val="nil"/>
        </w:pBdr>
        <w:spacing w:after="0" w:line="240" w:lineRule="auto"/>
        <w:rPr>
          <w:sz w:val="48"/>
          <w:szCs w:val="48"/>
          <w:bdr w:val="nil"/>
        </w:rPr>
      </w:pPr>
      <w:r w:rsidRPr="003B4806">
        <w:rPr>
          <w:bCs w:val="0"/>
          <w:sz w:val="48"/>
          <w:szCs w:val="48"/>
          <w:bdr w:val="nil"/>
        </w:rPr>
        <w:t>to the</w:t>
      </w:r>
    </w:p>
    <w:p w:rsidR="001D003E" w:rsidRPr="003B4806" w:rsidRDefault="001D003E" w:rsidP="001D003E">
      <w:pPr>
        <w:pStyle w:val="PartHeading"/>
        <w:keepLines w:val="0"/>
        <w:pBdr>
          <w:top w:val="nil"/>
          <w:left w:val="nil"/>
          <w:bottom w:val="nil"/>
          <w:right w:val="nil"/>
          <w:between w:val="nil"/>
          <w:bar w:val="nil"/>
        </w:pBdr>
        <w:spacing w:after="0" w:line="240" w:lineRule="auto"/>
        <w:rPr>
          <w:sz w:val="48"/>
          <w:szCs w:val="48"/>
          <w:bdr w:val="nil"/>
        </w:rPr>
      </w:pPr>
      <w:r w:rsidRPr="003B4806">
        <w:rPr>
          <w:bCs w:val="0"/>
          <w:sz w:val="48"/>
          <w:szCs w:val="48"/>
          <w:bdr w:val="nil"/>
        </w:rPr>
        <w:t>Portfolio Additional</w:t>
      </w:r>
      <w:r w:rsidRPr="003B4806">
        <w:rPr>
          <w:sz w:val="48"/>
          <w:szCs w:val="48"/>
          <w:bdr w:val="nil"/>
        </w:rPr>
        <w:t xml:space="preserve"> </w:t>
      </w:r>
    </w:p>
    <w:p w:rsidR="001D003E" w:rsidRPr="0002228A" w:rsidRDefault="001D003E" w:rsidP="001D003E">
      <w:pPr>
        <w:pStyle w:val="PartHeading"/>
        <w:keepLines w:val="0"/>
        <w:pBdr>
          <w:top w:val="nil"/>
          <w:left w:val="nil"/>
          <w:bottom w:val="nil"/>
          <w:right w:val="nil"/>
          <w:between w:val="nil"/>
          <w:bar w:val="nil"/>
        </w:pBdr>
        <w:spacing w:after="0" w:line="240" w:lineRule="auto"/>
        <w:rPr>
          <w:bCs w:val="0"/>
          <w:sz w:val="48"/>
          <w:szCs w:val="48"/>
          <w:bdr w:val="nil"/>
        </w:rPr>
      </w:pPr>
      <w:r w:rsidRPr="003B4806">
        <w:rPr>
          <w:bCs w:val="0"/>
          <w:sz w:val="48"/>
          <w:szCs w:val="48"/>
          <w:bdr w:val="nil"/>
        </w:rPr>
        <w:t>Estimates Statements</w:t>
      </w:r>
    </w:p>
    <w:p w:rsidR="001D003E" w:rsidRPr="00E25338" w:rsidRDefault="001D003E">
      <w:pPr>
        <w:keepLines w:val="0"/>
        <w:pageBreakBefore/>
        <w:pBdr>
          <w:top w:val="nil"/>
          <w:left w:val="nil"/>
          <w:bottom w:val="nil"/>
          <w:right w:val="nil"/>
          <w:between w:val="nil"/>
          <w:bar w:val="nil"/>
        </w:pBdr>
        <w:spacing w:after="0" w:line="240" w:lineRule="auto"/>
        <w:jc w:val="left"/>
        <w:rPr>
          <w:rFonts w:ascii="Times New Roman" w:hAnsi="Times New Roman"/>
          <w:color w:val="FFFFFF"/>
          <w:sz w:val="24"/>
          <w:szCs w:val="24"/>
          <w:bdr w:val="nil"/>
        </w:rPr>
        <w:sectPr w:rsidR="001D003E" w:rsidRPr="00E25338" w:rsidSect="001D003E">
          <w:headerReference w:type="even" r:id="rId19"/>
          <w:headerReference w:type="default" r:id="rId20"/>
          <w:footerReference w:type="even" r:id="rId21"/>
          <w:footerReference w:type="default" r:id="rId22"/>
          <w:headerReference w:type="first" r:id="rId23"/>
          <w:footerReference w:type="first" r:id="rId24"/>
          <w:type w:val="continuous"/>
          <w:pgSz w:w="10319" w:h="14572"/>
          <w:pgMar w:top="1304" w:right="1389" w:bottom="1304" w:left="1389" w:header="1021" w:footer="1021" w:gutter="0"/>
          <w:pgBorders>
            <w:top w:val="nil"/>
            <w:left w:val="nil"/>
            <w:bottom w:val="nil"/>
            <w:right w:val="nil"/>
          </w:pgBorders>
          <w:cols w:space="708"/>
          <w:docGrid w:linePitch="360"/>
        </w:sectPr>
      </w:pPr>
      <w:r>
        <w:rPr>
          <w:rFonts w:ascii="Times New Roman" w:hAnsi="Times New Roman"/>
          <w:color w:val="FFFFFF"/>
          <w:sz w:val="24"/>
          <w:szCs w:val="24"/>
          <w:bdr w:val="nil"/>
        </w:rPr>
        <w:lastRenderedPageBreak/>
        <w:t>DVA</w:t>
      </w:r>
    </w:p>
    <w:p w:rsidR="001D003E" w:rsidRPr="008F1A28" w:rsidRDefault="001D003E" w:rsidP="001D003E">
      <w:pPr>
        <w:pStyle w:val="Heading1"/>
        <w:keepLines w:val="0"/>
        <w:pageBreakBefore/>
        <w:pBdr>
          <w:top w:val="nil"/>
          <w:left w:val="nil"/>
          <w:bottom w:val="nil"/>
          <w:right w:val="nil"/>
          <w:between w:val="nil"/>
          <w:bar w:val="nil"/>
        </w:pBdr>
        <w:spacing w:after="360" w:line="240" w:lineRule="auto"/>
        <w:rPr>
          <w:kern w:val="0"/>
          <w:sz w:val="36"/>
          <w:szCs w:val="36"/>
          <w:bdr w:val="nil"/>
          <w:lang w:val="en-US"/>
        </w:rPr>
      </w:pPr>
      <w:r>
        <w:rPr>
          <w:rFonts w:cs="Arial"/>
          <w:kern w:val="0"/>
          <w:sz w:val="36"/>
          <w:szCs w:val="36"/>
          <w:bdr w:val="nil"/>
          <w:lang w:val="en-US"/>
        </w:rPr>
        <w:lastRenderedPageBreak/>
        <w:t>U</w:t>
      </w:r>
      <w:r>
        <w:rPr>
          <w:rFonts w:cs="Arial"/>
          <w:smallCaps w:val="0"/>
          <w:kern w:val="0"/>
          <w:sz w:val="36"/>
          <w:szCs w:val="36"/>
          <w:bdr w:val="nil"/>
          <w:lang w:val="en-US"/>
        </w:rPr>
        <w:t>ser</w:t>
      </w:r>
      <w:r w:rsidRPr="008F1A28">
        <w:rPr>
          <w:rFonts w:cs="Arial"/>
          <w:kern w:val="0"/>
          <w:sz w:val="36"/>
          <w:szCs w:val="36"/>
          <w:bdr w:val="nil"/>
          <w:lang w:val="en-US"/>
        </w:rPr>
        <w:t xml:space="preserve"> </w:t>
      </w:r>
      <w:r w:rsidRPr="008F1A28">
        <w:rPr>
          <w:rFonts w:cs="Arial"/>
          <w:smallCaps w:val="0"/>
          <w:kern w:val="0"/>
          <w:sz w:val="36"/>
          <w:szCs w:val="36"/>
          <w:bdr w:val="nil"/>
          <w:lang w:val="en-US"/>
        </w:rPr>
        <w:t>G</w:t>
      </w:r>
      <w:r>
        <w:rPr>
          <w:rFonts w:cs="Arial"/>
          <w:smallCaps w:val="0"/>
          <w:kern w:val="0"/>
          <w:sz w:val="36"/>
          <w:szCs w:val="36"/>
          <w:bdr w:val="nil"/>
          <w:lang w:val="en-US"/>
        </w:rPr>
        <w:t>uide</w:t>
      </w:r>
    </w:p>
    <w:p w:rsidR="001D003E" w:rsidRPr="00BC7A54" w:rsidRDefault="001D003E" w:rsidP="001D003E">
      <w:pPr>
        <w:keepLines w:val="0"/>
        <w:pBdr>
          <w:top w:val="nil"/>
          <w:left w:val="nil"/>
          <w:bottom w:val="nil"/>
          <w:right w:val="nil"/>
          <w:between w:val="nil"/>
          <w:bar w:val="nil"/>
        </w:pBdr>
        <w:tabs>
          <w:tab w:val="right" w:pos="7088"/>
        </w:tabs>
        <w:rPr>
          <w:bdr w:val="nil"/>
        </w:rPr>
      </w:pPr>
      <w:r w:rsidRPr="00BC7A54">
        <w:rPr>
          <w:bdr w:val="nil"/>
        </w:rPr>
        <w:t xml:space="preserve">The purpose of the </w:t>
      </w:r>
      <w:r w:rsidRPr="00FB510F">
        <w:rPr>
          <w:bdr w:val="nil"/>
        </w:rPr>
        <w:t>2021-22</w:t>
      </w:r>
      <w:r>
        <w:rPr>
          <w:bdr w:val="nil"/>
        </w:rPr>
        <w:t xml:space="preserve"> </w:t>
      </w:r>
      <w:r w:rsidRPr="00BC7A54">
        <w:rPr>
          <w:bdr w:val="nil"/>
        </w:rPr>
        <w:t>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sidRPr="00BC7A54">
        <w:rPr>
          <w:bdr w:val="nil"/>
        </w:rPr>
        <w:noBreakHyphen/>
        <w:t xml:space="preserve">financial </w:t>
      </w:r>
      <w:r>
        <w:rPr>
          <w:bdr w:val="nil"/>
        </w:rPr>
        <w:t>planned performance of program</w:t>
      </w:r>
      <w:r w:rsidRPr="00BC7A54">
        <w:rPr>
          <w:bdr w:val="nil"/>
        </w:rPr>
        <w:t>s supporting those outcomes.</w:t>
      </w:r>
    </w:p>
    <w:p w:rsidR="001D003E" w:rsidRPr="00BC7A54" w:rsidRDefault="001D003E" w:rsidP="001D003E">
      <w:pPr>
        <w:keepLines w:val="0"/>
        <w:pBdr>
          <w:top w:val="nil"/>
          <w:left w:val="nil"/>
          <w:bottom w:val="nil"/>
          <w:right w:val="nil"/>
          <w:between w:val="nil"/>
          <w:bar w:val="nil"/>
        </w:pBdr>
        <w:tabs>
          <w:tab w:val="right" w:pos="7088"/>
        </w:tabs>
        <w:rPr>
          <w:bdr w:val="nil"/>
        </w:rPr>
      </w:pPr>
      <w:r w:rsidRPr="00BC7A54">
        <w:rPr>
          <w:bdr w:val="nil"/>
        </w:rPr>
        <w:t xml:space="preserve">The PAES facilitate understanding of the proposed appropriations in </w:t>
      </w:r>
      <w:r w:rsidRPr="00CA4ECE">
        <w:rPr>
          <w:bdr w:val="nil"/>
        </w:rPr>
        <w:t>Appropriation Bills (Nos. 3 and 4)</w:t>
      </w:r>
      <w:r>
        <w:rPr>
          <w:bdr w:val="nil"/>
        </w:rPr>
        <w:t xml:space="preserve"> and Appropriation (Parliamentary Departments) Bill (No. 2)</w:t>
      </w:r>
      <w:r w:rsidRPr="00CA4ECE">
        <w:rPr>
          <w:bdr w:val="nil"/>
        </w:rPr>
        <w:t xml:space="preserve"> </w:t>
      </w:r>
      <w:r w:rsidRPr="00995E5B">
        <w:rPr>
          <w:i/>
          <w:bdr w:val="nil"/>
        </w:rPr>
        <w:t>2021-22</w:t>
      </w:r>
      <w:r w:rsidRPr="00BC7A54">
        <w:rPr>
          <w:bdr w:val="nil"/>
        </w:rPr>
        <w:t>. In this sense</w:t>
      </w:r>
      <w:r>
        <w:rPr>
          <w:bdr w:val="nil"/>
        </w:rPr>
        <w:t>,</w:t>
      </w:r>
      <w:r w:rsidRPr="00BC7A54">
        <w:rPr>
          <w:bdr w:val="nil"/>
        </w:rPr>
        <w:t xml:space="preserve"> the PAES is declared by the Additional Estimates Appropriation Bills to be a ‘relevant document’ to the interpretation of the Bills according to section 15AB of the </w:t>
      </w:r>
      <w:r w:rsidRPr="00BC7A54">
        <w:rPr>
          <w:i/>
          <w:bdr w:val="nil"/>
        </w:rPr>
        <w:t>Acts Interpretation Act 1901</w:t>
      </w:r>
      <w:r w:rsidRPr="00BC7A54">
        <w:rPr>
          <w:bdr w:val="nil"/>
        </w:rPr>
        <w:t>.</w:t>
      </w:r>
    </w:p>
    <w:p w:rsidR="001D003E" w:rsidRDefault="001D003E" w:rsidP="001D003E">
      <w:pPr>
        <w:keepLines w:val="0"/>
        <w:pBdr>
          <w:top w:val="nil"/>
          <w:left w:val="nil"/>
          <w:bottom w:val="nil"/>
          <w:right w:val="nil"/>
          <w:between w:val="nil"/>
          <w:bar w:val="nil"/>
        </w:pBdr>
        <w:tabs>
          <w:tab w:val="right" w:pos="7088"/>
        </w:tabs>
        <w:rPr>
          <w:bdr w:val="nil"/>
        </w:rPr>
      </w:pPr>
      <w:r w:rsidRPr="00BC7A54">
        <w:rPr>
          <w:bdr w:val="nil"/>
        </w:rPr>
        <w:t xml:space="preserve">Whereas the </w:t>
      </w:r>
      <w:r w:rsidRPr="00BC7A54">
        <w:rPr>
          <w:i/>
          <w:bdr w:val="nil"/>
        </w:rPr>
        <w:t>Mid</w:t>
      </w:r>
      <w:r w:rsidRPr="00BC7A54">
        <w:rPr>
          <w:i/>
          <w:bdr w:val="nil"/>
        </w:rPr>
        <w:noBreakHyphen/>
        <w:t>Year Economic</w:t>
      </w:r>
      <w:r>
        <w:rPr>
          <w:i/>
          <w:bdr w:val="nil"/>
        </w:rPr>
        <w:t xml:space="preserve"> and Fiscal Outlook (</w:t>
      </w:r>
      <w:r w:rsidRPr="007E22B6">
        <w:rPr>
          <w:i/>
          <w:bdr w:val="nil"/>
        </w:rPr>
        <w:t>MYEFO) 2021-22</w:t>
      </w:r>
      <w:r>
        <w:rPr>
          <w:bdr w:val="nil"/>
        </w:rPr>
        <w:t xml:space="preserve"> </w:t>
      </w:r>
      <w:r w:rsidRPr="00BC7A54">
        <w:rPr>
          <w:bdr w:val="nil"/>
        </w:rPr>
        <w:t>is a mid</w:t>
      </w:r>
      <w:r w:rsidRPr="00BC7A54">
        <w:rPr>
          <w:bdr w:val="nil"/>
        </w:rPr>
        <w:noBreakHyphen/>
        <w:t>year budget report which provides updated information to allow the assessment of the Government’s fiscal performance against its fiscal strategy, the PAES update the most recent budget appropriations for entities within the portfolio.</w:t>
      </w:r>
    </w:p>
    <w:p w:rsidR="001D003E" w:rsidRDefault="001D003E" w:rsidP="001D003E">
      <w:pPr>
        <w:keepLines w:val="0"/>
        <w:pBdr>
          <w:top w:val="nil"/>
          <w:left w:val="nil"/>
          <w:bottom w:val="nil"/>
          <w:right w:val="nil"/>
          <w:between w:val="nil"/>
          <w:bar w:val="nil"/>
        </w:pBdr>
        <w:tabs>
          <w:tab w:val="right" w:pos="7088"/>
        </w:tabs>
        <w:rPr>
          <w:bdr w:val="nil"/>
        </w:rPr>
      </w:pPr>
    </w:p>
    <w:p w:rsidR="001D003E" w:rsidRDefault="001D003E" w:rsidP="001D003E">
      <w:pPr>
        <w:keepLines w:val="0"/>
        <w:pBdr>
          <w:top w:val="nil"/>
          <w:left w:val="nil"/>
          <w:bottom w:val="nil"/>
          <w:right w:val="nil"/>
          <w:between w:val="nil"/>
          <w:bar w:val="nil"/>
        </w:pBdr>
        <w:tabs>
          <w:tab w:val="right" w:pos="7088"/>
        </w:tabs>
        <w:rPr>
          <w:bdr w:val="nil"/>
        </w:rPr>
        <w:sectPr w:rsidR="001D003E" w:rsidSect="001D003E">
          <w:headerReference w:type="even" r:id="rId25"/>
          <w:headerReference w:type="default" r:id="rId26"/>
          <w:footerReference w:type="even" r:id="rId27"/>
          <w:footerReference w:type="default" r:id="rId28"/>
          <w:headerReference w:type="first" r:id="rId29"/>
          <w:footerReference w:type="first" r:id="rId30"/>
          <w:type w:val="continuous"/>
          <w:pgSz w:w="10319" w:h="14572"/>
          <w:pgMar w:top="1304" w:right="1389" w:bottom="1304" w:left="1389" w:header="1021" w:footer="1021" w:gutter="0"/>
          <w:pgBorders>
            <w:top w:val="nil"/>
            <w:left w:val="nil"/>
            <w:bottom w:val="nil"/>
            <w:right w:val="nil"/>
          </w:pgBorders>
          <w:cols w:space="708"/>
          <w:docGrid w:linePitch="360"/>
        </w:sectPr>
      </w:pPr>
      <w:r>
        <w:t xml:space="preserve"> </w:t>
      </w:r>
    </w:p>
    <w:p w:rsidR="001D003E" w:rsidRDefault="001D003E" w:rsidP="001D003E">
      <w:pPr>
        <w:pStyle w:val="Normal0"/>
        <w:pageBreakBefore/>
        <w:rPr>
          <w:rFonts w:ascii="Arial" w:hAnsi="Arial"/>
          <w:sz w:val="30"/>
          <w:szCs w:val="30"/>
        </w:rPr>
      </w:pPr>
      <w:r>
        <w:rPr>
          <w:rFonts w:ascii="Arial" w:hAnsi="Arial"/>
          <w:sz w:val="30"/>
          <w:szCs w:val="30"/>
        </w:rPr>
        <w:lastRenderedPageBreak/>
        <w:t>Structure of the Portfolio Additional Estimates Statements</w:t>
      </w:r>
    </w:p>
    <w:p w:rsidR="001D003E" w:rsidRDefault="001D003E" w:rsidP="001D003E">
      <w:pPr>
        <w:pStyle w:val="Normal0"/>
        <w:spacing w:after="0"/>
        <w:rPr>
          <w:rFonts w:ascii="Book Antiqua" w:hAnsi="Book Antiqua" w:cs="Times New Roman"/>
          <w:sz w:val="20"/>
          <w:szCs w:val="20"/>
        </w:rPr>
      </w:pPr>
    </w:p>
    <w:p w:rsidR="001D003E" w:rsidRPr="00D344D1" w:rsidRDefault="001D003E" w:rsidP="001D003E">
      <w:pPr>
        <w:pStyle w:val="Normal0"/>
        <w:tabs>
          <w:tab w:val="right" w:pos="7088"/>
        </w:tabs>
        <w:rPr>
          <w:rFonts w:ascii="Book Antiqua" w:hAnsi="Book Antiqua"/>
        </w:rPr>
      </w:pPr>
      <w:r w:rsidRPr="00D344D1">
        <w:rPr>
          <w:rFonts w:ascii="Book Antiqua" w:hAnsi="Book Antiqua"/>
        </w:rPr>
        <w:t>The PAES are presented in three parts with subsections.</w:t>
      </w:r>
    </w:p>
    <w:tbl>
      <w:tblPr>
        <w:tblpPr w:leftFromText="180" w:rightFromText="180" w:vertAnchor="text" w:tblpY="1"/>
        <w:tblOverlap w:val="never"/>
        <w:tblW w:w="0" w:type="auto"/>
        <w:tblLayout w:type="fixed"/>
        <w:tblLook w:val="04A0" w:firstRow="1" w:lastRow="0" w:firstColumn="1" w:lastColumn="0" w:noHBand="0" w:noVBand="1"/>
      </w:tblPr>
      <w:tblGrid>
        <w:gridCol w:w="2273"/>
        <w:gridCol w:w="5455"/>
      </w:tblGrid>
      <w:tr w:rsidR="00811FBF" w:rsidTr="001D003E">
        <w:trPr>
          <w:trHeight w:val="478"/>
        </w:trPr>
        <w:tc>
          <w:tcPr>
            <w:tcW w:w="7728" w:type="dxa"/>
            <w:gridSpan w:val="2"/>
            <w:shd w:val="clear" w:color="auto" w:fill="E6E6E6"/>
            <w:hideMark/>
          </w:tcPr>
          <w:p w:rsidR="001D003E" w:rsidRDefault="001D003E" w:rsidP="001D003E">
            <w:pPr>
              <w:pStyle w:val="TableHeading2ndLevelWord"/>
              <w:rPr>
                <w:rFonts w:ascii="Book Antiqua" w:hAnsi="Book Antiqua"/>
              </w:rPr>
            </w:pPr>
            <w:r>
              <w:rPr>
                <w:rFonts w:ascii="Book Antiqua" w:hAnsi="Book Antiqua"/>
              </w:rPr>
              <w:t>User Guide</w:t>
            </w:r>
          </w:p>
        </w:tc>
      </w:tr>
      <w:tr w:rsidR="00811FBF" w:rsidTr="001D003E">
        <w:trPr>
          <w:trHeight w:val="460"/>
        </w:trPr>
        <w:tc>
          <w:tcPr>
            <w:tcW w:w="7728" w:type="dxa"/>
            <w:gridSpan w:val="2"/>
            <w:hideMark/>
          </w:tcPr>
          <w:p w:rsidR="001D003E" w:rsidRDefault="001D003E" w:rsidP="001D003E">
            <w:pPr>
              <w:pStyle w:val="Tabletextjustified"/>
              <w:rPr>
                <w:rFonts w:ascii="Book Antiqua" w:hAnsi="Book Antiqua"/>
              </w:rPr>
            </w:pPr>
            <w:r>
              <w:rPr>
                <w:rFonts w:ascii="Book Antiqua" w:hAnsi="Book Antiqua"/>
              </w:rPr>
              <w:t>Provides a brief introduction explaining the purpose of the PAES.</w:t>
            </w:r>
          </w:p>
        </w:tc>
      </w:tr>
      <w:tr w:rsidR="00811FBF" w:rsidTr="001D003E">
        <w:trPr>
          <w:trHeight w:val="511"/>
        </w:trPr>
        <w:tc>
          <w:tcPr>
            <w:tcW w:w="2273" w:type="dxa"/>
            <w:shd w:val="clear" w:color="auto" w:fill="E6E6E6"/>
            <w:hideMark/>
          </w:tcPr>
          <w:p w:rsidR="001D003E" w:rsidRDefault="001D003E" w:rsidP="001D003E">
            <w:pPr>
              <w:pStyle w:val="TableHeading2ndLevelWord"/>
              <w:rPr>
                <w:rFonts w:ascii="Book Antiqua" w:hAnsi="Book Antiqua"/>
              </w:rPr>
            </w:pPr>
            <w:r>
              <w:rPr>
                <w:rFonts w:ascii="Book Antiqua" w:hAnsi="Book Antiqua"/>
              </w:rPr>
              <w:t>Portfolio Overview</w:t>
            </w:r>
          </w:p>
        </w:tc>
        <w:tc>
          <w:tcPr>
            <w:tcW w:w="5455" w:type="dxa"/>
            <w:shd w:val="clear" w:color="auto" w:fill="E6E6E6"/>
          </w:tcPr>
          <w:p w:rsidR="001D003E" w:rsidRDefault="001D003E" w:rsidP="001D003E">
            <w:pPr>
              <w:pStyle w:val="Normal0"/>
              <w:rPr>
                <w:rFonts w:ascii="Book Antiqua" w:hAnsi="Book Antiqua"/>
              </w:rPr>
            </w:pPr>
          </w:p>
        </w:tc>
      </w:tr>
      <w:tr w:rsidR="00811FBF" w:rsidTr="001D003E">
        <w:trPr>
          <w:trHeight w:val="716"/>
        </w:trPr>
        <w:tc>
          <w:tcPr>
            <w:tcW w:w="7728" w:type="dxa"/>
            <w:gridSpan w:val="2"/>
            <w:hideMark/>
          </w:tcPr>
          <w:p w:rsidR="001D003E" w:rsidRDefault="001D003E" w:rsidP="001D003E">
            <w:pPr>
              <w:pStyle w:val="Tabletextjustified"/>
              <w:rPr>
                <w:rFonts w:ascii="Book Antiqua" w:hAnsi="Book Antiqua"/>
              </w:rPr>
            </w:pPr>
            <w:r>
              <w:rPr>
                <w:rFonts w:ascii="Book Antiqua" w:hAnsi="Book Antiqua"/>
              </w:rPr>
              <w:t>Provides an overview of the portfolio, including a chart that outlines the outcomes for entities in the portfolio.</w:t>
            </w:r>
          </w:p>
        </w:tc>
      </w:tr>
      <w:tr w:rsidR="00811FBF" w:rsidTr="001D003E">
        <w:trPr>
          <w:trHeight w:val="460"/>
        </w:trPr>
        <w:tc>
          <w:tcPr>
            <w:tcW w:w="7728" w:type="dxa"/>
            <w:gridSpan w:val="2"/>
            <w:shd w:val="clear" w:color="auto" w:fill="E6E6E6"/>
            <w:hideMark/>
          </w:tcPr>
          <w:p w:rsidR="001D003E" w:rsidRDefault="001D003E" w:rsidP="001D003E">
            <w:pPr>
              <w:pStyle w:val="TableHeading2ndLevelWord"/>
              <w:tabs>
                <w:tab w:val="left" w:pos="3771"/>
              </w:tabs>
              <w:rPr>
                <w:rFonts w:ascii="Book Antiqua" w:hAnsi="Book Antiqua"/>
              </w:rPr>
            </w:pPr>
            <w:r>
              <w:rPr>
                <w:rFonts w:ascii="Book Antiqua" w:hAnsi="Book Antiqua"/>
              </w:rPr>
              <w:t>Entity Additional Estimates Statements</w:t>
            </w:r>
            <w:r>
              <w:rPr>
                <w:rFonts w:ascii="Book Antiqua" w:hAnsi="Book Antiqua"/>
              </w:rPr>
              <w:tab/>
            </w:r>
          </w:p>
        </w:tc>
      </w:tr>
      <w:tr w:rsidR="00811FBF" w:rsidTr="001D003E">
        <w:trPr>
          <w:trHeight w:val="460"/>
        </w:trPr>
        <w:tc>
          <w:tcPr>
            <w:tcW w:w="7728" w:type="dxa"/>
            <w:gridSpan w:val="2"/>
            <w:tcBorders>
              <w:top w:val="nil"/>
              <w:left w:val="nil"/>
              <w:bottom w:val="single" w:sz="2" w:space="0" w:color="999999"/>
              <w:right w:val="nil"/>
            </w:tcBorders>
            <w:hideMark/>
          </w:tcPr>
          <w:p w:rsidR="001D003E" w:rsidRDefault="001D003E" w:rsidP="001D003E">
            <w:pPr>
              <w:pStyle w:val="Tabletextjustified"/>
              <w:rPr>
                <w:rFonts w:ascii="Book Antiqua" w:hAnsi="Book Antiqua"/>
              </w:rPr>
            </w:pPr>
            <w:r>
              <w:rPr>
                <w:rFonts w:ascii="Book Antiqua" w:hAnsi="Book Antiqua"/>
              </w:rPr>
              <w:t>A statement (under the name of the entity) for each entity affected by Additional Estimates.</w:t>
            </w:r>
          </w:p>
        </w:tc>
      </w:tr>
      <w:tr w:rsidR="00811FBF" w:rsidTr="001D003E">
        <w:trPr>
          <w:trHeight w:val="972"/>
        </w:trPr>
        <w:tc>
          <w:tcPr>
            <w:tcW w:w="2273" w:type="dxa"/>
            <w:tcBorders>
              <w:top w:val="single" w:sz="2" w:space="0" w:color="999999"/>
              <w:left w:val="nil"/>
              <w:bottom w:val="single" w:sz="2" w:space="0" w:color="999999"/>
              <w:right w:val="nil"/>
            </w:tcBorders>
            <w:hideMark/>
          </w:tcPr>
          <w:p w:rsidR="001D003E" w:rsidRDefault="001D003E" w:rsidP="001D003E">
            <w:pPr>
              <w:pStyle w:val="TableSideHeading"/>
              <w:rPr>
                <w:rFonts w:ascii="Book Antiqua" w:hAnsi="Book Antiqua"/>
              </w:rPr>
            </w:pPr>
            <w:r>
              <w:rPr>
                <w:rFonts w:ascii="Book Antiqua" w:hAnsi="Book Antiqua"/>
              </w:rPr>
              <w:t>Section 1: Entity Overview and Resources</w:t>
            </w:r>
          </w:p>
        </w:tc>
        <w:tc>
          <w:tcPr>
            <w:tcW w:w="5455" w:type="dxa"/>
            <w:tcBorders>
              <w:top w:val="single" w:sz="2" w:space="0" w:color="999999"/>
              <w:left w:val="nil"/>
              <w:bottom w:val="single" w:sz="2" w:space="0" w:color="999999"/>
              <w:right w:val="nil"/>
            </w:tcBorders>
            <w:hideMark/>
          </w:tcPr>
          <w:p w:rsidR="001D003E" w:rsidRDefault="001D003E" w:rsidP="001D003E">
            <w:pPr>
              <w:pStyle w:val="Tabletextjustified"/>
              <w:rPr>
                <w:rFonts w:ascii="Book Antiqua" w:hAnsi="Book Antiqua"/>
              </w:rPr>
            </w:pPr>
            <w:r>
              <w:rPr>
                <w:rFonts w:ascii="Book Antiqua" w:hAnsi="Book Antiqua"/>
              </w:rPr>
              <w:t xml:space="preserve">This section details the total resources available to an entity, the impact of any measures since Budget, and impact on </w:t>
            </w:r>
            <w:r>
              <w:rPr>
                <w:rFonts w:ascii="Book Antiqua" w:hAnsi="Book Antiqua"/>
                <w:i/>
              </w:rPr>
              <w:t>Appropriation Bills Nos. 3</w:t>
            </w:r>
            <w:r>
              <w:rPr>
                <w:rFonts w:ascii="Book Antiqua" w:hAnsi="Book Antiqua"/>
              </w:rPr>
              <w:t xml:space="preserve"> and </w:t>
            </w:r>
            <w:r>
              <w:rPr>
                <w:rFonts w:ascii="Book Antiqua" w:hAnsi="Book Antiqua"/>
                <w:i/>
              </w:rPr>
              <w:t>4</w:t>
            </w:r>
            <w:r>
              <w:rPr>
                <w:rFonts w:ascii="Book Antiqua" w:hAnsi="Book Antiqua"/>
              </w:rPr>
              <w:t>.</w:t>
            </w:r>
          </w:p>
        </w:tc>
      </w:tr>
      <w:tr w:rsidR="00811FBF" w:rsidTr="001D003E">
        <w:trPr>
          <w:trHeight w:val="956"/>
        </w:trPr>
        <w:tc>
          <w:tcPr>
            <w:tcW w:w="2273" w:type="dxa"/>
            <w:tcBorders>
              <w:top w:val="single" w:sz="2" w:space="0" w:color="999999"/>
              <w:left w:val="nil"/>
              <w:bottom w:val="single" w:sz="2" w:space="0" w:color="999999"/>
              <w:right w:val="nil"/>
            </w:tcBorders>
            <w:hideMark/>
          </w:tcPr>
          <w:p w:rsidR="001D003E" w:rsidRDefault="001D003E" w:rsidP="001D003E">
            <w:pPr>
              <w:pStyle w:val="TableSideHeading"/>
              <w:rPr>
                <w:rFonts w:ascii="Book Antiqua" w:hAnsi="Book Antiqua"/>
              </w:rPr>
            </w:pPr>
            <w:r>
              <w:rPr>
                <w:rFonts w:ascii="Book Antiqua" w:hAnsi="Book Antiqua"/>
              </w:rPr>
              <w:t>Section 2: Revisions to Outcomes and Planned Performance</w:t>
            </w:r>
          </w:p>
        </w:tc>
        <w:tc>
          <w:tcPr>
            <w:tcW w:w="5455" w:type="dxa"/>
            <w:tcBorders>
              <w:top w:val="single" w:sz="2" w:space="0" w:color="999999"/>
              <w:left w:val="nil"/>
              <w:bottom w:val="single" w:sz="2" w:space="0" w:color="999999"/>
              <w:right w:val="nil"/>
            </w:tcBorders>
            <w:hideMark/>
          </w:tcPr>
          <w:p w:rsidR="001D003E" w:rsidRDefault="001D003E" w:rsidP="001D003E">
            <w:pPr>
              <w:pStyle w:val="Tabletextjustified"/>
              <w:rPr>
                <w:rFonts w:ascii="Book Antiqua" w:hAnsi="Book Antiqua"/>
              </w:rPr>
            </w:pPr>
            <w:r>
              <w:rPr>
                <w:rFonts w:ascii="Book Antiqua" w:hAnsi="Book Antiqua"/>
              </w:rPr>
              <w:t xml:space="preserve">This section details </w:t>
            </w:r>
            <w:r>
              <w:rPr>
                <w:rFonts w:ascii="Book Antiqua" w:hAnsi="Book Antiqua"/>
                <w:b/>
              </w:rPr>
              <w:t>changes</w:t>
            </w:r>
            <w:r>
              <w:rPr>
                <w:rFonts w:ascii="Book Antiqua" w:hAnsi="Book Antiqua"/>
              </w:rPr>
              <w:t xml:space="preserve"> to Government outcomes and/or </w:t>
            </w:r>
            <w:r>
              <w:rPr>
                <w:rFonts w:ascii="Book Antiqua" w:hAnsi="Book Antiqua"/>
                <w:b/>
              </w:rPr>
              <w:t>changes</w:t>
            </w:r>
            <w:r>
              <w:rPr>
                <w:rFonts w:ascii="Book Antiqua" w:hAnsi="Book Antiqua"/>
              </w:rPr>
              <w:t xml:space="preserve"> to the planned performance of entity programs.</w:t>
            </w:r>
          </w:p>
        </w:tc>
      </w:tr>
      <w:tr w:rsidR="00811FBF" w:rsidTr="001D003E">
        <w:trPr>
          <w:trHeight w:val="956"/>
        </w:trPr>
        <w:tc>
          <w:tcPr>
            <w:tcW w:w="2273" w:type="dxa"/>
            <w:tcBorders>
              <w:top w:val="single" w:sz="2" w:space="0" w:color="999999"/>
              <w:left w:val="nil"/>
              <w:bottom w:val="single" w:sz="2" w:space="0" w:color="999999"/>
              <w:right w:val="nil"/>
            </w:tcBorders>
            <w:hideMark/>
          </w:tcPr>
          <w:p w:rsidR="001D003E" w:rsidRDefault="001D003E" w:rsidP="001D003E">
            <w:pPr>
              <w:pStyle w:val="TableSideHeading"/>
              <w:rPr>
                <w:rFonts w:ascii="Book Antiqua" w:hAnsi="Book Antiqua"/>
              </w:rPr>
            </w:pPr>
            <w:r>
              <w:rPr>
                <w:rFonts w:ascii="Book Antiqua" w:hAnsi="Book Antiqua"/>
              </w:rPr>
              <w:t>Section 3: Special Account Flows and Budgeted Financial Statements</w:t>
            </w:r>
          </w:p>
        </w:tc>
        <w:tc>
          <w:tcPr>
            <w:tcW w:w="5455" w:type="dxa"/>
            <w:tcBorders>
              <w:top w:val="single" w:sz="2" w:space="0" w:color="999999"/>
              <w:left w:val="nil"/>
              <w:bottom w:val="single" w:sz="2" w:space="0" w:color="999999"/>
              <w:right w:val="nil"/>
            </w:tcBorders>
            <w:hideMark/>
          </w:tcPr>
          <w:p w:rsidR="001D003E" w:rsidRDefault="001D003E" w:rsidP="001D003E">
            <w:pPr>
              <w:pStyle w:val="Tabletextjustified"/>
              <w:rPr>
                <w:rFonts w:ascii="Book Antiqua" w:hAnsi="Book Antiqua"/>
              </w:rPr>
            </w:pPr>
            <w:r>
              <w:rPr>
                <w:rFonts w:ascii="Book Antiqua" w:hAnsi="Book Antiqua"/>
              </w:rPr>
              <w:t>This section contains updated explanatory tables on special account flows and revisions to the budgeted financial statements.</w:t>
            </w:r>
          </w:p>
        </w:tc>
      </w:tr>
      <w:tr w:rsidR="00811FBF" w:rsidTr="001D003E">
        <w:trPr>
          <w:trHeight w:val="429"/>
        </w:trPr>
        <w:tc>
          <w:tcPr>
            <w:tcW w:w="7728" w:type="dxa"/>
            <w:gridSpan w:val="2"/>
            <w:shd w:val="clear" w:color="auto" w:fill="E6E6E6"/>
            <w:hideMark/>
          </w:tcPr>
          <w:p w:rsidR="001D003E" w:rsidRDefault="001D003E" w:rsidP="001D003E">
            <w:pPr>
              <w:pStyle w:val="TableHeading2ndLevelWord"/>
              <w:tabs>
                <w:tab w:val="left" w:pos="3771"/>
              </w:tabs>
              <w:rPr>
                <w:rFonts w:ascii="Book Antiqua" w:hAnsi="Book Antiqua"/>
              </w:rPr>
            </w:pPr>
            <w:r>
              <w:rPr>
                <w:rFonts w:ascii="Book Antiqua" w:hAnsi="Book Antiqua"/>
              </w:rPr>
              <w:t>Portfolio glossary</w:t>
            </w:r>
            <w:r>
              <w:rPr>
                <w:rFonts w:ascii="Book Antiqua" w:hAnsi="Book Antiqua"/>
              </w:rPr>
              <w:tab/>
            </w:r>
          </w:p>
        </w:tc>
      </w:tr>
      <w:tr w:rsidR="00811FBF" w:rsidTr="001D003E">
        <w:trPr>
          <w:trHeight w:val="571"/>
        </w:trPr>
        <w:tc>
          <w:tcPr>
            <w:tcW w:w="7728" w:type="dxa"/>
            <w:gridSpan w:val="2"/>
            <w:shd w:val="clear" w:color="auto" w:fill="auto"/>
          </w:tcPr>
          <w:p w:rsidR="001D003E" w:rsidRPr="00436E12" w:rsidRDefault="001D003E" w:rsidP="001D003E">
            <w:pPr>
              <w:pStyle w:val="TableHeading2ndLevelWord"/>
              <w:tabs>
                <w:tab w:val="left" w:pos="3771"/>
              </w:tabs>
              <w:rPr>
                <w:rFonts w:ascii="Book Antiqua" w:hAnsi="Book Antiqua"/>
                <w:b w:val="0"/>
              </w:rPr>
            </w:pPr>
            <w:r w:rsidRPr="00436E12">
              <w:rPr>
                <w:rFonts w:ascii="Book Antiqua" w:hAnsi="Book Antiqua"/>
                <w:b w:val="0"/>
              </w:rPr>
              <w:t>Provides an overview of the portfolio, including a chart that outlines the outcomes for entities in the portfolio.</w:t>
            </w:r>
          </w:p>
        </w:tc>
      </w:tr>
    </w:tbl>
    <w:p w:rsidR="001D003E" w:rsidRPr="001E210C" w:rsidRDefault="001D003E">
      <w:pPr>
        <w:pStyle w:val="Normal0"/>
        <w:rPr>
          <w:rFonts w:ascii="Book Antiqua" w:hAnsi="Book Antiqua"/>
          <w:sz w:val="20"/>
          <w:szCs w:val="20"/>
        </w:rPr>
        <w:sectPr w:rsidR="001D003E" w:rsidRPr="001E210C" w:rsidSect="001D003E">
          <w:headerReference w:type="even" r:id="rId31"/>
          <w:headerReference w:type="default" r:id="rId32"/>
          <w:footerReference w:type="even" r:id="rId33"/>
          <w:footerReference w:type="default" r:id="rId34"/>
          <w:headerReference w:type="first" r:id="rId35"/>
          <w:footerReference w:type="first" r:id="rId36"/>
          <w:type w:val="continuous"/>
          <w:pgSz w:w="10319" w:h="14572"/>
          <w:pgMar w:top="1304" w:right="1389" w:bottom="1304" w:left="1389" w:header="1021" w:footer="1021" w:gutter="0"/>
          <w:pgBorders>
            <w:top w:val="nil"/>
            <w:left w:val="nil"/>
            <w:bottom w:val="nil"/>
            <w:right w:val="nil"/>
          </w:pgBorders>
          <w:cols w:space="708"/>
          <w:docGrid w:linePitch="360"/>
        </w:sectPr>
      </w:pPr>
      <w:r>
        <w:rPr>
          <w:rFonts w:ascii="Book Antiqua" w:hAnsi="Book Antiqua"/>
          <w:sz w:val="20"/>
          <w:szCs w:val="20"/>
        </w:rPr>
        <w:br w:type="textWrapping" w:clear="all"/>
      </w:r>
    </w:p>
    <w:p w:rsidR="001D003E" w:rsidRDefault="001D003E" w:rsidP="001D003E">
      <w:pPr>
        <w:pStyle w:val="ContentsHeading"/>
        <w:keepLines w:val="0"/>
        <w:pageBreakBefore/>
        <w:pBdr>
          <w:top w:val="nil"/>
          <w:left w:val="nil"/>
          <w:bottom w:val="nil"/>
          <w:right w:val="nil"/>
          <w:between w:val="nil"/>
          <w:bar w:val="nil"/>
        </w:pBdr>
        <w:spacing w:before="240"/>
        <w:rPr>
          <w:bdr w:val="nil"/>
        </w:rPr>
      </w:pPr>
      <w:r>
        <w:rPr>
          <w:bdr w:val="nil"/>
        </w:rPr>
        <w:lastRenderedPageBreak/>
        <w:t>Contents</w:t>
      </w:r>
    </w:p>
    <w:p w:rsidR="001D003E" w:rsidRDefault="001D003E" w:rsidP="001D003E">
      <w:pPr>
        <w:pStyle w:val="TOC1"/>
        <w:keepLines w:val="0"/>
        <w:pBdr>
          <w:top w:val="nil"/>
          <w:left w:val="nil"/>
          <w:bottom w:val="nil"/>
          <w:right w:val="nil"/>
          <w:between w:val="nil"/>
          <w:bar w:val="nil"/>
        </w:pBdr>
        <w:jc w:val="left"/>
        <w:rPr>
          <w:noProof/>
          <w:bdr w:val="nil"/>
        </w:rPr>
      </w:pPr>
      <w:r>
        <w:rPr>
          <w:noProof/>
          <w:bdr w:val="nil"/>
        </w:rPr>
        <w:t>Portfolio overview</w:t>
      </w:r>
      <w:r>
        <w:rPr>
          <w:noProof/>
          <w:bdr w:val="nil"/>
        </w:rPr>
        <w:tab/>
      </w:r>
      <w:r w:rsidRPr="00252348">
        <w:rPr>
          <w:noProof/>
          <w:bdr w:val="nil"/>
        </w:rPr>
        <w:t>1</w:t>
      </w:r>
    </w:p>
    <w:p w:rsidR="001D003E" w:rsidRPr="0023544B" w:rsidRDefault="001D003E" w:rsidP="001D003E">
      <w:pPr>
        <w:pStyle w:val="TOC1"/>
        <w:keepLines w:val="0"/>
        <w:pBdr>
          <w:top w:val="nil"/>
          <w:left w:val="nil"/>
          <w:bottom w:val="nil"/>
          <w:right w:val="nil"/>
          <w:between w:val="nil"/>
          <w:bar w:val="nil"/>
        </w:pBdr>
        <w:jc w:val="left"/>
        <w:rPr>
          <w:noProof/>
          <w:bdr w:val="nil"/>
        </w:rPr>
      </w:pPr>
      <w:r>
        <w:rPr>
          <w:noProof/>
          <w:bdr w:val="nil"/>
        </w:rPr>
        <w:t>Entity additional estimates statements</w:t>
      </w:r>
      <w:r>
        <w:rPr>
          <w:noProof/>
          <w:bdr w:val="nil"/>
        </w:rPr>
        <w:tab/>
        <w:t>5</w:t>
      </w:r>
    </w:p>
    <w:p w:rsidR="001D003E" w:rsidRDefault="001D003E" w:rsidP="001D003E">
      <w:pPr>
        <w:pStyle w:val="TOC2"/>
        <w:keepLines w:val="0"/>
        <w:pBdr>
          <w:top w:val="nil"/>
          <w:left w:val="nil"/>
          <w:bottom w:val="nil"/>
          <w:right w:val="nil"/>
          <w:between w:val="nil"/>
          <w:bar w:val="nil"/>
        </w:pBdr>
        <w:jc w:val="left"/>
        <w:rPr>
          <w:noProof/>
          <w:bdr w:val="nil"/>
        </w:rPr>
      </w:pPr>
      <w:r>
        <w:rPr>
          <w:noProof/>
          <w:bdr w:val="nil"/>
        </w:rPr>
        <w:t>Department of Veterans' Affairs</w:t>
      </w:r>
      <w:r>
        <w:rPr>
          <w:noProof/>
          <w:bdr w:val="nil"/>
        </w:rPr>
        <w:tab/>
      </w:r>
      <w:r w:rsidR="00D902C8">
        <w:rPr>
          <w:noProof/>
          <w:bdr w:val="nil"/>
        </w:rPr>
        <w:t>6</w:t>
      </w:r>
    </w:p>
    <w:p w:rsidR="001D003E" w:rsidRDefault="001D003E" w:rsidP="001D003E">
      <w:pPr>
        <w:pStyle w:val="TOC1"/>
        <w:keepLines w:val="0"/>
        <w:pBdr>
          <w:top w:val="nil"/>
          <w:left w:val="nil"/>
          <w:bottom w:val="nil"/>
          <w:right w:val="nil"/>
          <w:between w:val="nil"/>
          <w:bar w:val="nil"/>
        </w:pBdr>
        <w:jc w:val="left"/>
        <w:rPr>
          <w:noProof/>
          <w:bdr w:val="nil"/>
        </w:rPr>
      </w:pPr>
      <w:r>
        <w:rPr>
          <w:noProof/>
          <w:bdr w:val="nil"/>
        </w:rPr>
        <w:t>Portfolio glossary</w:t>
      </w:r>
      <w:r>
        <w:rPr>
          <w:noProof/>
          <w:bdr w:val="nil"/>
        </w:rPr>
        <w:tab/>
        <w:t>5</w:t>
      </w:r>
      <w:r w:rsidR="00D902C8">
        <w:rPr>
          <w:noProof/>
          <w:bdr w:val="nil"/>
        </w:rPr>
        <w:t>8</w:t>
      </w:r>
    </w:p>
    <w:p w:rsidR="001D003E" w:rsidRDefault="001D003E" w:rsidP="001D003E">
      <w:pPr>
        <w:keepLines w:val="0"/>
        <w:pBdr>
          <w:top w:val="nil"/>
          <w:left w:val="nil"/>
          <w:bottom w:val="nil"/>
          <w:right w:val="nil"/>
          <w:between w:val="nil"/>
          <w:bar w:val="nil"/>
        </w:pBdr>
        <w:spacing w:after="200" w:line="276" w:lineRule="auto"/>
        <w:jc w:val="left"/>
        <w:rPr>
          <w:rFonts w:ascii="Calibri" w:eastAsia="Calibri" w:hAnsi="Calibri"/>
          <w:sz w:val="22"/>
          <w:szCs w:val="22"/>
          <w:bdr w:val="nil"/>
        </w:rPr>
      </w:pPr>
      <w:r>
        <w:t xml:space="preserve"> </w:t>
      </w:r>
    </w:p>
    <w:p w:rsidR="00811FBF" w:rsidRDefault="00811FBF">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p w:rsidR="001D003E" w:rsidRDefault="001D003E">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sectPr w:rsidR="001D003E" w:rsidSect="001D003E">
          <w:headerReference w:type="even" r:id="rId37"/>
          <w:headerReference w:type="default" r:id="rId38"/>
          <w:footerReference w:type="even" r:id="rId39"/>
          <w:footerReference w:type="default" r:id="rId40"/>
          <w:headerReference w:type="first" r:id="rId41"/>
          <w:footerReference w:type="first" r:id="rId42"/>
          <w:type w:val="continuous"/>
          <w:pgSz w:w="10319" w:h="14572"/>
          <w:pgMar w:top="1304" w:right="1389" w:bottom="1304" w:left="1389" w:header="1021" w:footer="1021" w:gutter="0"/>
          <w:pgBorders>
            <w:top w:val="nil"/>
            <w:left w:val="nil"/>
            <w:bottom w:val="nil"/>
            <w:right w:val="nil"/>
          </w:pgBorders>
          <w:cols w:space="708"/>
          <w:docGrid w:linePitch="360"/>
        </w:sectPr>
      </w:pPr>
      <w:r>
        <w:t xml:space="preserve"> </w:t>
      </w:r>
    </w:p>
    <w:p w:rsidR="001D003E" w:rsidRPr="00D3496E" w:rsidRDefault="001D003E">
      <w:pPr>
        <w:keepLines w:val="0"/>
        <w:pageBreakBefore/>
        <w:pBdr>
          <w:top w:val="nil"/>
          <w:left w:val="nil"/>
          <w:bottom w:val="nil"/>
          <w:right w:val="nil"/>
          <w:between w:val="nil"/>
          <w:bar w:val="nil"/>
        </w:pBdr>
        <w:spacing w:after="200" w:line="276" w:lineRule="auto"/>
        <w:jc w:val="left"/>
        <w:rPr>
          <w:rFonts w:ascii="Calibri" w:eastAsia="Calibri" w:hAnsi="Calibri" w:cs="Arial"/>
          <w:color w:val="FFFFFF"/>
          <w:sz w:val="22"/>
          <w:szCs w:val="22"/>
          <w:bdr w:val="nil"/>
          <w:lang w:val="en-US" w:eastAsia="en-US"/>
        </w:rPr>
        <w:sectPr w:rsidR="001D003E" w:rsidRPr="00D3496E" w:rsidSect="001D003E">
          <w:headerReference w:type="even" r:id="rId43"/>
          <w:headerReference w:type="default" r:id="rId44"/>
          <w:footerReference w:type="even" r:id="rId45"/>
          <w:footerReference w:type="default" r:id="rId46"/>
          <w:headerReference w:type="first" r:id="rId47"/>
          <w:footerReference w:type="first" r:id="rId48"/>
          <w:type w:val="continuous"/>
          <w:pgSz w:w="10319" w:h="14572"/>
          <w:pgMar w:top="1304" w:right="1389" w:bottom="1304" w:left="1389" w:header="1021" w:footer="1021" w:gutter="0"/>
          <w:pgBorders>
            <w:top w:val="nil"/>
            <w:left w:val="nil"/>
            <w:bottom w:val="nil"/>
            <w:right w:val="nil"/>
          </w:pgBorders>
          <w:cols w:space="708"/>
          <w:docGrid w:linePitch="360"/>
        </w:sectPr>
      </w:pPr>
      <w:r w:rsidRPr="00D3496E">
        <w:rPr>
          <w:rFonts w:ascii="Calibri" w:eastAsia="Calibri" w:hAnsi="Calibri" w:cs="Arial"/>
          <w:color w:val="FFFFFF"/>
          <w:sz w:val="22"/>
          <w:szCs w:val="22"/>
          <w:bdr w:val="nil"/>
          <w:lang w:val="en-US" w:eastAsia="en-US"/>
        </w:rPr>
        <w:lastRenderedPageBreak/>
        <w:t>XXXXXX</w:t>
      </w:r>
    </w:p>
    <w:p w:rsidR="001D003E" w:rsidRPr="006B0EB2" w:rsidRDefault="001D003E">
      <w:pPr>
        <w:keepLines w:val="0"/>
        <w:pageBreakBefore/>
        <w:pBdr>
          <w:top w:val="nil"/>
          <w:left w:val="nil"/>
          <w:bottom w:val="nil"/>
          <w:right w:val="nil"/>
          <w:between w:val="nil"/>
          <w:bar w:val="nil"/>
        </w:pBdr>
        <w:spacing w:after="200" w:line="276" w:lineRule="auto"/>
        <w:jc w:val="left"/>
        <w:rPr>
          <w:rFonts w:ascii="Calibri" w:eastAsia="Calibri" w:hAnsi="Calibri" w:cs="Arial"/>
          <w:color w:val="FFFFFF"/>
          <w:sz w:val="22"/>
          <w:szCs w:val="22"/>
          <w:bdr w:val="nil"/>
          <w:lang w:val="en-US" w:eastAsia="en-US"/>
        </w:rPr>
      </w:pPr>
      <w:r w:rsidRPr="006B0EB2">
        <w:rPr>
          <w:rFonts w:ascii="Calibri" w:eastAsia="Calibri" w:hAnsi="Calibri" w:cs="Arial"/>
          <w:color w:val="FFFFFF"/>
          <w:sz w:val="22"/>
          <w:szCs w:val="22"/>
          <w:bdr w:val="nil"/>
          <w:lang w:val="en-US" w:eastAsia="en-US"/>
        </w:rPr>
        <w:lastRenderedPageBreak/>
        <w:t>This page is intentionally blank</w:t>
      </w:r>
    </w:p>
    <w:p w:rsidR="001D003E" w:rsidRDefault="001D003E">
      <w:pPr>
        <w:keepLines w:val="0"/>
        <w:pBdr>
          <w:top w:val="nil"/>
          <w:left w:val="nil"/>
          <w:bottom w:val="nil"/>
          <w:right w:val="nil"/>
          <w:between w:val="nil"/>
          <w:bar w:val="nil"/>
        </w:pBdr>
        <w:spacing w:after="200" w:line="276" w:lineRule="auto"/>
        <w:jc w:val="left"/>
        <w:rPr>
          <w:rFonts w:ascii="Calibri" w:eastAsia="Calibri" w:hAnsi="Calibri" w:cs="Arial"/>
          <w:vanish/>
          <w:sz w:val="22"/>
          <w:szCs w:val="22"/>
          <w:bdr w:val="nil"/>
          <w:lang w:val="en-US" w:eastAsia="en-US"/>
        </w:rPr>
      </w:pPr>
      <w:r>
        <w:t xml:space="preserve"> </w:t>
      </w:r>
    </w:p>
    <w:p w:rsidR="00811FBF" w:rsidRDefault="00811FBF">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p w:rsidR="001D003E" w:rsidRDefault="001D003E">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r>
        <w:t xml:space="preserve"> </w:t>
      </w:r>
    </w:p>
    <w:p w:rsidR="001D003E" w:rsidRDefault="001D003E" w:rsidP="001D003E">
      <w:pPr>
        <w:pStyle w:val="Part"/>
        <w:keepLines w:val="0"/>
        <w:pageBreakBefore/>
        <w:pBdr>
          <w:top w:val="nil"/>
          <w:left w:val="nil"/>
          <w:bottom w:val="nil"/>
          <w:right w:val="nil"/>
          <w:between w:val="nil"/>
          <w:bar w:val="nil"/>
        </w:pBdr>
        <w:rPr>
          <w:vanish/>
          <w:sz w:val="48"/>
          <w:szCs w:val="48"/>
          <w:bdr w:val="nil"/>
        </w:rPr>
      </w:pPr>
    </w:p>
    <w:p w:rsidR="001D003E" w:rsidRDefault="001D003E" w:rsidP="001D003E">
      <w:pPr>
        <w:pStyle w:val="Part"/>
        <w:keepLines w:val="0"/>
        <w:pBdr>
          <w:top w:val="nil"/>
          <w:left w:val="nil"/>
          <w:bottom w:val="nil"/>
          <w:right w:val="nil"/>
          <w:between w:val="nil"/>
          <w:bar w:val="nil"/>
        </w:pBdr>
        <w:rPr>
          <w:sz w:val="48"/>
          <w:szCs w:val="48"/>
          <w:bdr w:val="nil"/>
        </w:rPr>
      </w:pPr>
    </w:p>
    <w:p w:rsidR="001D003E" w:rsidRDefault="001D003E" w:rsidP="001D003E">
      <w:pPr>
        <w:pStyle w:val="Part"/>
        <w:keepLines w:val="0"/>
        <w:pBdr>
          <w:top w:val="nil"/>
          <w:left w:val="nil"/>
          <w:bottom w:val="nil"/>
          <w:right w:val="nil"/>
          <w:between w:val="nil"/>
          <w:bar w:val="nil"/>
        </w:pBdr>
        <w:rPr>
          <w:sz w:val="48"/>
          <w:szCs w:val="48"/>
          <w:bdr w:val="nil"/>
        </w:rPr>
      </w:pPr>
    </w:p>
    <w:p w:rsidR="001D003E" w:rsidRDefault="001D003E" w:rsidP="001D003E">
      <w:pPr>
        <w:pStyle w:val="Part"/>
        <w:keepLines w:val="0"/>
        <w:pBdr>
          <w:top w:val="nil"/>
          <w:left w:val="nil"/>
          <w:bottom w:val="nil"/>
          <w:right w:val="nil"/>
          <w:between w:val="nil"/>
          <w:bar w:val="nil"/>
        </w:pBdr>
        <w:rPr>
          <w:sz w:val="48"/>
          <w:szCs w:val="48"/>
          <w:bdr w:val="nil"/>
        </w:rPr>
      </w:pPr>
    </w:p>
    <w:p w:rsidR="001D003E" w:rsidRDefault="001D003E" w:rsidP="001D003E">
      <w:pPr>
        <w:pStyle w:val="Part"/>
        <w:keepLines w:val="0"/>
        <w:pBdr>
          <w:top w:val="nil"/>
          <w:left w:val="nil"/>
          <w:bottom w:val="nil"/>
          <w:right w:val="nil"/>
          <w:between w:val="nil"/>
          <w:bar w:val="nil"/>
        </w:pBdr>
        <w:rPr>
          <w:sz w:val="48"/>
          <w:szCs w:val="48"/>
          <w:bdr w:val="nil"/>
        </w:rPr>
      </w:pPr>
    </w:p>
    <w:p w:rsidR="001D003E" w:rsidRDefault="001D003E" w:rsidP="001D003E">
      <w:pPr>
        <w:pStyle w:val="Part"/>
        <w:keepLines w:val="0"/>
        <w:pBdr>
          <w:top w:val="nil"/>
          <w:left w:val="nil"/>
          <w:bottom w:val="nil"/>
          <w:right w:val="nil"/>
          <w:between w:val="nil"/>
          <w:bar w:val="nil"/>
        </w:pBdr>
        <w:rPr>
          <w:sz w:val="48"/>
          <w:szCs w:val="48"/>
          <w:bdr w:val="nil"/>
        </w:rPr>
      </w:pPr>
    </w:p>
    <w:p w:rsidR="001D003E" w:rsidRDefault="001D003E" w:rsidP="001D003E">
      <w:pPr>
        <w:pStyle w:val="Part"/>
        <w:keepLines w:val="0"/>
        <w:pBdr>
          <w:top w:val="nil"/>
          <w:left w:val="nil"/>
          <w:bottom w:val="nil"/>
          <w:right w:val="nil"/>
          <w:between w:val="nil"/>
          <w:bar w:val="nil"/>
        </w:pBdr>
        <w:rPr>
          <w:sz w:val="48"/>
          <w:szCs w:val="48"/>
          <w:bdr w:val="nil"/>
        </w:rPr>
      </w:pPr>
    </w:p>
    <w:p w:rsidR="001D003E" w:rsidRDefault="001D003E" w:rsidP="001D003E">
      <w:pPr>
        <w:pStyle w:val="Part"/>
        <w:keepLines w:val="0"/>
        <w:pBdr>
          <w:top w:val="nil"/>
          <w:left w:val="nil"/>
          <w:bottom w:val="nil"/>
          <w:right w:val="nil"/>
          <w:between w:val="nil"/>
          <w:bar w:val="nil"/>
        </w:pBdr>
        <w:rPr>
          <w:sz w:val="48"/>
          <w:szCs w:val="48"/>
          <w:bdr w:val="nil"/>
        </w:rPr>
      </w:pPr>
    </w:p>
    <w:p w:rsidR="001D003E" w:rsidRDefault="001D003E" w:rsidP="001D003E">
      <w:pPr>
        <w:pStyle w:val="Part"/>
        <w:keepLines w:val="0"/>
        <w:pBdr>
          <w:top w:val="nil"/>
          <w:left w:val="nil"/>
          <w:bottom w:val="nil"/>
          <w:right w:val="nil"/>
          <w:between w:val="nil"/>
          <w:bar w:val="nil"/>
        </w:pBdr>
        <w:rPr>
          <w:sz w:val="48"/>
          <w:szCs w:val="48"/>
          <w:bdr w:val="nil"/>
        </w:rPr>
      </w:pPr>
    </w:p>
    <w:p w:rsidR="001D003E" w:rsidRDefault="001D003E" w:rsidP="001D003E">
      <w:pPr>
        <w:pStyle w:val="Part"/>
        <w:keepLines w:val="0"/>
        <w:pBdr>
          <w:top w:val="nil"/>
          <w:left w:val="nil"/>
          <w:bottom w:val="nil"/>
          <w:right w:val="nil"/>
          <w:between w:val="nil"/>
          <w:bar w:val="nil"/>
        </w:pBdr>
        <w:rPr>
          <w:sz w:val="48"/>
          <w:szCs w:val="48"/>
          <w:bdr w:val="nil"/>
        </w:rPr>
      </w:pPr>
      <w:r>
        <w:rPr>
          <w:sz w:val="48"/>
          <w:szCs w:val="48"/>
          <w:bdr w:val="nil"/>
        </w:rPr>
        <w:t>Portfolio Overview</w:t>
      </w:r>
    </w:p>
    <w:p w:rsidR="001D003E" w:rsidRDefault="001D003E">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r>
        <w:t xml:space="preserve"> </w:t>
      </w:r>
    </w:p>
    <w:p w:rsidR="001D003E" w:rsidRDefault="001D003E">
      <w:pPr>
        <w:keepLines w:val="0"/>
        <w:pageBreakBefore/>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sectPr w:rsidR="001D003E" w:rsidSect="001D003E">
          <w:headerReference w:type="even" r:id="rId49"/>
          <w:headerReference w:type="default" r:id="rId50"/>
          <w:footerReference w:type="even" r:id="rId51"/>
          <w:footerReference w:type="default" r:id="rId52"/>
          <w:headerReference w:type="first" r:id="rId53"/>
          <w:footerReference w:type="first" r:id="rId54"/>
          <w:type w:val="continuous"/>
          <w:pgSz w:w="10319" w:h="14572"/>
          <w:pgMar w:top="1304" w:right="1389" w:bottom="1304" w:left="1389" w:header="1021" w:footer="1021" w:gutter="0"/>
          <w:pgBorders>
            <w:top w:val="nil"/>
            <w:left w:val="nil"/>
            <w:bottom w:val="nil"/>
            <w:right w:val="nil"/>
          </w:pgBorders>
          <w:pgNumType w:start="1"/>
          <w:cols w:space="708"/>
          <w:docGrid w:linePitch="360"/>
        </w:sectPr>
      </w:pPr>
      <w:r>
        <w:lastRenderedPageBreak/>
        <w:t xml:space="preserve"> </w:t>
      </w:r>
    </w:p>
    <w:p w:rsidR="001D003E" w:rsidRDefault="001D003E" w:rsidP="001D003E">
      <w:pPr>
        <w:pStyle w:val="Heading3"/>
        <w:keepLines w:val="0"/>
        <w:pageBreakBefore/>
        <w:pBdr>
          <w:top w:val="nil"/>
          <w:left w:val="nil"/>
          <w:bottom w:val="nil"/>
          <w:right w:val="nil"/>
          <w:between w:val="nil"/>
          <w:bar w:val="nil"/>
        </w:pBdr>
        <w:jc w:val="center"/>
        <w:rPr>
          <w:bdr w:val="nil"/>
        </w:rPr>
      </w:pPr>
      <w:r w:rsidRPr="00FC4A93">
        <w:rPr>
          <w:sz w:val="34"/>
          <w:szCs w:val="34"/>
          <w:bdr w:val="nil"/>
        </w:rPr>
        <w:lastRenderedPageBreak/>
        <w:t>Portfolio Overview</w:t>
      </w:r>
    </w:p>
    <w:p w:rsidR="001D003E" w:rsidRPr="00FC4A93" w:rsidRDefault="001D003E" w:rsidP="001D003E">
      <w:pPr>
        <w:pStyle w:val="Part"/>
        <w:keepLines w:val="0"/>
        <w:pBdr>
          <w:top w:val="nil"/>
          <w:left w:val="nil"/>
          <w:bottom w:val="nil"/>
          <w:right w:val="nil"/>
          <w:between w:val="nil"/>
          <w:bar w:val="nil"/>
        </w:pBdr>
        <w:rPr>
          <w:sz w:val="34"/>
          <w:szCs w:val="34"/>
          <w:bdr w:val="nil"/>
        </w:rPr>
      </w:pPr>
      <w:r>
        <w:rPr>
          <w:sz w:val="34"/>
          <w:szCs w:val="34"/>
          <w:bdr w:val="nil"/>
        </w:rPr>
        <w:fldChar w:fldCharType="begin"/>
      </w:r>
      <w:r w:rsidRPr="00FC4A93">
        <w:rPr>
          <w:sz w:val="34"/>
          <w:szCs w:val="34"/>
          <w:bdr w:val="nil"/>
        </w:rPr>
        <w:instrText xml:space="preserve"> TC "Portfolio Overview" \f C \l "1" </w:instrText>
      </w:r>
      <w:r>
        <w:rPr>
          <w:sz w:val="34"/>
          <w:szCs w:val="34"/>
          <w:bdr w:val="nil"/>
        </w:rPr>
        <w:fldChar w:fldCharType="end"/>
      </w:r>
    </w:p>
    <w:p w:rsidR="001D003E" w:rsidRDefault="001D003E" w:rsidP="001D003E">
      <w:pPr>
        <w:pStyle w:val="Heading3"/>
        <w:keepLines w:val="0"/>
        <w:pBdr>
          <w:top w:val="nil"/>
          <w:left w:val="nil"/>
          <w:bottom w:val="nil"/>
          <w:right w:val="nil"/>
          <w:between w:val="nil"/>
          <w:bar w:val="nil"/>
        </w:pBdr>
        <w:jc w:val="left"/>
        <w:rPr>
          <w:bdr w:val="nil"/>
        </w:rPr>
      </w:pPr>
      <w:r>
        <w:rPr>
          <w:rFonts w:cs="Arial"/>
          <w:bdr w:val="nil"/>
        </w:rPr>
        <w:t>Minister and Portfolio Responsibilities</w:t>
      </w:r>
    </w:p>
    <w:p w:rsidR="001D003E" w:rsidRPr="00952989" w:rsidRDefault="001D003E" w:rsidP="001D003E">
      <w:pPr>
        <w:keepLines w:val="0"/>
        <w:pBdr>
          <w:top w:val="nil"/>
          <w:left w:val="nil"/>
          <w:bottom w:val="nil"/>
          <w:right w:val="nil"/>
          <w:between w:val="nil"/>
          <w:bar w:val="nil"/>
        </w:pBdr>
        <w:spacing w:after="200" w:line="276" w:lineRule="auto"/>
        <w:rPr>
          <w:rFonts w:eastAsia="Calibri"/>
          <w:bdr w:val="nil"/>
          <w:lang w:eastAsia="en-US"/>
        </w:rPr>
      </w:pPr>
      <w:r w:rsidRPr="00952989">
        <w:rPr>
          <w:rFonts w:eastAsia="Calibri"/>
          <w:bdr w:val="nil"/>
          <w:lang w:eastAsia="en-US"/>
        </w:rPr>
        <w:t xml:space="preserve">There has been no change in the Department’s role, planned outcomes or programs structure since </w:t>
      </w:r>
      <w:r>
        <w:rPr>
          <w:rFonts w:eastAsia="Calibri"/>
          <w:bdr w:val="nil"/>
          <w:lang w:eastAsia="en-US"/>
        </w:rPr>
        <w:t xml:space="preserve">the 2021-22 </w:t>
      </w:r>
      <w:r w:rsidRPr="00952989">
        <w:rPr>
          <w:rFonts w:eastAsia="Calibri"/>
          <w:bdr w:val="nil"/>
          <w:lang w:eastAsia="en-US"/>
        </w:rPr>
        <w:t xml:space="preserve">Portfolio Budget Statements.  A full outline of the </w:t>
      </w:r>
      <w:r>
        <w:rPr>
          <w:rFonts w:eastAsia="Calibri"/>
          <w:bdr w:val="nil"/>
          <w:lang w:eastAsia="en-US"/>
        </w:rPr>
        <w:t>Department of Veterans' Affairs</w:t>
      </w:r>
      <w:r w:rsidRPr="00952989">
        <w:rPr>
          <w:rFonts w:eastAsia="Calibri"/>
          <w:bdr w:val="nil"/>
          <w:lang w:eastAsia="en-US"/>
        </w:rPr>
        <w:t xml:space="preserve"> (</w:t>
      </w:r>
      <w:r>
        <w:rPr>
          <w:rFonts w:eastAsia="Calibri"/>
          <w:bdr w:val="nil"/>
          <w:lang w:eastAsia="en-US"/>
        </w:rPr>
        <w:t>DVA</w:t>
      </w:r>
      <w:r w:rsidRPr="00952989">
        <w:rPr>
          <w:rFonts w:eastAsia="Calibri"/>
          <w:bdr w:val="nil"/>
          <w:lang w:eastAsia="en-US"/>
        </w:rPr>
        <w:t xml:space="preserve">) Portfolio Overview can be found in the </w:t>
      </w:r>
      <w:r>
        <w:rPr>
          <w:rFonts w:eastAsia="Calibri"/>
          <w:bdr w:val="nil"/>
          <w:lang w:eastAsia="en-US"/>
        </w:rPr>
        <w:t>2021-22</w:t>
      </w:r>
      <w:r w:rsidRPr="00952989">
        <w:rPr>
          <w:rFonts w:eastAsia="Calibri"/>
          <w:bdr w:val="nil"/>
          <w:lang w:eastAsia="en-US"/>
        </w:rPr>
        <w:t xml:space="preserve"> Portfolio Budget Statement</w:t>
      </w:r>
      <w:r>
        <w:rPr>
          <w:rFonts w:eastAsia="Calibri"/>
          <w:bdr w:val="nil"/>
          <w:lang w:eastAsia="en-US"/>
        </w:rPr>
        <w:t>s</w:t>
      </w:r>
      <w:r w:rsidRPr="00952989">
        <w:rPr>
          <w:rFonts w:eastAsia="Calibri"/>
          <w:bdr w:val="nil"/>
          <w:lang w:eastAsia="en-US"/>
        </w:rPr>
        <w:t>.</w:t>
      </w:r>
    </w:p>
    <w:p w:rsidR="001D003E" w:rsidRDefault="001D003E" w:rsidP="001D003E">
      <w:pPr>
        <w:keepLines w:val="0"/>
        <w:pBdr>
          <w:top w:val="nil"/>
          <w:left w:val="nil"/>
          <w:bottom w:val="nil"/>
          <w:right w:val="nil"/>
          <w:between w:val="nil"/>
          <w:bar w:val="nil"/>
        </w:pBdr>
        <w:spacing w:after="0" w:line="276" w:lineRule="auto"/>
        <w:rPr>
          <w:rFonts w:eastAsia="Calibri"/>
          <w:bdr w:val="nil"/>
          <w:lang w:eastAsia="en-US"/>
        </w:rPr>
      </w:pPr>
    </w:p>
    <w:p w:rsidR="001D003E" w:rsidRDefault="001D003E" w:rsidP="001D003E">
      <w:pPr>
        <w:keepLines w:val="0"/>
        <w:pBdr>
          <w:top w:val="nil"/>
          <w:left w:val="nil"/>
          <w:bottom w:val="nil"/>
          <w:right w:val="nil"/>
          <w:between w:val="nil"/>
          <w:bar w:val="nil"/>
        </w:pBdr>
        <w:spacing w:after="0" w:line="276" w:lineRule="auto"/>
        <w:rPr>
          <w:rFonts w:eastAsia="Calibri"/>
          <w:bdr w:val="nil"/>
          <w:lang w:eastAsia="en-US"/>
        </w:rPr>
      </w:pPr>
      <w:r>
        <w:rPr>
          <w:rFonts w:eastAsia="Calibri"/>
          <w:bdr w:val="nil"/>
          <w:lang w:eastAsia="en-US"/>
        </w:rPr>
        <w:t>There is no funding change for the Australian War Memorial.</w:t>
      </w:r>
    </w:p>
    <w:p w:rsidR="001D003E" w:rsidRDefault="001D003E" w:rsidP="001D003E">
      <w:pPr>
        <w:keepLines w:val="0"/>
        <w:pBdr>
          <w:top w:val="nil"/>
          <w:left w:val="nil"/>
          <w:bottom w:val="nil"/>
          <w:right w:val="nil"/>
          <w:between w:val="nil"/>
          <w:bar w:val="nil"/>
        </w:pBdr>
        <w:spacing w:after="0" w:line="276" w:lineRule="auto"/>
        <w:rPr>
          <w:rFonts w:eastAsia="Calibri"/>
          <w:bdr w:val="nil"/>
          <w:lang w:eastAsia="en-US"/>
        </w:rPr>
      </w:pPr>
    </w:p>
    <w:p w:rsidR="001D003E" w:rsidRPr="008F152C" w:rsidRDefault="001D003E" w:rsidP="001D003E">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sectPr w:rsidR="001D003E" w:rsidRPr="008F152C" w:rsidSect="001D003E">
          <w:headerReference w:type="even" r:id="rId55"/>
          <w:headerReference w:type="default" r:id="rId56"/>
          <w:footerReference w:type="even" r:id="rId57"/>
          <w:footerReference w:type="default" r:id="rId58"/>
          <w:headerReference w:type="first" r:id="rId59"/>
          <w:footerReference w:type="first" r:id="rId60"/>
          <w:type w:val="continuous"/>
          <w:pgSz w:w="10319" w:h="14572"/>
          <w:pgMar w:top="1304" w:right="1389" w:bottom="1304" w:left="1389" w:header="1021" w:footer="1021" w:gutter="0"/>
          <w:pgBorders>
            <w:top w:val="nil"/>
            <w:left w:val="nil"/>
            <w:bottom w:val="nil"/>
            <w:right w:val="nil"/>
          </w:pgBorders>
          <w:cols w:space="708"/>
          <w:docGrid w:linePitch="360"/>
        </w:sectPr>
      </w:pPr>
      <w:r>
        <w:t xml:space="preserve"> </w:t>
      </w:r>
    </w:p>
    <w:p w:rsidR="001D003E" w:rsidRDefault="001D003E" w:rsidP="001D003E">
      <w:pPr>
        <w:pStyle w:val="FigureHeading"/>
        <w:keepLines w:val="0"/>
        <w:pageBreakBefore/>
        <w:pBdr>
          <w:top w:val="nil"/>
          <w:left w:val="nil"/>
          <w:bottom w:val="nil"/>
          <w:right w:val="nil"/>
          <w:between w:val="nil"/>
          <w:bar w:val="nil"/>
        </w:pBdr>
        <w:spacing w:before="480" w:after="360"/>
        <w:jc w:val="left"/>
        <w:rPr>
          <w:bdr w:val="nil"/>
        </w:rPr>
      </w:pPr>
      <w:r>
        <w:rPr>
          <w:bdr w:val="nil"/>
        </w:rPr>
        <w:lastRenderedPageBreak/>
        <w:t>Figure 1: Veterans' Affairs Portfolio Structure and Outcomes</w:t>
      </w:r>
    </w:p>
    <w:p w:rsidR="001D003E" w:rsidRPr="00730DCB" w:rsidRDefault="009E58DC" w:rsidP="001D003E">
      <w:pPr>
        <w:keepLines w:val="0"/>
        <w:pBdr>
          <w:top w:val="nil"/>
          <w:left w:val="nil"/>
          <w:bottom w:val="nil"/>
          <w:right w:val="nil"/>
          <w:between w:val="nil"/>
          <w:bar w:val="nil"/>
        </w:pBdr>
        <w:spacing w:after="200" w:line="276" w:lineRule="auto"/>
        <w:jc w:val="center"/>
        <w:rPr>
          <w:rFonts w:ascii="Calibri" w:eastAsia="Calibri" w:hAnsi="Calibri"/>
          <w:sz w:val="22"/>
          <w:szCs w:val="22"/>
          <w:bdr w:val="nil"/>
          <w:lang w:eastAsia="en-US"/>
        </w:rPr>
        <w:sectPr w:rsidR="001D003E" w:rsidRPr="00730DCB" w:rsidSect="001D003E">
          <w:headerReference w:type="even" r:id="rId61"/>
          <w:headerReference w:type="default" r:id="rId62"/>
          <w:footerReference w:type="even" r:id="rId63"/>
          <w:footerReference w:type="default" r:id="rId64"/>
          <w:headerReference w:type="first" r:id="rId65"/>
          <w:footerReference w:type="first" r:id="rId66"/>
          <w:type w:val="continuous"/>
          <w:pgSz w:w="10319" w:h="14572"/>
          <w:pgMar w:top="1304" w:right="1389" w:bottom="1304" w:left="1389" w:header="1021" w:footer="1021" w:gutter="0"/>
          <w:pgBorders>
            <w:top w:val="nil"/>
            <w:left w:val="nil"/>
            <w:bottom w:val="nil"/>
            <w:right w:val="nil"/>
          </w:pgBorders>
          <w:cols w:space="708"/>
          <w:docGrid w:linePitch="360"/>
        </w:sectPr>
      </w:pPr>
      <w:r>
        <w:rPr>
          <w:rFonts w:ascii="Calibri" w:eastAsia="Calibri" w:hAnsi="Calibri"/>
          <w:sz w:val="22"/>
          <w:szCs w:val="22"/>
          <w:bdr w:val="nil"/>
          <w:lang w:eastAsia="en-US"/>
        </w:rPr>
      </w:r>
      <w:r>
        <w:rPr>
          <w:rFonts w:ascii="Calibri" w:eastAsia="Calibri" w:hAnsi="Calibri"/>
          <w:sz w:val="22"/>
          <w:szCs w:val="22"/>
          <w:bdr w:val="nil"/>
          <w:lang w:eastAsia="en-US"/>
        </w:rPr>
        <w:pict>
          <v:group id="_x0000_s1030" editas="canvas" style="width:378pt;height:512.85pt;mso-position-horizontal-relative:char;mso-position-vertical-relative:line" coordorigin="2173,2127" coordsize="7560,102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173;top:2127;width:7560;height:10257" o:preferrelative="f">
              <v:fill o:detectmouseclick="t"/>
            </v:shape>
            <v:shapetype id="_x0000_t202" coordsize="21600,21600" o:spt="202" path="m,l,21600r21600,l21600,xe">
              <v:stroke joinstyle="miter"/>
              <v:path gradientshapeok="t" o:connecttype="rect"/>
            </v:shapetype>
            <v:shape id="_x0000_s1027" type="#_x0000_t202" style="position:absolute;left:2173;top:4441;width:3420;height:7808">
              <v:textbox>
                <w:txbxContent>
                  <w:p w:rsidR="009E58DC" w:rsidRDefault="009E58DC" w:rsidP="001D003E">
                    <w:pPr>
                      <w:keepLines w:val="0"/>
                      <w:pBdr>
                        <w:top w:val="nil"/>
                        <w:left w:val="nil"/>
                        <w:bottom w:val="nil"/>
                        <w:right w:val="nil"/>
                        <w:between w:val="nil"/>
                        <w:bar w:val="nil"/>
                      </w:pBdr>
                      <w:spacing w:after="60" w:line="276" w:lineRule="auto"/>
                      <w:jc w:val="center"/>
                      <w:rPr>
                        <w:rFonts w:ascii="Arial" w:eastAsia="Calibri" w:hAnsi="Arial" w:cs="Arial"/>
                        <w:b/>
                        <w:sz w:val="18"/>
                        <w:szCs w:val="18"/>
                        <w:bdr w:val="nil"/>
                        <w:lang w:eastAsia="en-US"/>
                      </w:rPr>
                    </w:pPr>
                  </w:p>
                  <w:p w:rsidR="009E58DC" w:rsidRDefault="009E58DC" w:rsidP="001D003E">
                    <w:pPr>
                      <w:keepLines w:val="0"/>
                      <w:pBdr>
                        <w:top w:val="nil"/>
                        <w:left w:val="nil"/>
                        <w:bottom w:val="nil"/>
                        <w:right w:val="nil"/>
                        <w:between w:val="nil"/>
                        <w:bar w:val="nil"/>
                      </w:pBdr>
                      <w:spacing w:after="60" w:line="276" w:lineRule="auto"/>
                      <w:jc w:val="center"/>
                      <w:rPr>
                        <w:rFonts w:ascii="Arial" w:eastAsia="Calibri" w:hAnsi="Arial" w:cs="Arial"/>
                        <w:b/>
                        <w:sz w:val="18"/>
                        <w:szCs w:val="18"/>
                        <w:bdr w:val="nil"/>
                        <w:lang w:eastAsia="en-US"/>
                      </w:rPr>
                    </w:pPr>
                    <w:r>
                      <w:rPr>
                        <w:rFonts w:ascii="Arial" w:eastAsia="Calibri" w:hAnsi="Arial" w:cs="Arial"/>
                        <w:b/>
                        <w:sz w:val="18"/>
                        <w:szCs w:val="18"/>
                        <w:bdr w:val="nil"/>
                        <w:lang w:eastAsia="en-US"/>
                      </w:rPr>
                      <w:t>Department of Veterans’ Affairs</w:t>
                    </w:r>
                  </w:p>
                  <w:p w:rsidR="009E58DC" w:rsidRDefault="009E58DC" w:rsidP="001D003E">
                    <w:pPr>
                      <w:keepLines w:val="0"/>
                      <w:pBdr>
                        <w:top w:val="nil"/>
                        <w:left w:val="nil"/>
                        <w:bottom w:val="nil"/>
                        <w:right w:val="nil"/>
                        <w:between w:val="nil"/>
                        <w:bar w:val="nil"/>
                      </w:pBdr>
                      <w:spacing w:after="60" w:line="276" w:lineRule="auto"/>
                      <w:jc w:val="center"/>
                      <w:rPr>
                        <w:rFonts w:ascii="Arial" w:eastAsia="Calibri" w:hAnsi="Arial" w:cs="Arial"/>
                        <w:b/>
                        <w:sz w:val="18"/>
                        <w:szCs w:val="18"/>
                        <w:bdr w:val="nil"/>
                        <w:lang w:eastAsia="en-US"/>
                      </w:rPr>
                    </w:pPr>
                  </w:p>
                  <w:p w:rsidR="009E58DC" w:rsidRDefault="009E58DC" w:rsidP="001D003E">
                    <w:pPr>
                      <w:keepLines w:val="0"/>
                      <w:pBdr>
                        <w:top w:val="nil"/>
                        <w:left w:val="nil"/>
                        <w:bottom w:val="nil"/>
                        <w:right w:val="nil"/>
                        <w:between w:val="nil"/>
                        <w:bar w:val="nil"/>
                      </w:pBdr>
                      <w:spacing w:after="60" w:line="276" w:lineRule="auto"/>
                      <w:jc w:val="center"/>
                      <w:rPr>
                        <w:rFonts w:ascii="Arial" w:eastAsia="Calibri" w:hAnsi="Arial" w:cs="Arial"/>
                        <w:b/>
                        <w:sz w:val="18"/>
                        <w:szCs w:val="18"/>
                        <w:bdr w:val="nil"/>
                        <w:lang w:eastAsia="en-US"/>
                      </w:rPr>
                    </w:pPr>
                    <w:r>
                      <w:rPr>
                        <w:rFonts w:ascii="Arial" w:eastAsia="Calibri" w:hAnsi="Arial" w:cs="Arial"/>
                        <w:b/>
                        <w:sz w:val="18"/>
                        <w:szCs w:val="18"/>
                        <w:bdr w:val="nil"/>
                        <w:lang w:eastAsia="en-US"/>
                      </w:rPr>
                      <w:t>Secretary: Liz Cosson AM, CSC</w:t>
                    </w:r>
                  </w:p>
                  <w:p w:rsidR="009E58DC" w:rsidRDefault="009E58DC" w:rsidP="001D003E">
                    <w:pPr>
                      <w:keepLines w:val="0"/>
                      <w:pBdr>
                        <w:top w:val="nil"/>
                        <w:left w:val="nil"/>
                        <w:bottom w:val="nil"/>
                        <w:right w:val="nil"/>
                        <w:between w:val="nil"/>
                        <w:bar w:val="nil"/>
                      </w:pBdr>
                      <w:spacing w:after="60" w:line="276" w:lineRule="auto"/>
                      <w:jc w:val="center"/>
                      <w:rPr>
                        <w:rFonts w:ascii="Arial" w:eastAsia="Calibri" w:hAnsi="Arial" w:cs="Arial"/>
                        <w:b/>
                        <w:sz w:val="18"/>
                        <w:szCs w:val="18"/>
                        <w:bdr w:val="nil"/>
                        <w:lang w:eastAsia="en-US"/>
                      </w:rPr>
                    </w:pPr>
                  </w:p>
                  <w:p w:rsidR="009E58DC" w:rsidRDefault="009E58DC" w:rsidP="001D003E">
                    <w:pPr>
                      <w:keepLines w:val="0"/>
                      <w:pBdr>
                        <w:top w:val="nil"/>
                        <w:left w:val="nil"/>
                        <w:bottom w:val="nil"/>
                        <w:right w:val="nil"/>
                        <w:between w:val="nil"/>
                        <w:bar w:val="nil"/>
                      </w:pBdr>
                      <w:spacing w:after="120" w:line="276" w:lineRule="auto"/>
                      <w:jc w:val="left"/>
                      <w:rPr>
                        <w:rFonts w:ascii="Arial" w:eastAsia="Calibri" w:hAnsi="Arial" w:cs="Arial"/>
                        <w:sz w:val="18"/>
                        <w:szCs w:val="18"/>
                        <w:bdr w:val="nil"/>
                        <w:lang w:eastAsia="en-US"/>
                      </w:rPr>
                    </w:pPr>
                    <w:r>
                      <w:rPr>
                        <w:rFonts w:ascii="Arial" w:eastAsia="Calibri" w:hAnsi="Arial" w:cs="Arial"/>
                        <w:i/>
                        <w:sz w:val="18"/>
                        <w:szCs w:val="18"/>
                        <w:bdr w:val="nil"/>
                        <w:lang w:eastAsia="en-US"/>
                      </w:rPr>
                      <w:t>Outcome 1</w:t>
                    </w:r>
                    <w:r>
                      <w:rPr>
                        <w:rFonts w:ascii="Arial" w:eastAsia="Calibri" w:hAnsi="Arial" w:cs="Arial"/>
                        <w:sz w:val="18"/>
                        <w:szCs w:val="18"/>
                        <w:bdr w:val="nil"/>
                        <w:lang w:eastAsia="en-US"/>
                      </w:rPr>
                      <w:t>: Maintain and enhance the financial wellbeing and self-sufficiency of eligible persons and their dependants through access to income support, compensation, and other support services, including advice and information about entitlements.</w:t>
                    </w:r>
                  </w:p>
                  <w:p w:rsidR="009E58DC" w:rsidRDefault="009E58DC" w:rsidP="001D003E">
                    <w:pPr>
                      <w:keepLines w:val="0"/>
                      <w:pBdr>
                        <w:top w:val="nil"/>
                        <w:left w:val="nil"/>
                        <w:bottom w:val="nil"/>
                        <w:right w:val="nil"/>
                        <w:between w:val="nil"/>
                        <w:bar w:val="nil"/>
                      </w:pBdr>
                      <w:spacing w:after="120" w:line="276" w:lineRule="auto"/>
                      <w:jc w:val="left"/>
                      <w:rPr>
                        <w:rFonts w:ascii="Arial" w:eastAsia="Calibri" w:hAnsi="Arial" w:cs="Arial"/>
                        <w:sz w:val="18"/>
                        <w:szCs w:val="18"/>
                        <w:bdr w:val="nil"/>
                        <w:lang w:eastAsia="en-US"/>
                      </w:rPr>
                    </w:pPr>
                    <w:r>
                      <w:rPr>
                        <w:rFonts w:ascii="Arial" w:eastAsia="Calibri" w:hAnsi="Arial" w:cs="Arial"/>
                        <w:i/>
                        <w:sz w:val="18"/>
                        <w:szCs w:val="18"/>
                        <w:bdr w:val="nil"/>
                        <w:lang w:eastAsia="en-US"/>
                      </w:rPr>
                      <w:t>Outcome 2</w:t>
                    </w:r>
                    <w:r>
                      <w:rPr>
                        <w:rFonts w:ascii="Arial" w:eastAsia="Calibri" w:hAnsi="Arial" w:cs="Arial"/>
                        <w:sz w:val="18"/>
                        <w:szCs w:val="18"/>
                        <w:bdr w:val="nil"/>
                        <w:lang w:eastAsia="en-US"/>
                      </w:rPr>
                      <w:t>: Maintain and enhance the physical wellbeing and quality of life of eligible persons and their dependants through health and other care services that promote early intervention, prevention and treatment, including advice and information about health service entitlements.</w:t>
                    </w:r>
                  </w:p>
                  <w:p w:rsidR="009E58DC" w:rsidRDefault="009E58DC" w:rsidP="001D003E">
                    <w:pPr>
                      <w:keepLines w:val="0"/>
                      <w:pBdr>
                        <w:top w:val="nil"/>
                        <w:left w:val="nil"/>
                        <w:bottom w:val="nil"/>
                        <w:right w:val="nil"/>
                        <w:between w:val="nil"/>
                        <w:bar w:val="nil"/>
                      </w:pBdr>
                      <w:spacing w:after="120" w:line="276" w:lineRule="auto"/>
                      <w:jc w:val="left"/>
                      <w:rPr>
                        <w:rFonts w:ascii="Arial" w:eastAsia="Calibri" w:hAnsi="Arial" w:cs="Arial"/>
                        <w:sz w:val="18"/>
                        <w:szCs w:val="18"/>
                        <w:bdr w:val="nil"/>
                        <w:lang w:eastAsia="en-US"/>
                      </w:rPr>
                    </w:pPr>
                    <w:r>
                      <w:rPr>
                        <w:rFonts w:ascii="Arial" w:eastAsia="Calibri" w:hAnsi="Arial" w:cs="Arial"/>
                        <w:i/>
                        <w:sz w:val="18"/>
                        <w:szCs w:val="18"/>
                        <w:bdr w:val="nil"/>
                        <w:lang w:eastAsia="en-US"/>
                      </w:rPr>
                      <w:t>Outcome 3</w:t>
                    </w:r>
                    <w:r>
                      <w:rPr>
                        <w:rFonts w:ascii="Arial" w:eastAsia="Calibri" w:hAnsi="Arial" w:cs="Arial"/>
                        <w:sz w:val="18"/>
                        <w:szCs w:val="18"/>
                        <w:bdr w:val="nil"/>
                        <w:lang w:eastAsia="en-US"/>
                      </w:rPr>
                      <w:t>: Acknowledgement and commemoration of those who served Australia and its allies in wars, conflicts and peace operations through promoting recognition of service and sacrifice, preservation of Australia’s wartime heritage, and official commemorations.</w:t>
                    </w:r>
                  </w:p>
                </w:txbxContent>
              </v:textbox>
            </v:shape>
            <v:shape id="_x0000_s1028" type="#_x0000_t202" style="position:absolute;left:5773;top:4441;width:3938;height:7808">
              <v:textbox>
                <w:txbxContent>
                  <w:p w:rsidR="009E58DC" w:rsidRDefault="009E58DC" w:rsidP="001D003E">
                    <w:pPr>
                      <w:keepLines w:val="0"/>
                      <w:pBdr>
                        <w:top w:val="nil"/>
                        <w:left w:val="nil"/>
                        <w:bottom w:val="nil"/>
                        <w:right w:val="nil"/>
                        <w:between w:val="nil"/>
                        <w:bar w:val="nil"/>
                      </w:pBdr>
                      <w:spacing w:after="60" w:line="276" w:lineRule="auto"/>
                      <w:jc w:val="center"/>
                      <w:rPr>
                        <w:rFonts w:ascii="Arial" w:eastAsia="Calibri" w:hAnsi="Arial" w:cs="Arial"/>
                        <w:b/>
                        <w:sz w:val="18"/>
                        <w:szCs w:val="18"/>
                        <w:bdr w:val="nil"/>
                        <w:lang w:eastAsia="en-US"/>
                      </w:rPr>
                    </w:pPr>
                  </w:p>
                  <w:p w:rsidR="009E58DC" w:rsidRDefault="009E58DC" w:rsidP="001D003E">
                    <w:pPr>
                      <w:keepLines w:val="0"/>
                      <w:pBdr>
                        <w:top w:val="nil"/>
                        <w:left w:val="nil"/>
                        <w:bottom w:val="nil"/>
                        <w:right w:val="nil"/>
                        <w:between w:val="nil"/>
                        <w:bar w:val="nil"/>
                      </w:pBdr>
                      <w:spacing w:after="60" w:line="276" w:lineRule="auto"/>
                      <w:jc w:val="center"/>
                      <w:rPr>
                        <w:rFonts w:ascii="Arial" w:eastAsia="Calibri" w:hAnsi="Arial" w:cs="Arial"/>
                        <w:b/>
                        <w:sz w:val="18"/>
                        <w:szCs w:val="18"/>
                        <w:bdr w:val="nil"/>
                        <w:lang w:eastAsia="en-US"/>
                      </w:rPr>
                    </w:pPr>
                    <w:r>
                      <w:rPr>
                        <w:rFonts w:ascii="Arial" w:eastAsia="Calibri" w:hAnsi="Arial" w:cs="Arial"/>
                        <w:b/>
                        <w:sz w:val="18"/>
                        <w:szCs w:val="18"/>
                        <w:bdr w:val="nil"/>
                        <w:lang w:eastAsia="en-US"/>
                      </w:rPr>
                      <w:t>Australian War Memorial</w:t>
                    </w:r>
                  </w:p>
                  <w:p w:rsidR="009E58DC" w:rsidRDefault="009E58DC" w:rsidP="001D003E">
                    <w:pPr>
                      <w:keepLines w:val="0"/>
                      <w:pBdr>
                        <w:top w:val="nil"/>
                        <w:left w:val="nil"/>
                        <w:bottom w:val="nil"/>
                        <w:right w:val="nil"/>
                        <w:between w:val="nil"/>
                        <w:bar w:val="nil"/>
                      </w:pBdr>
                      <w:spacing w:after="60" w:line="276" w:lineRule="auto"/>
                      <w:jc w:val="left"/>
                      <w:rPr>
                        <w:rFonts w:ascii="Arial" w:eastAsia="Calibri" w:hAnsi="Arial" w:cs="Arial"/>
                        <w:b/>
                        <w:sz w:val="18"/>
                        <w:szCs w:val="18"/>
                        <w:bdr w:val="nil"/>
                        <w:lang w:eastAsia="en-US"/>
                      </w:rPr>
                    </w:pPr>
                  </w:p>
                  <w:p w:rsidR="009E58DC" w:rsidRPr="007967CB" w:rsidRDefault="009E58DC" w:rsidP="001D003E">
                    <w:pPr>
                      <w:keepLines w:val="0"/>
                      <w:pBdr>
                        <w:top w:val="nil"/>
                        <w:left w:val="nil"/>
                        <w:bottom w:val="nil"/>
                        <w:right w:val="nil"/>
                        <w:between w:val="nil"/>
                        <w:bar w:val="nil"/>
                      </w:pBdr>
                      <w:spacing w:after="60" w:line="276" w:lineRule="auto"/>
                      <w:jc w:val="center"/>
                      <w:rPr>
                        <w:rFonts w:ascii="Arial" w:eastAsia="Calibri" w:hAnsi="Arial" w:cs="Arial"/>
                        <w:b/>
                        <w:sz w:val="18"/>
                        <w:szCs w:val="18"/>
                        <w:bdr w:val="nil"/>
                        <w:lang w:eastAsia="en-US"/>
                      </w:rPr>
                    </w:pPr>
                    <w:r w:rsidRPr="00A14A1B">
                      <w:rPr>
                        <w:rFonts w:ascii="Arial" w:eastAsia="Calibri" w:hAnsi="Arial" w:cs="Arial"/>
                        <w:b/>
                        <w:sz w:val="18"/>
                        <w:szCs w:val="18"/>
                        <w:bdr w:val="nil"/>
                        <w:lang w:eastAsia="en-US"/>
                      </w:rPr>
                      <w:t xml:space="preserve">Director: </w:t>
                    </w:r>
                    <w:r w:rsidRPr="007967CB">
                      <w:rPr>
                        <w:rFonts w:ascii="Arial" w:eastAsia="Calibri" w:hAnsi="Arial" w:cs="Arial"/>
                        <w:b/>
                        <w:sz w:val="18"/>
                        <w:szCs w:val="18"/>
                        <w:bdr w:val="nil"/>
                        <w:lang w:eastAsia="en-US"/>
                      </w:rPr>
                      <w:t>Matt Anderson PSM</w:t>
                    </w:r>
                  </w:p>
                  <w:p w:rsidR="009E58DC" w:rsidRPr="007967CB" w:rsidRDefault="009E58DC" w:rsidP="001D003E">
                    <w:pPr>
                      <w:keepLines w:val="0"/>
                      <w:pBdr>
                        <w:top w:val="nil"/>
                        <w:left w:val="nil"/>
                        <w:bottom w:val="nil"/>
                        <w:right w:val="nil"/>
                        <w:between w:val="nil"/>
                        <w:bar w:val="nil"/>
                      </w:pBdr>
                      <w:spacing w:after="60" w:line="276" w:lineRule="auto"/>
                      <w:jc w:val="center"/>
                      <w:rPr>
                        <w:rFonts w:ascii="Arial" w:eastAsia="Calibri" w:hAnsi="Arial" w:cs="Arial"/>
                        <w:b/>
                        <w:sz w:val="18"/>
                        <w:szCs w:val="18"/>
                        <w:bdr w:val="nil"/>
                        <w:lang w:eastAsia="en-US"/>
                      </w:rPr>
                    </w:pPr>
                  </w:p>
                  <w:p w:rsidR="009E58DC" w:rsidRPr="007967CB" w:rsidRDefault="009E58DC" w:rsidP="001D003E">
                    <w:pPr>
                      <w:keepLines w:val="0"/>
                      <w:pBdr>
                        <w:top w:val="nil"/>
                        <w:left w:val="nil"/>
                        <w:bottom w:val="nil"/>
                        <w:right w:val="nil"/>
                        <w:between w:val="nil"/>
                        <w:bar w:val="nil"/>
                      </w:pBdr>
                      <w:spacing w:after="0" w:line="276" w:lineRule="auto"/>
                      <w:jc w:val="left"/>
                      <w:rPr>
                        <w:rFonts w:ascii="Arial" w:eastAsia="Calibri" w:hAnsi="Arial" w:cs="Arial"/>
                        <w:sz w:val="18"/>
                        <w:szCs w:val="18"/>
                        <w:bdr w:val="nil"/>
                        <w:lang w:eastAsia="en-US"/>
                      </w:rPr>
                    </w:pPr>
                    <w:r w:rsidRPr="007967CB">
                      <w:rPr>
                        <w:rFonts w:ascii="Arial" w:eastAsia="Calibri" w:hAnsi="Arial" w:cs="Arial"/>
                        <w:i/>
                        <w:sz w:val="18"/>
                        <w:szCs w:val="18"/>
                        <w:bdr w:val="nil"/>
                        <w:lang w:eastAsia="en-US"/>
                      </w:rPr>
                      <w:t>Outcome 1</w:t>
                    </w:r>
                    <w:r w:rsidRPr="007967CB">
                      <w:rPr>
                        <w:rFonts w:ascii="Arial" w:eastAsia="Calibri" w:hAnsi="Arial" w:cs="Arial"/>
                        <w:sz w:val="18"/>
                        <w:szCs w:val="18"/>
                        <w:bdr w:val="nil"/>
                        <w:lang w:eastAsia="en-US"/>
                      </w:rPr>
                      <w:t xml:space="preserve">: </w:t>
                    </w:r>
                    <w:bookmarkStart w:id="1" w:name="_Hlk229295777"/>
                    <w:r w:rsidRPr="007967CB">
                      <w:rPr>
                        <w:rFonts w:ascii="Arial" w:eastAsia="Calibri" w:hAnsi="Arial" w:cs="Arial"/>
                        <w:sz w:val="18"/>
                        <w:szCs w:val="18"/>
                        <w:bdr w:val="nil"/>
                        <w:lang w:eastAsia="en-US"/>
                      </w:rPr>
                      <w:t>Australians remembering, interpreting and understanding the Australian experience of war and its enduring impact through maintaining and developing the National Memorial, its collection and exhibition of historical material, commemorative ceremonies and research.</w:t>
                    </w:r>
                    <w:bookmarkEnd w:id="1"/>
                  </w:p>
                </w:txbxContent>
              </v:textbox>
            </v:shape>
            <v:shape id="_x0000_s1029" type="#_x0000_t202" style="position:absolute;left:2173;top:2127;width:7560;height:2121">
              <v:textbox>
                <w:txbxContent>
                  <w:p w:rsidR="009E58DC" w:rsidRPr="00A14A1B" w:rsidRDefault="009E58DC" w:rsidP="001D003E">
                    <w:pPr>
                      <w:keepLines w:val="0"/>
                      <w:pBdr>
                        <w:top w:val="nil"/>
                        <w:left w:val="nil"/>
                        <w:bottom w:val="nil"/>
                        <w:right w:val="nil"/>
                        <w:between w:val="nil"/>
                        <w:bar w:val="nil"/>
                      </w:pBdr>
                      <w:spacing w:before="120" w:after="120" w:line="276" w:lineRule="auto"/>
                      <w:jc w:val="center"/>
                      <w:rPr>
                        <w:rFonts w:ascii="Arial" w:eastAsia="Calibri" w:hAnsi="Arial" w:cs="Arial"/>
                        <w:sz w:val="22"/>
                        <w:szCs w:val="22"/>
                        <w:bdr w:val="nil"/>
                        <w:lang w:eastAsia="en-US"/>
                      </w:rPr>
                    </w:pPr>
                    <w:r w:rsidRPr="00A14A1B">
                      <w:rPr>
                        <w:rFonts w:ascii="Arial" w:eastAsia="Calibri" w:hAnsi="Arial" w:cs="Arial"/>
                        <w:sz w:val="22"/>
                        <w:szCs w:val="22"/>
                        <w:bdr w:val="nil"/>
                        <w:lang w:eastAsia="en-US"/>
                      </w:rPr>
                      <w:t>Minister</w:t>
                    </w:r>
                  </w:p>
                  <w:p w:rsidR="009E58DC" w:rsidRDefault="009E58DC" w:rsidP="001D003E">
                    <w:pPr>
                      <w:keepLines w:val="0"/>
                      <w:pBdr>
                        <w:top w:val="nil"/>
                        <w:left w:val="nil"/>
                        <w:bottom w:val="nil"/>
                        <w:right w:val="nil"/>
                        <w:between w:val="nil"/>
                        <w:bar w:val="nil"/>
                      </w:pBdr>
                      <w:spacing w:after="200" w:line="276" w:lineRule="auto"/>
                      <w:jc w:val="center"/>
                      <w:rPr>
                        <w:rFonts w:ascii="Arial" w:eastAsia="Calibri" w:hAnsi="Arial" w:cs="Arial"/>
                        <w:b/>
                        <w:sz w:val="22"/>
                        <w:szCs w:val="22"/>
                        <w:bdr w:val="nil"/>
                        <w:lang w:eastAsia="en-US"/>
                      </w:rPr>
                    </w:pPr>
                    <w:r>
                      <w:rPr>
                        <w:rFonts w:ascii="Arial" w:eastAsia="Calibri" w:hAnsi="Arial" w:cs="Arial"/>
                        <w:b/>
                        <w:sz w:val="22"/>
                        <w:szCs w:val="22"/>
                        <w:bdr w:val="nil"/>
                        <w:lang w:eastAsia="en-US"/>
                      </w:rPr>
                      <w:t>The Hon. Andrew Gee MP</w:t>
                    </w:r>
                  </w:p>
                  <w:p w:rsidR="009E58DC" w:rsidRDefault="009E58DC" w:rsidP="001D003E">
                    <w:pPr>
                      <w:keepLines w:val="0"/>
                      <w:pBdr>
                        <w:top w:val="nil"/>
                        <w:left w:val="nil"/>
                        <w:bottom w:val="nil"/>
                        <w:right w:val="nil"/>
                        <w:between w:val="nil"/>
                        <w:bar w:val="nil"/>
                      </w:pBdr>
                      <w:spacing w:after="200" w:line="276" w:lineRule="auto"/>
                      <w:jc w:val="center"/>
                      <w:rPr>
                        <w:rFonts w:ascii="Arial" w:eastAsia="Calibri" w:hAnsi="Arial" w:cs="Arial"/>
                        <w:sz w:val="22"/>
                        <w:szCs w:val="22"/>
                        <w:bdr w:val="nil"/>
                        <w:lang w:eastAsia="en-US"/>
                      </w:rPr>
                    </w:pPr>
                    <w:r>
                      <w:rPr>
                        <w:rFonts w:ascii="Arial" w:eastAsia="Calibri" w:hAnsi="Arial" w:cs="Arial"/>
                        <w:sz w:val="22"/>
                        <w:szCs w:val="22"/>
                        <w:bdr w:val="nil"/>
                        <w:lang w:eastAsia="en-US"/>
                      </w:rPr>
                      <w:t>Minister for Veterans’ Affairs</w:t>
                    </w:r>
                  </w:p>
                  <w:p w:rsidR="009E58DC" w:rsidRDefault="009E58DC" w:rsidP="001D003E">
                    <w:pPr>
                      <w:keepLines w:val="0"/>
                      <w:pBdr>
                        <w:top w:val="nil"/>
                        <w:left w:val="nil"/>
                        <w:bottom w:val="nil"/>
                        <w:right w:val="nil"/>
                        <w:between w:val="nil"/>
                        <w:bar w:val="nil"/>
                      </w:pBdr>
                      <w:spacing w:after="200" w:line="276" w:lineRule="auto"/>
                      <w:jc w:val="center"/>
                      <w:rPr>
                        <w:rFonts w:ascii="Arial" w:eastAsia="Calibri" w:hAnsi="Arial" w:cs="Arial"/>
                        <w:sz w:val="22"/>
                        <w:szCs w:val="22"/>
                        <w:bdr w:val="nil"/>
                        <w:lang w:eastAsia="en-US"/>
                      </w:rPr>
                    </w:pPr>
                    <w:r>
                      <w:rPr>
                        <w:rFonts w:ascii="Arial" w:eastAsia="Calibri" w:hAnsi="Arial" w:cs="Arial"/>
                        <w:sz w:val="22"/>
                        <w:szCs w:val="22"/>
                        <w:bdr w:val="nil"/>
                        <w:lang w:eastAsia="en-US"/>
                      </w:rPr>
                      <w:t>Minister for Defence Personnel</w:t>
                    </w:r>
                  </w:p>
                  <w:p w:rsidR="009E58DC" w:rsidRDefault="009E58DC" w:rsidP="001D003E">
                    <w:pPr>
                      <w:keepLines w:val="0"/>
                      <w:pBdr>
                        <w:top w:val="nil"/>
                        <w:left w:val="nil"/>
                        <w:bottom w:val="nil"/>
                        <w:right w:val="nil"/>
                        <w:between w:val="nil"/>
                        <w:bar w:val="nil"/>
                      </w:pBdr>
                      <w:spacing w:after="200" w:line="276" w:lineRule="auto"/>
                      <w:jc w:val="center"/>
                      <w:rPr>
                        <w:rFonts w:ascii="Arial" w:eastAsia="Calibri" w:hAnsi="Arial" w:cs="Arial"/>
                        <w:sz w:val="22"/>
                        <w:szCs w:val="22"/>
                        <w:bdr w:val="nil"/>
                        <w:lang w:eastAsia="en-US"/>
                      </w:rPr>
                    </w:pPr>
                  </w:p>
                  <w:p w:rsidR="009E58DC" w:rsidRDefault="009E58DC" w:rsidP="001D003E">
                    <w:pPr>
                      <w:keepLines w:val="0"/>
                      <w:pBdr>
                        <w:top w:val="nil"/>
                        <w:left w:val="nil"/>
                        <w:bottom w:val="nil"/>
                        <w:right w:val="nil"/>
                        <w:between w:val="nil"/>
                        <w:bar w:val="nil"/>
                      </w:pBdr>
                      <w:spacing w:after="200" w:line="276" w:lineRule="auto"/>
                      <w:jc w:val="center"/>
                      <w:rPr>
                        <w:rFonts w:ascii="Arial" w:eastAsia="Calibri" w:hAnsi="Arial" w:cs="Arial"/>
                        <w:sz w:val="22"/>
                        <w:szCs w:val="22"/>
                        <w:bdr w:val="nil"/>
                        <w:lang w:eastAsia="en-US"/>
                      </w:rPr>
                    </w:pPr>
                  </w:p>
                </w:txbxContent>
              </v:textbox>
            </v:shape>
            <w10:wrap type="none"/>
            <w10:anchorlock/>
          </v:group>
        </w:pict>
      </w:r>
      <w:r w:rsidR="001D003E">
        <w:t xml:space="preserve"> </w:t>
      </w:r>
    </w:p>
    <w:p w:rsidR="001D003E" w:rsidRDefault="001D003E" w:rsidP="001D003E">
      <w:pPr>
        <w:pStyle w:val="Part"/>
        <w:keepLines w:val="0"/>
        <w:pageBreakBefore/>
        <w:pBdr>
          <w:top w:val="nil"/>
          <w:left w:val="nil"/>
          <w:bottom w:val="nil"/>
          <w:right w:val="nil"/>
          <w:between w:val="nil"/>
          <w:bar w:val="nil"/>
        </w:pBdr>
        <w:spacing w:before="240"/>
        <w:rPr>
          <w:bCs w:val="0"/>
          <w:vanish/>
          <w:sz w:val="48"/>
          <w:szCs w:val="48"/>
          <w:bdr w:val="nil"/>
        </w:rPr>
      </w:pPr>
    </w:p>
    <w:p w:rsidR="001D003E" w:rsidRDefault="001D003E" w:rsidP="001D003E">
      <w:pPr>
        <w:pStyle w:val="Part"/>
        <w:keepLines w:val="0"/>
        <w:pBdr>
          <w:top w:val="nil"/>
          <w:left w:val="nil"/>
          <w:bottom w:val="nil"/>
          <w:right w:val="nil"/>
          <w:between w:val="nil"/>
          <w:bar w:val="nil"/>
        </w:pBdr>
        <w:spacing w:before="240"/>
        <w:rPr>
          <w:bCs w:val="0"/>
          <w:sz w:val="48"/>
          <w:szCs w:val="48"/>
          <w:bdr w:val="nil"/>
        </w:rPr>
      </w:pPr>
    </w:p>
    <w:p w:rsidR="001D003E" w:rsidRDefault="001D003E" w:rsidP="001D003E">
      <w:pPr>
        <w:pStyle w:val="Part"/>
        <w:keepLines w:val="0"/>
        <w:pBdr>
          <w:top w:val="nil"/>
          <w:left w:val="nil"/>
          <w:bottom w:val="nil"/>
          <w:right w:val="nil"/>
          <w:between w:val="nil"/>
          <w:bar w:val="nil"/>
        </w:pBdr>
        <w:spacing w:before="240"/>
        <w:rPr>
          <w:bCs w:val="0"/>
          <w:sz w:val="48"/>
          <w:szCs w:val="48"/>
          <w:bdr w:val="nil"/>
        </w:rPr>
      </w:pPr>
    </w:p>
    <w:p w:rsidR="001D003E" w:rsidRDefault="001D003E" w:rsidP="001D003E">
      <w:pPr>
        <w:pStyle w:val="Part"/>
        <w:keepLines w:val="0"/>
        <w:pBdr>
          <w:top w:val="nil"/>
          <w:left w:val="nil"/>
          <w:bottom w:val="nil"/>
          <w:right w:val="nil"/>
          <w:between w:val="nil"/>
          <w:bar w:val="nil"/>
        </w:pBdr>
        <w:spacing w:before="240"/>
        <w:rPr>
          <w:bCs w:val="0"/>
          <w:sz w:val="48"/>
          <w:szCs w:val="48"/>
          <w:bdr w:val="nil"/>
        </w:rPr>
      </w:pPr>
    </w:p>
    <w:p w:rsidR="001D003E" w:rsidRDefault="001D003E" w:rsidP="001D003E">
      <w:pPr>
        <w:pStyle w:val="Part"/>
        <w:keepLines w:val="0"/>
        <w:pBdr>
          <w:top w:val="nil"/>
          <w:left w:val="nil"/>
          <w:bottom w:val="nil"/>
          <w:right w:val="nil"/>
          <w:between w:val="nil"/>
          <w:bar w:val="nil"/>
        </w:pBdr>
        <w:spacing w:before="240"/>
        <w:rPr>
          <w:bCs w:val="0"/>
          <w:sz w:val="48"/>
          <w:szCs w:val="48"/>
          <w:bdr w:val="nil"/>
        </w:rPr>
      </w:pPr>
    </w:p>
    <w:p w:rsidR="001D003E" w:rsidRDefault="001D003E" w:rsidP="001D003E">
      <w:pPr>
        <w:pStyle w:val="Part"/>
        <w:keepLines w:val="0"/>
        <w:pBdr>
          <w:top w:val="nil"/>
          <w:left w:val="nil"/>
          <w:bottom w:val="nil"/>
          <w:right w:val="nil"/>
          <w:between w:val="nil"/>
          <w:bar w:val="nil"/>
        </w:pBdr>
        <w:spacing w:before="240"/>
        <w:rPr>
          <w:bCs w:val="0"/>
          <w:sz w:val="48"/>
          <w:szCs w:val="48"/>
          <w:bdr w:val="nil"/>
        </w:rPr>
      </w:pPr>
    </w:p>
    <w:p w:rsidR="001D003E" w:rsidRPr="005F52AC" w:rsidRDefault="001D003E" w:rsidP="001D003E">
      <w:pPr>
        <w:keepLines w:val="0"/>
        <w:pBdr>
          <w:top w:val="nil"/>
          <w:left w:val="nil"/>
          <w:bottom w:val="nil"/>
          <w:right w:val="nil"/>
          <w:between w:val="nil"/>
          <w:bar w:val="nil"/>
        </w:pBdr>
        <w:spacing w:after="200" w:line="276" w:lineRule="auto"/>
        <w:jc w:val="left"/>
        <w:rPr>
          <w:rFonts w:ascii="Calibri" w:eastAsia="Calibri" w:hAnsi="Calibri"/>
          <w:sz w:val="22"/>
          <w:szCs w:val="22"/>
          <w:bdr w:val="nil"/>
        </w:rPr>
      </w:pPr>
    </w:p>
    <w:p w:rsidR="001D003E" w:rsidRDefault="001D003E" w:rsidP="001D003E">
      <w:pPr>
        <w:pStyle w:val="Part"/>
        <w:keepLines w:val="0"/>
        <w:pBdr>
          <w:top w:val="nil"/>
          <w:left w:val="nil"/>
          <w:bottom w:val="nil"/>
          <w:right w:val="nil"/>
          <w:between w:val="nil"/>
          <w:bar w:val="nil"/>
        </w:pBdr>
        <w:spacing w:before="240"/>
        <w:rPr>
          <w:sz w:val="48"/>
          <w:szCs w:val="48"/>
          <w:bdr w:val="nil"/>
        </w:rPr>
      </w:pPr>
      <w:r>
        <w:rPr>
          <w:bCs w:val="0"/>
          <w:sz w:val="48"/>
          <w:szCs w:val="48"/>
          <w:bdr w:val="nil"/>
        </w:rPr>
        <w:t xml:space="preserve">Entity </w:t>
      </w:r>
      <w:r>
        <w:rPr>
          <w:sz w:val="48"/>
          <w:szCs w:val="48"/>
          <w:bdr w:val="nil"/>
        </w:rPr>
        <w:t>Additional Estimates Statements</w:t>
      </w:r>
    </w:p>
    <w:p w:rsidR="001D003E" w:rsidRDefault="001D003E" w:rsidP="001D003E">
      <w:pPr>
        <w:pStyle w:val="Part"/>
        <w:keepLines w:val="0"/>
        <w:pBdr>
          <w:top w:val="nil"/>
          <w:left w:val="nil"/>
          <w:bottom w:val="nil"/>
          <w:right w:val="nil"/>
          <w:between w:val="nil"/>
          <w:bar w:val="nil"/>
        </w:pBdr>
        <w:rPr>
          <w:bdr w:val="nil"/>
        </w:rPr>
        <w:sectPr w:rsidR="001D003E" w:rsidSect="001D003E">
          <w:headerReference w:type="even" r:id="rId67"/>
          <w:headerReference w:type="default" r:id="rId68"/>
          <w:footerReference w:type="even" r:id="rId69"/>
          <w:footerReference w:type="default" r:id="rId70"/>
          <w:headerReference w:type="first" r:id="rId71"/>
          <w:footerReference w:type="first" r:id="rId72"/>
          <w:type w:val="continuous"/>
          <w:pgSz w:w="10319" w:h="14572"/>
          <w:pgMar w:top="1304" w:right="1389" w:bottom="1304" w:left="1389" w:header="1021" w:footer="1021" w:gutter="0"/>
          <w:pgBorders>
            <w:top w:val="nil"/>
            <w:left w:val="nil"/>
            <w:bottom w:val="nil"/>
            <w:right w:val="nil"/>
          </w:pgBorders>
          <w:cols w:space="708"/>
          <w:docGrid w:linePitch="360"/>
        </w:sectPr>
      </w:pPr>
      <w:r>
        <w:rPr>
          <w:bdr w:val="nil"/>
        </w:rPr>
        <w:fldChar w:fldCharType="begin"/>
      </w:r>
      <w:r>
        <w:rPr>
          <w:bdr w:val="nil"/>
        </w:rPr>
        <w:instrText xml:space="preserve"> TC "Agency Additional Estimates Statements" \f C \l "1" </w:instrText>
      </w:r>
      <w:r>
        <w:rPr>
          <w:bdr w:val="nil"/>
        </w:rPr>
        <w:fldChar w:fldCharType="end"/>
      </w:r>
    </w:p>
    <w:p w:rsidR="001D003E" w:rsidRPr="00E25338" w:rsidRDefault="001D003E">
      <w:pPr>
        <w:keepLines w:val="0"/>
        <w:pageBreakBefore/>
        <w:pBdr>
          <w:top w:val="nil"/>
          <w:left w:val="nil"/>
          <w:bottom w:val="nil"/>
          <w:right w:val="nil"/>
          <w:between w:val="nil"/>
          <w:bar w:val="nil"/>
        </w:pBdr>
        <w:spacing w:after="0" w:line="240" w:lineRule="auto"/>
        <w:jc w:val="left"/>
        <w:rPr>
          <w:rFonts w:ascii="Times New Roman" w:hAnsi="Times New Roman"/>
          <w:color w:val="FFFFFF"/>
          <w:sz w:val="24"/>
          <w:szCs w:val="24"/>
          <w:bdr w:val="nil"/>
        </w:rPr>
        <w:sectPr w:rsidR="001D003E" w:rsidRPr="00E25338" w:rsidSect="001D003E">
          <w:headerReference w:type="even" r:id="rId73"/>
          <w:headerReference w:type="default" r:id="rId74"/>
          <w:footerReference w:type="even" r:id="rId75"/>
          <w:footerReference w:type="default" r:id="rId76"/>
          <w:headerReference w:type="first" r:id="rId77"/>
          <w:footerReference w:type="first" r:id="rId78"/>
          <w:type w:val="continuous"/>
          <w:pgSz w:w="10319" w:h="14572"/>
          <w:pgMar w:top="1304" w:right="1389" w:bottom="1304" w:left="1389" w:header="1021" w:footer="1021" w:gutter="0"/>
          <w:pgBorders>
            <w:top w:val="nil"/>
            <w:left w:val="nil"/>
            <w:bottom w:val="nil"/>
            <w:right w:val="nil"/>
          </w:pgBorders>
          <w:cols w:space="708"/>
          <w:docGrid w:linePitch="360"/>
        </w:sectPr>
      </w:pPr>
      <w:r>
        <w:rPr>
          <w:rFonts w:ascii="Times New Roman" w:hAnsi="Times New Roman"/>
          <w:color w:val="FFFFFF"/>
          <w:sz w:val="24"/>
          <w:szCs w:val="24"/>
          <w:bdr w:val="nil"/>
        </w:rPr>
        <w:lastRenderedPageBreak/>
        <w:t>DVA</w:t>
      </w:r>
    </w:p>
    <w:p w:rsidR="001D003E" w:rsidRDefault="001D003E" w:rsidP="001D003E">
      <w:pPr>
        <w:pStyle w:val="ContentsHeading"/>
        <w:keepLines w:val="0"/>
        <w:pageBreakBefore/>
        <w:pBdr>
          <w:top w:val="nil"/>
          <w:left w:val="nil"/>
          <w:bottom w:val="nil"/>
          <w:right w:val="nil"/>
          <w:between w:val="nil"/>
          <w:bar w:val="nil"/>
        </w:pBdr>
        <w:spacing w:before="240"/>
        <w:rPr>
          <w:bdr w:val="nil"/>
        </w:rPr>
      </w:pPr>
      <w:r>
        <w:rPr>
          <w:bdr w:val="nil"/>
        </w:rPr>
        <w:lastRenderedPageBreak/>
        <w:t>Department of Veterans' Affairs</w:t>
      </w:r>
    </w:p>
    <w:p w:rsidR="001D003E" w:rsidRDefault="001D003E" w:rsidP="001D003E">
      <w:pPr>
        <w:pStyle w:val="TOC1"/>
        <w:keepLines w:val="0"/>
        <w:pBdr>
          <w:top w:val="nil"/>
          <w:left w:val="nil"/>
          <w:bottom w:val="nil"/>
          <w:right w:val="nil"/>
          <w:between w:val="nil"/>
          <w:bar w:val="nil"/>
        </w:pBdr>
        <w:spacing w:after="120"/>
        <w:ind w:right="150"/>
        <w:jc w:val="left"/>
        <w:rPr>
          <w:rFonts w:ascii="Times New Roman" w:hAnsi="Times New Roman"/>
          <w:noProof/>
          <w:sz w:val="24"/>
          <w:szCs w:val="24"/>
          <w:bdr w:val="nil"/>
        </w:rPr>
      </w:pPr>
      <w:r w:rsidRPr="00A922C2">
        <w:rPr>
          <w:bdr w:val="nil"/>
        </w:rPr>
        <w:t>Section 1: Entity overview and resources</w:t>
      </w:r>
      <w:r>
        <w:rPr>
          <w:noProof/>
          <w:bdr w:val="nil"/>
        </w:rPr>
        <w:tab/>
        <w:t>8</w:t>
      </w:r>
    </w:p>
    <w:p w:rsidR="001D003E" w:rsidRDefault="001D003E" w:rsidP="001D003E">
      <w:pPr>
        <w:pStyle w:val="TOC2"/>
        <w:keepLines w:val="0"/>
        <w:pBdr>
          <w:top w:val="nil"/>
          <w:left w:val="nil"/>
          <w:bottom w:val="nil"/>
          <w:right w:val="nil"/>
          <w:between w:val="nil"/>
          <w:bar w:val="nil"/>
        </w:pBdr>
        <w:spacing w:after="120"/>
        <w:ind w:left="993" w:right="150" w:hanging="993"/>
        <w:jc w:val="left"/>
        <w:rPr>
          <w:rFonts w:ascii="Times New Roman" w:hAnsi="Times New Roman"/>
          <w:noProof/>
          <w:sz w:val="24"/>
          <w:szCs w:val="24"/>
          <w:bdr w:val="nil"/>
        </w:rPr>
      </w:pPr>
      <w:r>
        <w:rPr>
          <w:noProof/>
          <w:bdr w:val="nil"/>
        </w:rPr>
        <w:t>1.1  Strategic direction statement</w:t>
      </w:r>
      <w:r>
        <w:rPr>
          <w:noProof/>
          <w:bdr w:val="nil"/>
        </w:rPr>
        <w:tab/>
        <w:t>8</w:t>
      </w:r>
    </w:p>
    <w:p w:rsidR="001D003E" w:rsidRDefault="001D003E" w:rsidP="001D003E">
      <w:pPr>
        <w:pStyle w:val="TOC2"/>
        <w:keepLines w:val="0"/>
        <w:pBdr>
          <w:top w:val="nil"/>
          <w:left w:val="nil"/>
          <w:bottom w:val="nil"/>
          <w:right w:val="nil"/>
          <w:between w:val="nil"/>
          <w:bar w:val="nil"/>
        </w:pBdr>
        <w:spacing w:after="120"/>
        <w:ind w:left="993" w:right="150" w:hanging="993"/>
        <w:jc w:val="left"/>
        <w:rPr>
          <w:rFonts w:ascii="Times New Roman" w:hAnsi="Times New Roman"/>
          <w:noProof/>
          <w:sz w:val="24"/>
          <w:szCs w:val="24"/>
          <w:bdr w:val="nil"/>
        </w:rPr>
      </w:pPr>
      <w:r>
        <w:rPr>
          <w:noProof/>
          <w:bdr w:val="nil"/>
        </w:rPr>
        <w:t>1.2  Entity resource statement</w:t>
      </w:r>
      <w:r>
        <w:rPr>
          <w:noProof/>
          <w:bdr w:val="nil"/>
        </w:rPr>
        <w:tab/>
        <w:t>9</w:t>
      </w:r>
    </w:p>
    <w:p w:rsidR="001D003E" w:rsidRDefault="001D003E" w:rsidP="001D003E">
      <w:pPr>
        <w:pStyle w:val="TOC2"/>
        <w:keepLines w:val="0"/>
        <w:pBdr>
          <w:top w:val="nil"/>
          <w:left w:val="nil"/>
          <w:bottom w:val="nil"/>
          <w:right w:val="nil"/>
          <w:between w:val="nil"/>
          <w:bar w:val="nil"/>
        </w:pBdr>
        <w:spacing w:after="120"/>
        <w:ind w:left="993" w:right="150" w:hanging="993"/>
        <w:jc w:val="left"/>
        <w:rPr>
          <w:noProof/>
          <w:bdr w:val="nil"/>
        </w:rPr>
      </w:pPr>
      <w:r>
        <w:rPr>
          <w:noProof/>
          <w:bdr w:val="nil"/>
        </w:rPr>
        <w:t>1.3  Entity measures table</w:t>
      </w:r>
      <w:r>
        <w:rPr>
          <w:noProof/>
          <w:bdr w:val="nil"/>
        </w:rPr>
        <w:tab/>
        <w:t>14</w:t>
      </w:r>
    </w:p>
    <w:p w:rsidR="001D003E" w:rsidRDefault="001D003E" w:rsidP="001D003E">
      <w:pPr>
        <w:pStyle w:val="TOC2"/>
        <w:keepLines w:val="0"/>
        <w:pBdr>
          <w:top w:val="nil"/>
          <w:left w:val="nil"/>
          <w:bottom w:val="nil"/>
          <w:right w:val="nil"/>
          <w:between w:val="nil"/>
          <w:bar w:val="nil"/>
        </w:pBdr>
        <w:spacing w:after="120"/>
        <w:ind w:left="993" w:right="150" w:hanging="993"/>
        <w:jc w:val="left"/>
        <w:rPr>
          <w:rFonts w:ascii="Times New Roman" w:hAnsi="Times New Roman"/>
          <w:noProof/>
          <w:sz w:val="24"/>
          <w:szCs w:val="24"/>
          <w:bdr w:val="nil"/>
        </w:rPr>
      </w:pPr>
      <w:r>
        <w:rPr>
          <w:noProof/>
          <w:bdr w:val="nil"/>
        </w:rPr>
        <w:t>1.4  Additional estimates and other variations to outcomes</w:t>
      </w:r>
      <w:r>
        <w:rPr>
          <w:noProof/>
          <w:bdr w:val="nil"/>
        </w:rPr>
        <w:tab/>
        <w:t>17</w:t>
      </w:r>
    </w:p>
    <w:p w:rsidR="001D003E" w:rsidRDefault="001D003E" w:rsidP="001D003E">
      <w:pPr>
        <w:pStyle w:val="TOC2"/>
        <w:keepLines w:val="0"/>
        <w:pBdr>
          <w:top w:val="nil"/>
          <w:left w:val="nil"/>
          <w:bottom w:val="nil"/>
          <w:right w:val="nil"/>
          <w:between w:val="nil"/>
          <w:bar w:val="nil"/>
        </w:pBdr>
        <w:spacing w:after="120"/>
        <w:ind w:left="993" w:right="150" w:hanging="993"/>
        <w:jc w:val="left"/>
        <w:rPr>
          <w:noProof/>
          <w:bdr w:val="nil"/>
        </w:rPr>
      </w:pPr>
      <w:r>
        <w:rPr>
          <w:noProof/>
          <w:bdr w:val="nil"/>
        </w:rPr>
        <w:t>1.5  Breakdown of additional estimates by Appropriation Bill</w:t>
      </w:r>
      <w:r>
        <w:rPr>
          <w:noProof/>
          <w:bdr w:val="nil"/>
        </w:rPr>
        <w:tab/>
        <w:t>20</w:t>
      </w:r>
    </w:p>
    <w:p w:rsidR="001D003E" w:rsidRDefault="001D003E" w:rsidP="001D003E">
      <w:pPr>
        <w:pStyle w:val="TOC1"/>
        <w:keepLines w:val="0"/>
        <w:pBdr>
          <w:top w:val="nil"/>
          <w:left w:val="nil"/>
          <w:bottom w:val="nil"/>
          <w:right w:val="nil"/>
          <w:between w:val="nil"/>
          <w:bar w:val="nil"/>
        </w:pBdr>
        <w:spacing w:after="120"/>
        <w:ind w:right="150"/>
        <w:jc w:val="left"/>
        <w:rPr>
          <w:rFonts w:ascii="Times New Roman" w:hAnsi="Times New Roman"/>
          <w:noProof/>
          <w:sz w:val="24"/>
          <w:szCs w:val="24"/>
          <w:bdr w:val="nil"/>
        </w:rPr>
      </w:pPr>
      <w:r w:rsidRPr="00A922C2">
        <w:rPr>
          <w:bdr w:val="nil"/>
        </w:rPr>
        <w:t>Section 2: Revisions to outcomes and planned performance</w:t>
      </w:r>
      <w:r>
        <w:rPr>
          <w:noProof/>
          <w:bdr w:val="nil"/>
        </w:rPr>
        <w:tab/>
        <w:t>21</w:t>
      </w:r>
    </w:p>
    <w:p w:rsidR="001D003E" w:rsidRDefault="001D003E" w:rsidP="001D003E">
      <w:pPr>
        <w:pStyle w:val="TOC2"/>
        <w:keepLines w:val="0"/>
        <w:pBdr>
          <w:top w:val="nil"/>
          <w:left w:val="nil"/>
          <w:bottom w:val="nil"/>
          <w:right w:val="nil"/>
          <w:between w:val="nil"/>
          <w:bar w:val="nil"/>
        </w:pBdr>
        <w:spacing w:after="120"/>
        <w:ind w:left="993" w:right="150" w:hanging="993"/>
        <w:jc w:val="left"/>
        <w:rPr>
          <w:rFonts w:ascii="Times New Roman" w:hAnsi="Times New Roman"/>
          <w:noProof/>
          <w:sz w:val="24"/>
          <w:szCs w:val="24"/>
          <w:bdr w:val="nil"/>
        </w:rPr>
      </w:pPr>
      <w:r>
        <w:rPr>
          <w:noProof/>
          <w:bdr w:val="nil"/>
        </w:rPr>
        <w:t>2.1  Resources and performance information</w:t>
      </w:r>
      <w:r>
        <w:rPr>
          <w:noProof/>
          <w:bdr w:val="nil"/>
        </w:rPr>
        <w:tab/>
        <w:t>21</w:t>
      </w:r>
    </w:p>
    <w:p w:rsidR="001D003E" w:rsidRDefault="001D003E" w:rsidP="001D003E">
      <w:pPr>
        <w:pStyle w:val="TOC1"/>
        <w:keepLines w:val="0"/>
        <w:pBdr>
          <w:top w:val="nil"/>
          <w:left w:val="nil"/>
          <w:bottom w:val="nil"/>
          <w:right w:val="nil"/>
          <w:between w:val="nil"/>
          <w:bar w:val="nil"/>
        </w:pBdr>
        <w:spacing w:after="120"/>
        <w:ind w:right="150"/>
        <w:jc w:val="left"/>
        <w:rPr>
          <w:rFonts w:ascii="Times New Roman" w:hAnsi="Times New Roman"/>
          <w:noProof/>
          <w:sz w:val="24"/>
          <w:szCs w:val="24"/>
          <w:bdr w:val="nil"/>
        </w:rPr>
      </w:pPr>
      <w:r w:rsidRPr="00A922C2">
        <w:rPr>
          <w:bdr w:val="nil"/>
        </w:rPr>
        <w:t>Section 3: Special account flows and budgeted financial statements</w:t>
      </w:r>
      <w:r>
        <w:rPr>
          <w:noProof/>
          <w:bdr w:val="nil"/>
        </w:rPr>
        <w:tab/>
        <w:t>38</w:t>
      </w:r>
    </w:p>
    <w:p w:rsidR="001D003E" w:rsidRDefault="001D003E" w:rsidP="001D003E">
      <w:pPr>
        <w:pStyle w:val="TOC2"/>
        <w:keepLines w:val="0"/>
        <w:pBdr>
          <w:top w:val="nil"/>
          <w:left w:val="nil"/>
          <w:bottom w:val="nil"/>
          <w:right w:val="nil"/>
          <w:between w:val="nil"/>
          <w:bar w:val="nil"/>
        </w:pBdr>
        <w:spacing w:after="120"/>
        <w:ind w:left="993" w:right="150" w:hanging="993"/>
        <w:jc w:val="left"/>
        <w:rPr>
          <w:noProof/>
          <w:bdr w:val="nil"/>
        </w:rPr>
      </w:pPr>
      <w:r w:rsidRPr="00BB68FE">
        <w:rPr>
          <w:noProof/>
          <w:bdr w:val="nil"/>
        </w:rPr>
        <w:t>3.1</w:t>
      </w:r>
      <w:r>
        <w:rPr>
          <w:noProof/>
          <w:bdr w:val="nil"/>
        </w:rPr>
        <w:t xml:space="preserve">   Special account flows</w:t>
      </w:r>
      <w:r>
        <w:rPr>
          <w:noProof/>
          <w:bdr w:val="nil"/>
        </w:rPr>
        <w:tab/>
        <w:t>38</w:t>
      </w:r>
    </w:p>
    <w:p w:rsidR="001D003E" w:rsidRDefault="001D003E" w:rsidP="001D003E">
      <w:pPr>
        <w:pStyle w:val="TOC2"/>
        <w:keepLines w:val="0"/>
        <w:pBdr>
          <w:top w:val="nil"/>
          <w:left w:val="nil"/>
          <w:bottom w:val="nil"/>
          <w:right w:val="nil"/>
          <w:between w:val="nil"/>
          <w:bar w:val="nil"/>
        </w:pBdr>
        <w:spacing w:after="120"/>
        <w:ind w:left="993" w:right="150" w:hanging="993"/>
        <w:jc w:val="left"/>
        <w:rPr>
          <w:noProof/>
          <w:bdr w:val="nil"/>
        </w:rPr>
      </w:pPr>
      <w:r w:rsidRPr="00E012DA">
        <w:rPr>
          <w:noProof/>
          <w:bdr w:val="nil"/>
        </w:rPr>
        <w:t>3.2</w:t>
      </w:r>
      <w:r>
        <w:rPr>
          <w:noProof/>
          <w:bdr w:val="nil"/>
        </w:rPr>
        <w:t xml:space="preserve">   Budgeted financial statements</w:t>
      </w:r>
      <w:r>
        <w:rPr>
          <w:noProof/>
          <w:bdr w:val="nil"/>
        </w:rPr>
        <w:tab/>
        <w:t>39</w:t>
      </w:r>
    </w:p>
    <w:p w:rsidR="001D003E" w:rsidRDefault="001D003E" w:rsidP="001D003E">
      <w:pPr>
        <w:keepLines w:val="0"/>
        <w:pBdr>
          <w:top w:val="nil"/>
          <w:left w:val="nil"/>
          <w:bottom w:val="nil"/>
          <w:right w:val="nil"/>
          <w:between w:val="nil"/>
          <w:bar w:val="nil"/>
        </w:pBdr>
        <w:spacing w:after="200" w:line="276" w:lineRule="auto"/>
        <w:jc w:val="left"/>
        <w:rPr>
          <w:rFonts w:ascii="Calibri" w:eastAsia="Calibri" w:hAnsi="Calibri"/>
          <w:sz w:val="22"/>
          <w:szCs w:val="22"/>
          <w:bdr w:val="nil"/>
        </w:rPr>
        <w:sectPr w:rsidR="001D003E" w:rsidSect="001D003E">
          <w:headerReference w:type="even" r:id="rId79"/>
          <w:headerReference w:type="default" r:id="rId80"/>
          <w:footerReference w:type="even" r:id="rId81"/>
          <w:footerReference w:type="default" r:id="rId82"/>
          <w:headerReference w:type="first" r:id="rId83"/>
          <w:footerReference w:type="first" r:id="rId84"/>
          <w:type w:val="continuous"/>
          <w:pgSz w:w="10319" w:h="14572"/>
          <w:pgMar w:top="1304" w:right="1389" w:bottom="1304" w:left="1389" w:header="1021" w:footer="1021" w:gutter="0"/>
          <w:pgBorders>
            <w:top w:val="nil"/>
            <w:left w:val="nil"/>
            <w:bottom w:val="nil"/>
            <w:right w:val="nil"/>
          </w:pgBorders>
          <w:cols w:space="708"/>
          <w:docGrid w:linePitch="360"/>
        </w:sectPr>
      </w:pPr>
      <w:r>
        <w:t xml:space="preserve"> </w:t>
      </w:r>
    </w:p>
    <w:p w:rsidR="001D003E" w:rsidRDefault="001D003E" w:rsidP="001D003E">
      <w:pPr>
        <w:pStyle w:val="Heading1"/>
        <w:keepLines w:val="0"/>
        <w:pageBreakBefore/>
        <w:pBdr>
          <w:top w:val="nil"/>
          <w:left w:val="nil"/>
          <w:bottom w:val="nil"/>
          <w:right w:val="nil"/>
          <w:between w:val="nil"/>
          <w:bar w:val="nil"/>
        </w:pBdr>
        <w:spacing w:before="240" w:line="240" w:lineRule="auto"/>
        <w:rPr>
          <w:bdr w:val="nil"/>
        </w:rPr>
      </w:pPr>
      <w:r>
        <w:rPr>
          <w:bdr w:val="nil"/>
        </w:rPr>
        <w:lastRenderedPageBreak/>
        <w:t>Department of Veterans' Affairs</w:t>
      </w:r>
    </w:p>
    <w:p w:rsidR="001D003E" w:rsidRPr="008D388D" w:rsidRDefault="001D003E" w:rsidP="001D003E">
      <w:pPr>
        <w:pStyle w:val="Normal0"/>
        <w:pBdr>
          <w:top w:val="nil"/>
          <w:left w:val="nil"/>
          <w:bottom w:val="nil"/>
          <w:right w:val="nil"/>
          <w:between w:val="nil"/>
          <w:bar w:val="nil"/>
        </w:pBdr>
        <w:spacing w:after="240" w:line="260" w:lineRule="exact"/>
        <w:jc w:val="both"/>
        <w:rPr>
          <w:rFonts w:ascii="Book Antiqua" w:eastAsia="Times New Roman" w:hAnsi="Book Antiqua" w:cs="Times New Roman"/>
          <w:sz w:val="20"/>
          <w:szCs w:val="20"/>
          <w:bdr w:val="nil"/>
          <w:lang w:val="en-AU" w:eastAsia="en-AU"/>
        </w:rPr>
      </w:pPr>
    </w:p>
    <w:p w:rsidR="001D003E" w:rsidRPr="00F51BF3" w:rsidRDefault="001D003E" w:rsidP="001D003E">
      <w:pPr>
        <w:pStyle w:val="Heading2"/>
        <w:pBdr>
          <w:top w:val="nil"/>
          <w:left w:val="nil"/>
          <w:bottom w:val="nil"/>
          <w:right w:val="nil"/>
          <w:between w:val="nil"/>
          <w:bar w:val="nil"/>
        </w:pBdr>
        <w:rPr>
          <w:rFonts w:eastAsia="Times New Roman" w:cs="Times New Roman"/>
          <w:b/>
          <w:szCs w:val="20"/>
          <w:bdr w:val="nil"/>
          <w:lang w:val="en-AU" w:eastAsia="en-AU"/>
        </w:rPr>
      </w:pPr>
      <w:r>
        <w:rPr>
          <w:rFonts w:eastAsia="Times New Roman" w:cs="Times New Roman"/>
          <w:b/>
          <w:szCs w:val="20"/>
          <w:bdr w:val="nil"/>
          <w:lang w:val="en-AU" w:eastAsia="en-AU"/>
        </w:rPr>
        <w:t>Section 1: Entity overview and r</w:t>
      </w:r>
      <w:r w:rsidRPr="001F5F8A">
        <w:rPr>
          <w:rFonts w:eastAsia="Times New Roman" w:cs="Times New Roman"/>
          <w:b/>
          <w:szCs w:val="20"/>
          <w:bdr w:val="nil"/>
          <w:lang w:val="en-AU" w:eastAsia="en-AU"/>
        </w:rPr>
        <w:t>esources</w:t>
      </w:r>
    </w:p>
    <w:p w:rsidR="001D003E" w:rsidRPr="002D347D" w:rsidRDefault="001D003E" w:rsidP="001D003E">
      <w:pPr>
        <w:pStyle w:val="Heading3"/>
        <w:keepLines w:val="0"/>
        <w:pBdr>
          <w:top w:val="nil"/>
          <w:left w:val="nil"/>
          <w:bottom w:val="nil"/>
          <w:right w:val="nil"/>
          <w:between w:val="nil"/>
          <w:bar w:val="nil"/>
        </w:pBdr>
        <w:jc w:val="left"/>
        <w:rPr>
          <w:rFonts w:ascii="Arial Bold" w:hAnsi="Arial Bold"/>
          <w:smallCaps w:val="0"/>
          <w:sz w:val="22"/>
          <w:bdr w:val="nil"/>
        </w:rPr>
      </w:pPr>
      <w:r>
        <w:rPr>
          <w:bdr w:val="nil"/>
        </w:rPr>
        <w:t>1.1</w:t>
      </w:r>
      <w:r>
        <w:rPr>
          <w:bdr w:val="nil"/>
        </w:rPr>
        <w:tab/>
      </w:r>
      <w:bookmarkStart w:id="2" w:name="_Toc210703209"/>
      <w:bookmarkStart w:id="3" w:name="_Toc58516303"/>
      <w:bookmarkStart w:id="4" w:name="_Toc531095062"/>
      <w:bookmarkStart w:id="5" w:name="_Toc531094583"/>
      <w:r w:rsidRPr="002D347D">
        <w:rPr>
          <w:rFonts w:ascii="Arial Bold" w:hAnsi="Arial Bold"/>
          <w:smallCaps w:val="0"/>
          <w:sz w:val="22"/>
          <w:bdr w:val="nil"/>
        </w:rPr>
        <w:t>1.1</w:t>
      </w:r>
      <w:r w:rsidRPr="002D347D">
        <w:rPr>
          <w:rFonts w:ascii="Arial Bold" w:hAnsi="Arial Bold"/>
          <w:smallCaps w:val="0"/>
          <w:sz w:val="22"/>
          <w:bdr w:val="nil"/>
        </w:rPr>
        <w:tab/>
      </w:r>
      <w:bookmarkStart w:id="6" w:name="_Toc210698428"/>
      <w:bookmarkStart w:id="7" w:name="_Toc210646449"/>
      <w:r w:rsidRPr="002D347D">
        <w:rPr>
          <w:rFonts w:ascii="Arial Bold" w:hAnsi="Arial Bold"/>
          <w:smallCaps w:val="0"/>
          <w:sz w:val="22"/>
          <w:bdr w:val="nil"/>
        </w:rPr>
        <w:t>Strategic direction</w:t>
      </w:r>
      <w:bookmarkEnd w:id="2"/>
      <w:bookmarkEnd w:id="6"/>
      <w:bookmarkEnd w:id="7"/>
      <w:r w:rsidRPr="002D347D">
        <w:rPr>
          <w:rFonts w:ascii="Arial Bold" w:hAnsi="Arial Bold"/>
          <w:smallCaps w:val="0"/>
          <w:sz w:val="22"/>
          <w:bdr w:val="nil"/>
        </w:rPr>
        <w:t xml:space="preserve"> statement</w:t>
      </w:r>
      <w:bookmarkEnd w:id="3"/>
      <w:bookmarkEnd w:id="4"/>
      <w:bookmarkEnd w:id="5"/>
    </w:p>
    <w:p w:rsidR="001D003E" w:rsidRPr="002D347D" w:rsidRDefault="001D003E" w:rsidP="001D003E">
      <w:pPr>
        <w:keepLines w:val="0"/>
        <w:pBdr>
          <w:top w:val="nil"/>
          <w:left w:val="nil"/>
          <w:bottom w:val="nil"/>
          <w:right w:val="nil"/>
          <w:between w:val="nil"/>
          <w:bar w:val="nil"/>
        </w:pBdr>
        <w:spacing w:after="160"/>
        <w:rPr>
          <w:rFonts w:cs="Arial"/>
          <w:bdr w:val="nil"/>
        </w:rPr>
      </w:pPr>
      <w:bookmarkStart w:id="8" w:name="_Toc210703210"/>
      <w:bookmarkStart w:id="9" w:name="_Toc449255760"/>
      <w:bookmarkStart w:id="10" w:name="_Toc436625440"/>
      <w:bookmarkStart w:id="11" w:name="_Toc436624139"/>
      <w:bookmarkStart w:id="12" w:name="_Toc58516304"/>
      <w:bookmarkStart w:id="13" w:name="_Toc531095063"/>
      <w:bookmarkStart w:id="14" w:name="_Toc531094584"/>
      <w:r w:rsidRPr="002D347D">
        <w:rPr>
          <w:rFonts w:cs="Arial"/>
          <w:bdr w:val="nil"/>
        </w:rPr>
        <w:t xml:space="preserve">The Department of Veterans’ Affairs (DVA) supports the wellbeing of those who serve or have served in the defence of our nation, and their families. The Department is committed to putting veterans and their families first by creating and implementing effective policies, programs and benefits to enhance the wellbeing of veterans and their families, providing and maintaining war graves, and delivering meaningful commemorative activities to promote community recognition and understanding of the service and sacrifice of veterans and their families. </w:t>
      </w:r>
    </w:p>
    <w:p w:rsidR="001D003E" w:rsidRPr="002D347D" w:rsidRDefault="001D003E" w:rsidP="001D003E">
      <w:pPr>
        <w:keepLines w:val="0"/>
        <w:pBdr>
          <w:top w:val="nil"/>
          <w:left w:val="nil"/>
          <w:bottom w:val="nil"/>
          <w:right w:val="nil"/>
          <w:between w:val="nil"/>
          <w:bar w:val="nil"/>
        </w:pBdr>
        <w:spacing w:after="160"/>
        <w:rPr>
          <w:rFonts w:cs="Arial"/>
          <w:bdr w:val="nil"/>
        </w:rPr>
      </w:pPr>
      <w:r w:rsidRPr="002D347D">
        <w:rPr>
          <w:rFonts w:cs="Arial"/>
          <w:bdr w:val="nil"/>
        </w:rPr>
        <w:t>From an estimated population of 622,500 eligible veterans, DVA is currently delivering support to approximately 240,000 veterans and 100,000 dependants.</w:t>
      </w:r>
    </w:p>
    <w:p w:rsidR="001D003E" w:rsidRPr="002D347D" w:rsidRDefault="001D003E" w:rsidP="001D003E">
      <w:pPr>
        <w:keepLines w:val="0"/>
        <w:pBdr>
          <w:top w:val="nil"/>
          <w:left w:val="nil"/>
          <w:bottom w:val="nil"/>
          <w:right w:val="nil"/>
          <w:between w:val="nil"/>
          <w:bar w:val="nil"/>
        </w:pBdr>
        <w:spacing w:after="160"/>
        <w:rPr>
          <w:rFonts w:cs="Arial"/>
          <w:bdr w:val="nil"/>
        </w:rPr>
      </w:pPr>
      <w:r w:rsidRPr="002D347D">
        <w:rPr>
          <w:rFonts w:cs="Arial"/>
          <w:bdr w:val="nil"/>
        </w:rPr>
        <w:t>It is recognised that the COVID-19 environment has brought significant change, requiring the Department to work differently.  Despite this, DVA continues to maintain business continuity, strengthen key partnerships across the veteran support system (including with the health and care sectors), implement improvements to reduce the claims backlog, respond in a timely manner to all requests from the Royal Commission into Defence and Veteran Suicide, and demonstrate ongoing commitment to the Department’s transformation agenda – Veteran Centric Reform.</w:t>
      </w:r>
    </w:p>
    <w:p w:rsidR="001D003E" w:rsidRPr="002D347D" w:rsidRDefault="001D003E" w:rsidP="001D003E">
      <w:pPr>
        <w:keepLines w:val="0"/>
        <w:pBdr>
          <w:top w:val="nil"/>
          <w:left w:val="nil"/>
          <w:bottom w:val="nil"/>
          <w:right w:val="nil"/>
          <w:between w:val="nil"/>
          <w:bar w:val="nil"/>
        </w:pBdr>
        <w:spacing w:after="160"/>
        <w:rPr>
          <w:rFonts w:cs="Arial"/>
          <w:bdr w:val="nil"/>
        </w:rPr>
      </w:pPr>
      <w:r w:rsidRPr="002D347D">
        <w:rPr>
          <w:rFonts w:cs="Arial"/>
          <w:bdr w:val="nil"/>
        </w:rPr>
        <w:t xml:space="preserve">Veteran Centric Reform continues to deliver real and lasting improvements to the way we know, connect, support, and respect all veterans and their families, providing simpler, faster, and easier access to needs-based supports and services.  We continue to focus on wellbeing across the serving well, living well, ageing well continuum, and delivering ongoing improvements in mental health and wellbeing services and support, employment, and transition services, and respecting and recognising our veterans.    </w:t>
      </w:r>
    </w:p>
    <w:p w:rsidR="001D003E" w:rsidRDefault="001D003E" w:rsidP="001D003E">
      <w:pPr>
        <w:keepLines w:val="0"/>
        <w:pBdr>
          <w:top w:val="nil"/>
          <w:left w:val="nil"/>
          <w:bottom w:val="nil"/>
          <w:right w:val="nil"/>
          <w:between w:val="nil"/>
          <w:bar w:val="nil"/>
        </w:pBdr>
        <w:spacing w:after="160"/>
        <w:rPr>
          <w:rFonts w:cs="Arial"/>
          <w:bdr w:val="nil"/>
        </w:rPr>
      </w:pPr>
      <w:r w:rsidRPr="002D347D">
        <w:rPr>
          <w:rFonts w:cs="Arial"/>
          <w:bdr w:val="nil"/>
        </w:rPr>
        <w:t>There has been no change in the Department’s role, planned outcomes or program structure since the 2020-21 Portfolio Budget Statements. A full outline of DVA’s strategic direction can be found in the 2021-22 Portfolio Budget Statements.</w:t>
      </w:r>
    </w:p>
    <w:p w:rsidR="001D003E" w:rsidRDefault="001D003E" w:rsidP="001D003E">
      <w:pPr>
        <w:keepLines w:val="0"/>
        <w:pBdr>
          <w:top w:val="nil"/>
          <w:left w:val="nil"/>
          <w:bottom w:val="nil"/>
          <w:right w:val="nil"/>
          <w:between w:val="nil"/>
          <w:bar w:val="nil"/>
        </w:pBdr>
        <w:spacing w:after="160"/>
        <w:rPr>
          <w:rFonts w:cs="Arial"/>
          <w:bdr w:val="nil"/>
        </w:rPr>
      </w:pPr>
    </w:p>
    <w:p w:rsidR="001D003E" w:rsidRDefault="001D003E" w:rsidP="001D003E">
      <w:pPr>
        <w:keepLines w:val="0"/>
        <w:pBdr>
          <w:top w:val="nil"/>
          <w:left w:val="nil"/>
          <w:bottom w:val="nil"/>
          <w:right w:val="nil"/>
          <w:between w:val="nil"/>
          <w:bar w:val="nil"/>
        </w:pBdr>
        <w:spacing w:after="160"/>
        <w:rPr>
          <w:rFonts w:cs="Arial"/>
          <w:bdr w:val="nil"/>
        </w:rPr>
      </w:pPr>
    </w:p>
    <w:bookmarkEnd w:id="8"/>
    <w:bookmarkEnd w:id="9"/>
    <w:bookmarkEnd w:id="10"/>
    <w:bookmarkEnd w:id="11"/>
    <w:bookmarkEnd w:id="12"/>
    <w:bookmarkEnd w:id="13"/>
    <w:bookmarkEnd w:id="14"/>
    <w:p w:rsidR="001D003E" w:rsidRPr="000B2214" w:rsidRDefault="001D003E" w:rsidP="001D003E">
      <w:pPr>
        <w:pStyle w:val="Normal0"/>
        <w:pBdr>
          <w:top w:val="nil"/>
          <w:left w:val="nil"/>
          <w:bottom w:val="nil"/>
          <w:right w:val="nil"/>
          <w:between w:val="nil"/>
          <w:bar w:val="nil"/>
        </w:pBdr>
        <w:spacing w:after="240" w:line="260" w:lineRule="exact"/>
        <w:jc w:val="both"/>
        <w:rPr>
          <w:rFonts w:ascii="Book Antiqua" w:eastAsia="Times New Roman" w:hAnsi="Book Antiqua" w:cs="Times New Roman"/>
          <w:color w:val="000000"/>
          <w:sz w:val="20"/>
          <w:szCs w:val="20"/>
          <w:bdr w:val="nil"/>
          <w:lang w:val="en-AU" w:eastAsia="en-AU"/>
        </w:rPr>
        <w:sectPr w:rsidR="001D003E" w:rsidRPr="000B2214" w:rsidSect="001D003E">
          <w:headerReference w:type="even" r:id="rId85"/>
          <w:headerReference w:type="default" r:id="rId86"/>
          <w:footerReference w:type="even" r:id="rId87"/>
          <w:footerReference w:type="default" r:id="rId88"/>
          <w:headerReference w:type="first" r:id="rId89"/>
          <w:footerReference w:type="first" r:id="rId90"/>
          <w:type w:val="continuous"/>
          <w:pgSz w:w="10319" w:h="14572"/>
          <w:pgMar w:top="1304" w:right="1389" w:bottom="1304" w:left="1389" w:header="1021" w:footer="1021" w:gutter="0"/>
          <w:pgBorders>
            <w:top w:val="nil"/>
            <w:left w:val="nil"/>
            <w:bottom w:val="nil"/>
            <w:right w:val="nil"/>
          </w:pgBorders>
          <w:cols w:space="708"/>
        </w:sectPr>
      </w:pPr>
      <w:r>
        <w:t xml:space="preserve"> </w:t>
      </w:r>
    </w:p>
    <w:p w:rsidR="001D003E" w:rsidRDefault="001D003E" w:rsidP="001D003E">
      <w:pPr>
        <w:pStyle w:val="Heading3"/>
        <w:keepLines w:val="0"/>
        <w:pageBreakBefore/>
        <w:pBdr>
          <w:top w:val="nil"/>
          <w:left w:val="nil"/>
          <w:bottom w:val="nil"/>
          <w:right w:val="nil"/>
          <w:between w:val="nil"/>
          <w:bar w:val="nil"/>
        </w:pBdr>
        <w:jc w:val="left"/>
        <w:rPr>
          <w:bdr w:val="nil"/>
        </w:rPr>
      </w:pPr>
      <w:r>
        <w:rPr>
          <w:bdr w:val="nil"/>
        </w:rPr>
        <w:lastRenderedPageBreak/>
        <w:t>1.2</w:t>
      </w:r>
      <w:r>
        <w:rPr>
          <w:bdr w:val="nil"/>
        </w:rPr>
        <w:tab/>
        <w:t>Entity resource statement</w:t>
      </w:r>
    </w:p>
    <w:p w:rsidR="001D003E" w:rsidRDefault="001D003E" w:rsidP="001D003E">
      <w:pPr>
        <w:keepLines w:val="0"/>
        <w:pBdr>
          <w:top w:val="nil"/>
          <w:left w:val="nil"/>
          <w:bottom w:val="nil"/>
          <w:right w:val="nil"/>
          <w:between w:val="nil"/>
          <w:bar w:val="nil"/>
        </w:pBdr>
        <w:spacing w:after="200" w:line="276" w:lineRule="auto"/>
        <w:rPr>
          <w:rFonts w:eastAsia="Calibri" w:cs="Arial"/>
          <w:szCs w:val="22"/>
          <w:bdr w:val="nil"/>
          <w:lang w:val="en-US" w:eastAsia="en-US"/>
        </w:rPr>
      </w:pPr>
      <w:r>
        <w:rPr>
          <w:rFonts w:eastAsia="Calibri" w:cs="Arial"/>
          <w:szCs w:val="22"/>
          <w:bdr w:val="nil"/>
          <w:lang w:val="en-US" w:eastAsia="en-US"/>
        </w:rPr>
        <w:t>The Entity Resource Statement details the resourcing for the Department of Veterans' Affairs at Additional Estimates.  Table 1.1 outlines the total resourcing available from all sources for the 2021-22 Budget year, including variations through Appropriation Bills No. 3 and No. 4, Special Appropriations and Special Accounts.</w:t>
      </w:r>
    </w:p>
    <w:p w:rsidR="001D003E" w:rsidRDefault="001D003E">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r>
        <w:t xml:space="preserve"> </w:t>
      </w:r>
    </w:p>
    <w:p w:rsidR="001D003E" w:rsidRPr="008C27C3" w:rsidRDefault="001D003E" w:rsidP="001D003E">
      <w:pPr>
        <w:pStyle w:val="TableHeadingcontinued"/>
        <w:keepLines w:val="0"/>
        <w:pageBreakBefore/>
        <w:pBdr>
          <w:top w:val="nil"/>
          <w:left w:val="nil"/>
          <w:bottom w:val="nil"/>
          <w:right w:val="nil"/>
          <w:between w:val="nil"/>
          <w:bar w:val="nil"/>
        </w:pBdr>
        <w:spacing w:before="240"/>
        <w:jc w:val="left"/>
        <w:rPr>
          <w:rFonts w:ascii="Arial" w:eastAsia="Calibri" w:hAnsi="Arial" w:cs="Arial"/>
          <w:bdr w:val="nil"/>
        </w:rPr>
      </w:pPr>
      <w:r w:rsidRPr="008C27C3">
        <w:rPr>
          <w:rFonts w:ascii="Arial" w:eastAsia="Calibri" w:hAnsi="Arial" w:cs="Arial"/>
          <w:bdr w:val="nil"/>
        </w:rPr>
        <w:lastRenderedPageBreak/>
        <w:t xml:space="preserve">Table 1.1: Department of Veterans' Affairs Resource Statement </w:t>
      </w:r>
      <w:r>
        <w:rPr>
          <w:rFonts w:ascii="Arial" w:eastAsia="Calibri" w:hAnsi="Arial" w:cs="Arial"/>
          <w:bdr w:val="nil"/>
        </w:rPr>
        <w:br/>
      </w:r>
      <w:r w:rsidRPr="008C27C3">
        <w:rPr>
          <w:rFonts w:ascii="Arial" w:eastAsia="Calibri" w:hAnsi="Arial" w:cs="Arial"/>
          <w:bdr w:val="nil"/>
        </w:rPr>
        <w:t xml:space="preserve">Additional Estimates for 2021-22 as at Additional Estimates </w:t>
      </w:r>
      <w:r>
        <w:rPr>
          <w:rFonts w:ascii="Arial" w:eastAsia="Calibri" w:hAnsi="Arial" w:cs="Arial"/>
          <w:bdr w:val="nil"/>
        </w:rPr>
        <w:t>February</w:t>
      </w:r>
      <w:r w:rsidRPr="008C27C3">
        <w:rPr>
          <w:rFonts w:ascii="Arial" w:eastAsia="Calibri" w:hAnsi="Arial" w:cs="Arial"/>
          <w:bdr w:val="nil"/>
        </w:rPr>
        <w:t xml:space="preserve"> </w:t>
      </w:r>
      <w:r>
        <w:rPr>
          <w:rFonts w:ascii="Arial" w:eastAsia="Calibri" w:hAnsi="Arial" w:cs="Arial"/>
          <w:bdr w:val="nil"/>
        </w:rPr>
        <w:t>2022</w:t>
      </w:r>
    </w:p>
    <w:tbl>
      <w:tblPr>
        <w:tblStyle w:val="CDMRange1"/>
        <w:tblW w:w="7845" w:type="dxa"/>
        <w:tblLayout w:type="fixed"/>
        <w:tblLook w:val="0600" w:firstRow="0" w:lastRow="0" w:firstColumn="0" w:lastColumn="0" w:noHBand="1" w:noVBand="1"/>
      </w:tblPr>
      <w:tblGrid>
        <w:gridCol w:w="3750"/>
        <w:gridCol w:w="1080"/>
        <w:gridCol w:w="1035"/>
        <w:gridCol w:w="975"/>
        <w:gridCol w:w="1005"/>
      </w:tblGrid>
      <w:tr w:rsidR="00811FBF" w:rsidTr="009E58DC">
        <w:trPr>
          <w:trHeight w:hRule="exact" w:val="225"/>
          <w:tblHeader/>
        </w:trPr>
        <w:tc>
          <w:tcPr>
            <w:tcW w:w="37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0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 xml:space="preserve">Total </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r>
              <w:rPr>
                <w:rFonts w:ascii="Arial" w:eastAsia="Arial" w:hAnsi="Arial" w:cs="Arial"/>
                <w:color w:val="000000"/>
                <w:sz w:val="16"/>
                <w:vertAlign w:val="superscript"/>
              </w:rPr>
              <w:t>(j)</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i/>
                <w:color w:val="000000"/>
                <w:sz w:val="16"/>
              </w:rPr>
            </w:pP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(a)</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Prior year departmental appropriation</w:t>
            </w:r>
            <w:r>
              <w:rPr>
                <w:rFonts w:ascii="Arial" w:eastAsia="Arial" w:hAnsi="Arial" w:cs="Arial"/>
                <w:color w:val="000000"/>
                <w:sz w:val="16"/>
                <w:vertAlign w:val="superscript"/>
              </w:rPr>
              <w:t>(b)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46,182</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42,757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17,833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60,590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384,301</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401,598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3,060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404,658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 xml:space="preserve">(c)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6,665</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6,790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6,788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r>
              <w:rPr>
                <w:rFonts w:ascii="Arial" w:eastAsia="Arial" w:hAnsi="Arial" w:cs="Arial"/>
                <w:color w:val="000000"/>
                <w:sz w:val="16"/>
                <w:vertAlign w:val="superscript"/>
              </w:rPr>
              <w:t>(d)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13,694</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13,707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75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non operating</w:t>
            </w:r>
            <w:r>
              <w:rPr>
                <w:rFonts w:ascii="Arial" w:eastAsia="Arial" w:hAnsi="Arial" w:cs="Arial"/>
                <w:color w:val="000000"/>
                <w:sz w:val="16"/>
                <w:vertAlign w:val="superscript"/>
              </w:rPr>
              <w:t>(e)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Equity injections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6,596</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6,872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(1,620)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5,252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Total departmental annual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457,438</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471,724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19,271</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490,995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i/>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r>
              <w:rPr>
                <w:rFonts w:ascii="Arial" w:eastAsia="Arial" w:hAnsi="Arial" w:cs="Arial"/>
                <w:color w:val="000000"/>
                <w:sz w:val="16"/>
                <w:vertAlign w:val="superscript"/>
              </w:rPr>
              <w:t>(f)</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3,425</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3,951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6,451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r>
              <w:rPr>
                <w:rFonts w:ascii="Arial" w:eastAsia="Arial" w:hAnsi="Arial" w:cs="Arial"/>
                <w:color w:val="000000"/>
                <w:sz w:val="16"/>
                <w:vertAlign w:val="superscript"/>
              </w:rPr>
              <w:t>(g)</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100,721</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62,437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(1,038)</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61,399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104,146</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65,057</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2,913</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67,970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375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less departmental appropriations drawn from annual/special appropriations and credited to special accounts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single" w:sz="4" w:space="0" w:color="000000"/>
              <w:left w:val="nil"/>
              <w:bottom w:val="single" w:sz="4" w:space="0" w:color="000000"/>
              <w:right w:val="nil"/>
              <w:tl2br w:val="nil"/>
              <w:tr2bl w:val="nil"/>
            </w:tcBorders>
            <w:shd w:val="clear" w:color="FFFFFF" w:fill="F3F3F3"/>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561,584</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536,661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22,184</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558,845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(a)</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4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60,296</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59,326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4,343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63,669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4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15,497</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24,842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13,841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38,683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4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37,772</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48,747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586</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49,333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4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r>
              <w:rPr>
                <w:rFonts w:ascii="Arial" w:eastAsia="Arial" w:hAnsi="Arial" w:cs="Arial"/>
                <w:color w:val="000000"/>
                <w:sz w:val="16"/>
                <w:vertAlign w:val="superscript"/>
              </w:rPr>
              <w:t>(h)</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44,241</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75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 operating</w:t>
            </w:r>
            <w:r>
              <w:rPr>
                <w:rFonts w:ascii="Arial" w:eastAsia="Arial" w:hAnsi="Arial" w:cs="Arial"/>
                <w:color w:val="000000"/>
                <w:sz w:val="16"/>
                <w:vertAlign w:val="superscript"/>
              </w:rPr>
              <w:t>(e)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750" w:type="dxa"/>
            <w:tcBorders>
              <w:top w:val="nil"/>
              <w:left w:val="nil"/>
              <w:bottom w:val="nil"/>
              <w:right w:val="nil"/>
              <w:tl2br w:val="nil"/>
              <w:tr2bl w:val="nil"/>
            </w:tcBorders>
            <w:shd w:val="clear" w:color="auto" w:fill="auto"/>
            <w:tcMar>
              <w:left w:w="44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 non-operating</w:t>
            </w:r>
            <w:r>
              <w:rPr>
                <w:rFonts w:ascii="Arial" w:eastAsia="Arial" w:hAnsi="Arial" w:cs="Arial"/>
                <w:color w:val="000000"/>
                <w:sz w:val="16"/>
                <w:vertAlign w:val="superscript"/>
              </w:rPr>
              <w:t>(h)</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55,306</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375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Specific purpose payments to states, ACT, NT and local government</w:t>
            </w:r>
            <w:r>
              <w:rPr>
                <w:rFonts w:ascii="Arial" w:eastAsia="Arial" w:hAnsi="Arial" w:cs="Arial"/>
                <w:color w:val="000000"/>
                <w:sz w:val="16"/>
                <w:vertAlign w:val="superscript"/>
              </w:rPr>
              <w:t>(i)</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5,050</w:t>
            </w:r>
          </w:p>
        </w:tc>
        <w:tc>
          <w:tcPr>
            <w:tcW w:w="103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administered annual appropriation</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218,162</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322,417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18,770</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341,187</w:t>
            </w:r>
          </w:p>
        </w:tc>
      </w:tr>
      <w:tr w:rsidR="009E58DC" w:rsidTr="009E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E58DC" w:rsidRDefault="009E58DC">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E58DC" w:rsidRDefault="009E58DC">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E58DC" w:rsidRDefault="009E58DC">
            <w:pPr>
              <w:spacing w:after="0" w:line="240" w:lineRule="auto"/>
              <w:jc w:val="left"/>
              <w:rPr>
                <w:rFonts w:ascii="Arial" w:eastAsia="Arial" w:hAnsi="Arial" w:cs="Arial"/>
                <w:color w:val="000000"/>
                <w:sz w:val="16"/>
              </w:rPr>
            </w:pPr>
          </w:p>
        </w:tc>
        <w:tc>
          <w:tcPr>
            <w:tcW w:w="1980" w:type="dxa"/>
            <w:gridSpan w:val="2"/>
            <w:tcBorders>
              <w:top w:val="single" w:sz="4" w:space="0" w:color="000000"/>
              <w:left w:val="nil"/>
              <w:bottom w:val="nil"/>
              <w:tl2br w:val="nil"/>
              <w:tr2bl w:val="nil"/>
            </w:tcBorders>
            <w:shd w:val="clear" w:color="auto" w:fill="auto"/>
            <w:noWrap/>
            <w:tcMar>
              <w:left w:w="40" w:type="dxa"/>
              <w:right w:w="40" w:type="dxa"/>
            </w:tcMar>
            <w:vAlign w:val="bottom"/>
          </w:tcPr>
          <w:p w:rsidR="009E58DC" w:rsidRDefault="009E58DC">
            <w:pPr>
              <w:spacing w:after="0" w:line="240" w:lineRule="auto"/>
              <w:jc w:val="right"/>
              <w:rPr>
                <w:rFonts w:ascii="Arial" w:eastAsia="Arial" w:hAnsi="Arial" w:cs="Arial"/>
                <w:color w:val="000000"/>
                <w:sz w:val="16"/>
              </w:rPr>
            </w:pPr>
            <w:r>
              <w:rPr>
                <w:rFonts w:ascii="Arial" w:eastAsia="Arial" w:hAnsi="Arial" w:cs="Arial"/>
                <w:color w:val="000000"/>
                <w:sz w:val="16"/>
              </w:rPr>
              <w:t>Con</w:t>
            </w:r>
            <w:bookmarkStart w:id="15" w:name="_GoBack"/>
            <w:bookmarkEnd w:id="15"/>
            <w:r>
              <w:rPr>
                <w:rFonts w:ascii="Arial" w:eastAsia="Arial" w:hAnsi="Arial" w:cs="Arial"/>
                <w:color w:val="000000"/>
                <w:sz w:val="16"/>
              </w:rPr>
              <w:t>tinued on next page</w:t>
            </w:r>
          </w:p>
        </w:tc>
      </w:tr>
    </w:tbl>
    <w:p w:rsidR="001D003E" w:rsidRPr="0086120A" w:rsidRDefault="001D003E" w:rsidP="001D003E">
      <w:pPr>
        <w:pStyle w:val="TableHeading"/>
        <w:keepLines w:val="0"/>
        <w:pageBreakBefore/>
        <w:pBdr>
          <w:top w:val="nil"/>
          <w:left w:val="nil"/>
          <w:bottom w:val="nil"/>
          <w:right w:val="nil"/>
          <w:between w:val="nil"/>
          <w:bar w:val="nil"/>
        </w:pBdr>
        <w:jc w:val="left"/>
        <w:rPr>
          <w:rFonts w:eastAsia="Calibri"/>
          <w:bdr w:val="nil"/>
          <w:lang w:eastAsia="en-US"/>
        </w:rPr>
      </w:pPr>
      <w:r>
        <w:rPr>
          <w:rFonts w:eastAsia="Calibri"/>
          <w:bdr w:val="nil"/>
          <w:lang w:eastAsia="en-US"/>
        </w:rPr>
        <w:lastRenderedPageBreak/>
        <w:t>Table 1.1: Department of Veterans' Affairs Resource Statement – Additional Estimates for 2021-22 as at Additional Estimates February 2022 (continued)</w:t>
      </w:r>
    </w:p>
    <w:tbl>
      <w:tblPr>
        <w:tblStyle w:val="CDMRange2"/>
        <w:tblW w:w="7845" w:type="dxa"/>
        <w:tblLayout w:type="fixed"/>
        <w:tblLook w:val="0600" w:firstRow="0" w:lastRow="0" w:firstColumn="0" w:lastColumn="0" w:noHBand="1" w:noVBand="1"/>
      </w:tblPr>
      <w:tblGrid>
        <w:gridCol w:w="980"/>
        <w:gridCol w:w="981"/>
        <w:gridCol w:w="980"/>
        <w:gridCol w:w="809"/>
        <w:gridCol w:w="172"/>
        <w:gridCol w:w="908"/>
        <w:gridCol w:w="73"/>
        <w:gridCol w:w="962"/>
        <w:gridCol w:w="18"/>
        <w:gridCol w:w="957"/>
        <w:gridCol w:w="24"/>
        <w:gridCol w:w="981"/>
      </w:tblGrid>
      <w:tr w:rsidR="00811FBF" w:rsidTr="009E58DC">
        <w:trPr>
          <w:trHeight w:hRule="exact" w:val="225"/>
          <w:tblHeader/>
        </w:trPr>
        <w:tc>
          <w:tcPr>
            <w:tcW w:w="3750" w:type="dxa"/>
            <w:gridSpan w:val="4"/>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35"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05" w:type="dxa"/>
            <w:gridSpan w:val="2"/>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 xml:space="preserve">Total </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gridSpan w:val="4"/>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1080" w:type="dxa"/>
            <w:gridSpan w:val="2"/>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35" w:type="dxa"/>
            <w:gridSpan w:val="2"/>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975" w:type="dxa"/>
            <w:gridSpan w:val="2"/>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05" w:type="dxa"/>
            <w:gridSpan w:val="2"/>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gridSpan w:val="4"/>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1080" w:type="dxa"/>
            <w:gridSpan w:val="2"/>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35" w:type="dxa"/>
            <w:gridSpan w:val="2"/>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gridSpan w:val="2"/>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05" w:type="dxa"/>
            <w:gridSpan w:val="2"/>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gridSpan w:val="4"/>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1080" w:type="dxa"/>
            <w:gridSpan w:val="2"/>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i/>
                <w:color w:val="000000"/>
                <w:sz w:val="16"/>
              </w:rPr>
            </w:pPr>
          </w:p>
        </w:tc>
        <w:tc>
          <w:tcPr>
            <w:tcW w:w="1035" w:type="dxa"/>
            <w:gridSpan w:val="2"/>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p>
        </w:tc>
        <w:tc>
          <w:tcPr>
            <w:tcW w:w="975" w:type="dxa"/>
            <w:gridSpan w:val="2"/>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gridSpan w:val="2"/>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gridSpan w:val="4"/>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1080" w:type="dxa"/>
            <w:gridSpan w:val="2"/>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c>
          <w:tcPr>
            <w:tcW w:w="1035" w:type="dxa"/>
            <w:gridSpan w:val="2"/>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gridSpan w:val="2"/>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gridSpan w:val="2"/>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gridSpan w:val="4"/>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35"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gridSpan w:val="2"/>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gridSpan w:val="4"/>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appropriations</w:t>
            </w:r>
          </w:p>
        </w:tc>
        <w:tc>
          <w:tcPr>
            <w:tcW w:w="108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35"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gridSpan w:val="2"/>
            <w:tcBorders>
              <w:top w:val="single" w:sz="4" w:space="0" w:color="000000"/>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gridSpan w:val="4"/>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1080" w:type="dxa"/>
            <w:gridSpan w:val="2"/>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35" w:type="dxa"/>
            <w:gridSpan w:val="2"/>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gridSpan w:val="2"/>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gridSpan w:val="2"/>
            <w:tcBorders>
              <w:top w:val="nil"/>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3750" w:type="dxa"/>
            <w:gridSpan w:val="4"/>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Papua New Guinea (Members of the Forces Benefits) Act 1957</w:t>
            </w:r>
          </w:p>
        </w:tc>
        <w:tc>
          <w:tcPr>
            <w:tcW w:w="1080"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103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7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gridSpan w:val="2"/>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50" w:type="dxa"/>
            <w:gridSpan w:val="4"/>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 (VEA)</w:t>
            </w:r>
          </w:p>
        </w:tc>
        <w:tc>
          <w:tcPr>
            <w:tcW w:w="1080"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5,051,513</w:t>
            </w:r>
          </w:p>
        </w:tc>
        <w:tc>
          <w:tcPr>
            <w:tcW w:w="103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4,440,442</w:t>
            </w:r>
          </w:p>
        </w:tc>
        <w:tc>
          <w:tcPr>
            <w:tcW w:w="97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24,862</w:t>
            </w:r>
          </w:p>
        </w:tc>
        <w:tc>
          <w:tcPr>
            <w:tcW w:w="1005" w:type="dxa"/>
            <w:gridSpan w:val="2"/>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4,465,304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750" w:type="dxa"/>
            <w:gridSpan w:val="4"/>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Compensation (Japanese Interment) Act 2001</w:t>
            </w:r>
          </w:p>
        </w:tc>
        <w:tc>
          <w:tcPr>
            <w:tcW w:w="1080"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7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gridSpan w:val="2"/>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750" w:type="dxa"/>
            <w:gridSpan w:val="4"/>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Defence Service Homes Act 1918</w:t>
            </w:r>
          </w:p>
        </w:tc>
        <w:tc>
          <w:tcPr>
            <w:tcW w:w="1080"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302</w:t>
            </w:r>
          </w:p>
        </w:tc>
        <w:tc>
          <w:tcPr>
            <w:tcW w:w="103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313</w:t>
            </w:r>
          </w:p>
        </w:tc>
        <w:tc>
          <w:tcPr>
            <w:tcW w:w="97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gridSpan w:val="2"/>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5"/>
        </w:trPr>
        <w:tc>
          <w:tcPr>
            <w:tcW w:w="3750" w:type="dxa"/>
            <w:gridSpan w:val="4"/>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 (Defence-related Claims) Act 1988</w:t>
            </w:r>
          </w:p>
        </w:tc>
        <w:tc>
          <w:tcPr>
            <w:tcW w:w="1080"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390,901</w:t>
            </w:r>
          </w:p>
        </w:tc>
        <w:tc>
          <w:tcPr>
            <w:tcW w:w="103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783,749</w:t>
            </w:r>
          </w:p>
        </w:tc>
        <w:tc>
          <w:tcPr>
            <w:tcW w:w="97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gridSpan w:val="2"/>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783,749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0"/>
        </w:trPr>
        <w:tc>
          <w:tcPr>
            <w:tcW w:w="3750" w:type="dxa"/>
            <w:gridSpan w:val="4"/>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080"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1,273,467</w:t>
            </w:r>
          </w:p>
        </w:tc>
        <w:tc>
          <w:tcPr>
            <w:tcW w:w="103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1,639,442</w:t>
            </w:r>
          </w:p>
        </w:tc>
        <w:tc>
          <w:tcPr>
            <w:tcW w:w="97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gridSpan w:val="2"/>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1,639,442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750" w:type="dxa"/>
            <w:gridSpan w:val="4"/>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Act (Special Access) 2019</w:t>
            </w:r>
          </w:p>
        </w:tc>
        <w:tc>
          <w:tcPr>
            <w:tcW w:w="1080"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3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97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gridSpan w:val="2"/>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750" w:type="dxa"/>
            <w:gridSpan w:val="4"/>
            <w:tcBorders>
              <w:top w:val="nil"/>
              <w:left w:val="nil"/>
              <w:bottom w:val="nil"/>
              <w:right w:val="nil"/>
              <w:tl2br w:val="nil"/>
              <w:tr2bl w:val="nil"/>
            </w:tcBorders>
            <w:shd w:val="clear" w:color="auto" w:fill="auto"/>
            <w:noWrap/>
            <w:tcMar>
              <w:left w:w="44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Outcome 1</w:t>
            </w:r>
          </w:p>
        </w:tc>
        <w:tc>
          <w:tcPr>
            <w:tcW w:w="1080" w:type="dxa"/>
            <w:gridSpan w:val="2"/>
            <w:tcBorders>
              <w:top w:val="nil"/>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6,716,208</w:t>
            </w:r>
          </w:p>
        </w:tc>
        <w:tc>
          <w:tcPr>
            <w:tcW w:w="1035" w:type="dxa"/>
            <w:gridSpan w:val="2"/>
            <w:tcBorders>
              <w:top w:val="nil"/>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6,864,011</w:t>
            </w:r>
          </w:p>
        </w:tc>
        <w:tc>
          <w:tcPr>
            <w:tcW w:w="975" w:type="dxa"/>
            <w:gridSpan w:val="2"/>
            <w:tcBorders>
              <w:top w:val="nil"/>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24,862</w:t>
            </w:r>
          </w:p>
        </w:tc>
        <w:tc>
          <w:tcPr>
            <w:tcW w:w="1005" w:type="dxa"/>
            <w:gridSpan w:val="2"/>
            <w:tcBorders>
              <w:top w:val="nil"/>
              <w:left w:val="nil"/>
              <w:bottom w:val="single" w:sz="4" w:space="0" w:color="000000"/>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6,888,873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gridSpan w:val="4"/>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1080"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35"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gridSpan w:val="2"/>
            <w:tcBorders>
              <w:top w:val="single" w:sz="4" w:space="0" w:color="000000"/>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gridSpan w:val="2"/>
            <w:tcBorders>
              <w:top w:val="single" w:sz="4" w:space="0" w:color="000000"/>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750" w:type="dxa"/>
            <w:gridSpan w:val="4"/>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 (VEA)</w:t>
            </w:r>
          </w:p>
        </w:tc>
        <w:tc>
          <w:tcPr>
            <w:tcW w:w="1080"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3,718,377</w:t>
            </w:r>
          </w:p>
        </w:tc>
        <w:tc>
          <w:tcPr>
            <w:tcW w:w="103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3,886,677</w:t>
            </w:r>
          </w:p>
        </w:tc>
        <w:tc>
          <w:tcPr>
            <w:tcW w:w="975"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(158,994)</w:t>
            </w:r>
          </w:p>
        </w:tc>
        <w:tc>
          <w:tcPr>
            <w:tcW w:w="1005" w:type="dxa"/>
            <w:gridSpan w:val="2"/>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3,727,683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750" w:type="dxa"/>
            <w:gridSpan w:val="4"/>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 (Defence-related Claims) Act 1988</w:t>
            </w:r>
          </w:p>
        </w:tc>
        <w:tc>
          <w:tcPr>
            <w:tcW w:w="1080"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44,780</w:t>
            </w:r>
          </w:p>
        </w:tc>
        <w:tc>
          <w:tcPr>
            <w:tcW w:w="103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60,298</w:t>
            </w:r>
          </w:p>
        </w:tc>
        <w:tc>
          <w:tcPr>
            <w:tcW w:w="975"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(13,493)</w:t>
            </w:r>
          </w:p>
        </w:tc>
        <w:tc>
          <w:tcPr>
            <w:tcW w:w="1005" w:type="dxa"/>
            <w:gridSpan w:val="2"/>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46,805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750" w:type="dxa"/>
            <w:gridSpan w:val="4"/>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080"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228,539</w:t>
            </w:r>
          </w:p>
        </w:tc>
        <w:tc>
          <w:tcPr>
            <w:tcW w:w="103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266,724</w:t>
            </w:r>
          </w:p>
        </w:tc>
        <w:tc>
          <w:tcPr>
            <w:tcW w:w="975"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(7,152)</w:t>
            </w:r>
          </w:p>
        </w:tc>
        <w:tc>
          <w:tcPr>
            <w:tcW w:w="1005" w:type="dxa"/>
            <w:gridSpan w:val="2"/>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259,572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750" w:type="dxa"/>
            <w:gridSpan w:val="4"/>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Australian Participants in British Nuclear Tests (Treatment) Act 2006</w:t>
            </w:r>
          </w:p>
        </w:tc>
        <w:tc>
          <w:tcPr>
            <w:tcW w:w="1080"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7,632</w:t>
            </w:r>
          </w:p>
        </w:tc>
        <w:tc>
          <w:tcPr>
            <w:tcW w:w="103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11,439</w:t>
            </w:r>
          </w:p>
        </w:tc>
        <w:tc>
          <w:tcPr>
            <w:tcW w:w="97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gridSpan w:val="2"/>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11,439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750" w:type="dxa"/>
            <w:gridSpan w:val="4"/>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Public Governance, Performance and Accountability Act 2013 - s77 Repayments</w:t>
            </w:r>
          </w:p>
        </w:tc>
        <w:tc>
          <w:tcPr>
            <w:tcW w:w="1080"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gridSpan w:val="2"/>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750" w:type="dxa"/>
            <w:gridSpan w:val="4"/>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Act (Special Access) 2019</w:t>
            </w:r>
          </w:p>
        </w:tc>
        <w:tc>
          <w:tcPr>
            <w:tcW w:w="1080"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1,467</w:t>
            </w:r>
          </w:p>
        </w:tc>
        <w:tc>
          <w:tcPr>
            <w:tcW w:w="103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4,508</w:t>
            </w:r>
          </w:p>
        </w:tc>
        <w:tc>
          <w:tcPr>
            <w:tcW w:w="97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gridSpan w:val="2"/>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4,508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750" w:type="dxa"/>
            <w:gridSpan w:val="4"/>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Outcome 2</w:t>
            </w:r>
          </w:p>
        </w:tc>
        <w:tc>
          <w:tcPr>
            <w:tcW w:w="1080" w:type="dxa"/>
            <w:gridSpan w:val="2"/>
            <w:tcBorders>
              <w:top w:val="nil"/>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4,000,795</w:t>
            </w:r>
          </w:p>
        </w:tc>
        <w:tc>
          <w:tcPr>
            <w:tcW w:w="1035" w:type="dxa"/>
            <w:gridSpan w:val="2"/>
            <w:tcBorders>
              <w:top w:val="nil"/>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4,229,651</w:t>
            </w:r>
          </w:p>
        </w:tc>
        <w:tc>
          <w:tcPr>
            <w:tcW w:w="975"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(179,639)</w:t>
            </w:r>
          </w:p>
        </w:tc>
        <w:tc>
          <w:tcPr>
            <w:tcW w:w="1005" w:type="dxa"/>
            <w:gridSpan w:val="2"/>
            <w:tcBorders>
              <w:top w:val="nil"/>
              <w:left w:val="nil"/>
              <w:bottom w:val="single" w:sz="4" w:space="0" w:color="000000"/>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4,050,012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750" w:type="dxa"/>
            <w:gridSpan w:val="4"/>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administered special appropriations</w:t>
            </w:r>
          </w:p>
        </w:tc>
        <w:tc>
          <w:tcPr>
            <w:tcW w:w="1080" w:type="dxa"/>
            <w:gridSpan w:val="2"/>
            <w:tcBorders>
              <w:top w:val="single" w:sz="4" w:space="0" w:color="000000"/>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10,717,003</w:t>
            </w:r>
          </w:p>
        </w:tc>
        <w:tc>
          <w:tcPr>
            <w:tcW w:w="1035" w:type="dxa"/>
            <w:gridSpan w:val="2"/>
            <w:tcBorders>
              <w:top w:val="single" w:sz="4" w:space="0" w:color="000000"/>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11,093,662</w:t>
            </w:r>
          </w:p>
        </w:tc>
        <w:tc>
          <w:tcPr>
            <w:tcW w:w="975" w:type="dxa"/>
            <w:gridSpan w:val="2"/>
            <w:tcBorders>
              <w:top w:val="single" w:sz="4" w:space="0" w:color="000000"/>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(154,777)</w:t>
            </w:r>
          </w:p>
        </w:tc>
        <w:tc>
          <w:tcPr>
            <w:tcW w:w="1005" w:type="dxa"/>
            <w:gridSpan w:val="2"/>
            <w:tcBorders>
              <w:top w:val="single" w:sz="4" w:space="0" w:color="000000"/>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10,938,885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750" w:type="dxa"/>
            <w:gridSpan w:val="4"/>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r>
              <w:rPr>
                <w:rFonts w:ascii="Arial" w:eastAsia="Arial" w:hAnsi="Arial" w:cs="Arial"/>
                <w:color w:val="000000"/>
                <w:sz w:val="16"/>
                <w:vertAlign w:val="superscript"/>
              </w:rPr>
              <w:t>(f)</w:t>
            </w:r>
          </w:p>
        </w:tc>
        <w:tc>
          <w:tcPr>
            <w:tcW w:w="1080"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3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05" w:type="dxa"/>
            <w:gridSpan w:val="2"/>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gridSpan w:val="4"/>
            <w:tcBorders>
              <w:top w:val="nil"/>
              <w:left w:val="nil"/>
              <w:bottom w:val="nil"/>
              <w:right w:val="nil"/>
              <w:tl2br w:val="nil"/>
              <w:tr2bl w:val="nil"/>
            </w:tcBorders>
            <w:shd w:val="clear" w:color="auto" w:fill="auto"/>
            <w:noWrap/>
            <w:tcMar>
              <w:left w:w="71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080" w:type="dxa"/>
            <w:gridSpan w:val="2"/>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116</w:t>
            </w:r>
          </w:p>
        </w:tc>
        <w:tc>
          <w:tcPr>
            <w:tcW w:w="1035" w:type="dxa"/>
            <w:gridSpan w:val="2"/>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118</w:t>
            </w:r>
          </w:p>
        </w:tc>
        <w:tc>
          <w:tcPr>
            <w:tcW w:w="97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w:t>
            </w:r>
          </w:p>
        </w:tc>
        <w:tc>
          <w:tcPr>
            <w:tcW w:w="1005" w:type="dxa"/>
            <w:gridSpan w:val="2"/>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50" w:type="dxa"/>
            <w:gridSpan w:val="4"/>
            <w:tcBorders>
              <w:top w:val="nil"/>
              <w:left w:val="nil"/>
              <w:bottom w:val="nil"/>
              <w:right w:val="nil"/>
              <w:tl2br w:val="nil"/>
              <w:tr2bl w:val="nil"/>
            </w:tcBorders>
            <w:shd w:val="clear" w:color="auto" w:fill="auto"/>
            <w:tcMar>
              <w:left w:w="71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p>
        </w:tc>
        <w:tc>
          <w:tcPr>
            <w:tcW w:w="1080" w:type="dxa"/>
            <w:gridSpan w:val="2"/>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78</w:t>
            </w:r>
          </w:p>
        </w:tc>
        <w:tc>
          <w:tcPr>
            <w:tcW w:w="1035" w:type="dxa"/>
            <w:gridSpan w:val="2"/>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75" w:type="dxa"/>
            <w:gridSpan w:val="2"/>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1005" w:type="dxa"/>
            <w:gridSpan w:val="2"/>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750" w:type="dxa"/>
            <w:gridSpan w:val="4"/>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w:t>
            </w:r>
          </w:p>
        </w:tc>
        <w:tc>
          <w:tcPr>
            <w:tcW w:w="1080" w:type="dxa"/>
            <w:gridSpan w:val="2"/>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194</w:t>
            </w:r>
          </w:p>
        </w:tc>
        <w:tc>
          <w:tcPr>
            <w:tcW w:w="1035" w:type="dxa"/>
            <w:gridSpan w:val="2"/>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138</w:t>
            </w:r>
          </w:p>
        </w:tc>
        <w:tc>
          <w:tcPr>
            <w:tcW w:w="975" w:type="dxa"/>
            <w:gridSpan w:val="2"/>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24</w:t>
            </w:r>
          </w:p>
        </w:tc>
        <w:tc>
          <w:tcPr>
            <w:tcW w:w="1005" w:type="dxa"/>
            <w:gridSpan w:val="2"/>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750" w:type="dxa"/>
            <w:gridSpan w:val="4"/>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less payments to corporate entities from annual/special appropriations</w:t>
            </w:r>
          </w:p>
        </w:tc>
        <w:tc>
          <w:tcPr>
            <w:tcW w:w="1080" w:type="dxa"/>
            <w:gridSpan w:val="2"/>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55,306</w:t>
            </w:r>
          </w:p>
        </w:tc>
        <w:tc>
          <w:tcPr>
            <w:tcW w:w="1035" w:type="dxa"/>
            <w:gridSpan w:val="2"/>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975" w:type="dxa"/>
            <w:gridSpan w:val="2"/>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gridSpan w:val="2"/>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50" w:type="dxa"/>
            <w:gridSpan w:val="4"/>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080" w:type="dxa"/>
            <w:gridSpan w:val="2"/>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10,880,053</w:t>
            </w:r>
          </w:p>
        </w:tc>
        <w:tc>
          <w:tcPr>
            <w:tcW w:w="1035" w:type="dxa"/>
            <w:gridSpan w:val="2"/>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11,272,808</w:t>
            </w:r>
          </w:p>
        </w:tc>
        <w:tc>
          <w:tcPr>
            <w:tcW w:w="975"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(135,983)</w:t>
            </w:r>
          </w:p>
        </w:tc>
        <w:tc>
          <w:tcPr>
            <w:tcW w:w="1005" w:type="dxa"/>
            <w:gridSpan w:val="2"/>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11,136,825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750" w:type="dxa"/>
            <w:gridSpan w:val="4"/>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DVA portfolio</w:t>
            </w:r>
          </w:p>
        </w:tc>
        <w:tc>
          <w:tcPr>
            <w:tcW w:w="1080" w:type="dxa"/>
            <w:gridSpan w:val="2"/>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11,441,637</w:t>
            </w:r>
          </w:p>
        </w:tc>
        <w:tc>
          <w:tcPr>
            <w:tcW w:w="1035" w:type="dxa"/>
            <w:gridSpan w:val="2"/>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11,809,469</w:t>
            </w:r>
          </w:p>
        </w:tc>
        <w:tc>
          <w:tcPr>
            <w:tcW w:w="975"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(113,799)</w:t>
            </w:r>
          </w:p>
        </w:tc>
        <w:tc>
          <w:tcPr>
            <w:tcW w:w="1005" w:type="dxa"/>
            <w:gridSpan w:val="2"/>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11,695,670</w:t>
            </w:r>
          </w:p>
        </w:tc>
      </w:tr>
      <w:tr w:rsidR="009E58DC" w:rsidTr="009E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9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E58DC" w:rsidRDefault="009E58DC" w:rsidP="009E58DC">
            <w:pPr>
              <w:spacing w:after="0" w:line="240" w:lineRule="auto"/>
              <w:jc w:val="left"/>
              <w:rPr>
                <w:rFonts w:ascii="Calibri" w:eastAsia="Calibri" w:hAnsi="Calibri" w:cs="Calibri"/>
                <w:color w:val="000000"/>
                <w:sz w:val="22"/>
              </w:rPr>
            </w:pPr>
          </w:p>
        </w:tc>
        <w:tc>
          <w:tcPr>
            <w:tcW w:w="981" w:type="dxa"/>
            <w:tcBorders>
              <w:top w:val="single" w:sz="4" w:space="0" w:color="000000"/>
              <w:left w:val="nil"/>
              <w:bottom w:val="single" w:sz="4" w:space="0" w:color="000000"/>
              <w:right w:val="nil"/>
              <w:tl2br w:val="nil"/>
              <w:tr2bl w:val="nil"/>
            </w:tcBorders>
            <w:shd w:val="clear" w:color="auto" w:fill="auto"/>
            <w:vAlign w:val="bottom"/>
          </w:tcPr>
          <w:p w:rsidR="009E58DC" w:rsidRDefault="009E58DC" w:rsidP="009E58DC">
            <w:pPr>
              <w:spacing w:after="0" w:line="240" w:lineRule="auto"/>
              <w:jc w:val="left"/>
              <w:rPr>
                <w:rFonts w:ascii="Calibri" w:eastAsia="Calibri" w:hAnsi="Calibri" w:cs="Calibri"/>
                <w:color w:val="000000"/>
                <w:sz w:val="22"/>
              </w:rPr>
            </w:pPr>
          </w:p>
        </w:tc>
        <w:tc>
          <w:tcPr>
            <w:tcW w:w="980" w:type="dxa"/>
            <w:tcBorders>
              <w:top w:val="single" w:sz="4" w:space="0" w:color="000000"/>
              <w:left w:val="nil"/>
              <w:bottom w:val="single" w:sz="4" w:space="0" w:color="000000"/>
              <w:right w:val="nil"/>
              <w:tl2br w:val="nil"/>
              <w:tr2bl w:val="nil"/>
            </w:tcBorders>
            <w:shd w:val="clear" w:color="auto" w:fill="auto"/>
            <w:vAlign w:val="bottom"/>
          </w:tcPr>
          <w:p w:rsidR="009E58DC" w:rsidRDefault="009E58DC" w:rsidP="009E58DC">
            <w:pPr>
              <w:spacing w:after="0" w:line="240" w:lineRule="auto"/>
              <w:jc w:val="left"/>
              <w:rPr>
                <w:rFonts w:ascii="Calibri" w:eastAsia="Calibri" w:hAnsi="Calibri" w:cs="Calibri"/>
                <w:color w:val="000000"/>
                <w:sz w:val="22"/>
              </w:rPr>
            </w:pPr>
          </w:p>
        </w:tc>
        <w:tc>
          <w:tcPr>
            <w:tcW w:w="981" w:type="dxa"/>
            <w:gridSpan w:val="2"/>
            <w:tcBorders>
              <w:top w:val="single" w:sz="4" w:space="0" w:color="000000"/>
              <w:left w:val="nil"/>
              <w:bottom w:val="single" w:sz="4" w:space="0" w:color="000000"/>
              <w:right w:val="nil"/>
              <w:tl2br w:val="nil"/>
              <w:tr2bl w:val="nil"/>
            </w:tcBorders>
            <w:shd w:val="clear" w:color="auto" w:fill="auto"/>
            <w:vAlign w:val="bottom"/>
          </w:tcPr>
          <w:p w:rsidR="009E58DC" w:rsidRDefault="009E58DC" w:rsidP="009E58DC">
            <w:pPr>
              <w:spacing w:after="0" w:line="240" w:lineRule="auto"/>
              <w:jc w:val="left"/>
              <w:rPr>
                <w:rFonts w:ascii="Calibri" w:eastAsia="Calibri" w:hAnsi="Calibri" w:cs="Calibri"/>
                <w:color w:val="000000"/>
                <w:sz w:val="22"/>
              </w:rPr>
            </w:pPr>
          </w:p>
        </w:tc>
        <w:tc>
          <w:tcPr>
            <w:tcW w:w="981" w:type="dxa"/>
            <w:gridSpan w:val="2"/>
            <w:tcBorders>
              <w:top w:val="single" w:sz="4" w:space="0" w:color="000000"/>
              <w:left w:val="nil"/>
              <w:bottom w:val="single" w:sz="4" w:space="0" w:color="000000"/>
              <w:right w:val="nil"/>
              <w:tl2br w:val="nil"/>
              <w:tr2bl w:val="nil"/>
            </w:tcBorders>
            <w:shd w:val="clear" w:color="auto" w:fill="auto"/>
            <w:vAlign w:val="bottom"/>
          </w:tcPr>
          <w:p w:rsidR="009E58DC" w:rsidRDefault="009E58DC" w:rsidP="009E58DC">
            <w:pPr>
              <w:spacing w:after="0" w:line="240" w:lineRule="auto"/>
              <w:jc w:val="left"/>
              <w:rPr>
                <w:rFonts w:ascii="Calibri" w:eastAsia="Calibri" w:hAnsi="Calibri" w:cs="Calibri"/>
                <w:color w:val="000000"/>
                <w:sz w:val="22"/>
              </w:rPr>
            </w:pPr>
          </w:p>
        </w:tc>
        <w:tc>
          <w:tcPr>
            <w:tcW w:w="980" w:type="dxa"/>
            <w:gridSpan w:val="2"/>
            <w:tcBorders>
              <w:top w:val="single" w:sz="4" w:space="0" w:color="000000"/>
              <w:left w:val="nil"/>
              <w:bottom w:val="single" w:sz="4" w:space="0" w:color="000000"/>
              <w:right w:val="nil"/>
              <w:tl2br w:val="nil"/>
              <w:tr2bl w:val="nil"/>
            </w:tcBorders>
            <w:shd w:val="clear" w:color="auto" w:fill="auto"/>
            <w:vAlign w:val="bottom"/>
          </w:tcPr>
          <w:p w:rsidR="009E58DC" w:rsidRDefault="009E58DC" w:rsidP="009E58DC">
            <w:pPr>
              <w:spacing w:after="0" w:line="240" w:lineRule="auto"/>
              <w:jc w:val="left"/>
              <w:rPr>
                <w:rFonts w:ascii="Calibri" w:eastAsia="Calibri" w:hAnsi="Calibri" w:cs="Calibri"/>
                <w:color w:val="000000"/>
                <w:sz w:val="22"/>
              </w:rPr>
            </w:pPr>
          </w:p>
        </w:tc>
        <w:tc>
          <w:tcPr>
            <w:tcW w:w="981" w:type="dxa"/>
            <w:gridSpan w:val="2"/>
            <w:tcBorders>
              <w:top w:val="single" w:sz="4" w:space="0" w:color="000000"/>
              <w:left w:val="nil"/>
              <w:bottom w:val="single" w:sz="4" w:space="0" w:color="000000"/>
              <w:right w:val="nil"/>
              <w:tl2br w:val="nil"/>
              <w:tr2bl w:val="nil"/>
            </w:tcBorders>
            <w:shd w:val="clear" w:color="auto" w:fill="auto"/>
            <w:vAlign w:val="bottom"/>
          </w:tcPr>
          <w:p w:rsidR="009E58DC" w:rsidRDefault="009E58DC" w:rsidP="009E58DC">
            <w:pPr>
              <w:spacing w:after="0" w:line="240" w:lineRule="auto"/>
              <w:jc w:val="left"/>
              <w:rPr>
                <w:rFonts w:ascii="Calibri" w:eastAsia="Calibri" w:hAnsi="Calibri" w:cs="Calibri"/>
                <w:color w:val="000000"/>
                <w:sz w:val="22"/>
              </w:rPr>
            </w:pPr>
          </w:p>
        </w:tc>
        <w:tc>
          <w:tcPr>
            <w:tcW w:w="981" w:type="dxa"/>
            <w:tcBorders>
              <w:top w:val="single" w:sz="4" w:space="0" w:color="000000"/>
              <w:left w:val="nil"/>
              <w:bottom w:val="single" w:sz="4" w:space="0" w:color="000000"/>
              <w:right w:val="nil"/>
              <w:tl2br w:val="nil"/>
              <w:tr2bl w:val="nil"/>
            </w:tcBorders>
            <w:shd w:val="clear" w:color="auto" w:fill="auto"/>
            <w:vAlign w:val="bottom"/>
          </w:tcPr>
          <w:p w:rsidR="009E58DC" w:rsidRDefault="009E58DC" w:rsidP="009E58DC">
            <w:pPr>
              <w:spacing w:after="0" w:line="240" w:lineRule="auto"/>
              <w:jc w:val="left"/>
              <w:rPr>
                <w:rFonts w:ascii="Calibri" w:eastAsia="Calibri" w:hAnsi="Calibri" w:cs="Calibri"/>
                <w:color w:val="000000"/>
                <w:sz w:val="22"/>
              </w:rPr>
            </w:pPr>
          </w:p>
        </w:tc>
      </w:tr>
      <w:tr w:rsidR="009E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50" w:type="dxa"/>
            <w:gridSpan w:val="4"/>
            <w:tcBorders>
              <w:top w:val="single" w:sz="4" w:space="0" w:color="000000"/>
              <w:left w:val="nil"/>
              <w:bottom w:val="nil"/>
              <w:right w:val="nil"/>
              <w:tl2br w:val="nil"/>
              <w:tr2bl w:val="nil"/>
            </w:tcBorders>
            <w:shd w:val="clear" w:color="auto" w:fill="auto"/>
            <w:noWrap/>
            <w:tcMar>
              <w:left w:w="0" w:type="dxa"/>
              <w:right w:w="0" w:type="dxa"/>
            </w:tcMar>
            <w:vAlign w:val="bottom"/>
          </w:tcPr>
          <w:p w:rsidR="009E58DC" w:rsidRDefault="009E58DC" w:rsidP="009E58DC">
            <w:pPr>
              <w:spacing w:after="0" w:line="240" w:lineRule="auto"/>
              <w:jc w:val="left"/>
              <w:rPr>
                <w:rFonts w:ascii="Arial" w:eastAsia="Arial" w:hAnsi="Arial" w:cs="Arial"/>
                <w:color w:val="000000"/>
                <w:sz w:val="16"/>
              </w:rPr>
            </w:pPr>
          </w:p>
        </w:tc>
        <w:tc>
          <w:tcPr>
            <w:tcW w:w="1080"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rsidR="009E58DC" w:rsidRDefault="009E58DC" w:rsidP="009E58DC">
            <w:pPr>
              <w:spacing w:after="0" w:line="240" w:lineRule="auto"/>
              <w:jc w:val="left"/>
              <w:rPr>
                <w:rFonts w:ascii="Calibri" w:eastAsia="Calibri" w:hAnsi="Calibri" w:cs="Calibri"/>
                <w:color w:val="000000"/>
                <w:sz w:val="22"/>
              </w:rPr>
            </w:pPr>
          </w:p>
        </w:tc>
        <w:tc>
          <w:tcPr>
            <w:tcW w:w="103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rsidR="009E58DC" w:rsidRDefault="009E58DC" w:rsidP="009E58DC">
            <w:pPr>
              <w:spacing w:after="0" w:line="240" w:lineRule="auto"/>
              <w:jc w:val="left"/>
              <w:rPr>
                <w:rFonts w:ascii="Calibri" w:eastAsia="Calibri" w:hAnsi="Calibri" w:cs="Calibri"/>
                <w:color w:val="000000"/>
                <w:sz w:val="22"/>
              </w:rPr>
            </w:pPr>
          </w:p>
        </w:tc>
        <w:tc>
          <w:tcPr>
            <w:tcW w:w="975"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9E58DC" w:rsidRDefault="009E58DC" w:rsidP="009E58DC">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c>
          <w:tcPr>
            <w:tcW w:w="1005" w:type="dxa"/>
            <w:gridSpan w:val="2"/>
            <w:tcBorders>
              <w:top w:val="single" w:sz="4" w:space="0" w:color="000000"/>
              <w:left w:val="nil"/>
              <w:bottom w:val="single" w:sz="4" w:space="0" w:color="000000"/>
              <w:right w:val="nil"/>
              <w:tl2br w:val="nil"/>
              <w:tr2bl w:val="nil"/>
            </w:tcBorders>
            <w:shd w:val="clear" w:color="FFFFFF" w:fill="EBEBEB"/>
            <w:tcMar>
              <w:left w:w="40" w:type="dxa"/>
              <w:right w:w="40" w:type="dxa"/>
            </w:tcMar>
            <w:vAlign w:val="bottom"/>
          </w:tcPr>
          <w:p w:rsidR="009E58DC" w:rsidRDefault="009E58DC" w:rsidP="009E58DC">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r>
      <w:tr w:rsidR="009E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750" w:type="dxa"/>
            <w:gridSpan w:val="4"/>
            <w:tcBorders>
              <w:top w:val="nil"/>
              <w:left w:val="nil"/>
              <w:bottom w:val="single" w:sz="4" w:space="0" w:color="000000"/>
              <w:right w:val="nil"/>
              <w:tl2br w:val="nil"/>
              <w:tr2bl w:val="nil"/>
            </w:tcBorders>
            <w:shd w:val="clear" w:color="auto" w:fill="auto"/>
            <w:noWrap/>
            <w:tcMar>
              <w:left w:w="40" w:type="dxa"/>
              <w:right w:w="40" w:type="dxa"/>
            </w:tcMar>
            <w:vAlign w:val="bottom"/>
          </w:tcPr>
          <w:p w:rsidR="009E58DC" w:rsidRDefault="009E58DC" w:rsidP="009E58DC">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w:t>
            </w:r>
          </w:p>
        </w:tc>
        <w:tc>
          <w:tcPr>
            <w:tcW w:w="1080"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rsidR="009E58DC" w:rsidRDefault="009E58DC" w:rsidP="009E58DC">
            <w:pPr>
              <w:spacing w:after="0" w:line="240" w:lineRule="auto"/>
              <w:jc w:val="left"/>
              <w:rPr>
                <w:rFonts w:ascii="Calibri" w:eastAsia="Calibri" w:hAnsi="Calibri" w:cs="Calibri"/>
                <w:color w:val="000000"/>
                <w:sz w:val="22"/>
              </w:rPr>
            </w:pPr>
          </w:p>
        </w:tc>
        <w:tc>
          <w:tcPr>
            <w:tcW w:w="1035" w:type="dxa"/>
            <w:gridSpan w:val="2"/>
            <w:tcBorders>
              <w:top w:val="nil"/>
              <w:left w:val="nil"/>
              <w:bottom w:val="single" w:sz="4" w:space="0" w:color="000000"/>
              <w:right w:val="nil"/>
              <w:tl2br w:val="nil"/>
              <w:tr2bl w:val="nil"/>
            </w:tcBorders>
            <w:shd w:val="clear" w:color="auto" w:fill="auto"/>
            <w:noWrap/>
            <w:tcMar>
              <w:left w:w="0" w:type="dxa"/>
              <w:right w:w="0" w:type="dxa"/>
            </w:tcMar>
            <w:vAlign w:val="bottom"/>
          </w:tcPr>
          <w:p w:rsidR="009E58DC" w:rsidRDefault="009E58DC" w:rsidP="009E58DC">
            <w:pPr>
              <w:spacing w:after="0" w:line="240" w:lineRule="auto"/>
              <w:jc w:val="left"/>
              <w:rPr>
                <w:rFonts w:ascii="Calibri" w:eastAsia="Calibri" w:hAnsi="Calibri" w:cs="Calibri"/>
                <w:color w:val="000000"/>
                <w:sz w:val="22"/>
              </w:rPr>
            </w:pPr>
          </w:p>
        </w:tc>
        <w:tc>
          <w:tcPr>
            <w:tcW w:w="975" w:type="dxa"/>
            <w:gridSpan w:val="2"/>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E58DC" w:rsidRDefault="009E58DC" w:rsidP="009E58DC">
            <w:pPr>
              <w:spacing w:after="0" w:line="240" w:lineRule="auto"/>
              <w:jc w:val="right"/>
              <w:rPr>
                <w:rFonts w:ascii="Arial" w:eastAsia="Arial" w:hAnsi="Arial" w:cs="Arial"/>
                <w:color w:val="000000"/>
                <w:sz w:val="16"/>
              </w:rPr>
            </w:pPr>
            <w:r>
              <w:rPr>
                <w:rFonts w:ascii="Arial" w:eastAsia="Arial" w:hAnsi="Arial" w:cs="Arial"/>
                <w:color w:val="000000"/>
                <w:sz w:val="16"/>
              </w:rPr>
              <w:t>1,613</w:t>
            </w:r>
          </w:p>
        </w:tc>
        <w:tc>
          <w:tcPr>
            <w:tcW w:w="1005" w:type="dxa"/>
            <w:gridSpan w:val="2"/>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9E58DC" w:rsidRDefault="009E58DC" w:rsidP="009E58DC">
            <w:pPr>
              <w:spacing w:after="0" w:line="240" w:lineRule="auto"/>
              <w:jc w:val="right"/>
              <w:rPr>
                <w:rFonts w:ascii="Arial" w:eastAsia="Arial" w:hAnsi="Arial" w:cs="Arial"/>
                <w:color w:val="000000"/>
                <w:sz w:val="16"/>
              </w:rPr>
            </w:pPr>
            <w:r>
              <w:rPr>
                <w:rFonts w:ascii="Arial" w:eastAsia="Arial" w:hAnsi="Arial" w:cs="Arial"/>
                <w:color w:val="000000"/>
                <w:sz w:val="16"/>
              </w:rPr>
              <w:t>2,062</w:t>
            </w:r>
          </w:p>
        </w:tc>
      </w:tr>
      <w:tr w:rsidR="009E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750" w:type="dxa"/>
            <w:gridSpan w:val="4"/>
            <w:tcBorders>
              <w:top w:val="single" w:sz="4" w:space="0" w:color="000000"/>
              <w:left w:val="nil"/>
              <w:bottom w:val="nil"/>
              <w:right w:val="nil"/>
              <w:tl2br w:val="nil"/>
              <w:tr2bl w:val="nil"/>
            </w:tcBorders>
            <w:shd w:val="clear" w:color="auto" w:fill="auto"/>
            <w:noWrap/>
            <w:tcMar>
              <w:left w:w="0" w:type="dxa"/>
              <w:right w:w="0" w:type="dxa"/>
            </w:tcMar>
            <w:vAlign w:val="bottom"/>
          </w:tcPr>
          <w:p w:rsidR="009E58DC" w:rsidRDefault="009E58DC" w:rsidP="009E58DC">
            <w:pPr>
              <w:spacing w:after="0" w:line="240" w:lineRule="auto"/>
              <w:jc w:val="left"/>
              <w:rPr>
                <w:rFonts w:ascii="Arial" w:eastAsia="Arial" w:hAnsi="Arial" w:cs="Arial"/>
                <w:b/>
                <w:color w:val="000000"/>
                <w:sz w:val="16"/>
              </w:rPr>
            </w:pPr>
          </w:p>
        </w:tc>
        <w:tc>
          <w:tcPr>
            <w:tcW w:w="1080"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rsidR="009E58DC" w:rsidRDefault="009E58DC" w:rsidP="009E58DC">
            <w:pPr>
              <w:spacing w:after="0" w:line="240" w:lineRule="auto"/>
              <w:jc w:val="right"/>
              <w:rPr>
                <w:rFonts w:ascii="Arial" w:eastAsia="Arial" w:hAnsi="Arial" w:cs="Arial"/>
                <w:b/>
                <w:color w:val="000000"/>
                <w:sz w:val="16"/>
              </w:rPr>
            </w:pPr>
          </w:p>
        </w:tc>
        <w:tc>
          <w:tcPr>
            <w:tcW w:w="103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rsidR="009E58DC" w:rsidRDefault="009E58DC" w:rsidP="009E58DC">
            <w:pPr>
              <w:spacing w:after="0" w:line="240" w:lineRule="auto"/>
              <w:jc w:val="right"/>
              <w:rPr>
                <w:rFonts w:ascii="Arial" w:eastAsia="Arial" w:hAnsi="Arial" w:cs="Arial"/>
                <w:b/>
                <w:color w:val="000000"/>
                <w:sz w:val="16"/>
              </w:rPr>
            </w:pPr>
          </w:p>
        </w:tc>
        <w:tc>
          <w:tcPr>
            <w:tcW w:w="97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rsidR="009E58DC" w:rsidRDefault="009E58DC" w:rsidP="009E58DC">
            <w:pPr>
              <w:spacing w:after="0" w:line="240" w:lineRule="auto"/>
              <w:jc w:val="right"/>
              <w:rPr>
                <w:rFonts w:ascii="Arial" w:eastAsia="Arial" w:hAnsi="Arial" w:cs="Arial"/>
                <w:b/>
                <w:color w:val="000000"/>
                <w:sz w:val="16"/>
              </w:rPr>
            </w:pPr>
          </w:p>
        </w:tc>
        <w:tc>
          <w:tcPr>
            <w:tcW w:w="100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rsidR="009E58DC" w:rsidRDefault="009E58DC" w:rsidP="009E58DC">
            <w:pPr>
              <w:spacing w:after="0" w:line="240" w:lineRule="auto"/>
              <w:jc w:val="right"/>
              <w:rPr>
                <w:rFonts w:ascii="Arial" w:eastAsia="Arial" w:hAnsi="Arial" w:cs="Arial"/>
                <w:b/>
                <w:color w:val="000000"/>
                <w:sz w:val="16"/>
              </w:rPr>
            </w:pPr>
          </w:p>
        </w:tc>
      </w:tr>
    </w:tbl>
    <w:p w:rsidR="001D003E" w:rsidRDefault="001D003E" w:rsidP="001D003E">
      <w:pPr>
        <w:pStyle w:val="Source"/>
      </w:pPr>
      <w:r>
        <w:tab/>
        <w:t xml:space="preserve">Prepared on a resourcing (i.e. appropriations available) basis. </w:t>
      </w:r>
    </w:p>
    <w:p w:rsidR="001D003E" w:rsidRDefault="001D003E" w:rsidP="001D003E">
      <w:pPr>
        <w:pStyle w:val="Source"/>
      </w:pPr>
      <w:r>
        <w:lastRenderedPageBreak/>
        <w:tab/>
      </w:r>
      <w:r w:rsidRPr="00E83AB7">
        <w:t xml:space="preserve">All figures shown above are GST exclusive - these may not match figures in the cash flow statement. </w:t>
      </w:r>
    </w:p>
    <w:p w:rsidR="001D003E" w:rsidRPr="00E669E6" w:rsidRDefault="001D003E" w:rsidP="001D003E">
      <w:pPr>
        <w:pStyle w:val="Source"/>
      </w:pPr>
    </w:p>
    <w:p w:rsidR="001D003E" w:rsidRPr="00BF43C7" w:rsidRDefault="001D003E" w:rsidP="001D003E">
      <w:pPr>
        <w:pStyle w:val="Normal1"/>
        <w:keepNext/>
        <w:numPr>
          <w:ilvl w:val="0"/>
          <w:numId w:val="1"/>
        </w:numPr>
        <w:spacing w:after="0" w:line="240" w:lineRule="auto"/>
        <w:jc w:val="both"/>
        <w:rPr>
          <w:rFonts w:ascii="Arial" w:eastAsia="Times New Roman" w:hAnsi="Arial"/>
          <w:i/>
          <w:sz w:val="16"/>
          <w:szCs w:val="20"/>
          <w:lang w:eastAsia="en-AU"/>
        </w:rPr>
      </w:pPr>
      <w:r w:rsidRPr="00BF43C7">
        <w:rPr>
          <w:rFonts w:ascii="Arial" w:eastAsia="Times New Roman" w:hAnsi="Arial"/>
          <w:i/>
          <w:sz w:val="16"/>
          <w:szCs w:val="20"/>
          <w:lang w:eastAsia="en-AU"/>
        </w:rPr>
        <w:t>Appropriation Act (No. 1) 2021-22 and Appropriation Bill (No. 3) 2021-22.</w:t>
      </w:r>
    </w:p>
    <w:p w:rsidR="001D003E" w:rsidRDefault="001D003E" w:rsidP="001D003E">
      <w:pPr>
        <w:pStyle w:val="ChartandTableFootnoteAlpha"/>
        <w:keepNext w:val="0"/>
        <w:numPr>
          <w:ilvl w:val="0"/>
          <w:numId w:val="1"/>
        </w:numPr>
        <w:tabs>
          <w:tab w:val="left" w:pos="397"/>
        </w:tabs>
        <w:spacing w:after="20" w:line="240" w:lineRule="auto"/>
        <w:rPr>
          <w:rFonts w:cs="Arial"/>
          <w:color w:val="000000"/>
          <w:szCs w:val="16"/>
        </w:rPr>
      </w:pPr>
      <w:r>
        <w:rPr>
          <w:rFonts w:cs="Arial"/>
          <w:color w:val="000000"/>
          <w:szCs w:val="16"/>
        </w:rPr>
        <w:t xml:space="preserve">Excludes $18.019m subject to administrative quarantine by Finance or withheld under section 51 of the </w:t>
      </w:r>
      <w:r w:rsidRPr="00D921DB">
        <w:rPr>
          <w:rFonts w:cs="Arial"/>
          <w:i/>
          <w:color w:val="000000"/>
          <w:szCs w:val="16"/>
        </w:rPr>
        <w:t>Public Governance, Performance and Accountability Act 2013</w:t>
      </w:r>
      <w:r>
        <w:rPr>
          <w:rFonts w:cs="Arial"/>
          <w:color w:val="000000"/>
          <w:szCs w:val="16"/>
        </w:rPr>
        <w:t xml:space="preserve"> (PGPA Act).</w:t>
      </w:r>
    </w:p>
    <w:p w:rsidR="001D003E" w:rsidRPr="00DA00B9" w:rsidRDefault="001D003E" w:rsidP="001D003E">
      <w:pPr>
        <w:pStyle w:val="Normal1"/>
        <w:keepNext/>
        <w:numPr>
          <w:ilvl w:val="0"/>
          <w:numId w:val="1"/>
        </w:numPr>
        <w:spacing w:after="0" w:line="240" w:lineRule="auto"/>
        <w:jc w:val="both"/>
        <w:rPr>
          <w:rFonts w:ascii="Arial" w:eastAsia="Times New Roman" w:hAnsi="Arial"/>
          <w:sz w:val="16"/>
          <w:szCs w:val="20"/>
          <w:lang w:eastAsia="en-AU"/>
        </w:rPr>
      </w:pPr>
      <w:r>
        <w:rPr>
          <w:rFonts w:ascii="Arial" w:eastAsia="Times New Roman" w:hAnsi="Arial"/>
          <w:sz w:val="16"/>
          <w:szCs w:val="20"/>
          <w:lang w:eastAsia="en-AU"/>
        </w:rPr>
        <w:t>Estimated external</w:t>
      </w:r>
      <w:r w:rsidRPr="00BF43C7">
        <w:rPr>
          <w:rFonts w:ascii="Arial" w:eastAsia="Times New Roman" w:hAnsi="Arial"/>
          <w:sz w:val="16"/>
          <w:szCs w:val="20"/>
          <w:lang w:eastAsia="en-AU"/>
        </w:rPr>
        <w:t xml:space="preserve"> revenue receipts under section 74 of the </w:t>
      </w:r>
      <w:r>
        <w:rPr>
          <w:rFonts w:ascii="Arial" w:eastAsia="Times New Roman" w:hAnsi="Arial"/>
          <w:sz w:val="16"/>
          <w:szCs w:val="20"/>
          <w:lang w:eastAsia="en-AU"/>
        </w:rPr>
        <w:t>PGPA Act.</w:t>
      </w:r>
    </w:p>
    <w:p w:rsidR="001D003E" w:rsidRDefault="001D003E" w:rsidP="001D003E">
      <w:pPr>
        <w:pStyle w:val="Normal1"/>
        <w:keepNext/>
        <w:numPr>
          <w:ilvl w:val="0"/>
          <w:numId w:val="1"/>
        </w:numPr>
        <w:spacing w:after="0" w:line="240" w:lineRule="auto"/>
        <w:jc w:val="both"/>
        <w:rPr>
          <w:rFonts w:ascii="Arial" w:hAnsi="Arial" w:cs="Arial"/>
          <w:color w:val="000000"/>
          <w:sz w:val="16"/>
          <w:szCs w:val="16"/>
          <w:lang w:eastAsia="en-AU"/>
        </w:rPr>
      </w:pPr>
      <w:r w:rsidRPr="00C44E63">
        <w:rPr>
          <w:rFonts w:ascii="Arial" w:hAnsi="Arial" w:cs="Arial"/>
          <w:color w:val="000000"/>
          <w:sz w:val="16"/>
          <w:szCs w:val="16"/>
        </w:rPr>
        <w:t>Departmental capital budgets are not separately identified in Appropriation Act (No.1) and form part of ordinary annual services items. Please refer to</w:t>
      </w:r>
      <w:r>
        <w:rPr>
          <w:rFonts w:ascii="Arial" w:hAnsi="Arial" w:cs="Arial"/>
          <w:color w:val="000000"/>
          <w:sz w:val="16"/>
          <w:szCs w:val="16"/>
        </w:rPr>
        <w:t xml:space="preserve"> Table 3.6 for further details. For accounting purposes, this amount has been designated as a ‘contribution by owner’. </w:t>
      </w:r>
    </w:p>
    <w:p w:rsidR="001D003E" w:rsidRPr="00227BAF" w:rsidRDefault="001D003E" w:rsidP="001D003E">
      <w:pPr>
        <w:pStyle w:val="Normal1"/>
        <w:keepNext/>
        <w:numPr>
          <w:ilvl w:val="0"/>
          <w:numId w:val="1"/>
        </w:numPr>
        <w:spacing w:after="0" w:line="240" w:lineRule="auto"/>
        <w:jc w:val="both"/>
        <w:rPr>
          <w:rFonts w:ascii="Arial" w:eastAsia="Times New Roman" w:hAnsi="Arial"/>
          <w:sz w:val="16"/>
          <w:szCs w:val="20"/>
          <w:lang w:eastAsia="en-AU"/>
        </w:rPr>
      </w:pPr>
      <w:r w:rsidRPr="00F16A4F">
        <w:rPr>
          <w:rFonts w:ascii="Arial" w:eastAsia="Times New Roman" w:hAnsi="Arial"/>
          <w:i/>
          <w:sz w:val="16"/>
          <w:szCs w:val="20"/>
          <w:lang w:eastAsia="en-AU"/>
        </w:rPr>
        <w:t>Appropriation Act (No. 2) 2021-22</w:t>
      </w:r>
      <w:r w:rsidRPr="00F16A4F">
        <w:rPr>
          <w:rFonts w:ascii="Arial" w:eastAsia="Times New Roman" w:hAnsi="Arial"/>
          <w:sz w:val="16"/>
          <w:szCs w:val="20"/>
          <w:lang w:eastAsia="en-AU"/>
        </w:rPr>
        <w:t xml:space="preserve"> and </w:t>
      </w:r>
      <w:r w:rsidRPr="00F16A4F">
        <w:rPr>
          <w:rFonts w:ascii="Arial" w:eastAsia="Times New Roman" w:hAnsi="Arial"/>
          <w:i/>
          <w:sz w:val="16"/>
          <w:szCs w:val="20"/>
          <w:lang w:eastAsia="en-AU"/>
        </w:rPr>
        <w:t>Appropriation Bill (No. 4) 2021-22</w:t>
      </w:r>
      <w:r w:rsidRPr="00F16A4F">
        <w:rPr>
          <w:rFonts w:ascii="Arial" w:eastAsia="Times New Roman" w:hAnsi="Arial"/>
          <w:sz w:val="16"/>
          <w:szCs w:val="20"/>
          <w:lang w:eastAsia="en-AU"/>
        </w:rPr>
        <w:t>.</w:t>
      </w:r>
    </w:p>
    <w:p w:rsidR="001D003E" w:rsidRDefault="001D003E" w:rsidP="001D003E">
      <w:pPr>
        <w:pStyle w:val="Normal1"/>
        <w:keepNext/>
        <w:numPr>
          <w:ilvl w:val="0"/>
          <w:numId w:val="1"/>
        </w:numPr>
        <w:spacing w:after="0" w:line="240" w:lineRule="auto"/>
        <w:jc w:val="both"/>
        <w:rPr>
          <w:rFonts w:ascii="Arial" w:eastAsia="Times New Roman" w:hAnsi="Arial"/>
          <w:sz w:val="16"/>
          <w:szCs w:val="20"/>
          <w:lang w:eastAsia="en-AU"/>
        </w:rPr>
      </w:pPr>
      <w:r>
        <w:rPr>
          <w:rFonts w:ascii="Arial" w:eastAsia="Times New Roman" w:hAnsi="Arial"/>
          <w:sz w:val="16"/>
          <w:szCs w:val="20"/>
          <w:lang w:eastAsia="en-AU"/>
        </w:rPr>
        <w:t>Excludes trust moneys held in Services for Other Entities and Trust Moneys (SOETM) and other special accounts. For further information on special accounts (excluding amounts held on trust), please see table 3.1.</w:t>
      </w:r>
    </w:p>
    <w:p w:rsidR="001D003E" w:rsidRPr="00DA00B9" w:rsidRDefault="001D003E" w:rsidP="001D003E">
      <w:pPr>
        <w:pStyle w:val="Normal1"/>
        <w:keepNext/>
        <w:numPr>
          <w:ilvl w:val="0"/>
          <w:numId w:val="1"/>
        </w:numPr>
        <w:spacing w:after="0" w:line="240" w:lineRule="auto"/>
        <w:jc w:val="both"/>
        <w:rPr>
          <w:rFonts w:ascii="Arial" w:eastAsia="Times New Roman" w:hAnsi="Arial"/>
          <w:sz w:val="16"/>
          <w:szCs w:val="20"/>
          <w:lang w:eastAsia="en-AU"/>
        </w:rPr>
      </w:pPr>
      <w:r>
        <w:rPr>
          <w:rFonts w:ascii="Arial" w:hAnsi="Arial" w:cs="Arial"/>
          <w:sz w:val="16"/>
          <w:szCs w:val="16"/>
        </w:rPr>
        <w:t xml:space="preserve">Amounts credited to the special account(s) from DVA’s annual appropriations. </w:t>
      </w:r>
    </w:p>
    <w:p w:rsidR="001D003E" w:rsidRDefault="001D003E" w:rsidP="001D003E">
      <w:pPr>
        <w:pStyle w:val="Normal10"/>
        <w:keepNext/>
        <w:numPr>
          <w:ilvl w:val="0"/>
          <w:numId w:val="1"/>
        </w:numPr>
        <w:spacing w:after="0" w:line="240" w:lineRule="auto"/>
        <w:jc w:val="both"/>
        <w:rPr>
          <w:rFonts w:ascii="Arial" w:eastAsia="Times New Roman" w:hAnsi="Arial"/>
          <w:sz w:val="16"/>
          <w:szCs w:val="20"/>
          <w:lang w:eastAsia="en-AU"/>
        </w:rPr>
      </w:pPr>
      <w:r>
        <w:rPr>
          <w:rFonts w:ascii="Arial" w:eastAsia="Times New Roman" w:hAnsi="Arial"/>
          <w:sz w:val="16"/>
          <w:szCs w:val="20"/>
          <w:lang w:eastAsia="en-AU"/>
        </w:rPr>
        <w:t xml:space="preserve">‘Corporate Entities’ are Corporate Commonwealth Entities and Commonwealth Companies as defined under the </w:t>
      </w:r>
      <w:r>
        <w:rPr>
          <w:rFonts w:ascii="Arial" w:eastAsia="Times New Roman" w:hAnsi="Arial"/>
          <w:i/>
          <w:sz w:val="16"/>
          <w:szCs w:val="20"/>
          <w:lang w:eastAsia="en-AU"/>
        </w:rPr>
        <w:t>PGPA Act 2013</w:t>
      </w:r>
      <w:r>
        <w:rPr>
          <w:rFonts w:ascii="Arial" w:eastAsia="Times New Roman" w:hAnsi="Arial"/>
          <w:sz w:val="16"/>
          <w:szCs w:val="20"/>
          <w:lang w:eastAsia="en-AU"/>
        </w:rPr>
        <w:t>.</w:t>
      </w:r>
    </w:p>
    <w:p w:rsidR="001D003E" w:rsidRPr="00D94A08" w:rsidRDefault="001D003E" w:rsidP="001D003E">
      <w:pPr>
        <w:pStyle w:val="Normal1"/>
        <w:keepNext/>
        <w:numPr>
          <w:ilvl w:val="0"/>
          <w:numId w:val="1"/>
        </w:numPr>
        <w:spacing w:after="0" w:line="240" w:lineRule="auto"/>
        <w:jc w:val="both"/>
        <w:rPr>
          <w:rFonts w:ascii="Arial" w:eastAsia="Times New Roman" w:hAnsi="Arial"/>
          <w:sz w:val="16"/>
          <w:szCs w:val="20"/>
          <w:lang w:eastAsia="en-AU"/>
        </w:rPr>
      </w:pPr>
      <w:r>
        <w:rPr>
          <w:rFonts w:ascii="Arial" w:eastAsia="Times New Roman" w:hAnsi="Arial"/>
          <w:sz w:val="16"/>
          <w:szCs w:val="20"/>
          <w:lang w:eastAsia="en-AU"/>
        </w:rPr>
        <w:t xml:space="preserve">Relates to appropriations sought for payment to the States, ACT, NT and local governments in Appropriation Bill (No. 4) </w:t>
      </w:r>
      <w:r w:rsidRPr="00D902C8">
        <w:rPr>
          <w:rFonts w:ascii="Arial" w:eastAsia="Times New Roman" w:hAnsi="Arial"/>
          <w:sz w:val="16"/>
          <w:szCs w:val="20"/>
          <w:lang w:eastAsia="en-AU"/>
        </w:rPr>
        <w:t>2021-22.</w:t>
      </w:r>
      <w:r>
        <w:rPr>
          <w:rFonts w:ascii="Arial" w:eastAsia="Times New Roman" w:hAnsi="Arial"/>
          <w:sz w:val="16"/>
          <w:szCs w:val="20"/>
          <w:lang w:eastAsia="en-AU"/>
        </w:rPr>
        <w:t xml:space="preserve"> </w:t>
      </w:r>
    </w:p>
    <w:p w:rsidR="001D003E" w:rsidRPr="0086120A" w:rsidRDefault="001D003E" w:rsidP="001D003E">
      <w:pPr>
        <w:pStyle w:val="TableHeading"/>
        <w:keepLines w:val="0"/>
        <w:pageBreakBefore/>
        <w:pBdr>
          <w:top w:val="nil"/>
          <w:left w:val="nil"/>
          <w:bottom w:val="nil"/>
          <w:right w:val="nil"/>
          <w:between w:val="nil"/>
          <w:bar w:val="nil"/>
        </w:pBdr>
        <w:jc w:val="left"/>
        <w:rPr>
          <w:rFonts w:eastAsia="Calibri"/>
          <w:bdr w:val="nil"/>
          <w:lang w:eastAsia="en-US"/>
        </w:rPr>
      </w:pPr>
      <w:r>
        <w:rPr>
          <w:rFonts w:eastAsia="Calibri"/>
          <w:bdr w:val="nil"/>
          <w:lang w:eastAsia="en-US"/>
        </w:rPr>
        <w:lastRenderedPageBreak/>
        <w:t>Table 1.1: Department of Veterans' Affairs Resource Statement – Additional Estimates for 2021-22 as at Additional Estimates February 2022 (continued)</w:t>
      </w:r>
      <w:r>
        <w:rPr>
          <w:rFonts w:eastAsia="Calibri"/>
          <w:bdr w:val="nil"/>
          <w:lang w:eastAsia="en-US"/>
        </w:rPr>
        <w:br/>
      </w:r>
      <w:r>
        <w:rPr>
          <w:rFonts w:eastAsia="Calibri"/>
          <w:bdr w:val="nil"/>
          <w:lang w:eastAsia="en-US"/>
        </w:rPr>
        <w:br/>
        <w:t>Third Party Payments from and on Behalf of Other Entities</w:t>
      </w:r>
    </w:p>
    <w:tbl>
      <w:tblPr>
        <w:tblStyle w:val="CDMRange1"/>
        <w:tblW w:w="8160" w:type="dxa"/>
        <w:tblLayout w:type="fixed"/>
        <w:tblLook w:val="0600" w:firstRow="0" w:lastRow="0" w:firstColumn="0" w:lastColumn="0" w:noHBand="1" w:noVBand="1"/>
      </w:tblPr>
      <w:tblGrid>
        <w:gridCol w:w="4005"/>
        <w:gridCol w:w="1140"/>
        <w:gridCol w:w="1005"/>
        <w:gridCol w:w="1005"/>
        <w:gridCol w:w="1005"/>
      </w:tblGrid>
      <w:tr w:rsidR="00811FBF" w:rsidTr="009E58DC">
        <w:trPr>
          <w:trHeight w:hRule="exact" w:val="225"/>
          <w:tblHeader/>
        </w:trPr>
        <w:tc>
          <w:tcPr>
            <w:tcW w:w="4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005" w:type="dxa"/>
            <w:tcBorders>
              <w:top w:val="single" w:sz="4" w:space="0" w:color="000000"/>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 xml:space="preserve">Total </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i/>
                <w:color w:val="000000"/>
                <w:sz w:val="16"/>
              </w:rPr>
            </w:pP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4005" w:type="dxa"/>
            <w:tcBorders>
              <w:top w:val="nil"/>
              <w:left w:val="nil"/>
              <w:bottom w:val="nil"/>
              <w:right w:val="nil"/>
              <w:tl2br w:val="nil"/>
              <w:tr2bl w:val="nil"/>
            </w:tcBorders>
            <w:shd w:val="clear" w:color="auto" w:fill="auto"/>
            <w:tcMar>
              <w:left w:w="101" w:type="dxa"/>
              <w:right w:w="101"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Payments made on behalf of Department of Social Services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tcMar>
              <w:left w:w="371" w:type="dxa"/>
              <w:right w:w="101"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 (Administration) Act 1999</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44,154</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45,347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3,332</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48,679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4005" w:type="dxa"/>
            <w:tcBorders>
              <w:top w:val="nil"/>
              <w:left w:val="nil"/>
              <w:bottom w:val="nil"/>
              <w:right w:val="nil"/>
              <w:tl2br w:val="nil"/>
              <w:tr2bl w:val="nil"/>
            </w:tcBorders>
            <w:shd w:val="clear" w:color="auto" w:fill="auto"/>
            <w:tcMar>
              <w:left w:w="101" w:type="dxa"/>
              <w:right w:w="101"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by Services Australia on behalf of DVA </w:t>
            </w:r>
          </w:p>
        </w:tc>
        <w:tc>
          <w:tcPr>
            <w:tcW w:w="114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tcMar>
              <w:left w:w="371" w:type="dxa"/>
              <w:right w:w="101"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2,997,183</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2,768,332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51,374</w:t>
            </w:r>
          </w:p>
        </w:tc>
        <w:tc>
          <w:tcPr>
            <w:tcW w:w="1005" w:type="dxa"/>
            <w:tcBorders>
              <w:top w:val="nil"/>
              <w:left w:val="nil"/>
              <w:bottom w:val="nil"/>
              <w:right w:val="nil"/>
              <w:tl2br w:val="nil"/>
              <w:tr2bl w:val="nil"/>
            </w:tcBorders>
            <w:shd w:val="clear" w:color="FFFFFF" w:fill="EBEBEB"/>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2,819,706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4005" w:type="dxa"/>
            <w:tcBorders>
              <w:top w:val="nil"/>
              <w:left w:val="nil"/>
              <w:bottom w:val="nil"/>
              <w:right w:val="nil"/>
              <w:tl2br w:val="nil"/>
              <w:tr2bl w:val="nil"/>
            </w:tcBorders>
            <w:shd w:val="clear" w:color="auto" w:fill="auto"/>
            <w:tcMar>
              <w:left w:w="371" w:type="dxa"/>
              <w:right w:w="101"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147,490</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164,212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12,738</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176,950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4005" w:type="dxa"/>
            <w:tcBorders>
              <w:top w:val="nil"/>
              <w:left w:val="nil"/>
              <w:bottom w:val="nil"/>
              <w:right w:val="nil"/>
              <w:tl2br w:val="nil"/>
              <w:tr2bl w:val="nil"/>
            </w:tcBorders>
            <w:shd w:val="clear" w:color="auto" w:fill="auto"/>
            <w:tcMar>
              <w:left w:w="371" w:type="dxa"/>
              <w:right w:w="101"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 (Defence-related Claims) Act 1988</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7,561</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7,196</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(482)</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6,714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4005" w:type="dxa"/>
            <w:tcBorders>
              <w:top w:val="nil"/>
              <w:left w:val="nil"/>
              <w:bottom w:val="nil"/>
              <w:right w:val="nil"/>
              <w:tl2br w:val="nil"/>
              <w:tr2bl w:val="nil"/>
            </w:tcBorders>
            <w:shd w:val="clear" w:color="auto" w:fill="auto"/>
            <w:tcMar>
              <w:left w:w="371" w:type="dxa"/>
              <w:right w:w="101"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Australian Participants in British Nuclear Tests (Treatment) Act 2006</w:t>
            </w:r>
          </w:p>
        </w:tc>
        <w:tc>
          <w:tcPr>
            <w:tcW w:w="1140" w:type="dxa"/>
            <w:tcBorders>
              <w:top w:val="nil"/>
              <w:left w:val="nil"/>
              <w:bottom w:val="nil"/>
              <w:right w:val="nil"/>
              <w:tl2br w:val="nil"/>
              <w:tr2bl w:val="nil"/>
            </w:tcBorders>
            <w:shd w:val="clear" w:color="auto" w:fill="auto"/>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7,237</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11,439</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11,439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4005" w:type="dxa"/>
            <w:tcBorders>
              <w:top w:val="nil"/>
              <w:left w:val="nil"/>
              <w:bottom w:val="nil"/>
              <w:right w:val="nil"/>
              <w:tl2br w:val="nil"/>
              <w:tr2bl w:val="nil"/>
            </w:tcBorders>
            <w:shd w:val="clear" w:color="auto" w:fill="auto"/>
            <w:tcMar>
              <w:left w:w="101" w:type="dxa"/>
              <w:right w:w="101"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Payments made to Services Australia for processing payment of health care provider treatment accounts and the provision of IT services</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52,746</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69,881</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(2,340)</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67,541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4005" w:type="dxa"/>
            <w:tcBorders>
              <w:top w:val="nil"/>
              <w:left w:val="nil"/>
              <w:bottom w:val="nil"/>
              <w:right w:val="nil"/>
              <w:tl2br w:val="nil"/>
              <w:tr2bl w:val="nil"/>
            </w:tcBorders>
            <w:shd w:val="clear" w:color="auto" w:fill="auto"/>
            <w:tcMar>
              <w:left w:w="101" w:type="dxa"/>
              <w:right w:w="101"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Payments made to Department of Social Services for the Community Grants Hub services</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1,498</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2,046</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2,046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4005" w:type="dxa"/>
            <w:tcBorders>
              <w:top w:val="nil"/>
              <w:left w:val="nil"/>
              <w:bottom w:val="nil"/>
              <w:right w:val="nil"/>
              <w:tl2br w:val="nil"/>
              <w:tr2bl w:val="nil"/>
            </w:tcBorders>
            <w:shd w:val="clear" w:color="auto" w:fill="auto"/>
            <w:tcMar>
              <w:left w:w="101" w:type="dxa"/>
              <w:right w:w="101"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Receipts received from the Department of Defence for the provision of services</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8,117</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7,768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384</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8,152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4005" w:type="dxa"/>
            <w:tcBorders>
              <w:top w:val="nil"/>
              <w:left w:val="nil"/>
              <w:bottom w:val="nil"/>
              <w:right w:val="nil"/>
              <w:tl2br w:val="nil"/>
              <w:tr2bl w:val="nil"/>
            </w:tcBorders>
            <w:shd w:val="clear" w:color="auto" w:fill="auto"/>
            <w:tcMar>
              <w:left w:w="101" w:type="dxa"/>
              <w:right w:w="101"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Receipts received from the Department of Social Services for the provision of services</w:t>
            </w:r>
          </w:p>
        </w:tc>
        <w:tc>
          <w:tcPr>
            <w:tcW w:w="1140" w:type="dxa"/>
            <w:tcBorders>
              <w:top w:val="nil"/>
              <w:left w:val="nil"/>
              <w:bottom w:val="nil"/>
              <w:right w:val="nil"/>
              <w:tl2br w:val="nil"/>
              <w:tr2bl w:val="nil"/>
            </w:tcBorders>
            <w:shd w:val="clear" w:color="auto" w:fill="auto"/>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167</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1005" w:type="dxa"/>
            <w:tcBorders>
              <w:top w:val="nil"/>
              <w:left w:val="nil"/>
              <w:bottom w:val="nil"/>
              <w:right w:val="nil"/>
              <w:tl2br w:val="nil"/>
              <w:tr2bl w:val="nil"/>
            </w:tcBorders>
            <w:shd w:val="clear" w:color="FFFFFF" w:fill="EBEBEB"/>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4005" w:type="dxa"/>
            <w:tcBorders>
              <w:top w:val="nil"/>
              <w:left w:val="nil"/>
              <w:bottom w:val="nil"/>
              <w:right w:val="nil"/>
              <w:tl2br w:val="nil"/>
              <w:tr2bl w:val="nil"/>
            </w:tcBorders>
            <w:shd w:val="clear" w:color="auto" w:fill="auto"/>
            <w:tcMar>
              <w:left w:w="101" w:type="dxa"/>
              <w:right w:w="101"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Payments made to corporate entities within the Portfolio</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371" w:type="dxa"/>
              <w:right w:w="101"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Australian War Memorial - Bill 1</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44,241</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tcBorders>
              <w:top w:val="nil"/>
              <w:left w:val="nil"/>
              <w:bottom w:val="nil"/>
              <w:right w:val="nil"/>
              <w:tl2br w:val="nil"/>
              <w:tr2bl w:val="nil"/>
            </w:tcBorders>
            <w:shd w:val="clear" w:color="auto" w:fill="auto"/>
            <w:noWrap/>
            <w:tcMar>
              <w:left w:w="371" w:type="dxa"/>
              <w:right w:w="101"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Australian War Memorial - Bill 2</w:t>
            </w:r>
          </w:p>
        </w:tc>
        <w:tc>
          <w:tcPr>
            <w:tcW w:w="1140" w:type="dxa"/>
            <w:tcBorders>
              <w:top w:val="nil"/>
              <w:left w:val="nil"/>
              <w:bottom w:val="nil"/>
              <w:right w:val="nil"/>
              <w:tl2br w:val="nil"/>
              <w:tr2bl w:val="nil"/>
            </w:tcBorders>
            <w:shd w:val="clear" w:color="auto" w:fill="auto"/>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55,306</w:t>
            </w:r>
          </w:p>
        </w:tc>
        <w:tc>
          <w:tcPr>
            <w:tcW w:w="1005" w:type="dxa"/>
            <w:tcBorders>
              <w:top w:val="nil"/>
              <w:left w:val="nil"/>
              <w:bottom w:val="nil"/>
              <w:right w:val="nil"/>
              <w:tl2br w:val="nil"/>
              <w:tr2bl w:val="nil"/>
            </w:tcBorders>
            <w:shd w:val="clear" w:color="auto" w:fill="auto"/>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noWrap/>
            <w:tcMar>
              <w:left w:w="101" w:type="dxa"/>
              <w:right w:w="101"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160" w:type="dxa"/>
            <w:gridSpan w:val="5"/>
            <w:tcBorders>
              <w:top w:val="single" w:sz="4" w:space="0" w:color="000000"/>
              <w:left w:val="nil"/>
              <w:bottom w:val="nil"/>
              <w:right w:val="nil"/>
              <w:tl2br w:val="nil"/>
              <w:tr2bl w:val="nil"/>
            </w:tcBorders>
            <w:shd w:val="clear" w:color="auto" w:fill="auto"/>
            <w:noWrap/>
            <w:tcMar>
              <w:left w:w="101" w:type="dxa"/>
              <w:right w:w="101"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 resourcing (i.e. appropriations available) basis.</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160" w:type="dxa"/>
            <w:gridSpan w:val="5"/>
            <w:tcBorders>
              <w:top w:val="nil"/>
              <w:left w:val="nil"/>
              <w:bottom w:val="nil"/>
              <w:right w:val="nil"/>
              <w:tl2br w:val="nil"/>
              <w:tr2bl w:val="nil"/>
            </w:tcBorders>
            <w:shd w:val="clear" w:color="auto" w:fill="auto"/>
            <w:noWrap/>
            <w:tcMar>
              <w:left w:w="101" w:type="dxa"/>
              <w:right w:w="101"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All figures shown above are GST exclusive - these may not match figures in the cash flow statement.</w:t>
            </w:r>
          </w:p>
        </w:tc>
      </w:tr>
    </w:tbl>
    <w:p w:rsidR="001D003E" w:rsidRDefault="001D003E" w:rsidP="001D003E">
      <w:pPr>
        <w:pStyle w:val="Heading3"/>
        <w:keepLines w:val="0"/>
        <w:pageBreakBefore/>
        <w:pBdr>
          <w:top w:val="nil"/>
          <w:left w:val="nil"/>
          <w:bottom w:val="nil"/>
          <w:right w:val="nil"/>
          <w:between w:val="nil"/>
          <w:bar w:val="nil"/>
        </w:pBdr>
        <w:jc w:val="left"/>
        <w:rPr>
          <w:bdr w:val="nil"/>
        </w:rPr>
      </w:pPr>
      <w:r>
        <w:rPr>
          <w:bdr w:val="nil"/>
        </w:rPr>
        <w:lastRenderedPageBreak/>
        <w:t>1.3</w:t>
      </w:r>
      <w:r>
        <w:rPr>
          <w:bdr w:val="nil"/>
        </w:rPr>
        <w:tab/>
      </w:r>
      <w:r>
        <w:rPr>
          <w:rFonts w:ascii="Arial Bold" w:hAnsi="Arial Bold"/>
          <w:smallCaps w:val="0"/>
          <w:bdr w:val="nil"/>
        </w:rPr>
        <w:t>Entity Measures</w:t>
      </w:r>
    </w:p>
    <w:p w:rsidR="001D003E" w:rsidRPr="0059275E" w:rsidRDefault="001D003E" w:rsidP="001D003E">
      <w:pPr>
        <w:keepLines w:val="0"/>
        <w:pBdr>
          <w:top w:val="nil"/>
          <w:left w:val="nil"/>
          <w:bottom w:val="nil"/>
          <w:right w:val="nil"/>
          <w:between w:val="nil"/>
          <w:bar w:val="nil"/>
        </w:pBdr>
        <w:spacing w:after="0" w:line="240" w:lineRule="auto"/>
        <w:ind w:right="566"/>
        <w:rPr>
          <w:rFonts w:eastAsia="Calibri"/>
          <w:szCs w:val="22"/>
          <w:bdr w:val="nil"/>
          <w:lang w:eastAsia="en-US"/>
        </w:rPr>
      </w:pPr>
      <w:r w:rsidRPr="0059275E">
        <w:rPr>
          <w:rFonts w:eastAsia="Calibri"/>
          <w:szCs w:val="22"/>
          <w:bdr w:val="nil"/>
          <w:lang w:eastAsia="en-US"/>
        </w:rPr>
        <w:t>Table 1.2 summarises new Government</w:t>
      </w:r>
      <w:r>
        <w:rPr>
          <w:rFonts w:eastAsia="Calibri"/>
          <w:szCs w:val="22"/>
          <w:bdr w:val="nil"/>
          <w:lang w:eastAsia="en-US"/>
        </w:rPr>
        <w:t xml:space="preserve"> measures taken since the 2021-22</w:t>
      </w:r>
      <w:r w:rsidRPr="0059275E">
        <w:rPr>
          <w:rFonts w:eastAsia="Calibri"/>
          <w:szCs w:val="22"/>
          <w:bdr w:val="nil"/>
          <w:lang w:eastAsia="en-US"/>
        </w:rPr>
        <w:t xml:space="preserve"> Budget. The table is split into </w:t>
      </w:r>
      <w:r>
        <w:rPr>
          <w:rFonts w:eastAsia="Calibri"/>
          <w:szCs w:val="22"/>
          <w:bdr w:val="nil"/>
          <w:lang w:eastAsia="en-US"/>
        </w:rPr>
        <w:t xml:space="preserve">receipt and payment </w:t>
      </w:r>
      <w:r w:rsidRPr="0059275E">
        <w:rPr>
          <w:rFonts w:eastAsia="Calibri"/>
          <w:szCs w:val="22"/>
          <w:bdr w:val="nil"/>
          <w:lang w:eastAsia="en-US"/>
        </w:rPr>
        <w:t>measures, with the affected program identified.</w:t>
      </w:r>
    </w:p>
    <w:p w:rsidR="001D003E" w:rsidRDefault="001D003E" w:rsidP="001D003E">
      <w:pPr>
        <w:keepLines w:val="0"/>
        <w:pBdr>
          <w:top w:val="nil"/>
          <w:left w:val="nil"/>
          <w:bottom w:val="nil"/>
          <w:right w:val="nil"/>
          <w:between w:val="nil"/>
          <w:bar w:val="nil"/>
        </w:pBdr>
        <w:spacing w:after="0" w:line="240" w:lineRule="auto"/>
        <w:jc w:val="left"/>
        <w:rPr>
          <w:rFonts w:ascii="Calibri" w:eastAsia="Calibri" w:hAnsi="Calibri"/>
          <w:sz w:val="22"/>
          <w:szCs w:val="22"/>
          <w:bdr w:val="nil"/>
          <w:lang w:eastAsia="en-US"/>
        </w:rPr>
      </w:pPr>
    </w:p>
    <w:p w:rsidR="001D003E" w:rsidRPr="00B54316" w:rsidRDefault="001D003E" w:rsidP="001D003E">
      <w:pPr>
        <w:pStyle w:val="TableHeadingcontinued"/>
        <w:keepLines w:val="0"/>
        <w:pBdr>
          <w:top w:val="nil"/>
          <w:left w:val="nil"/>
          <w:bottom w:val="nil"/>
          <w:right w:val="nil"/>
          <w:between w:val="nil"/>
          <w:bar w:val="nil"/>
        </w:pBdr>
        <w:spacing w:before="0" w:after="0"/>
        <w:jc w:val="left"/>
        <w:rPr>
          <w:rFonts w:ascii="Arial" w:eastAsia="Calibri" w:hAnsi="Arial" w:cs="Arial"/>
          <w:bdr w:val="nil"/>
        </w:rPr>
      </w:pPr>
      <w:r w:rsidRPr="00B54316">
        <w:rPr>
          <w:rFonts w:ascii="Arial" w:eastAsia="Calibri" w:hAnsi="Arial" w:cs="Arial"/>
          <w:bdr w:val="nil"/>
        </w:rPr>
        <w:t>Tab</w:t>
      </w:r>
      <w:r>
        <w:rPr>
          <w:rFonts w:ascii="Arial" w:eastAsia="Calibri" w:hAnsi="Arial" w:cs="Arial"/>
          <w:bdr w:val="nil"/>
        </w:rPr>
        <w:t>le 1.2: Entity</w:t>
      </w:r>
      <w:r w:rsidRPr="00B54316">
        <w:rPr>
          <w:rFonts w:ascii="Arial" w:eastAsia="Calibri" w:hAnsi="Arial" w:cs="Arial"/>
          <w:bdr w:val="nil"/>
        </w:rPr>
        <w:t xml:space="preserve"> 2021-22 Measures since Budget</w:t>
      </w:r>
    </w:p>
    <w:tbl>
      <w:tblPr>
        <w:tblStyle w:val="CDMRange2"/>
        <w:tblW w:w="7545" w:type="dxa"/>
        <w:tblLayout w:type="fixed"/>
        <w:tblLook w:val="0600" w:firstRow="0" w:lastRow="0" w:firstColumn="0" w:lastColumn="0" w:noHBand="1" w:noVBand="1"/>
      </w:tblPr>
      <w:tblGrid>
        <w:gridCol w:w="3225"/>
        <w:gridCol w:w="720"/>
        <w:gridCol w:w="900"/>
        <w:gridCol w:w="900"/>
        <w:gridCol w:w="900"/>
        <w:gridCol w:w="900"/>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7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72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7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50th Anniversary of the end of Australian involvement in the Vietnam War</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3.2</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2,943</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2,129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671</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3,614</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2,384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Ageing and Aged Care</w:t>
            </w:r>
            <w:r>
              <w:rPr>
                <w:rFonts w:ascii="Arial" w:eastAsia="Arial" w:hAnsi="Arial" w:cs="Arial"/>
                <w:color w:val="000000"/>
                <w:sz w:val="16"/>
                <w:vertAlign w:val="superscript"/>
              </w:rPr>
              <w:t>(a)</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258</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258</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ageing and aged care</w:t>
            </w:r>
            <w:r>
              <w:rPr>
                <w:rFonts w:ascii="Arial" w:eastAsia="Arial" w:hAnsi="Arial" w:cs="Arial"/>
                <w:color w:val="000000"/>
                <w:sz w:val="16"/>
                <w:vertAlign w:val="superscript"/>
              </w:rPr>
              <w:t>(a)</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COVID-19 Vaccine Program</w:t>
            </w:r>
            <w:r>
              <w:rPr>
                <w:rFonts w:ascii="Arial" w:eastAsia="Arial" w:hAnsi="Arial" w:cs="Arial"/>
                <w:color w:val="000000"/>
                <w:sz w:val="16"/>
                <w:vertAlign w:val="superscript"/>
              </w:rPr>
              <w:t>(b)</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3,188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199</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3,188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199</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guaranteeing Medicare and access to medicines</w:t>
            </w:r>
            <w:r>
              <w:rPr>
                <w:rFonts w:ascii="Arial" w:eastAsia="Arial" w:hAnsi="Arial" w:cs="Arial"/>
                <w:color w:val="000000"/>
                <w:sz w:val="16"/>
                <w:vertAlign w:val="superscript"/>
              </w:rPr>
              <w:t>(a)</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3,368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219</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3,368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219</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strengthening primary care</w:t>
            </w:r>
            <w:r>
              <w:rPr>
                <w:rFonts w:ascii="Arial" w:eastAsia="Arial" w:hAnsi="Arial" w:cs="Arial"/>
                <w:color w:val="000000"/>
                <w:sz w:val="16"/>
                <w:vertAlign w:val="superscript"/>
              </w:rPr>
              <w:t>(b)</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780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single" w:sz="4" w:space="0" w:color="000000"/>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780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36</w:t>
            </w: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545" w:type="dxa"/>
            <w:gridSpan w:val="6"/>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1D003E" w:rsidRPr="00A61101" w:rsidRDefault="001D003E" w:rsidP="001D003E">
      <w:pPr>
        <w:pStyle w:val="TableHeadingcontinued"/>
        <w:keepLines w:val="0"/>
        <w:pageBreakBefore/>
        <w:pBdr>
          <w:top w:val="nil"/>
          <w:left w:val="nil"/>
          <w:bottom w:val="nil"/>
          <w:right w:val="nil"/>
          <w:between w:val="nil"/>
          <w:bar w:val="nil"/>
        </w:pBdr>
        <w:spacing w:after="0"/>
        <w:jc w:val="left"/>
        <w:rPr>
          <w:rFonts w:ascii="Arial" w:eastAsia="Calibri" w:hAnsi="Arial" w:cs="Arial"/>
          <w:bdr w:val="nil"/>
        </w:rPr>
      </w:pPr>
      <w:r>
        <w:rPr>
          <w:rFonts w:ascii="Arial" w:eastAsia="Calibri" w:hAnsi="Arial" w:cs="Arial"/>
          <w:bdr w:val="nil"/>
        </w:rPr>
        <w:lastRenderedPageBreak/>
        <w:t>Table 1.2: Entity</w:t>
      </w:r>
      <w:r w:rsidRPr="00A61101">
        <w:rPr>
          <w:rFonts w:ascii="Arial" w:eastAsia="Calibri" w:hAnsi="Arial" w:cs="Arial"/>
          <w:bdr w:val="nil"/>
        </w:rPr>
        <w:t xml:space="preserve"> 2021-22 Measures since Budget (continued)</w:t>
      </w:r>
    </w:p>
    <w:p w:rsidR="00811FBF" w:rsidRDefault="00811FBF"/>
    <w:tbl>
      <w:tblPr>
        <w:tblStyle w:val="CDMRange1"/>
        <w:tblW w:w="7545" w:type="dxa"/>
        <w:tblLayout w:type="fixed"/>
        <w:tblLook w:val="0600" w:firstRow="0" w:lastRow="0" w:firstColumn="0" w:lastColumn="0" w:noHBand="1" w:noVBand="1"/>
      </w:tblPr>
      <w:tblGrid>
        <w:gridCol w:w="3225"/>
        <w:gridCol w:w="720"/>
        <w:gridCol w:w="900"/>
        <w:gridCol w:w="900"/>
        <w:gridCol w:w="900"/>
        <w:gridCol w:w="900"/>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7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72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Guaranteeing Medicare – Medicare Benefits Schedule new and amended listings</w:t>
            </w:r>
            <w:r>
              <w:rPr>
                <w:rFonts w:ascii="Arial" w:eastAsia="Arial" w:hAnsi="Arial" w:cs="Arial"/>
                <w:color w:val="000000"/>
                <w:sz w:val="16"/>
                <w:vertAlign w:val="superscript"/>
              </w:rPr>
              <w:t>(a)</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2.1,2.3</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254</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254</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0"/>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Guaranteeing Medicare and Access to Medicines - Pharmaceutical Benefits Scheme - new and amended listings</w:t>
            </w:r>
            <w:r>
              <w:rPr>
                <w:rFonts w:ascii="Arial" w:eastAsia="Arial" w:hAnsi="Arial" w:cs="Arial"/>
                <w:color w:val="000000"/>
                <w:sz w:val="16"/>
                <w:vertAlign w:val="superscript"/>
              </w:rPr>
              <w:t>(a)</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2.3</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4,937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6,337</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6,925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4,937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6,337</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6,925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7,292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Guaranteeing Medicare - strengthening primary care</w:t>
            </w:r>
            <w:r>
              <w:rPr>
                <w:rFonts w:ascii="Arial" w:eastAsia="Arial" w:hAnsi="Arial" w:cs="Arial"/>
                <w:color w:val="000000"/>
                <w:sz w:val="16"/>
                <w:vertAlign w:val="superscript"/>
              </w:rPr>
              <w:t xml:space="preserve">(c) </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115</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115</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30"/>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Improving Access to Medicines - new strategic agreements with Medicines Australia and the Generic and Biosimilar Medicines Association</w:t>
            </w:r>
            <w:r>
              <w:rPr>
                <w:rFonts w:ascii="Arial" w:eastAsia="Arial" w:hAnsi="Arial" w:cs="Arial"/>
                <w:color w:val="000000"/>
                <w:sz w:val="16"/>
                <w:vertAlign w:val="superscript"/>
              </w:rPr>
              <w:t>(a)</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2.3</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(464)</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(7,792)</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(9,321)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(464)</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(7,792)</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(9,321)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Pension Loan Scheme Settings</w:t>
            </w:r>
            <w:r>
              <w:rPr>
                <w:rFonts w:ascii="Arial" w:eastAsia="Arial" w:hAnsi="Arial" w:cs="Arial"/>
                <w:color w:val="000000"/>
                <w:sz w:val="16"/>
                <w:vertAlign w:val="superscript"/>
              </w:rPr>
              <w:t>(d)</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109</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109</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124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Self-managed Superannuation Funds - legacy retirement product conversions</w:t>
            </w:r>
            <w:r>
              <w:rPr>
                <w:rFonts w:ascii="Arial" w:eastAsia="Arial" w:hAnsi="Arial" w:cs="Arial"/>
                <w:color w:val="000000"/>
                <w:sz w:val="16"/>
                <w:vertAlign w:val="superscript"/>
              </w:rPr>
              <w:t xml:space="preserve">(e) </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102</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34</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102</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Supporting Jobs in the Economic Recovery</w:t>
            </w:r>
            <w:r>
              <w:rPr>
                <w:rFonts w:ascii="Arial" w:eastAsia="Arial" w:hAnsi="Arial" w:cs="Arial"/>
                <w:color w:val="000000"/>
                <w:sz w:val="16"/>
                <w:vertAlign w:val="superscript"/>
              </w:rPr>
              <w:t>(f)</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(97)</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Supporting Retirees - extension of the temporary reduction in superannuation minimum drawdown rates</w:t>
            </w:r>
            <w:r>
              <w:rPr>
                <w:rFonts w:ascii="Arial" w:eastAsia="Arial" w:hAnsi="Arial" w:cs="Arial"/>
                <w:color w:val="000000"/>
                <w:sz w:val="16"/>
                <w:vertAlign w:val="superscript"/>
              </w:rPr>
              <w:t xml:space="preserve">(e) </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1,140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single" w:sz="4" w:space="0" w:color="000000"/>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1,140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545"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1D003E" w:rsidRPr="00A61101" w:rsidRDefault="001D003E" w:rsidP="001D003E">
      <w:pPr>
        <w:pStyle w:val="TableHeadingcontinued"/>
        <w:keepLines w:val="0"/>
        <w:pageBreakBefore/>
        <w:pBdr>
          <w:top w:val="nil"/>
          <w:left w:val="nil"/>
          <w:bottom w:val="nil"/>
          <w:right w:val="nil"/>
          <w:between w:val="nil"/>
          <w:bar w:val="nil"/>
        </w:pBdr>
        <w:spacing w:after="0"/>
        <w:jc w:val="left"/>
        <w:rPr>
          <w:rFonts w:ascii="Arial" w:eastAsia="Calibri" w:hAnsi="Arial" w:cs="Arial"/>
          <w:bdr w:val="nil"/>
        </w:rPr>
      </w:pPr>
      <w:r>
        <w:rPr>
          <w:rFonts w:ascii="Arial" w:eastAsia="Calibri" w:hAnsi="Arial" w:cs="Arial"/>
          <w:bdr w:val="nil"/>
        </w:rPr>
        <w:lastRenderedPageBreak/>
        <w:t>Table 1.2: Entity</w:t>
      </w:r>
      <w:r w:rsidRPr="00A61101">
        <w:rPr>
          <w:rFonts w:ascii="Arial" w:eastAsia="Calibri" w:hAnsi="Arial" w:cs="Arial"/>
          <w:bdr w:val="nil"/>
        </w:rPr>
        <w:t xml:space="preserve"> 2021-22 Measures since Budget (continued)</w:t>
      </w:r>
    </w:p>
    <w:p w:rsidR="00811FBF" w:rsidRDefault="00811FBF"/>
    <w:tbl>
      <w:tblPr>
        <w:tblStyle w:val="CDMRange2"/>
        <w:tblW w:w="7545" w:type="dxa"/>
        <w:tblLayout w:type="fixed"/>
        <w:tblLook w:val="0600" w:firstRow="0" w:lastRow="0" w:firstColumn="0" w:lastColumn="0" w:noHBand="1" w:noVBand="1"/>
      </w:tblPr>
      <w:tblGrid>
        <w:gridCol w:w="3225"/>
        <w:gridCol w:w="720"/>
        <w:gridCol w:w="900"/>
        <w:gridCol w:w="900"/>
        <w:gridCol w:w="900"/>
        <w:gridCol w:w="900"/>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7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0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72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Tasmanian Veteran Wellbeing Centre</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2.4</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Veterans' Recognition Program - continuation</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3.2</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2,660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2,726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2,660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2,726</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Veteran Wellbeing Grant Program</w:t>
            </w:r>
          </w:p>
        </w:tc>
        <w:tc>
          <w:tcPr>
            <w:tcW w:w="7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2.4</w:t>
            </w: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2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24,085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24,342</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4,478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(1,490)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929</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2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24,085</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25,271</w:t>
            </w:r>
          </w:p>
        </w:tc>
        <w:tc>
          <w:tcPr>
            <w:tcW w:w="90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4,733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(1,490)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Decisions taken but not yet announced</w:t>
            </w:r>
          </w:p>
        </w:tc>
        <w:tc>
          <w:tcPr>
            <w:tcW w:w="7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90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758</w:t>
            </w:r>
          </w:p>
        </w:tc>
        <w:tc>
          <w:tcPr>
            <w:tcW w:w="9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9,674</w:t>
            </w:r>
          </w:p>
        </w:tc>
        <w:tc>
          <w:tcPr>
            <w:tcW w:w="90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7,596</w:t>
            </w:r>
          </w:p>
        </w:tc>
        <w:tc>
          <w:tcPr>
            <w:tcW w:w="9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6,229</w:t>
            </w:r>
          </w:p>
        </w:tc>
      </w:tr>
    </w:tbl>
    <w:p w:rsidR="001D003E" w:rsidRDefault="001D003E" w:rsidP="001D003E">
      <w:pPr>
        <w:pStyle w:val="Normal2"/>
        <w:spacing w:after="0" w:line="240" w:lineRule="auto"/>
        <w:ind w:right="566"/>
        <w:jc w:val="both"/>
        <w:rPr>
          <w:rFonts w:ascii="Arial" w:hAnsi="Arial" w:cs="Arial"/>
          <w:sz w:val="16"/>
          <w:szCs w:val="16"/>
        </w:rPr>
      </w:pPr>
      <w:r>
        <w:rPr>
          <w:rFonts w:ascii="Arial" w:hAnsi="Arial" w:cs="Arial"/>
          <w:sz w:val="16"/>
          <w:szCs w:val="16"/>
        </w:rPr>
        <w:t xml:space="preserve">Prepared on a Government Financial Statistics (Underlying Cash) basis. Figures displayed as a negative (-) represent a decrease in funds and a positive (+) represent an increase in funds. </w:t>
      </w:r>
    </w:p>
    <w:p w:rsidR="001D003E" w:rsidRDefault="001D003E" w:rsidP="001D003E">
      <w:pPr>
        <w:pStyle w:val="Normal2"/>
        <w:spacing w:after="0" w:line="240" w:lineRule="auto"/>
        <w:ind w:right="566"/>
        <w:jc w:val="both"/>
        <w:rPr>
          <w:rFonts w:ascii="Arial" w:hAnsi="Arial" w:cs="Arial"/>
          <w:sz w:val="16"/>
          <w:szCs w:val="16"/>
        </w:rPr>
      </w:pPr>
    </w:p>
    <w:p w:rsidR="001D003E" w:rsidRDefault="001D003E" w:rsidP="001D003E">
      <w:pPr>
        <w:pStyle w:val="ListParagraph"/>
        <w:numPr>
          <w:ilvl w:val="0"/>
          <w:numId w:val="2"/>
        </w:numPr>
        <w:spacing w:after="0" w:line="240" w:lineRule="auto"/>
        <w:ind w:right="566"/>
        <w:jc w:val="both"/>
        <w:rPr>
          <w:rFonts w:ascii="Arial" w:hAnsi="Arial" w:cs="Arial"/>
          <w:sz w:val="16"/>
          <w:szCs w:val="16"/>
        </w:rPr>
      </w:pPr>
      <w:r w:rsidRPr="00475C3C">
        <w:rPr>
          <w:rFonts w:ascii="Arial" w:hAnsi="Arial" w:cs="Arial"/>
          <w:sz w:val="16"/>
          <w:szCs w:val="16"/>
        </w:rPr>
        <w:t xml:space="preserve">The lead agency for this measure is the Department of </w:t>
      </w:r>
      <w:r>
        <w:rPr>
          <w:rFonts w:ascii="Arial" w:hAnsi="Arial" w:cs="Arial"/>
          <w:sz w:val="16"/>
          <w:szCs w:val="16"/>
        </w:rPr>
        <w:t>Health</w:t>
      </w:r>
      <w:r w:rsidRPr="00475C3C">
        <w:rPr>
          <w:rFonts w:ascii="Arial" w:hAnsi="Arial" w:cs="Arial"/>
          <w:sz w:val="16"/>
          <w:szCs w:val="16"/>
        </w:rPr>
        <w:t>. The full measure description and package details appear in MYEFO.</w:t>
      </w:r>
    </w:p>
    <w:p w:rsidR="001D003E" w:rsidRDefault="001D003E" w:rsidP="001D003E">
      <w:pPr>
        <w:pStyle w:val="ListParagraph"/>
        <w:numPr>
          <w:ilvl w:val="0"/>
          <w:numId w:val="2"/>
        </w:numPr>
        <w:spacing w:after="0" w:line="240" w:lineRule="auto"/>
        <w:ind w:right="566"/>
        <w:jc w:val="both"/>
        <w:rPr>
          <w:rFonts w:ascii="Arial" w:hAnsi="Arial" w:cs="Arial"/>
          <w:sz w:val="16"/>
          <w:szCs w:val="16"/>
        </w:rPr>
      </w:pPr>
      <w:r>
        <w:rPr>
          <w:rFonts w:ascii="Arial" w:hAnsi="Arial" w:cs="Arial"/>
          <w:sz w:val="16"/>
          <w:szCs w:val="16"/>
        </w:rPr>
        <w:t xml:space="preserve">The lead agency for this measure is the Department of Health. The full measure description and package details appear in </w:t>
      </w:r>
      <w:r w:rsidRPr="00475C3C">
        <w:rPr>
          <w:rFonts w:ascii="Arial" w:hAnsi="Arial" w:cs="Arial"/>
          <w:sz w:val="16"/>
          <w:szCs w:val="16"/>
        </w:rPr>
        <w:t>MYEFO</w:t>
      </w:r>
      <w:r>
        <w:rPr>
          <w:rFonts w:ascii="Arial" w:hAnsi="Arial" w:cs="Arial"/>
          <w:sz w:val="16"/>
          <w:szCs w:val="16"/>
        </w:rPr>
        <w:t>. The measure was recently published in the MYEFO with the impact being updated for the 2021-22 PAES.</w:t>
      </w:r>
    </w:p>
    <w:p w:rsidR="001D003E" w:rsidRDefault="001D003E" w:rsidP="001D003E">
      <w:pPr>
        <w:pStyle w:val="ListParagraph"/>
        <w:numPr>
          <w:ilvl w:val="0"/>
          <w:numId w:val="2"/>
        </w:numPr>
        <w:spacing w:after="0" w:line="240" w:lineRule="auto"/>
        <w:ind w:right="566"/>
        <w:jc w:val="both"/>
        <w:rPr>
          <w:rFonts w:ascii="Arial" w:hAnsi="Arial" w:cs="Arial"/>
          <w:sz w:val="16"/>
          <w:szCs w:val="16"/>
        </w:rPr>
      </w:pPr>
      <w:r>
        <w:rPr>
          <w:rFonts w:ascii="Arial" w:hAnsi="Arial" w:cs="Arial"/>
          <w:sz w:val="16"/>
          <w:szCs w:val="16"/>
        </w:rPr>
        <w:t xml:space="preserve">The lead agency for this measure is the Department of Health. The full measure description and package details appear in MYEFO. The cost for this measure had been previously provisioned by Government. </w:t>
      </w:r>
    </w:p>
    <w:p w:rsidR="001D003E" w:rsidRDefault="001D003E" w:rsidP="001D003E">
      <w:pPr>
        <w:pStyle w:val="ListParagraph"/>
        <w:numPr>
          <w:ilvl w:val="0"/>
          <w:numId w:val="2"/>
        </w:numPr>
        <w:spacing w:after="0" w:line="240" w:lineRule="auto"/>
        <w:ind w:right="566"/>
        <w:jc w:val="both"/>
        <w:rPr>
          <w:rFonts w:ascii="Arial" w:hAnsi="Arial" w:cs="Arial"/>
          <w:sz w:val="16"/>
          <w:szCs w:val="16"/>
        </w:rPr>
      </w:pPr>
      <w:r w:rsidRPr="00475C3C">
        <w:rPr>
          <w:rFonts w:ascii="Arial" w:hAnsi="Arial" w:cs="Arial"/>
          <w:sz w:val="16"/>
          <w:szCs w:val="16"/>
        </w:rPr>
        <w:t xml:space="preserve">The lead agency for this measure is the Department of </w:t>
      </w:r>
      <w:r>
        <w:rPr>
          <w:rFonts w:ascii="Arial" w:hAnsi="Arial" w:cs="Arial"/>
          <w:sz w:val="16"/>
          <w:szCs w:val="16"/>
        </w:rPr>
        <w:t>Social Services</w:t>
      </w:r>
      <w:r w:rsidRPr="00475C3C">
        <w:rPr>
          <w:rFonts w:ascii="Arial" w:hAnsi="Arial" w:cs="Arial"/>
          <w:sz w:val="16"/>
          <w:szCs w:val="16"/>
        </w:rPr>
        <w:t>. The full measure description and package details appear in MYEFO.</w:t>
      </w:r>
    </w:p>
    <w:p w:rsidR="001D003E" w:rsidRPr="00AD31B9" w:rsidRDefault="001D003E" w:rsidP="001D003E">
      <w:pPr>
        <w:pStyle w:val="ListParagraph"/>
        <w:numPr>
          <w:ilvl w:val="0"/>
          <w:numId w:val="2"/>
        </w:numPr>
        <w:spacing w:after="0" w:line="240" w:lineRule="auto"/>
        <w:ind w:right="566"/>
        <w:jc w:val="both"/>
        <w:rPr>
          <w:rFonts w:ascii="Arial" w:hAnsi="Arial" w:cs="Arial"/>
          <w:sz w:val="16"/>
          <w:szCs w:val="16"/>
        </w:rPr>
      </w:pPr>
      <w:r w:rsidRPr="00475C3C">
        <w:rPr>
          <w:rFonts w:ascii="Arial" w:hAnsi="Arial" w:cs="Arial"/>
          <w:sz w:val="16"/>
          <w:szCs w:val="16"/>
        </w:rPr>
        <w:t>The lead agency for this measure is the Department of</w:t>
      </w:r>
      <w:r>
        <w:rPr>
          <w:rFonts w:ascii="Arial" w:hAnsi="Arial" w:cs="Arial"/>
          <w:sz w:val="16"/>
          <w:szCs w:val="16"/>
        </w:rPr>
        <w:t xml:space="preserve"> Treasury</w:t>
      </w:r>
      <w:r w:rsidRPr="00475C3C">
        <w:rPr>
          <w:rFonts w:ascii="Arial" w:hAnsi="Arial" w:cs="Arial"/>
          <w:sz w:val="16"/>
          <w:szCs w:val="16"/>
        </w:rPr>
        <w:t xml:space="preserve">. The full measure description and package details appear in </w:t>
      </w:r>
      <w:r>
        <w:rPr>
          <w:rFonts w:ascii="Arial" w:hAnsi="Arial" w:cs="Arial"/>
          <w:sz w:val="16"/>
          <w:szCs w:val="16"/>
        </w:rPr>
        <w:t>MYEFO</w:t>
      </w:r>
      <w:r w:rsidRPr="00475C3C">
        <w:rPr>
          <w:rFonts w:ascii="Arial" w:hAnsi="Arial" w:cs="Arial"/>
          <w:sz w:val="16"/>
          <w:szCs w:val="16"/>
        </w:rPr>
        <w:t>.</w:t>
      </w:r>
    </w:p>
    <w:p w:rsidR="001D003E" w:rsidRPr="00CE0CAD" w:rsidRDefault="001D003E" w:rsidP="001D003E">
      <w:pPr>
        <w:pStyle w:val="ListParagraph"/>
        <w:numPr>
          <w:ilvl w:val="0"/>
          <w:numId w:val="2"/>
        </w:numPr>
        <w:spacing w:after="0" w:line="240" w:lineRule="auto"/>
        <w:ind w:right="566"/>
        <w:jc w:val="both"/>
        <w:rPr>
          <w:rFonts w:ascii="Arial" w:hAnsi="Arial" w:cs="Arial"/>
          <w:sz w:val="16"/>
          <w:szCs w:val="16"/>
        </w:rPr>
      </w:pPr>
      <w:r w:rsidRPr="00475C3C">
        <w:rPr>
          <w:rFonts w:ascii="Arial" w:hAnsi="Arial" w:cs="Arial"/>
          <w:sz w:val="16"/>
          <w:szCs w:val="16"/>
        </w:rPr>
        <w:t xml:space="preserve">The lead agency for this measure is the Department of </w:t>
      </w:r>
      <w:r>
        <w:rPr>
          <w:rFonts w:ascii="Arial" w:hAnsi="Arial" w:cs="Arial"/>
          <w:sz w:val="16"/>
          <w:szCs w:val="16"/>
        </w:rPr>
        <w:t>Education Skills and Employment</w:t>
      </w:r>
      <w:r w:rsidRPr="00475C3C">
        <w:rPr>
          <w:rFonts w:ascii="Arial" w:hAnsi="Arial" w:cs="Arial"/>
          <w:sz w:val="16"/>
          <w:szCs w:val="16"/>
        </w:rPr>
        <w:t>. The full measure description and package details appear in MYEFO.</w:t>
      </w:r>
      <w:r>
        <w:rPr>
          <w:rFonts w:ascii="Arial" w:hAnsi="Arial" w:cs="Arial"/>
          <w:sz w:val="16"/>
          <w:szCs w:val="16"/>
        </w:rPr>
        <w:t xml:space="preserve"> The measure was recently published in the MYEFO with the impact being updated for the 2021-22 PAES.</w:t>
      </w:r>
    </w:p>
    <w:p w:rsidR="001D003E" w:rsidRDefault="001D003E" w:rsidP="001D003E">
      <w:pPr>
        <w:pStyle w:val="Heading3"/>
        <w:keepLines w:val="0"/>
        <w:pageBreakBefore/>
        <w:pBdr>
          <w:top w:val="nil"/>
          <w:left w:val="nil"/>
          <w:bottom w:val="nil"/>
          <w:right w:val="nil"/>
          <w:between w:val="nil"/>
          <w:bar w:val="nil"/>
        </w:pBdr>
        <w:jc w:val="left"/>
        <w:rPr>
          <w:bdr w:val="nil"/>
        </w:rPr>
      </w:pPr>
      <w:r>
        <w:rPr>
          <w:bdr w:val="nil"/>
        </w:rPr>
        <w:lastRenderedPageBreak/>
        <w:t>1.4</w:t>
      </w:r>
      <w:r>
        <w:rPr>
          <w:bdr w:val="nil"/>
        </w:rPr>
        <w:tab/>
        <w:t>Additional Estimates and Variations</w:t>
      </w:r>
    </w:p>
    <w:p w:rsidR="001D003E" w:rsidRDefault="001D003E" w:rsidP="001D003E">
      <w:pPr>
        <w:keepLines w:val="0"/>
        <w:pBdr>
          <w:top w:val="nil"/>
          <w:left w:val="nil"/>
          <w:bottom w:val="nil"/>
          <w:right w:val="nil"/>
          <w:between w:val="nil"/>
          <w:bar w:val="nil"/>
        </w:pBdr>
        <w:spacing w:line="240" w:lineRule="auto"/>
        <w:ind w:right="566"/>
        <w:rPr>
          <w:bdr w:val="nil"/>
        </w:rPr>
      </w:pPr>
      <w:r>
        <w:rPr>
          <w:bdr w:val="nil"/>
        </w:rPr>
        <w:t xml:space="preserve">The following tables detail the changes to the resourcing for Department of Veterans' Affairs at Additional Estimates, by outcome. Table 1.3 details the Additional Estimates and variations resulting from new measures and other variations since the 2021-22 Budget in </w:t>
      </w:r>
      <w:r w:rsidRPr="009615D2">
        <w:rPr>
          <w:i/>
          <w:bdr w:val="nil"/>
        </w:rPr>
        <w:t>Appropriation Bills Nos. 3 and 4</w:t>
      </w:r>
      <w:r>
        <w:rPr>
          <w:bdr w:val="nil"/>
        </w:rPr>
        <w:t xml:space="preserve">. </w:t>
      </w:r>
    </w:p>
    <w:p w:rsidR="001D003E" w:rsidRPr="004D137C" w:rsidRDefault="001D003E" w:rsidP="001D003E">
      <w:pPr>
        <w:keepLines w:val="0"/>
        <w:pBdr>
          <w:top w:val="nil"/>
          <w:left w:val="nil"/>
          <w:bottom w:val="nil"/>
          <w:right w:val="nil"/>
          <w:between w:val="nil"/>
          <w:bar w:val="nil"/>
        </w:pBdr>
        <w:spacing w:after="0" w:line="240" w:lineRule="auto"/>
        <w:jc w:val="left"/>
        <w:rPr>
          <w:rFonts w:ascii="Arial" w:hAnsi="Arial" w:cs="Arial"/>
          <w:b/>
          <w:bdr w:val="nil"/>
        </w:rPr>
      </w:pPr>
      <w:r>
        <w:rPr>
          <w:rFonts w:ascii="Arial" w:hAnsi="Arial" w:cs="Arial"/>
          <w:b/>
          <w:bdr w:val="nil"/>
        </w:rPr>
        <w:t>Table 1.3: Additional Estimates and Other Variations to Outcomes Since 2021-22</w:t>
      </w:r>
      <w:r w:rsidRPr="004D137C">
        <w:rPr>
          <w:rFonts w:ascii="Arial" w:hAnsi="Arial" w:cs="Arial"/>
          <w:b/>
          <w:bdr w:val="nil"/>
        </w:rPr>
        <w:t xml:space="preserve"> Budget</w:t>
      </w:r>
    </w:p>
    <w:tbl>
      <w:tblPr>
        <w:tblStyle w:val="CDMRange1"/>
        <w:tblW w:w="7950" w:type="dxa"/>
        <w:tblLayout w:type="fixed"/>
        <w:tblLook w:val="0600" w:firstRow="0" w:lastRow="0" w:firstColumn="0" w:lastColumn="0" w:noHBand="1" w:noVBand="1"/>
      </w:tblPr>
      <w:tblGrid>
        <w:gridCol w:w="3615"/>
        <w:gridCol w:w="795"/>
        <w:gridCol w:w="885"/>
        <w:gridCol w:w="885"/>
        <w:gridCol w:w="885"/>
        <w:gridCol w:w="885"/>
      </w:tblGrid>
      <w:tr w:rsidR="00811FBF" w:rsidTr="009E58DC">
        <w:trPr>
          <w:trHeight w:hRule="exact" w:val="225"/>
          <w:tblHeader/>
        </w:trPr>
        <w:tc>
          <w:tcPr>
            <w:tcW w:w="3615" w:type="dxa"/>
            <w:tcBorders>
              <w:top w:val="single" w:sz="4" w:space="0" w:color="000000"/>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795" w:type="dxa"/>
            <w:tcBorders>
              <w:top w:val="single" w:sz="4" w:space="0" w:color="000000"/>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795"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impacted</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Annual appropriation</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347</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677</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942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Variations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4,343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5,999</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7,953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10,393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Pension Loan Scheme Settings</w:t>
            </w:r>
          </w:p>
        </w:tc>
        <w:tc>
          <w:tcPr>
            <w:tcW w:w="79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109</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Self-managed Superannuation Funds - legacy retirement product conversions</w:t>
            </w:r>
          </w:p>
        </w:tc>
        <w:tc>
          <w:tcPr>
            <w:tcW w:w="79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102</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Supporting Jobs in the Economic Recovery</w:t>
            </w:r>
          </w:p>
        </w:tc>
        <w:tc>
          <w:tcPr>
            <w:tcW w:w="79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(97)</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Supporting Retirees - extension of the temporary reduction in superannuation minimum drawdown rates</w:t>
            </w:r>
          </w:p>
        </w:tc>
        <w:tc>
          <w:tcPr>
            <w:tcW w:w="79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1,140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20,113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72,074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104,933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134,862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Variations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3,574</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(1,671)</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(2,245)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0"/>
        </w:trPr>
        <w:tc>
          <w:tcPr>
            <w:tcW w:w="361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impact on appropriations for Outcome 1 (administered)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29,205</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78,523</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112,021</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144,135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Annual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397</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866</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Variations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3615" w:type="dxa"/>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impact on appropriations for Outcome 1 (departmental)</w:t>
            </w: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397</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866</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3540"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1D003E" w:rsidRPr="00233BCF" w:rsidRDefault="001D003E" w:rsidP="001D003E">
      <w:pPr>
        <w:pStyle w:val="TableHeadingcontinued"/>
        <w:keepLines w:val="0"/>
        <w:pageBreakBefore/>
        <w:pBdr>
          <w:top w:val="nil"/>
          <w:left w:val="nil"/>
          <w:bottom w:val="nil"/>
          <w:right w:val="nil"/>
          <w:between w:val="nil"/>
          <w:bar w:val="nil"/>
        </w:pBdr>
        <w:spacing w:after="0"/>
        <w:jc w:val="left"/>
        <w:rPr>
          <w:rFonts w:ascii="Arial" w:eastAsia="Calibri" w:hAnsi="Arial" w:cs="Arial"/>
          <w:bdr w:val="nil"/>
        </w:rPr>
      </w:pPr>
      <w:r>
        <w:rPr>
          <w:rFonts w:ascii="Arial" w:eastAsia="Calibri" w:hAnsi="Arial" w:cs="Arial"/>
          <w:bdr w:val="nil"/>
        </w:rPr>
        <w:lastRenderedPageBreak/>
        <w:t>Table 1.3: Additional Estimates and Other Variations to Outcomes Since 2021-22 Budget</w:t>
      </w:r>
      <w:r w:rsidRPr="00A61101">
        <w:rPr>
          <w:rFonts w:ascii="Arial" w:eastAsia="Calibri" w:hAnsi="Arial" w:cs="Arial"/>
          <w:bdr w:val="nil"/>
        </w:rPr>
        <w:t xml:space="preserve"> (continued)</w:t>
      </w:r>
    </w:p>
    <w:tbl>
      <w:tblPr>
        <w:tblStyle w:val="CDMRange2"/>
        <w:tblW w:w="7950" w:type="dxa"/>
        <w:tblLayout w:type="fixed"/>
        <w:tblLook w:val="0600" w:firstRow="0" w:lastRow="0" w:firstColumn="0" w:lastColumn="0" w:noHBand="1" w:noVBand="1"/>
      </w:tblPr>
      <w:tblGrid>
        <w:gridCol w:w="3615"/>
        <w:gridCol w:w="795"/>
        <w:gridCol w:w="885"/>
        <w:gridCol w:w="885"/>
        <w:gridCol w:w="885"/>
        <w:gridCol w:w="885"/>
      </w:tblGrid>
      <w:tr w:rsidR="00811FBF" w:rsidTr="009E58DC">
        <w:trPr>
          <w:trHeight w:hRule="exact" w:val="225"/>
          <w:tblHeader/>
        </w:trPr>
        <w:tc>
          <w:tcPr>
            <w:tcW w:w="36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795" w:type="dxa"/>
            <w:tcBorders>
              <w:top w:val="single" w:sz="4" w:space="0" w:color="000000"/>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795" w:type="dxa"/>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impacted</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Annual appropriation</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Tasmanian Veteran Wellbeing Centre</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Veteran Wellbeing Grant Program</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Movement of Funds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910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Variations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2,431</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1,471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1,497</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ageing and aged care</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COVID-19 Vaccine Program</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3,188</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199</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guaranteeing Medicare and access to medicines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3,368</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219</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strengthening primary care</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780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Guaranteeing Medicare – Medicare Benefits Schedule new and amended listings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2.1,2.3</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304</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Guaranteeing Medicare and Access to Medicines - Pharmaceutical Benefits Scheme - new and amended listings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2.3</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4,937</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6,337</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6,925</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Guaranteeing Medicare - strengthening primary care</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115</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Improving Access to Medicines - new strategic agreements with Medicines Australia and the Generic and Biosimilar Medicines Association</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2.3</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(464)</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(7,792)</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(9,321)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2,931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8,710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18,823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Variations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(192,049)</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(50,915)</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(38,778)</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(23,061)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40"/>
        </w:trPr>
        <w:tc>
          <w:tcPr>
            <w:tcW w:w="3615" w:type="dxa"/>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impact on appropriations for Outcome 2 (administered)</w:t>
            </w: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(165,798)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(27,378)</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(29,045)</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(5,947)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3540"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1D003E" w:rsidRPr="00233BCF" w:rsidRDefault="001D003E" w:rsidP="001D003E">
      <w:pPr>
        <w:pStyle w:val="TableHeadingcontinued"/>
        <w:keepLines w:val="0"/>
        <w:pageBreakBefore/>
        <w:pBdr>
          <w:top w:val="nil"/>
          <w:left w:val="nil"/>
          <w:bottom w:val="nil"/>
          <w:right w:val="nil"/>
          <w:between w:val="nil"/>
          <w:bar w:val="nil"/>
        </w:pBdr>
        <w:spacing w:after="0"/>
        <w:jc w:val="left"/>
        <w:rPr>
          <w:rFonts w:ascii="Arial" w:eastAsia="Calibri" w:hAnsi="Arial" w:cs="Arial"/>
          <w:bdr w:val="nil"/>
        </w:rPr>
      </w:pPr>
      <w:r>
        <w:rPr>
          <w:rFonts w:ascii="Arial" w:eastAsia="Calibri" w:hAnsi="Arial" w:cs="Arial"/>
          <w:bdr w:val="nil"/>
        </w:rPr>
        <w:lastRenderedPageBreak/>
        <w:t xml:space="preserve">Table 1.3: Additional Estimates and Other Variations to Outcomes Since </w:t>
      </w:r>
      <w:r w:rsidRPr="00ED52EB">
        <w:rPr>
          <w:rFonts w:ascii="Arial" w:eastAsia="Calibri" w:hAnsi="Arial" w:cs="Arial"/>
          <w:bdr w:val="nil"/>
        </w:rPr>
        <w:t>2021-22</w:t>
      </w:r>
      <w:r>
        <w:rPr>
          <w:rFonts w:ascii="Arial" w:eastAsia="Calibri" w:hAnsi="Arial" w:cs="Arial"/>
          <w:b w:val="0"/>
          <w:bdr w:val="nil"/>
        </w:rPr>
        <w:t xml:space="preserve"> </w:t>
      </w:r>
      <w:r>
        <w:rPr>
          <w:rFonts w:ascii="Arial" w:eastAsia="Calibri" w:hAnsi="Arial" w:cs="Arial"/>
          <w:bdr w:val="nil"/>
        </w:rPr>
        <w:t>Budget</w:t>
      </w:r>
      <w:r w:rsidRPr="00A61101">
        <w:rPr>
          <w:rFonts w:ascii="Arial" w:eastAsia="Calibri" w:hAnsi="Arial" w:cs="Arial"/>
          <w:bdr w:val="nil"/>
        </w:rPr>
        <w:t xml:space="preserve"> (continued)</w:t>
      </w:r>
    </w:p>
    <w:tbl>
      <w:tblPr>
        <w:tblStyle w:val="CDMRange1"/>
        <w:tblW w:w="7950" w:type="dxa"/>
        <w:tblLayout w:type="fixed"/>
        <w:tblLook w:val="0600" w:firstRow="0" w:lastRow="0" w:firstColumn="0" w:lastColumn="0" w:noHBand="1" w:noVBand="1"/>
      </w:tblPr>
      <w:tblGrid>
        <w:gridCol w:w="3615"/>
        <w:gridCol w:w="795"/>
        <w:gridCol w:w="885"/>
        <w:gridCol w:w="885"/>
        <w:gridCol w:w="885"/>
        <w:gridCol w:w="885"/>
      </w:tblGrid>
      <w:tr w:rsidR="00811FBF" w:rsidTr="009E58DC">
        <w:trPr>
          <w:trHeight w:hRule="exact" w:val="225"/>
          <w:tblHeader/>
        </w:trPr>
        <w:tc>
          <w:tcPr>
            <w:tcW w:w="36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795" w:type="dxa"/>
            <w:tcBorders>
              <w:top w:val="single" w:sz="4" w:space="0" w:color="000000"/>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795" w:type="dxa"/>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impacted</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7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Annual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Ageing and Aged Care</w:t>
            </w:r>
          </w:p>
        </w:tc>
        <w:tc>
          <w:tcPr>
            <w:tcW w:w="79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258</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Variations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1,440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(1,440)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1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impact on appropriations for Outcome 2 (departmental)</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1,440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(1,182)</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3</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Annual appropriation</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50th Anniversary of the end of the Australian involvement in the Vietnam War</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3.2</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2,943</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2,129</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Veterans' Recognition Program - continuation</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3.2</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2,660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2,726</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Movement of Funds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3.1-3.2</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586</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3,250</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61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Changes in Parameters</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3.1-3.2</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642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1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impact on appropriations for Outcome 3 (administered)</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586</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9,134</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5,355</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642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3</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Annual appropriations</w:t>
            </w:r>
          </w:p>
        </w:tc>
        <w:tc>
          <w:tcPr>
            <w:tcW w:w="79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61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50th Anniversary of the end of the Australian involvement in the Vietnam War</w:t>
            </w:r>
          </w:p>
        </w:tc>
        <w:tc>
          <w:tcPr>
            <w:tcW w:w="79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3.2</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671</w:t>
            </w:r>
          </w:p>
        </w:tc>
        <w:tc>
          <w:tcPr>
            <w:tcW w:w="88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15" w:type="dxa"/>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impact on appropriations for Outcome 3 (departmental)</w:t>
            </w:r>
          </w:p>
        </w:tc>
        <w:tc>
          <w:tcPr>
            <w:tcW w:w="7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Arial" w:eastAsia="Arial" w:hAnsi="Arial" w:cs="Arial"/>
                <w:color w:val="000000"/>
                <w:sz w:val="16"/>
              </w:rPr>
            </w:pP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671</w:t>
            </w:r>
          </w:p>
        </w:tc>
        <w:tc>
          <w:tcPr>
            <w:tcW w:w="88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255</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7950" w:type="dxa"/>
            <w:gridSpan w:val="6"/>
            <w:tcBorders>
              <w:top w:val="single" w:sz="4" w:space="0" w:color="000000"/>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Prepared on a resourcing  (i.e. appropriations available) basis. </w:t>
            </w:r>
          </w:p>
        </w:tc>
      </w:tr>
    </w:tbl>
    <w:p w:rsidR="001D003E" w:rsidRDefault="001D003E" w:rsidP="001D003E">
      <w:pPr>
        <w:pStyle w:val="Heading3"/>
        <w:keepLines w:val="0"/>
        <w:pageBreakBefore/>
        <w:pBdr>
          <w:top w:val="nil"/>
          <w:left w:val="nil"/>
          <w:bottom w:val="nil"/>
          <w:right w:val="nil"/>
          <w:between w:val="nil"/>
          <w:bar w:val="nil"/>
        </w:pBdr>
        <w:ind w:left="709" w:hanging="709"/>
        <w:jc w:val="left"/>
        <w:rPr>
          <w:bdr w:val="nil"/>
        </w:rPr>
      </w:pPr>
      <w:r>
        <w:rPr>
          <w:bdr w:val="nil"/>
        </w:rPr>
        <w:lastRenderedPageBreak/>
        <w:t>1.5</w:t>
      </w:r>
      <w:r>
        <w:rPr>
          <w:bdr w:val="nil"/>
        </w:rPr>
        <w:tab/>
        <w:t>Breakdown of additional estimates by appropriation bill</w:t>
      </w:r>
    </w:p>
    <w:p w:rsidR="001D003E" w:rsidRDefault="001D003E" w:rsidP="001D003E">
      <w:pPr>
        <w:keepLines w:val="0"/>
        <w:pBdr>
          <w:top w:val="nil"/>
          <w:left w:val="nil"/>
          <w:bottom w:val="nil"/>
          <w:right w:val="nil"/>
          <w:between w:val="nil"/>
          <w:bar w:val="nil"/>
        </w:pBdr>
        <w:ind w:right="301"/>
        <w:rPr>
          <w:bdr w:val="nil"/>
        </w:rPr>
      </w:pPr>
      <w:r>
        <w:rPr>
          <w:bdr w:val="nil"/>
        </w:rPr>
        <w:t xml:space="preserve">The following tables detail the Additional Estimates sought for the Department of Veterans' Affairs through </w:t>
      </w:r>
      <w:r w:rsidRPr="004F451E">
        <w:rPr>
          <w:i/>
          <w:bdr w:val="nil"/>
        </w:rPr>
        <w:t>Appropriation Bills Nos. 3 and 4</w:t>
      </w:r>
      <w:r>
        <w:rPr>
          <w:bdr w:val="nil"/>
        </w:rPr>
        <w:t>.</w:t>
      </w:r>
    </w:p>
    <w:p w:rsidR="001D003E" w:rsidRDefault="001D003E" w:rsidP="001D003E">
      <w:pPr>
        <w:pStyle w:val="TableHeading"/>
        <w:keepLines w:val="0"/>
        <w:pBdr>
          <w:top w:val="nil"/>
          <w:left w:val="nil"/>
          <w:bottom w:val="nil"/>
          <w:right w:val="nil"/>
          <w:between w:val="nil"/>
          <w:bar w:val="nil"/>
        </w:pBdr>
        <w:jc w:val="left"/>
        <w:rPr>
          <w:rFonts w:eastAsia="Calibri"/>
          <w:bdr w:val="nil"/>
          <w:lang w:eastAsia="en-US"/>
        </w:rPr>
      </w:pPr>
      <w:r>
        <w:rPr>
          <w:rFonts w:eastAsia="Calibri"/>
          <w:bdr w:val="nil"/>
          <w:lang w:eastAsia="en-US"/>
        </w:rPr>
        <w:t>Table 1.4: Appropriation Bill (No. 3) 2021-22</w:t>
      </w:r>
    </w:p>
    <w:tbl>
      <w:tblPr>
        <w:tblStyle w:val="CDMRange2"/>
        <w:tblW w:w="7740" w:type="dxa"/>
        <w:tblLayout w:type="fixed"/>
        <w:tblLook w:val="0600" w:firstRow="0" w:lastRow="0" w:firstColumn="0" w:lastColumn="0" w:noHBand="1" w:noVBand="1"/>
      </w:tblPr>
      <w:tblGrid>
        <w:gridCol w:w="2640"/>
        <w:gridCol w:w="1020"/>
        <w:gridCol w:w="1020"/>
        <w:gridCol w:w="1020"/>
        <w:gridCol w:w="1020"/>
        <w:gridCol w:w="1020"/>
      </w:tblGrid>
      <w:tr w:rsidR="00811FBF" w:rsidTr="009E58DC">
        <w:trPr>
          <w:trHeight w:hRule="exact" w:val="225"/>
          <w:tblHeader/>
        </w:trPr>
        <w:tc>
          <w:tcPr>
            <w:tcW w:w="2640" w:type="dxa"/>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Reduced</w:t>
            </w:r>
          </w:p>
        </w:tc>
      </w:tr>
      <w:tr w:rsidR="00811FBF" w:rsidTr="009E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blHeader/>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Available</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811FBF" w:rsidTr="009E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blHeader/>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Calibri" w:eastAsia="Calibri" w:hAnsi="Calibri" w:cs="Calibri"/>
                <w:color w:val="000000"/>
                <w:sz w:val="22"/>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ADMINISTERED ITEMS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60,296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59,326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63,669</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4,343</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15,497</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24,842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38,683</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13,841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37,772</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48,747</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49,333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586</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113,565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132,915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151,685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18,770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DEPARTMENTAL PROGRAMS</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238,922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251,156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251,156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136,348</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147,043</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150,103</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3,060</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22,725</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17,106</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17,106</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397,995</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415,305</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418,365</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3,060</w:t>
            </w:r>
          </w:p>
        </w:tc>
        <w:tc>
          <w:tcPr>
            <w:tcW w:w="102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5"/>
        </w:trPr>
        <w:tc>
          <w:tcPr>
            <w:tcW w:w="2640" w:type="dxa"/>
            <w:tcBorders>
              <w:top w:val="single" w:sz="4" w:space="0" w:color="000000"/>
              <w:left w:val="nil"/>
              <w:bottom w:val="single" w:sz="4" w:space="0" w:color="000000"/>
              <w:right w:val="nil"/>
              <w:tl2br w:val="nil"/>
              <w:tr2bl w:val="nil"/>
            </w:tcBorders>
            <w:shd w:val="clear" w:color="auto" w:fill="auto"/>
            <w:tcMar>
              <w:left w:w="175"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administered and </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511,560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548,220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570,050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21,830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811FBF" w:rsidRDefault="001D003E">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r>
        <w:rPr>
          <w:rFonts w:ascii="Calibri" w:eastAsia="Calibri" w:hAnsi="Calibri"/>
          <w:sz w:val="22"/>
          <w:szCs w:val="22"/>
          <w:bdr w:val="nil"/>
          <w:lang w:eastAsia="en-US"/>
        </w:rPr>
        <w:br/>
      </w:r>
    </w:p>
    <w:p w:rsidR="001D003E" w:rsidRDefault="001D003E" w:rsidP="001D003E">
      <w:pPr>
        <w:pStyle w:val="TableHeading"/>
        <w:keepLines w:val="0"/>
        <w:pBdr>
          <w:top w:val="nil"/>
          <w:left w:val="nil"/>
          <w:bottom w:val="nil"/>
          <w:right w:val="nil"/>
          <w:between w:val="nil"/>
          <w:bar w:val="nil"/>
        </w:pBdr>
        <w:jc w:val="left"/>
        <w:rPr>
          <w:rFonts w:eastAsia="Calibri"/>
          <w:bdr w:val="nil"/>
          <w:lang w:eastAsia="en-US"/>
        </w:rPr>
      </w:pPr>
      <w:r>
        <w:rPr>
          <w:rFonts w:eastAsia="Calibri"/>
          <w:bdr w:val="nil"/>
          <w:lang w:eastAsia="en-US"/>
        </w:rPr>
        <w:t>Table 1.5: Appropriation Bill (No. 4) 2021-22</w:t>
      </w:r>
    </w:p>
    <w:tbl>
      <w:tblPr>
        <w:tblStyle w:val="CDMRange1"/>
        <w:tblW w:w="7740" w:type="dxa"/>
        <w:tblLayout w:type="fixed"/>
        <w:tblLook w:val="0600" w:firstRow="0" w:lastRow="0" w:firstColumn="0" w:lastColumn="0" w:noHBand="1" w:noVBand="1"/>
      </w:tblPr>
      <w:tblGrid>
        <w:gridCol w:w="2640"/>
        <w:gridCol w:w="1020"/>
        <w:gridCol w:w="1020"/>
        <w:gridCol w:w="1020"/>
        <w:gridCol w:w="1020"/>
        <w:gridCol w:w="1020"/>
      </w:tblGrid>
      <w:tr w:rsidR="00811FBF" w:rsidTr="009E58DC">
        <w:trPr>
          <w:trHeight w:hRule="exact" w:val="225"/>
          <w:tblHeader/>
        </w:trPr>
        <w:tc>
          <w:tcPr>
            <w:tcW w:w="2640" w:type="dxa"/>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Reduced</w:t>
            </w:r>
          </w:p>
        </w:tc>
      </w:tr>
      <w:tr w:rsidR="00811FBF" w:rsidTr="009E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blHeader/>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Calibri" w:eastAsia="Calibri" w:hAnsi="Calibri" w:cs="Calibri"/>
                <w:color w:val="000000"/>
                <w:sz w:val="22"/>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Available</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811FBF" w:rsidTr="009E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blHeader/>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center"/>
              <w:rPr>
                <w:rFonts w:ascii="Calibri" w:eastAsia="Calibri" w:hAnsi="Calibri" w:cs="Calibri"/>
                <w:color w:val="000000"/>
                <w:sz w:val="22"/>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DEPARTMENTAL PROGRAMS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Equity Injections</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16,080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6,872</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6,872</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5"/>
        </w:trPr>
        <w:tc>
          <w:tcPr>
            <w:tcW w:w="264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Departmental</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16,080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6,872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6,872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1D003E" w:rsidRPr="004F59EC" w:rsidRDefault="001D003E" w:rsidP="001D003E">
      <w:pPr>
        <w:pStyle w:val="Heading2"/>
        <w:pageBreakBefore/>
        <w:pBdr>
          <w:top w:val="nil"/>
          <w:left w:val="nil"/>
          <w:bottom w:val="nil"/>
          <w:right w:val="nil"/>
          <w:between w:val="nil"/>
          <w:bar w:val="nil"/>
        </w:pBdr>
        <w:spacing w:before="240"/>
        <w:rPr>
          <w:rFonts w:eastAsia="Times New Roman" w:cs="Times New Roman"/>
          <w:b/>
          <w:szCs w:val="20"/>
          <w:bdr w:val="nil"/>
          <w:lang w:val="en-AU" w:eastAsia="en-AU"/>
        </w:rPr>
      </w:pPr>
      <w:r w:rsidRPr="004F59EC">
        <w:rPr>
          <w:rFonts w:eastAsia="Times New Roman" w:cs="Times New Roman"/>
          <w:b/>
          <w:szCs w:val="20"/>
          <w:bdr w:val="nil"/>
          <w:lang w:val="en-AU" w:eastAsia="en-AU"/>
        </w:rPr>
        <w:lastRenderedPageBreak/>
        <w:t>Section 2: Revisions to outcomes and planned performance</w:t>
      </w:r>
    </w:p>
    <w:p w:rsidR="001D003E" w:rsidRDefault="001D003E" w:rsidP="001D003E">
      <w:pPr>
        <w:pStyle w:val="Heading3"/>
        <w:keepLines w:val="0"/>
        <w:pBdr>
          <w:top w:val="nil"/>
          <w:left w:val="nil"/>
          <w:bottom w:val="nil"/>
          <w:right w:val="nil"/>
          <w:between w:val="nil"/>
          <w:bar w:val="nil"/>
        </w:pBdr>
        <w:jc w:val="left"/>
        <w:rPr>
          <w:bdr w:val="nil"/>
        </w:rPr>
      </w:pPr>
      <w:r>
        <w:rPr>
          <w:bdr w:val="nil"/>
        </w:rPr>
        <w:t>2.1</w:t>
      </w:r>
      <w:r>
        <w:rPr>
          <w:bdr w:val="nil"/>
        </w:rPr>
        <w:tab/>
        <w:t>Resources and Performance Information</w:t>
      </w:r>
    </w:p>
    <w:p w:rsidR="001D003E" w:rsidRDefault="00933E9B" w:rsidP="001D003E">
      <w:pPr>
        <w:pStyle w:val="ExampleText"/>
        <w:keepLines w:val="0"/>
        <w:pBdr>
          <w:top w:val="nil"/>
          <w:left w:val="nil"/>
          <w:bottom w:val="nil"/>
          <w:right w:val="nil"/>
          <w:between w:val="nil"/>
          <w:bar w:val="nil"/>
        </w:pBdr>
        <w:spacing w:line="240" w:lineRule="auto"/>
        <w:rPr>
          <w:i w:val="0"/>
          <w:color w:val="auto"/>
          <w:bdr w:val="nil"/>
          <w:lang w:val="en-GB"/>
        </w:rPr>
      </w:pPr>
      <w:r w:rsidRPr="00933E9B">
        <w:rPr>
          <w:rFonts w:eastAsia="Calibri" w:cs="Arial"/>
          <w:noProof/>
          <w:bdr w:val="nil"/>
        </w:rPr>
        <mc:AlternateContent>
          <mc:Choice Requires="wps">
            <w:drawing>
              <wp:anchor distT="45720" distB="45720" distL="114300" distR="114300" simplePos="0" relativeHeight="251656704" behindDoc="0" locked="0" layoutInCell="1" allowOverlap="1">
                <wp:simplePos x="0" y="0"/>
                <wp:positionH relativeFrom="column">
                  <wp:posOffset>41910</wp:posOffset>
                </wp:positionH>
                <wp:positionV relativeFrom="paragraph">
                  <wp:posOffset>1082040</wp:posOffset>
                </wp:positionV>
                <wp:extent cx="4719320" cy="109982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1099820"/>
                        </a:xfrm>
                        <a:prstGeom prst="rect">
                          <a:avLst/>
                        </a:prstGeom>
                        <a:solidFill>
                          <a:schemeClr val="bg1">
                            <a:lumMod val="85000"/>
                          </a:schemeClr>
                        </a:solidFill>
                        <a:ln w="9525">
                          <a:solidFill>
                            <a:srgbClr val="000000"/>
                          </a:solidFill>
                          <a:miter lim="800000"/>
                          <a:headEnd/>
                          <a:tailEnd/>
                        </a:ln>
                      </wps:spPr>
                      <wps:txbx>
                        <w:txbxContent>
                          <w:p w:rsidR="009E58DC" w:rsidRDefault="009E58DC" w:rsidP="00933E9B">
                            <w:pPr>
                              <w:keepLines w:val="0"/>
                              <w:pBdr>
                                <w:top w:val="nil"/>
                                <w:left w:val="nil"/>
                                <w:bottom w:val="nil"/>
                                <w:right w:val="nil"/>
                                <w:between w:val="nil"/>
                                <w:bar w:val="nil"/>
                              </w:pBdr>
                              <w:spacing w:before="120" w:after="120" w:line="240" w:lineRule="auto"/>
                              <w:jc w:val="left"/>
                              <w:rPr>
                                <w:rFonts w:ascii="Arial" w:eastAsia="Calibri" w:hAnsi="Arial" w:cs="Arial"/>
                                <w:b/>
                                <w:bdr w:val="nil"/>
                              </w:rPr>
                            </w:pPr>
                            <w:r>
                              <w:rPr>
                                <w:rFonts w:ascii="Arial" w:eastAsia="Calibri" w:hAnsi="Arial" w:cs="Arial"/>
                                <w:b/>
                                <w:bdr w:val="nil"/>
                              </w:rPr>
                              <w:t>Outcome 1: Strategy</w:t>
                            </w:r>
                          </w:p>
                          <w:p w:rsidR="009E58DC" w:rsidRDefault="009E58DC" w:rsidP="00933E9B">
                            <w:pPr>
                              <w:keepLines w:val="0"/>
                              <w:pBdr>
                                <w:top w:val="nil"/>
                                <w:left w:val="nil"/>
                                <w:bottom w:val="nil"/>
                                <w:right w:val="nil"/>
                                <w:between w:val="nil"/>
                                <w:bar w:val="nil"/>
                              </w:pBdr>
                              <w:spacing w:after="120" w:line="240" w:lineRule="auto"/>
                              <w:jc w:val="left"/>
                              <w:rPr>
                                <w:rFonts w:eastAsia="Calibri" w:cs="Arial"/>
                                <w:bdr w:val="nil"/>
                              </w:rPr>
                            </w:pPr>
                            <w:r>
                              <w:rPr>
                                <w:rFonts w:eastAsia="Calibri" w:cs="Arial"/>
                                <w:bdr w:val="nil"/>
                              </w:rPr>
                              <w:t>Maintain and enhance the financial wellbeing and self-sufficiency of eligible persons and their dependants through access to income support, compensation, and other support services, including advice and information about entitlements.</w:t>
                            </w:r>
                          </w:p>
                          <w:p w:rsidR="009E58DC" w:rsidRDefault="009E5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6" type="#_x0000_t202" style="position:absolute;left:0;text-align:left;margin-left:3.3pt;margin-top:85.2pt;width:371.6pt;height:86.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" fillcolor="#d8d8d8 [2732]">
                <v:textbox>
                  <w:txbxContent>
                    <w:p w:rsidR="009E58DC" w:rsidRDefault="009E58DC" w:rsidP="00933E9B">
                      <w:pPr>
                        <w:keepLines w:val="0"/>
                        <w:pBdr>
                          <w:top w:val="nil"/>
                          <w:left w:val="nil"/>
                          <w:bottom w:val="nil"/>
                          <w:right w:val="nil"/>
                          <w:between w:val="nil"/>
                          <w:bar w:val="nil"/>
                        </w:pBdr>
                        <w:spacing w:before="120" w:after="120" w:line="240" w:lineRule="auto"/>
                        <w:jc w:val="left"/>
                        <w:rPr>
                          <w:rFonts w:ascii="Arial" w:eastAsia="Calibri" w:hAnsi="Arial" w:cs="Arial"/>
                          <w:b/>
                          <w:bdr w:val="nil"/>
                        </w:rPr>
                      </w:pPr>
                      <w:r>
                        <w:rPr>
                          <w:rFonts w:ascii="Arial" w:eastAsia="Calibri" w:hAnsi="Arial" w:cs="Arial"/>
                          <w:b/>
                          <w:bdr w:val="nil"/>
                        </w:rPr>
                        <w:t>Outcome 1: Strategy</w:t>
                      </w:r>
                    </w:p>
                    <w:p w:rsidR="009E58DC" w:rsidRDefault="009E58DC" w:rsidP="00933E9B">
                      <w:pPr>
                        <w:keepLines w:val="0"/>
                        <w:pBdr>
                          <w:top w:val="nil"/>
                          <w:left w:val="nil"/>
                          <w:bottom w:val="nil"/>
                          <w:right w:val="nil"/>
                          <w:between w:val="nil"/>
                          <w:bar w:val="nil"/>
                        </w:pBdr>
                        <w:spacing w:after="120" w:line="240" w:lineRule="auto"/>
                        <w:jc w:val="left"/>
                        <w:rPr>
                          <w:rFonts w:eastAsia="Calibri" w:cs="Arial"/>
                          <w:bdr w:val="nil"/>
                        </w:rPr>
                      </w:pPr>
                      <w:r>
                        <w:rPr>
                          <w:rFonts w:eastAsia="Calibri" w:cs="Arial"/>
                          <w:bdr w:val="nil"/>
                        </w:rPr>
                        <w:t>Maintain and enhance the financial wellbeing and self-sufficiency of eligible persons and their dependants through access to income support, compensation, and other support services, including advice and information about entitlements.</w:t>
                      </w:r>
                    </w:p>
                    <w:p w:rsidR="009E58DC" w:rsidRDefault="009E58DC"/>
                  </w:txbxContent>
                </v:textbox>
                <w10:wrap type="square"/>
              </v:shape>
            </w:pict>
          </mc:Fallback>
        </mc:AlternateContent>
      </w:r>
      <w:r w:rsidR="001D003E">
        <w:rPr>
          <w:i w:val="0"/>
          <w:color w:val="auto"/>
          <w:bdr w:val="nil"/>
          <w:lang w:val="en-GB"/>
        </w:rPr>
        <w:t>There has been no change in the Department’s role, planned outcomes or programs structure since the 2021-22 Portfolio Budget Statements. Therefore, the objectives, deliverables and targets have not been altered.</w:t>
      </w:r>
      <w:r w:rsidR="001D003E">
        <w:rPr>
          <w:bdr w:val="nil"/>
          <w:lang w:val="en-GB"/>
        </w:rPr>
        <w:t xml:space="preserve"> </w:t>
      </w:r>
      <w:r w:rsidR="001D003E">
        <w:rPr>
          <w:i w:val="0"/>
          <w:color w:val="auto"/>
          <w:bdr w:val="nil"/>
          <w:lang w:val="en-GB"/>
        </w:rPr>
        <w:t>Complete details of the Department’s resources and performance information can be found in the 2021-22 Portfolio Budget Statements.</w:t>
      </w:r>
    </w:p>
    <w:p w:rsidR="001D003E" w:rsidRDefault="001D003E" w:rsidP="001D003E">
      <w:pPr>
        <w:keepLines w:val="0"/>
        <w:pBdr>
          <w:top w:val="nil"/>
          <w:left w:val="nil"/>
          <w:bottom w:val="nil"/>
          <w:right w:val="nil"/>
          <w:between w:val="nil"/>
          <w:bar w:val="nil"/>
        </w:pBdr>
        <w:spacing w:after="120" w:line="240" w:lineRule="auto"/>
        <w:jc w:val="left"/>
        <w:rPr>
          <w:rFonts w:eastAsia="Calibri" w:cs="Arial"/>
          <w:bdr w:val="nil"/>
        </w:rPr>
      </w:pPr>
    </w:p>
    <w:p w:rsidR="001D003E" w:rsidRPr="001D003E" w:rsidRDefault="001D003E" w:rsidP="001D003E">
      <w:pPr>
        <w:keepLines w:val="0"/>
        <w:pBdr>
          <w:top w:val="nil"/>
          <w:left w:val="nil"/>
          <w:bottom w:val="nil"/>
          <w:right w:val="nil"/>
          <w:between w:val="nil"/>
          <w:bar w:val="nil"/>
        </w:pBdr>
        <w:spacing w:after="120" w:line="240" w:lineRule="auto"/>
        <w:jc w:val="left"/>
        <w:rPr>
          <w:rFonts w:ascii="Arial" w:eastAsia="Calibri" w:hAnsi="Arial" w:cs="Arial"/>
          <w:b/>
          <w:bdr w:val="nil"/>
        </w:rPr>
      </w:pPr>
      <w:r w:rsidRPr="001D003E">
        <w:rPr>
          <w:rFonts w:ascii="Arial" w:eastAsia="Calibri" w:hAnsi="Arial" w:cs="Arial"/>
          <w:b/>
          <w:bdr w:val="nil"/>
        </w:rPr>
        <w:t xml:space="preserve">Budgeted Expenses for Outcome 1 </w:t>
      </w:r>
    </w:p>
    <w:p w:rsidR="001D003E" w:rsidRDefault="001D003E" w:rsidP="001D003E">
      <w:pPr>
        <w:keepLines w:val="0"/>
        <w:pBdr>
          <w:top w:val="nil"/>
          <w:left w:val="nil"/>
          <w:bottom w:val="nil"/>
          <w:right w:val="nil"/>
          <w:between w:val="nil"/>
          <w:bar w:val="nil"/>
        </w:pBdr>
        <w:spacing w:after="120" w:line="240" w:lineRule="auto"/>
        <w:jc w:val="left"/>
        <w:rPr>
          <w:rFonts w:eastAsia="Calibri" w:cs="Arial"/>
          <w:bdr w:val="nil"/>
        </w:rPr>
      </w:pPr>
      <w:r>
        <w:rPr>
          <w:rFonts w:eastAsia="Calibri" w:cs="Arial"/>
          <w:bdr w:val="nil"/>
        </w:rPr>
        <w:t xml:space="preserve">This table shows how much the entity intends to spend (on an accrual basis) on achieving the outcome, broken down by program, as well as Administered </w:t>
      </w:r>
      <w:r w:rsidR="00933E9B">
        <w:rPr>
          <w:rFonts w:eastAsia="Calibri" w:cs="Arial"/>
          <w:bdr w:val="nil"/>
        </w:rPr>
        <w:t xml:space="preserve">and Departmental funding sources. </w:t>
      </w:r>
    </w:p>
    <w:p w:rsidR="00933E9B" w:rsidRPr="001D003E" w:rsidRDefault="00933E9B" w:rsidP="001D003E">
      <w:pPr>
        <w:keepLines w:val="0"/>
        <w:pBdr>
          <w:top w:val="nil"/>
          <w:left w:val="nil"/>
          <w:bottom w:val="nil"/>
          <w:right w:val="nil"/>
          <w:between w:val="nil"/>
          <w:bar w:val="nil"/>
        </w:pBdr>
        <w:spacing w:after="120" w:line="240" w:lineRule="auto"/>
        <w:jc w:val="left"/>
        <w:rPr>
          <w:rFonts w:eastAsia="Calibri" w:cs="Arial"/>
          <w:bdr w:val="nil"/>
        </w:rPr>
      </w:pPr>
    </w:p>
    <w:p w:rsidR="001D003E" w:rsidRDefault="001D003E" w:rsidP="001D003E">
      <w:pPr>
        <w:pStyle w:val="TableHeading"/>
        <w:keepLines w:val="0"/>
        <w:pBdr>
          <w:top w:val="nil"/>
          <w:left w:val="nil"/>
          <w:bottom w:val="nil"/>
          <w:right w:val="nil"/>
          <w:between w:val="nil"/>
          <w:bar w:val="nil"/>
        </w:pBdr>
        <w:jc w:val="left"/>
        <w:rPr>
          <w:rFonts w:eastAsia="Calibri"/>
          <w:bdr w:val="nil"/>
          <w:lang w:eastAsia="en-US"/>
        </w:rPr>
      </w:pPr>
      <w:r>
        <w:rPr>
          <w:rFonts w:eastAsia="Calibri"/>
          <w:bdr w:val="nil"/>
          <w:lang w:eastAsia="en-US"/>
        </w:rPr>
        <w:t>Table 2.1.1: Budgeted Expenses for Outcome 1</w:t>
      </w:r>
    </w:p>
    <w:tbl>
      <w:tblPr>
        <w:tblStyle w:val="CDMRange2"/>
        <w:tblW w:w="8145" w:type="dxa"/>
        <w:tblLayout w:type="fixed"/>
        <w:tblLook w:val="0600" w:firstRow="0" w:lastRow="0" w:firstColumn="0" w:lastColumn="0" w:noHBand="1" w:noVBand="1"/>
      </w:tblPr>
      <w:tblGrid>
        <w:gridCol w:w="3375"/>
        <w:gridCol w:w="1050"/>
        <w:gridCol w:w="930"/>
        <w:gridCol w:w="930"/>
        <w:gridCol w:w="930"/>
        <w:gridCol w:w="930"/>
      </w:tblGrid>
      <w:tr w:rsidR="00811FBF" w:rsidTr="009E58DC">
        <w:trPr>
          <w:trHeight w:hRule="exact" w:val="225"/>
          <w:tblHeader/>
        </w:trPr>
        <w:tc>
          <w:tcPr>
            <w:tcW w:w="3375" w:type="dxa"/>
            <w:tcBorders>
              <w:top w:val="single" w:sz="4" w:space="0" w:color="000000"/>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1.1:  Veterans' Income Support and Allowances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2,195,525</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1,822,193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1,722,325</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1,669,035</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1,624,361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2,195,525</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1,822,193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1,722,325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1,669,035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1,624,361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37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1.2:  Veterans' Disability Support</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14,913</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21,066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21,059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21,422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21,743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1,519,724</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1,548,843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1,538,406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1,514,123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1,512,411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1,534,637</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1,569,909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1,559,465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1,535,545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1,534,154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86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1D003E" w:rsidRDefault="001D003E" w:rsidP="001D003E">
      <w:pPr>
        <w:pStyle w:val="TableHeading"/>
        <w:keepLines w:val="0"/>
        <w:pageBreakBefore/>
        <w:pBdr>
          <w:top w:val="nil"/>
          <w:left w:val="nil"/>
          <w:bottom w:val="nil"/>
          <w:right w:val="nil"/>
          <w:between w:val="nil"/>
          <w:bar w:val="nil"/>
        </w:pBdr>
        <w:jc w:val="left"/>
        <w:rPr>
          <w:rFonts w:cs="Times New Roman"/>
          <w:bdr w:val="nil"/>
        </w:rPr>
      </w:pPr>
      <w:r>
        <w:rPr>
          <w:rFonts w:cs="Times New Roman"/>
          <w:bdr w:val="nil"/>
        </w:rPr>
        <w:lastRenderedPageBreak/>
        <w:t>Table 2.1.1: Budgeted Expenses for Outcome 1 (continued)</w:t>
      </w:r>
    </w:p>
    <w:tbl>
      <w:tblPr>
        <w:tblStyle w:val="CDMRange1"/>
        <w:tblW w:w="8145" w:type="dxa"/>
        <w:tblLayout w:type="fixed"/>
        <w:tblLook w:val="0600" w:firstRow="0" w:lastRow="0" w:firstColumn="0" w:lastColumn="0" w:noHBand="1" w:noVBand="1"/>
      </w:tblPr>
      <w:tblGrid>
        <w:gridCol w:w="3375"/>
        <w:gridCol w:w="1050"/>
        <w:gridCol w:w="930"/>
        <w:gridCol w:w="930"/>
        <w:gridCol w:w="930"/>
        <w:gridCol w:w="930"/>
      </w:tblGrid>
      <w:tr w:rsidR="00811FBF" w:rsidTr="009E58DC">
        <w:trPr>
          <w:trHeight w:hRule="exact" w:val="255"/>
          <w:tblHeader/>
        </w:trPr>
        <w:tc>
          <w:tcPr>
            <w:tcW w:w="3375" w:type="dxa"/>
            <w:tcBorders>
              <w:top w:val="single" w:sz="4" w:space="0" w:color="000000"/>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5"/>
        </w:trPr>
        <w:tc>
          <w:tcPr>
            <w:tcW w:w="33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1.3:  Assistance to Defence Widow/ers and Dependants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1,171,889</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1,130,886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1,000,323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924,929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848,210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1,171,889</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1,130,886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1,000,323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924,929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848,210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375" w:type="dxa"/>
            <w:tcBorders>
              <w:top w:val="nil"/>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40"/>
        </w:trPr>
        <w:tc>
          <w:tcPr>
            <w:tcW w:w="337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1.4:  Assistance and Other Compensation for Veterans and Dependants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9,643</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13,457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13,401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9,820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9,936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6,135</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6,526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4,992</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4,256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3,653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15,778</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19,983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18,393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14,076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13,589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37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1.5:  Veterans' Children Education Scheme</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13,895</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17,224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17,546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18,514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18,892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13,895</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17,224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17,546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18,514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18,892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337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1.6:  Military Rehabilitation and Compensation Acts Payments - Income Support and Compensation</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8,382</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11,807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13,778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16,176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18,964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1,660,907</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2,423,835</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2,808,946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1,621,744</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1,659,031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1,669,289</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2,435,642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2,822,724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1,637,920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1,677,995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86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1D003E" w:rsidRDefault="001D003E" w:rsidP="001D003E">
      <w:pPr>
        <w:pStyle w:val="TableHeading"/>
        <w:keepLines w:val="0"/>
        <w:pageBreakBefore/>
        <w:pBdr>
          <w:top w:val="nil"/>
          <w:left w:val="nil"/>
          <w:bottom w:val="nil"/>
          <w:right w:val="nil"/>
          <w:between w:val="nil"/>
          <w:bar w:val="nil"/>
        </w:pBdr>
        <w:jc w:val="left"/>
        <w:rPr>
          <w:rFonts w:cs="Times New Roman"/>
          <w:bdr w:val="nil"/>
        </w:rPr>
      </w:pPr>
      <w:r>
        <w:rPr>
          <w:rFonts w:cs="Times New Roman"/>
          <w:bdr w:val="nil"/>
        </w:rPr>
        <w:lastRenderedPageBreak/>
        <w:t>Table 2.1.1: Budgeted Expenses for Outcome 1 (continued)</w:t>
      </w:r>
    </w:p>
    <w:tbl>
      <w:tblPr>
        <w:tblStyle w:val="CDMRange2"/>
        <w:tblW w:w="8145" w:type="dxa"/>
        <w:tblLayout w:type="fixed"/>
        <w:tblLook w:val="0600" w:firstRow="0" w:lastRow="0" w:firstColumn="0" w:lastColumn="0" w:noHBand="1" w:noVBand="1"/>
      </w:tblPr>
      <w:tblGrid>
        <w:gridCol w:w="3375"/>
        <w:gridCol w:w="1050"/>
        <w:gridCol w:w="930"/>
        <w:gridCol w:w="930"/>
        <w:gridCol w:w="930"/>
        <w:gridCol w:w="930"/>
      </w:tblGrid>
      <w:tr w:rsidR="00811FBF" w:rsidTr="009E58DC">
        <w:trPr>
          <w:trHeight w:hRule="exact" w:val="255"/>
          <w:tblHeader/>
        </w:trPr>
        <w:tc>
          <w:tcPr>
            <w:tcW w:w="3375" w:type="dxa"/>
            <w:tcBorders>
              <w:top w:val="single" w:sz="4" w:space="0" w:color="000000"/>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Outcome 1:   </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85"/>
        </w:trPr>
        <w:tc>
          <w:tcPr>
            <w:tcW w:w="337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1.7:  Adjustment to the Military Rehabilitation and Compensation Acts Liability Provision - Income Support and Compensation</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105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5,348,200</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503,800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600,900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815,500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827,700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5,348,200</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503,800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600,900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815,500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827,700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37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1.7</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5,348,200</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503,800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600,900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815,500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827,700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3375" w:type="dxa"/>
            <w:tcBorders>
              <w:top w:val="nil"/>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b/>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b/>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b/>
                <w:color w:val="000000"/>
                <w:sz w:val="16"/>
              </w:rPr>
            </w:pPr>
          </w:p>
        </w:tc>
        <w:tc>
          <w:tcPr>
            <w:tcW w:w="1860" w:type="dxa"/>
            <w:gridSpan w:val="2"/>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5"/>
        </w:trPr>
        <w:tc>
          <w:tcPr>
            <w:tcW w:w="3375" w:type="dxa"/>
            <w:tcBorders>
              <w:top w:val="nil"/>
              <w:left w:val="nil"/>
              <w:bottom w:val="nil"/>
              <w:right w:val="nil"/>
              <w:tl2br w:val="nil"/>
              <w:tr2bl w:val="nil"/>
            </w:tcBorders>
            <w:shd w:val="clear" w:color="auto" w:fill="auto"/>
            <w:tcMar>
              <w:left w:w="175"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46,833</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63,554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65,784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65,932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69,535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6,554,180</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6,932,283</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7,074,992</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5,734,087</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5,647,666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(a)</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5,348,200</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503,800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600,900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815,500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827,700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tcMar>
              <w:left w:w="135"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11,949,213</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7,499,637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7,741,676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6,615,519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6,544,901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175"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2"/>
                <w:vertAlign w:val="superscript"/>
              </w:rPr>
              <w:t>(b)</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213,321</w:t>
            </w:r>
          </w:p>
        </w:tc>
        <w:tc>
          <w:tcPr>
            <w:tcW w:w="930"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243,679</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234,236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169,464</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169,973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tcBorders>
              <w:top w:val="nil"/>
              <w:left w:val="nil"/>
              <w:bottom w:val="nil"/>
              <w:right w:val="nil"/>
              <w:tl2br w:val="nil"/>
              <w:tr2bl w:val="nil"/>
            </w:tcBorders>
            <w:shd w:val="clear" w:color="auto" w:fill="auto"/>
            <w:tcMar>
              <w:left w:w="175"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(c)</w:t>
            </w:r>
          </w:p>
        </w:tc>
        <w:tc>
          <w:tcPr>
            <w:tcW w:w="105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30,238</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13,537</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14,229</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13,785</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243,559</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257,216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248,465</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183,249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183,973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12,192,772</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7,756,853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7,990,141</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6,798,768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6,728,874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Calibri" w:eastAsia="Calibri" w:hAnsi="Calibri" w:cs="Calibri"/>
                <w:color w:val="000000"/>
                <w:sz w:val="22"/>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5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926</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1,356</w:t>
            </w: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bl>
    <w:p w:rsidR="001D003E" w:rsidRDefault="001D003E" w:rsidP="001D003E">
      <w:pPr>
        <w:pStyle w:val="ListParagraph0"/>
        <w:numPr>
          <w:ilvl w:val="0"/>
          <w:numId w:val="3"/>
        </w:numPr>
        <w:spacing w:after="0" w:line="240" w:lineRule="auto"/>
        <w:ind w:right="566"/>
        <w:jc w:val="both"/>
        <w:rPr>
          <w:rFonts w:ascii="Arial" w:hAnsi="Arial" w:cs="Arial"/>
          <w:sz w:val="16"/>
          <w:szCs w:val="16"/>
        </w:rPr>
      </w:pPr>
      <w:r>
        <w:rPr>
          <w:rFonts w:ascii="Arial" w:hAnsi="Arial" w:cs="Arial"/>
          <w:sz w:val="16"/>
          <w:szCs w:val="16"/>
        </w:rPr>
        <w:t>Administered ex</w:t>
      </w:r>
      <w:r w:rsidRPr="008306B8">
        <w:rPr>
          <w:rFonts w:ascii="Arial" w:hAnsi="Arial" w:cs="Arial"/>
          <w:sz w:val="16"/>
          <w:szCs w:val="16"/>
        </w:rPr>
        <w:t>penses not requiring appropriation in the Budget y</w:t>
      </w:r>
      <w:r>
        <w:rPr>
          <w:rFonts w:ascii="Arial" w:hAnsi="Arial" w:cs="Arial"/>
          <w:sz w:val="16"/>
          <w:szCs w:val="16"/>
        </w:rPr>
        <w:t>ear are made up of the estimated movement in the liability provision for the Military Compensation Schemes.</w:t>
      </w:r>
    </w:p>
    <w:p w:rsidR="001D003E" w:rsidRDefault="001D003E" w:rsidP="001D003E">
      <w:pPr>
        <w:pStyle w:val="ListParagraph0"/>
        <w:numPr>
          <w:ilvl w:val="0"/>
          <w:numId w:val="3"/>
        </w:numPr>
        <w:spacing w:after="0" w:line="240" w:lineRule="auto"/>
        <w:ind w:right="566"/>
        <w:jc w:val="both"/>
        <w:rPr>
          <w:rFonts w:ascii="Arial" w:hAnsi="Arial" w:cs="Arial"/>
          <w:sz w:val="16"/>
          <w:szCs w:val="16"/>
        </w:rPr>
      </w:pPr>
      <w:r>
        <w:rPr>
          <w:rFonts w:ascii="Arial" w:hAnsi="Arial" w:cs="Arial"/>
          <w:sz w:val="16"/>
          <w:szCs w:val="16"/>
        </w:rPr>
        <w:t xml:space="preserve">Estimated expenses incurred in relation to receipts retained under section 74 of the PGPA Act 2013. </w:t>
      </w:r>
    </w:p>
    <w:p w:rsidR="001D003E" w:rsidRDefault="001D003E" w:rsidP="001D003E">
      <w:pPr>
        <w:pStyle w:val="ListParagraph0"/>
        <w:numPr>
          <w:ilvl w:val="0"/>
          <w:numId w:val="3"/>
        </w:numPr>
        <w:spacing w:after="0" w:line="240" w:lineRule="auto"/>
        <w:ind w:right="566"/>
        <w:jc w:val="both"/>
        <w:rPr>
          <w:rFonts w:ascii="Arial" w:hAnsi="Arial" w:cs="Arial"/>
          <w:sz w:val="16"/>
          <w:szCs w:val="16"/>
        </w:rPr>
      </w:pPr>
      <w:r w:rsidRPr="008306B8">
        <w:rPr>
          <w:rFonts w:ascii="Arial" w:hAnsi="Arial" w:cs="Arial"/>
          <w:sz w:val="16"/>
          <w:szCs w:val="16"/>
        </w:rPr>
        <w:t>Expenses not requiring appropriation in the Budget y</w:t>
      </w:r>
      <w:r>
        <w:rPr>
          <w:rFonts w:ascii="Arial" w:hAnsi="Arial" w:cs="Arial"/>
          <w:sz w:val="16"/>
          <w:szCs w:val="16"/>
        </w:rPr>
        <w:t>ear are made up of depreciation/amortisation expenses and a</w:t>
      </w:r>
      <w:r w:rsidRPr="008306B8">
        <w:rPr>
          <w:rFonts w:ascii="Arial" w:hAnsi="Arial" w:cs="Arial"/>
          <w:sz w:val="16"/>
          <w:szCs w:val="16"/>
        </w:rPr>
        <w:t>udit Fees.</w:t>
      </w:r>
    </w:p>
    <w:p w:rsidR="001D003E" w:rsidRDefault="001D003E" w:rsidP="001D003E">
      <w:pPr>
        <w:pStyle w:val="TableHeading"/>
        <w:keepLines w:val="0"/>
        <w:pageBreakBefore/>
        <w:pBdr>
          <w:top w:val="nil"/>
          <w:left w:val="nil"/>
          <w:bottom w:val="nil"/>
          <w:right w:val="nil"/>
          <w:between w:val="nil"/>
          <w:bar w:val="nil"/>
        </w:pBdr>
        <w:jc w:val="left"/>
        <w:rPr>
          <w:rFonts w:cs="Times New Roman"/>
          <w:sz w:val="22"/>
          <w:szCs w:val="22"/>
          <w:bdr w:val="nil"/>
        </w:rPr>
      </w:pPr>
      <w:r>
        <w:rPr>
          <w:rFonts w:cs="Times New Roman"/>
          <w:sz w:val="22"/>
          <w:szCs w:val="22"/>
          <w:bdr w:val="nil"/>
        </w:rPr>
        <w:lastRenderedPageBreak/>
        <w:t xml:space="preserve">Table </w:t>
      </w:r>
      <w:r w:rsidRPr="001C1B8D">
        <w:rPr>
          <w:rFonts w:cs="Times New Roman"/>
          <w:sz w:val="22"/>
          <w:szCs w:val="22"/>
          <w:bdr w:val="nil"/>
        </w:rPr>
        <w:t>2.1.2</w:t>
      </w:r>
      <w:r>
        <w:rPr>
          <w:rFonts w:cs="Times New Roman"/>
          <w:sz w:val="22"/>
          <w:szCs w:val="22"/>
          <w:bdr w:val="nil"/>
        </w:rPr>
        <w:t>: Program Components of Outcome 1</w:t>
      </w:r>
    </w:p>
    <w:p w:rsidR="001D003E" w:rsidRPr="00666857" w:rsidRDefault="001D003E" w:rsidP="001D003E">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p w:rsidR="001D003E" w:rsidRDefault="001D003E" w:rsidP="001D003E">
      <w:pPr>
        <w:pStyle w:val="TableHeading"/>
        <w:keepLines w:val="0"/>
        <w:pBdr>
          <w:top w:val="nil"/>
          <w:left w:val="nil"/>
          <w:bottom w:val="nil"/>
          <w:right w:val="nil"/>
          <w:between w:val="nil"/>
          <w:bar w:val="nil"/>
        </w:pBdr>
        <w:jc w:val="left"/>
        <w:rPr>
          <w:rFonts w:cs="Times New Roman"/>
          <w:bdr w:val="nil"/>
        </w:rPr>
      </w:pPr>
      <w:r w:rsidRPr="00D86297">
        <w:rPr>
          <w:rFonts w:cs="Times New Roman"/>
          <w:sz w:val="22"/>
          <w:szCs w:val="22"/>
          <w:bdr w:val="nil"/>
        </w:rPr>
        <w:t>Program 1.1: Veterans' Income Support and Allowances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Income support pensions</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1,904,687</w:t>
            </w:r>
          </w:p>
        </w:tc>
        <w:tc>
          <w:tcPr>
            <w:tcW w:w="1005" w:type="dxa"/>
            <w:tcBorders>
              <w:top w:val="nil"/>
              <w:left w:val="nil"/>
              <w:bottom w:val="nil"/>
              <w:right w:val="nil"/>
              <w:tl2br w:val="nil"/>
              <w:tr2bl w:val="nil"/>
            </w:tcBorders>
            <w:shd w:val="clear" w:color="FFFFFF" w:fill="EBEBEB"/>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1,812,173</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1,714,629</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1,662,483</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1,617,515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allowances</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290,838</w:t>
            </w:r>
          </w:p>
        </w:tc>
        <w:tc>
          <w:tcPr>
            <w:tcW w:w="1005" w:type="dxa"/>
            <w:tcBorders>
              <w:top w:val="nil"/>
              <w:left w:val="nil"/>
              <w:bottom w:val="nil"/>
              <w:right w:val="nil"/>
              <w:tl2br w:val="nil"/>
              <w:tr2bl w:val="nil"/>
            </w:tcBorders>
            <w:shd w:val="clear" w:color="FFFFFF" w:fill="EBEBEB"/>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10,020</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7,696</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6,552</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6,846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2,195,525</w:t>
            </w: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1,822,193</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1,722,325</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1,669,035</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1,624,361</w:t>
            </w:r>
          </w:p>
        </w:tc>
      </w:tr>
    </w:tbl>
    <w:p w:rsidR="00811FBF" w:rsidRDefault="00811FBF">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p w:rsidR="001D003E" w:rsidRDefault="001D003E" w:rsidP="001D003E">
      <w:pPr>
        <w:pStyle w:val="TableHeading"/>
        <w:keepLines w:val="0"/>
        <w:pBdr>
          <w:top w:val="nil"/>
          <w:left w:val="nil"/>
          <w:bottom w:val="nil"/>
          <w:right w:val="nil"/>
          <w:between w:val="nil"/>
          <w:bar w:val="nil"/>
        </w:pBdr>
        <w:jc w:val="left"/>
        <w:rPr>
          <w:rFonts w:cs="Times New Roman"/>
          <w:bdr w:val="nil"/>
        </w:rPr>
      </w:pPr>
      <w:r w:rsidRPr="007D37BB">
        <w:rPr>
          <w:rFonts w:cs="Times New Roman"/>
          <w:sz w:val="22"/>
          <w:szCs w:val="22"/>
          <w:bdr w:val="nil"/>
        </w:rPr>
        <w:t>Program 1.2: Veterans' Disability Support</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22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225" w:type="dxa"/>
            <w:tcBorders>
              <w:top w:val="nil"/>
              <w:left w:val="nil"/>
              <w:bottom w:val="single" w:sz="4" w:space="0" w:color="000000"/>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Medical examinations, fares and expenses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14,331</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20,361</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20,333</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20,696</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21,002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Vehicle Assistance Scheme</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582</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705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726</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726</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741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Disability pensions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1,518,539</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1,547,584</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1,537,152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1,512,849</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1,511,111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Loss of earnings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249</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430</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Recreation transport allowance</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932</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829</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812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807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(Special Access) Act 2019</w:t>
            </w: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Southeast Asia Treaty Organisation pharmacy supplement</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1,534,637</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1,569,909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1,559,465</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1,535,545</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1,534,154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bl>
    <w:p w:rsidR="00811FBF" w:rsidRPr="008F0C2D" w:rsidRDefault="00811FBF">
      <w:pPr>
        <w:keepLines w:val="0"/>
        <w:pBdr>
          <w:top w:val="nil"/>
          <w:left w:val="nil"/>
          <w:bottom w:val="nil"/>
          <w:right w:val="nil"/>
          <w:between w:val="nil"/>
          <w:bar w:val="nil"/>
        </w:pBdr>
        <w:spacing w:after="0" w:line="240" w:lineRule="auto"/>
        <w:jc w:val="left"/>
        <w:rPr>
          <w:rFonts w:ascii="Times New Roman" w:hAnsi="Times New Roman"/>
          <w:sz w:val="14"/>
          <w:szCs w:val="24"/>
          <w:bdr w:val="nil"/>
        </w:rPr>
      </w:pPr>
    </w:p>
    <w:p w:rsidR="001D003E" w:rsidRDefault="001D003E" w:rsidP="001D003E">
      <w:pPr>
        <w:pStyle w:val="TableHeading"/>
        <w:keepLines w:val="0"/>
        <w:pBdr>
          <w:top w:val="nil"/>
          <w:left w:val="nil"/>
          <w:bottom w:val="nil"/>
          <w:right w:val="nil"/>
          <w:between w:val="nil"/>
          <w:bar w:val="nil"/>
        </w:pBdr>
        <w:jc w:val="left"/>
        <w:rPr>
          <w:rFonts w:cs="Times New Roman"/>
          <w:bdr w:val="nil"/>
        </w:rPr>
      </w:pPr>
      <w:r w:rsidRPr="00B91CBF">
        <w:rPr>
          <w:rFonts w:cs="Times New Roman"/>
          <w:sz w:val="22"/>
          <w:szCs w:val="22"/>
          <w:bdr w:val="nil"/>
        </w:rPr>
        <w:t>Program 1.3: Assistance to Defence Widow/ers and Dependants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single" w:sz="4" w:space="0" w:color="000000"/>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War &amp; Defence Widows pension</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1,171,889</w:t>
            </w:r>
          </w:p>
        </w:tc>
        <w:tc>
          <w:tcPr>
            <w:tcW w:w="1005" w:type="dxa"/>
            <w:tcBorders>
              <w:top w:val="nil"/>
              <w:left w:val="nil"/>
              <w:bottom w:val="nil"/>
              <w:right w:val="nil"/>
              <w:tl2br w:val="nil"/>
              <w:tr2bl w:val="nil"/>
            </w:tcBorders>
            <w:shd w:val="clear" w:color="FFFFFF" w:fill="EBEBEB"/>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1,130,886</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1,000,323</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924,929</w:t>
            </w:r>
          </w:p>
        </w:tc>
        <w:tc>
          <w:tcPr>
            <w:tcW w:w="10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848,210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1,171,889</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1,130,886</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1,000,323</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924,929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848,210</w:t>
            </w:r>
          </w:p>
        </w:tc>
      </w:tr>
    </w:tbl>
    <w:p w:rsidR="00811FBF" w:rsidRDefault="00811FBF">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p w:rsidR="001D003E" w:rsidRPr="0079376D" w:rsidRDefault="001D003E" w:rsidP="001D003E">
      <w:pPr>
        <w:pStyle w:val="TableHeading"/>
        <w:keepLines w:val="0"/>
        <w:pBdr>
          <w:top w:val="nil"/>
          <w:left w:val="nil"/>
          <w:bottom w:val="nil"/>
          <w:right w:val="nil"/>
          <w:between w:val="nil"/>
          <w:bar w:val="nil"/>
        </w:pBdr>
        <w:spacing w:after="0"/>
        <w:jc w:val="left"/>
        <w:rPr>
          <w:rFonts w:cs="Times New Roman"/>
          <w:sz w:val="22"/>
          <w:szCs w:val="22"/>
          <w:bdr w:val="nil"/>
        </w:rPr>
      </w:pPr>
      <w:r w:rsidRPr="0079376D">
        <w:rPr>
          <w:rFonts w:cs="Times New Roman"/>
          <w:sz w:val="22"/>
          <w:szCs w:val="22"/>
          <w:bdr w:val="nil"/>
        </w:rPr>
        <w:t>Program 1.4: Assistance and Other Compensation for Veterans and Dependants</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811FBF" w:rsidTr="009E58DC">
        <w:trPr>
          <w:trHeight w:hRule="exact" w:val="255"/>
          <w:tblHeader/>
        </w:trPr>
        <w:tc>
          <w:tcPr>
            <w:tcW w:w="3225" w:type="dxa"/>
            <w:tcBorders>
              <w:top w:val="single" w:sz="4" w:space="0" w:color="000000"/>
              <w:left w:val="nil"/>
              <w:bottom w:val="nil"/>
              <w:right w:val="nil"/>
              <w:tl2br w:val="nil"/>
              <w:tr2bl w:val="nil"/>
            </w:tcBorders>
            <w:shd w:val="clear" w:color="auto" w:fill="auto"/>
            <w:tcMar>
              <w:left w:w="0" w:type="dxa"/>
              <w:right w:w="0" w:type="dxa"/>
            </w:tcMar>
          </w:tcPr>
          <w:p w:rsidR="00811FBF" w:rsidRDefault="00811FBF">
            <w:pPr>
              <w:spacing w:after="0" w:line="240" w:lineRule="auto"/>
              <w:jc w:val="center"/>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Compensation and Legal Expenses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346</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1,813</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1,842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1,875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1,908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Discretionary Payments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Advocacy Grants and Support</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8,796</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9,581</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9,551</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5,903</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5,958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Veterans' Access to Community Information</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364</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1,651</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1,591</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1,615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Funeral benefits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4,141</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4,838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3,673</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3,168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2,729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Prisoners of War in Europe</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1,443</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1,142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832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651</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Compensation payments for British Commonwealth and Allied veterans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228</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180</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Compensation (Japanese Interment) </w:t>
            </w:r>
          </w:p>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Act 2001</w:t>
            </w: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Prisoners of War in Japan</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Papua New Guinea (Members of the Forces Benefits) Act 1957</w:t>
            </w: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PNG pensions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Defence Service Homes Act 1918</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Interest subsidy</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302</w:t>
            </w:r>
          </w:p>
        </w:tc>
        <w:tc>
          <w:tcPr>
            <w:tcW w:w="1005" w:type="dxa"/>
            <w:tcBorders>
              <w:top w:val="nil"/>
              <w:left w:val="nil"/>
              <w:bottom w:val="single" w:sz="4" w:space="0" w:color="000000"/>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313</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244</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15,778</w:t>
            </w: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19,983</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18,393</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14,076</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13,589</w:t>
            </w:r>
          </w:p>
        </w:tc>
      </w:tr>
    </w:tbl>
    <w:p w:rsidR="00811FBF" w:rsidRDefault="00811FBF">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p w:rsidR="001D003E" w:rsidRDefault="001D003E" w:rsidP="001D003E">
      <w:pPr>
        <w:pStyle w:val="TableHeading"/>
        <w:keepLines w:val="0"/>
        <w:pBdr>
          <w:top w:val="nil"/>
          <w:left w:val="nil"/>
          <w:bottom w:val="nil"/>
          <w:right w:val="nil"/>
          <w:between w:val="nil"/>
          <w:bar w:val="nil"/>
        </w:pBdr>
        <w:jc w:val="left"/>
        <w:rPr>
          <w:rFonts w:cs="Times New Roman"/>
          <w:bdr w:val="nil"/>
        </w:rPr>
      </w:pPr>
      <w:r w:rsidRPr="00797D70">
        <w:rPr>
          <w:rFonts w:cs="Times New Roman"/>
          <w:sz w:val="22"/>
          <w:szCs w:val="22"/>
          <w:bdr w:val="nil"/>
        </w:rPr>
        <w:t>Program 1.5: Veterans' Children Education Scheme</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5"/>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Veterans' Children Education Scheme</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13,895</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17,224</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17,546</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18,514</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18,892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13,895</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17,224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17,546</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18,514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18,892</w:t>
            </w:r>
          </w:p>
        </w:tc>
      </w:tr>
    </w:tbl>
    <w:p w:rsidR="001D003E" w:rsidRDefault="001D003E" w:rsidP="001D003E">
      <w:pPr>
        <w:pStyle w:val="TableHeading"/>
        <w:keepLines w:val="0"/>
        <w:pageBreakBefore/>
        <w:pBdr>
          <w:top w:val="nil"/>
          <w:left w:val="nil"/>
          <w:bottom w:val="nil"/>
          <w:right w:val="nil"/>
          <w:between w:val="nil"/>
          <w:bar w:val="nil"/>
        </w:pBdr>
        <w:jc w:val="left"/>
        <w:rPr>
          <w:rFonts w:cs="Times New Roman"/>
          <w:bdr w:val="nil"/>
        </w:rPr>
      </w:pPr>
      <w:r w:rsidRPr="00A80592">
        <w:rPr>
          <w:rFonts w:cs="Times New Roman"/>
          <w:sz w:val="22"/>
          <w:szCs w:val="22"/>
          <w:bdr w:val="nil"/>
        </w:rPr>
        <w:lastRenderedPageBreak/>
        <w:t>Program 1.6: Military Rehabilitation and Compensation Acts Payments - Income Support and Compensation</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 compensation-related payments - DRCA</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1,731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2,973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3,046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3,176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3,279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 compensation-related payments - MRCA</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6,651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8,834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10,732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15,685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 (Defence-related Claims) Act 1988</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Permanent impairment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260,375</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455,702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550,340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130,550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133,455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Benefits for eligible dependants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30,288</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30,630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29,999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33,213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34,510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Incapacity payments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87,330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290,408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341,396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175,063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179,758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Medical examinations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2,837</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2,475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2,372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2,317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2,355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Death payments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4,489</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4,182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4,939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5,480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5,682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4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 compensation-related payments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634</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Permanent impairment</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964,836</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1,109,132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1,246,927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769,456</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785,573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Benefits for eligible dependants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20,265</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30,345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31,640</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34,213</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34,930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Income maintenance payments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270,029</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481,479</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581,129</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450,424</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461,398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Medical examinations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17,322</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18,557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19,252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20,061</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20,382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 compensation-related payments</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2,502</w:t>
            </w: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573</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598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1,669,289</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2,435,642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2,822,724</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1,637,920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1,677,995</w:t>
            </w:r>
          </w:p>
        </w:tc>
      </w:tr>
    </w:tbl>
    <w:p w:rsidR="001D003E" w:rsidRDefault="001D003E" w:rsidP="001D003E">
      <w:pPr>
        <w:pStyle w:val="TableHeading"/>
        <w:keepLines w:val="0"/>
        <w:pageBreakBefore/>
        <w:pBdr>
          <w:top w:val="nil"/>
          <w:left w:val="nil"/>
          <w:bottom w:val="nil"/>
          <w:right w:val="nil"/>
          <w:between w:val="nil"/>
          <w:bar w:val="nil"/>
        </w:pBdr>
        <w:jc w:val="left"/>
        <w:rPr>
          <w:rFonts w:cs="Times New Roman"/>
          <w:bdr w:val="nil"/>
        </w:rPr>
      </w:pPr>
      <w:r w:rsidRPr="00D2424A">
        <w:rPr>
          <w:rFonts w:cs="Times New Roman"/>
          <w:sz w:val="22"/>
          <w:szCs w:val="22"/>
          <w:bdr w:val="nil"/>
        </w:rPr>
        <w:lastRenderedPageBreak/>
        <w:t>Program 1.7: Adjustment to the Military Rehabilitation and Compensation Acts Liability Provision - Income Support and Compensation</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5"/>
        </w:trPr>
        <w:tc>
          <w:tcPr>
            <w:tcW w:w="3225"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5,348,200</w:t>
            </w:r>
          </w:p>
        </w:tc>
        <w:tc>
          <w:tcPr>
            <w:tcW w:w="100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503,800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600,900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815,500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827,700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0"/>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5,348,200</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503,800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600,900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815,500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827,700</w:t>
            </w:r>
          </w:p>
        </w:tc>
      </w:tr>
    </w:tbl>
    <w:p w:rsidR="001D003E" w:rsidRDefault="008F0C2D" w:rsidP="001D003E">
      <w:pPr>
        <w:pStyle w:val="Heading4"/>
        <w:keepLines w:val="0"/>
        <w:pageBreakBefore/>
        <w:pBdr>
          <w:top w:val="nil"/>
          <w:left w:val="nil"/>
          <w:bottom w:val="nil"/>
          <w:right w:val="nil"/>
          <w:between w:val="nil"/>
          <w:bar w:val="nil"/>
        </w:pBdr>
        <w:spacing w:before="240" w:after="240"/>
        <w:rPr>
          <w:bdr w:val="nil"/>
        </w:rPr>
      </w:pPr>
      <w:r w:rsidRPr="00933E9B">
        <w:rPr>
          <w:rFonts w:eastAsia="Calibri" w:cs="Arial"/>
          <w:noProof/>
          <w:bdr w:val="nil"/>
        </w:rPr>
        <w:lastRenderedPageBreak/>
        <mc:AlternateContent>
          <mc:Choice Requires="wps">
            <w:drawing>
              <wp:anchor distT="45720" distB="45720" distL="114300" distR="114300" simplePos="0" relativeHeight="251657728" behindDoc="0" locked="0" layoutInCell="1" allowOverlap="1" wp14:anchorId="15845FC4" wp14:editId="125A9A2D">
                <wp:simplePos x="0" y="0"/>
                <wp:positionH relativeFrom="column">
                  <wp:posOffset>0</wp:posOffset>
                </wp:positionH>
                <wp:positionV relativeFrom="paragraph">
                  <wp:posOffset>572453</wp:posOffset>
                </wp:positionV>
                <wp:extent cx="4719320" cy="1099820"/>
                <wp:effectExtent l="0" t="0" r="2413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1099820"/>
                        </a:xfrm>
                        <a:prstGeom prst="rect">
                          <a:avLst/>
                        </a:prstGeom>
                        <a:solidFill>
                          <a:sysClr val="window" lastClr="FFFFFF">
                            <a:lumMod val="85000"/>
                          </a:sysClr>
                        </a:solidFill>
                        <a:ln w="9525">
                          <a:solidFill>
                            <a:srgbClr val="000000"/>
                          </a:solidFill>
                          <a:miter lim="800000"/>
                          <a:headEnd/>
                          <a:tailEnd/>
                        </a:ln>
                      </wps:spPr>
                      <wps:txbx>
                        <w:txbxContent>
                          <w:p w:rsidR="009E58DC" w:rsidRDefault="009E58DC" w:rsidP="008F0C2D">
                            <w:pPr>
                              <w:keepLines w:val="0"/>
                              <w:pBdr>
                                <w:top w:val="nil"/>
                                <w:left w:val="nil"/>
                                <w:bottom w:val="nil"/>
                                <w:right w:val="nil"/>
                                <w:between w:val="nil"/>
                                <w:bar w:val="nil"/>
                              </w:pBdr>
                              <w:spacing w:before="120" w:after="120" w:line="240" w:lineRule="auto"/>
                              <w:jc w:val="left"/>
                              <w:rPr>
                                <w:rFonts w:ascii="Arial" w:eastAsia="Calibri" w:hAnsi="Arial" w:cs="Arial"/>
                                <w:b/>
                                <w:bdr w:val="nil"/>
                              </w:rPr>
                            </w:pPr>
                            <w:r>
                              <w:rPr>
                                <w:rFonts w:ascii="Arial" w:eastAsia="Calibri" w:hAnsi="Arial" w:cs="Arial"/>
                                <w:b/>
                                <w:bdr w:val="nil"/>
                              </w:rPr>
                              <w:t>Outcome 2: Strategy</w:t>
                            </w:r>
                          </w:p>
                          <w:p w:rsidR="009E58DC" w:rsidRPr="008F0C2D" w:rsidRDefault="009E58DC" w:rsidP="008F0C2D">
                            <w:pPr>
                              <w:rPr>
                                <w:rFonts w:eastAsia="Calibri" w:cs="Arial"/>
                                <w:bdr w:val="nil"/>
                              </w:rPr>
                            </w:pPr>
                            <w:r w:rsidRPr="008F0C2D">
                              <w:rPr>
                                <w:rFonts w:eastAsia="Calibri" w:cs="Arial"/>
                                <w:bdr w:val="nil"/>
                              </w:rPr>
                              <w:t>Maintain and enhance the physical wellbeing and quality of the life of eligible persons and their dependants through health and other care services that promote early intervention, prevention and treatment, including advice and information about health service entitlements.</w:t>
                            </w:r>
                          </w:p>
                          <w:p w:rsidR="009E58DC" w:rsidRDefault="009E58DC" w:rsidP="008F0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45FC4" id="_x0000_s1027" type="#_x0000_t202" style="position:absolute;margin-left:0;margin-top:45.1pt;width:371.6pt;height:86.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" fillcolor="#d9d9d9">
                <v:textbox>
                  <w:txbxContent>
                    <w:p w:rsidR="009E58DC" w:rsidRDefault="009E58DC" w:rsidP="008F0C2D">
                      <w:pPr>
                        <w:keepLines w:val="0"/>
                        <w:pBdr>
                          <w:top w:val="nil"/>
                          <w:left w:val="nil"/>
                          <w:bottom w:val="nil"/>
                          <w:right w:val="nil"/>
                          <w:between w:val="nil"/>
                          <w:bar w:val="nil"/>
                        </w:pBdr>
                        <w:spacing w:before="120" w:after="120" w:line="240" w:lineRule="auto"/>
                        <w:jc w:val="left"/>
                        <w:rPr>
                          <w:rFonts w:ascii="Arial" w:eastAsia="Calibri" w:hAnsi="Arial" w:cs="Arial"/>
                          <w:b/>
                          <w:bdr w:val="nil"/>
                        </w:rPr>
                      </w:pPr>
                      <w:r>
                        <w:rPr>
                          <w:rFonts w:ascii="Arial" w:eastAsia="Calibri" w:hAnsi="Arial" w:cs="Arial"/>
                          <w:b/>
                          <w:bdr w:val="nil"/>
                        </w:rPr>
                        <w:t>Outcome 2: Strategy</w:t>
                      </w:r>
                    </w:p>
                    <w:p w:rsidR="009E58DC" w:rsidRPr="008F0C2D" w:rsidRDefault="009E58DC" w:rsidP="008F0C2D">
                      <w:pPr>
                        <w:rPr>
                          <w:rFonts w:eastAsia="Calibri" w:cs="Arial"/>
                          <w:bdr w:val="nil"/>
                        </w:rPr>
                      </w:pPr>
                      <w:r w:rsidRPr="008F0C2D">
                        <w:rPr>
                          <w:rFonts w:eastAsia="Calibri" w:cs="Arial"/>
                          <w:bdr w:val="nil"/>
                        </w:rPr>
                        <w:t>Maintain and enhance the physical wellbeing and quality of the life of eligible persons and their dependants through health and other care services that promote early intervention, prevention and treatment, including advice and information about health service entitlements.</w:t>
                      </w:r>
                    </w:p>
                    <w:p w:rsidR="009E58DC" w:rsidRDefault="009E58DC" w:rsidP="008F0C2D"/>
                  </w:txbxContent>
                </v:textbox>
                <w10:wrap type="square"/>
              </v:shape>
            </w:pict>
          </mc:Fallback>
        </mc:AlternateContent>
      </w:r>
      <w:r w:rsidR="001D003E">
        <w:rPr>
          <w:bdr w:val="nil"/>
        </w:rPr>
        <w:t>OUTCOME 2</w:t>
      </w:r>
    </w:p>
    <w:p w:rsidR="001D003E" w:rsidRDefault="008F0C2D" w:rsidP="001D003E">
      <w:pPr>
        <w:keepLines w:val="0"/>
        <w:pBdr>
          <w:top w:val="nil"/>
          <w:left w:val="nil"/>
          <w:bottom w:val="nil"/>
          <w:right w:val="nil"/>
          <w:between w:val="nil"/>
          <w:bar w:val="nil"/>
        </w:pBdr>
        <w:spacing w:before="120" w:after="120" w:line="240" w:lineRule="auto"/>
        <w:jc w:val="left"/>
        <w:rPr>
          <w:rFonts w:ascii="Arial" w:hAnsi="Arial" w:cs="Arial"/>
          <w:b/>
          <w:bdr w:val="nil"/>
        </w:rPr>
      </w:pPr>
      <w:r>
        <w:rPr>
          <w:rFonts w:ascii="Arial" w:hAnsi="Arial" w:cs="Arial"/>
          <w:b/>
          <w:bdr w:val="nil"/>
        </w:rPr>
        <w:t>Budgeted expenses for Outcome</w:t>
      </w:r>
      <w:r w:rsidR="001D003E">
        <w:rPr>
          <w:rFonts w:ascii="Arial" w:hAnsi="Arial" w:cs="Arial"/>
          <w:b/>
          <w:bdr w:val="nil"/>
        </w:rPr>
        <w:t xml:space="preserve"> 2 </w:t>
      </w:r>
    </w:p>
    <w:p w:rsidR="008F0C2D" w:rsidRDefault="008F0C2D" w:rsidP="001D003E">
      <w:pPr>
        <w:keepLines w:val="0"/>
        <w:pBdr>
          <w:top w:val="nil"/>
          <w:left w:val="nil"/>
          <w:bottom w:val="nil"/>
          <w:right w:val="nil"/>
          <w:between w:val="nil"/>
          <w:bar w:val="nil"/>
        </w:pBdr>
        <w:spacing w:before="120" w:after="120" w:line="240" w:lineRule="auto"/>
        <w:jc w:val="left"/>
        <w:rPr>
          <w:rFonts w:ascii="Arial" w:hAnsi="Arial" w:cs="Arial"/>
          <w:bdr w:val="nil"/>
        </w:rPr>
      </w:pPr>
      <w:r>
        <w:rPr>
          <w:rFonts w:ascii="Arial" w:hAnsi="Arial" w:cs="Arial"/>
          <w:bdr w:val="nil"/>
        </w:rPr>
        <w:t xml:space="preserve">This table shows how much the entity intends to spend (on an accrual basis) on achieving the outcome, broken down by program, as well as by Administered and Departmental funding sources. </w:t>
      </w:r>
    </w:p>
    <w:p w:rsidR="008F0C2D" w:rsidRPr="008F0C2D" w:rsidRDefault="008F0C2D" w:rsidP="001D003E">
      <w:pPr>
        <w:keepLines w:val="0"/>
        <w:pBdr>
          <w:top w:val="nil"/>
          <w:left w:val="nil"/>
          <w:bottom w:val="nil"/>
          <w:right w:val="nil"/>
          <w:between w:val="nil"/>
          <w:bar w:val="nil"/>
        </w:pBdr>
        <w:spacing w:before="120" w:after="120" w:line="240" w:lineRule="auto"/>
        <w:jc w:val="left"/>
        <w:rPr>
          <w:rFonts w:ascii="Arial" w:hAnsi="Arial" w:cs="Arial"/>
          <w:bdr w:val="nil"/>
        </w:rPr>
      </w:pPr>
    </w:p>
    <w:p w:rsidR="001D003E" w:rsidRPr="000A6B2C" w:rsidRDefault="001D003E" w:rsidP="001D003E">
      <w:pPr>
        <w:pStyle w:val="TableHeading"/>
        <w:keepLines w:val="0"/>
        <w:pBdr>
          <w:top w:val="nil"/>
          <w:left w:val="nil"/>
          <w:bottom w:val="nil"/>
          <w:right w:val="nil"/>
          <w:between w:val="nil"/>
          <w:bar w:val="nil"/>
        </w:pBdr>
        <w:jc w:val="left"/>
        <w:rPr>
          <w:rFonts w:cs="Times New Roman"/>
          <w:bdr w:val="nil"/>
        </w:rPr>
      </w:pPr>
      <w:r>
        <w:rPr>
          <w:rFonts w:cs="Times New Roman"/>
          <w:bdr w:val="nil"/>
        </w:rPr>
        <w:t>Table 2.2.1: Budgeted Expenses for Outcome 2</w:t>
      </w:r>
    </w:p>
    <w:tbl>
      <w:tblPr>
        <w:tblStyle w:val="CDMRange2"/>
        <w:tblW w:w="7965" w:type="dxa"/>
        <w:tblLayout w:type="fixed"/>
        <w:tblLook w:val="0600" w:firstRow="0" w:lastRow="0" w:firstColumn="0" w:lastColumn="0" w:noHBand="1" w:noVBand="1"/>
      </w:tblPr>
      <w:tblGrid>
        <w:gridCol w:w="3240"/>
        <w:gridCol w:w="945"/>
        <w:gridCol w:w="945"/>
        <w:gridCol w:w="945"/>
        <w:gridCol w:w="945"/>
        <w:gridCol w:w="945"/>
      </w:tblGrid>
      <w:tr w:rsidR="00811FBF" w:rsidTr="009E58DC">
        <w:trPr>
          <w:trHeight w:hRule="exact" w:val="60"/>
          <w:tblHeader/>
        </w:trPr>
        <w:tc>
          <w:tcPr>
            <w:tcW w:w="324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single" w:sz="4" w:space="0" w:color="000000"/>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 xml:space="preserve">estimated </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2.1:  General Medical Consultations and Services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701,774</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687,471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684,762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662,519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662,963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701,774</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687,471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684,762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662,519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662,963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24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2.2:  Veterans' Hospital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1,015,307</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1,084,061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1,043,787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1,042,437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1,045,299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1,015,307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1,084,061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1,043,787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1,042,437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1,045,299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24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2.3:  Veterans' Pharmaceuticals Benefits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313,522</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328,247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329,502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324,235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326,428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313,522</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328,247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329,502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324,235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326,428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1D003E" w:rsidRPr="0087290F" w:rsidRDefault="001D003E" w:rsidP="001D003E">
      <w:pPr>
        <w:pStyle w:val="TableHeadingcontinued"/>
        <w:keepLines w:val="0"/>
        <w:pageBreakBefore/>
        <w:pBdr>
          <w:top w:val="nil"/>
          <w:left w:val="nil"/>
          <w:bottom w:val="nil"/>
          <w:right w:val="nil"/>
          <w:between w:val="nil"/>
          <w:bar w:val="nil"/>
        </w:pBdr>
        <w:jc w:val="left"/>
        <w:rPr>
          <w:rFonts w:ascii="Arial" w:hAnsi="Arial" w:cs="Arial"/>
          <w:bdr w:val="nil"/>
        </w:rPr>
      </w:pPr>
      <w:r w:rsidRPr="0087290F">
        <w:rPr>
          <w:rFonts w:ascii="Arial" w:hAnsi="Arial" w:cs="Arial"/>
          <w:bdr w:val="nil"/>
        </w:rPr>
        <w:lastRenderedPageBreak/>
        <w:t>Table 2.2</w:t>
      </w:r>
      <w:r>
        <w:rPr>
          <w:rFonts w:ascii="Arial" w:hAnsi="Arial" w:cs="Arial"/>
          <w:bdr w:val="nil"/>
        </w:rPr>
        <w:t xml:space="preserve">.1: Budgeted Expenses </w:t>
      </w:r>
      <w:r w:rsidRPr="0087290F">
        <w:rPr>
          <w:rFonts w:ascii="Arial" w:hAnsi="Arial" w:cs="Arial"/>
          <w:bdr w:val="nil"/>
        </w:rPr>
        <w:t>for Outcome 2 (continued)</w:t>
      </w:r>
    </w:p>
    <w:tbl>
      <w:tblPr>
        <w:tblStyle w:val="CDMRange1"/>
        <w:tblW w:w="7665" w:type="dxa"/>
        <w:tblLayout w:type="fixed"/>
        <w:tblLook w:val="0600" w:firstRow="0" w:lastRow="0" w:firstColumn="0" w:lastColumn="0" w:noHBand="1" w:noVBand="1"/>
      </w:tblPr>
      <w:tblGrid>
        <w:gridCol w:w="2940"/>
        <w:gridCol w:w="945"/>
        <w:gridCol w:w="945"/>
        <w:gridCol w:w="945"/>
        <w:gridCol w:w="945"/>
        <w:gridCol w:w="945"/>
      </w:tblGrid>
      <w:tr w:rsidR="00811FBF" w:rsidTr="009E58DC">
        <w:trPr>
          <w:trHeight w:hRule="exact" w:val="60"/>
          <w:tblHeader/>
        </w:trPr>
        <w:tc>
          <w:tcPr>
            <w:tcW w:w="2940" w:type="dxa"/>
            <w:tcBorders>
              <w:top w:val="nil"/>
              <w:left w:val="nil"/>
              <w:bottom w:val="single" w:sz="4" w:space="0" w:color="000000"/>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single" w:sz="4" w:space="0" w:color="000000"/>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rsidP="005802F4">
            <w:pPr>
              <w:spacing w:after="0" w:line="240" w:lineRule="auto"/>
              <w:jc w:val="right"/>
              <w:rPr>
                <w:rFonts w:ascii="Arial" w:eastAsia="Arial" w:hAnsi="Arial" w:cs="Arial"/>
                <w:color w:val="000000"/>
                <w:sz w:val="16"/>
              </w:rPr>
            </w:pPr>
            <w:r>
              <w:rPr>
                <w:rFonts w:ascii="Arial" w:eastAsia="Arial" w:hAnsi="Arial" w:cs="Arial"/>
                <w:color w:val="000000"/>
                <w:sz w:val="16"/>
              </w:rPr>
              <w:t>202</w:t>
            </w:r>
            <w:r w:rsidR="005802F4">
              <w:rPr>
                <w:rFonts w:ascii="Arial" w:eastAsia="Arial" w:hAnsi="Arial" w:cs="Arial"/>
                <w:color w:val="000000"/>
                <w:sz w:val="16"/>
              </w:rPr>
              <w:t>1</w:t>
            </w:r>
            <w:r>
              <w:rPr>
                <w:rFonts w:ascii="Arial" w:eastAsia="Arial" w:hAnsi="Arial" w:cs="Arial"/>
                <w:color w:val="000000"/>
                <w:sz w:val="16"/>
              </w:rPr>
              <w:t>-22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rsidP="005802F4">
            <w:pPr>
              <w:spacing w:after="0" w:line="240" w:lineRule="auto"/>
              <w:jc w:val="right"/>
              <w:rPr>
                <w:rFonts w:ascii="Arial" w:eastAsia="Arial" w:hAnsi="Arial" w:cs="Arial"/>
                <w:color w:val="000000"/>
                <w:sz w:val="16"/>
              </w:rPr>
            </w:pPr>
            <w:r>
              <w:rPr>
                <w:rFonts w:ascii="Arial" w:eastAsia="Arial" w:hAnsi="Arial" w:cs="Arial"/>
                <w:color w:val="000000"/>
                <w:sz w:val="16"/>
              </w:rPr>
              <w:t>202</w:t>
            </w:r>
            <w:r w:rsidR="005802F4">
              <w:rPr>
                <w:rFonts w:ascii="Arial" w:eastAsia="Arial" w:hAnsi="Arial" w:cs="Arial"/>
                <w:color w:val="000000"/>
                <w:sz w:val="16"/>
              </w:rPr>
              <w:t>2</w:t>
            </w:r>
            <w:r>
              <w:rPr>
                <w:rFonts w:ascii="Arial" w:eastAsia="Arial" w:hAnsi="Arial" w:cs="Arial"/>
                <w:color w:val="000000"/>
                <w:sz w:val="16"/>
              </w:rPr>
              <w:t>-2</w:t>
            </w:r>
            <w:r w:rsidR="005802F4">
              <w:rPr>
                <w:rFonts w:ascii="Arial" w:eastAsia="Arial" w:hAnsi="Arial" w:cs="Arial"/>
                <w:color w:val="000000"/>
                <w:sz w:val="16"/>
              </w:rPr>
              <w:t>3</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w:t>
            </w:r>
            <w:r w:rsidR="005802F4">
              <w:rPr>
                <w:rFonts w:ascii="Arial" w:eastAsia="Arial" w:hAnsi="Arial" w:cs="Arial"/>
                <w:color w:val="000000"/>
                <w:sz w:val="16"/>
              </w:rPr>
              <w:t>023-24</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rsidP="005802F4">
            <w:pPr>
              <w:spacing w:after="0" w:line="240" w:lineRule="auto"/>
              <w:jc w:val="right"/>
              <w:rPr>
                <w:rFonts w:ascii="Arial" w:eastAsia="Arial" w:hAnsi="Arial" w:cs="Arial"/>
                <w:color w:val="000000"/>
                <w:sz w:val="16"/>
              </w:rPr>
            </w:pPr>
            <w:r>
              <w:rPr>
                <w:rFonts w:ascii="Arial" w:eastAsia="Arial" w:hAnsi="Arial" w:cs="Arial"/>
                <w:color w:val="000000"/>
                <w:sz w:val="16"/>
              </w:rPr>
              <w:t>202</w:t>
            </w:r>
            <w:r w:rsidR="005802F4">
              <w:rPr>
                <w:rFonts w:ascii="Arial" w:eastAsia="Arial" w:hAnsi="Arial" w:cs="Arial"/>
                <w:color w:val="000000"/>
                <w:sz w:val="16"/>
              </w:rPr>
              <w:t>4</w:t>
            </w:r>
            <w:r>
              <w:rPr>
                <w:rFonts w:ascii="Arial" w:eastAsia="Arial" w:hAnsi="Arial" w:cs="Arial"/>
                <w:color w:val="000000"/>
                <w:sz w:val="16"/>
              </w:rPr>
              <w:t>-2</w:t>
            </w:r>
            <w:r w:rsidR="005802F4">
              <w:rPr>
                <w:rFonts w:ascii="Arial" w:eastAsia="Arial" w:hAnsi="Arial" w:cs="Arial"/>
                <w:color w:val="000000"/>
                <w:sz w:val="16"/>
              </w:rPr>
              <w:t>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 xml:space="preserve">estimated </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5802F4">
            <w:pPr>
              <w:spacing w:after="0" w:line="240" w:lineRule="auto"/>
              <w:jc w:val="right"/>
              <w:rPr>
                <w:rFonts w:ascii="Arial" w:eastAsia="Arial" w:hAnsi="Arial" w:cs="Arial"/>
                <w:color w:val="000000"/>
                <w:sz w:val="16"/>
              </w:rPr>
            </w:pPr>
            <w:r>
              <w:rPr>
                <w:rFonts w:ascii="Arial" w:eastAsia="Arial" w:hAnsi="Arial" w:cs="Arial"/>
                <w:color w:val="000000"/>
                <w:sz w:val="16"/>
              </w:rPr>
              <w:t>E</w:t>
            </w:r>
            <w:r w:rsidR="001D003E">
              <w:rPr>
                <w:rFonts w:ascii="Arial" w:eastAsia="Arial" w:hAnsi="Arial" w:cs="Arial"/>
                <w:color w:val="000000"/>
                <w:sz w:val="16"/>
              </w:rPr>
              <w:t>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2.4:  Veterans' Community Care and Support</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2940"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7,162</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29,888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21,164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8,349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4,816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2940"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services (Appropriation Bill No. 2 &amp; 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5,050</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914,421</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907,121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845,307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758,762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791,249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926,633</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937,009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866,471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767,111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796,065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2940" w:type="dxa"/>
            <w:tcBorders>
              <w:top w:val="nil"/>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2.5:  Veterans' Counselling and Other Health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2940"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6,036</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5,891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4,930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5,523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5,542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656,064</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736,608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784,972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810,493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839,080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662,100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742,499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789,902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816,016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844,622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2940" w:type="dxa"/>
            <w:tcBorders>
              <w:top w:val="nil"/>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29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2.6:  Military Rehabilitation and Compensation Acts - Health and Other Care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40"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2,785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2,810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2,844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2,898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268,011</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306,377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399,254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405,101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437,590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268,011</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309,162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402,064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407,945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440,488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single" w:sz="4" w:space="0" w:color="000000"/>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1D003E" w:rsidRPr="00FE549C" w:rsidRDefault="001D003E" w:rsidP="001D003E">
      <w:pPr>
        <w:pStyle w:val="TableHeadingcontinued"/>
        <w:keepLines w:val="0"/>
        <w:pageBreakBefore/>
        <w:pBdr>
          <w:top w:val="nil"/>
          <w:left w:val="nil"/>
          <w:bottom w:val="nil"/>
          <w:right w:val="nil"/>
          <w:between w:val="nil"/>
          <w:bar w:val="nil"/>
        </w:pBdr>
        <w:jc w:val="left"/>
        <w:rPr>
          <w:rFonts w:ascii="Arial" w:hAnsi="Arial" w:cs="Arial"/>
          <w:bdr w:val="nil"/>
        </w:rPr>
      </w:pPr>
      <w:r w:rsidRPr="00FE549C">
        <w:rPr>
          <w:rFonts w:ascii="Arial" w:hAnsi="Arial" w:cs="Arial"/>
          <w:bdr w:val="nil"/>
        </w:rPr>
        <w:lastRenderedPageBreak/>
        <w:t>Table 2.2</w:t>
      </w:r>
      <w:r>
        <w:rPr>
          <w:rFonts w:ascii="Arial" w:hAnsi="Arial" w:cs="Arial"/>
          <w:bdr w:val="nil"/>
        </w:rPr>
        <w:t xml:space="preserve">.1: Budgeted Expenses </w:t>
      </w:r>
      <w:r w:rsidRPr="00FE549C">
        <w:rPr>
          <w:rFonts w:ascii="Arial" w:hAnsi="Arial" w:cs="Arial"/>
          <w:bdr w:val="nil"/>
        </w:rPr>
        <w:t>for Outcome 2 (continued)</w:t>
      </w:r>
    </w:p>
    <w:tbl>
      <w:tblPr>
        <w:tblStyle w:val="CDMRange2"/>
        <w:tblW w:w="8310" w:type="dxa"/>
        <w:tblLayout w:type="fixed"/>
        <w:tblLook w:val="0600" w:firstRow="0" w:lastRow="0" w:firstColumn="0" w:lastColumn="0" w:noHBand="1" w:noVBand="1"/>
      </w:tblPr>
      <w:tblGrid>
        <w:gridCol w:w="3645"/>
        <w:gridCol w:w="1005"/>
        <w:gridCol w:w="915"/>
        <w:gridCol w:w="915"/>
        <w:gridCol w:w="915"/>
        <w:gridCol w:w="915"/>
      </w:tblGrid>
      <w:tr w:rsidR="00811FBF" w:rsidTr="009E58DC">
        <w:trPr>
          <w:trHeight w:hRule="exact" w:val="225"/>
          <w:tblHeader/>
        </w:trPr>
        <w:tc>
          <w:tcPr>
            <w:tcW w:w="3645" w:type="dxa"/>
            <w:tcBorders>
              <w:top w:val="single" w:sz="4" w:space="0" w:color="000000"/>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 xml:space="preserve">estimated </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64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10"/>
        </w:trPr>
        <w:tc>
          <w:tcPr>
            <w:tcW w:w="364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2.7:  Adjustment to the Military Rehabilitation and Compensation Acts Liability Provision - Health and Other Care Services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45"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6,658,600</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1,363,900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1,095,100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1,109,300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1,126,000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6,658,600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1,363,900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1,095,100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1,109,300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1,126,000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2.7</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6,658,600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1,363,900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1,095,100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1,109,300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1,126,000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5"/>
        </w:trPr>
        <w:tc>
          <w:tcPr>
            <w:tcW w:w="3645" w:type="dxa"/>
            <w:tcBorders>
              <w:top w:val="nil"/>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64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45"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(Appropriation Bill </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No. 1 &amp; 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13,198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38,564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28,904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16,716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13,256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645"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services (Appropriation Bill No. 2 &amp; 4)</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5,050</w:t>
            </w:r>
          </w:p>
        </w:tc>
        <w:tc>
          <w:tcPr>
            <w:tcW w:w="91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3,869,099</w:t>
            </w:r>
          </w:p>
        </w:tc>
        <w:tc>
          <w:tcPr>
            <w:tcW w:w="91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4,049,885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4,087,584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4,003,547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4,102,609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645"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(a)</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6,658,600</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1,363,900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1,095,100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1,109,300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1,126,000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10,545,947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5,452,349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5,211,588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5,129,563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5,241,865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(b)</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119,495</w:t>
            </w:r>
          </w:p>
        </w:tc>
        <w:tc>
          <w:tcPr>
            <w:tcW w:w="91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140,425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135,241</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97,657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97,951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45"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(c)</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16,940</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7,801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8,200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7,944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8,068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136,435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148,226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143,441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105,601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106,019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10,682,382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5,600,575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5,355,029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5,235,164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5,347,884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45" w:type="dxa"/>
            <w:tcBorders>
              <w:top w:val="nil"/>
              <w:left w:val="nil"/>
              <w:bottom w:val="single" w:sz="4" w:space="0" w:color="000000"/>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single" w:sz="4" w:space="0" w:color="000000"/>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45"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602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590</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bl>
    <w:p w:rsidR="00811FBF" w:rsidRDefault="00811FBF">
      <w:pPr>
        <w:sectPr w:rsidR="00811FBF" w:rsidSect="001D003E">
          <w:headerReference w:type="even" r:id="rId91"/>
          <w:headerReference w:type="default" r:id="rId92"/>
          <w:footerReference w:type="even" r:id="rId93"/>
          <w:footerReference w:type="default" r:id="rId94"/>
          <w:headerReference w:type="first" r:id="rId95"/>
          <w:footerReference w:type="first" r:id="rId96"/>
          <w:type w:val="continuous"/>
          <w:pgSz w:w="10319" w:h="14572"/>
          <w:pgMar w:top="1304" w:right="1389" w:bottom="1304" w:left="1389" w:header="1021" w:footer="1021" w:gutter="0"/>
          <w:pgBorders>
            <w:top w:val="nil"/>
            <w:left w:val="nil"/>
            <w:bottom w:val="nil"/>
            <w:right w:val="nil"/>
          </w:pgBorders>
          <w:cols w:space="708"/>
          <w:docGrid w:linePitch="360"/>
        </w:sectPr>
      </w:pPr>
    </w:p>
    <w:p w:rsidR="001D003E" w:rsidRDefault="001D003E" w:rsidP="001D003E">
      <w:pPr>
        <w:pStyle w:val="ListParagraph1"/>
        <w:numPr>
          <w:ilvl w:val="0"/>
          <w:numId w:val="4"/>
        </w:numPr>
        <w:spacing w:after="0" w:line="240" w:lineRule="auto"/>
        <w:ind w:right="566"/>
        <w:jc w:val="both"/>
        <w:rPr>
          <w:rFonts w:ascii="Arial" w:hAnsi="Arial" w:cs="Arial"/>
          <w:sz w:val="16"/>
          <w:szCs w:val="16"/>
        </w:rPr>
      </w:pPr>
      <w:r>
        <w:rPr>
          <w:rFonts w:ascii="Arial" w:hAnsi="Arial" w:cs="Arial"/>
          <w:sz w:val="16"/>
          <w:szCs w:val="16"/>
        </w:rPr>
        <w:t>Administered expenses not requiring appropriation in the Budget year are made up of estimated movement in the liability provision for the Military Compensation Scheme.</w:t>
      </w:r>
    </w:p>
    <w:p w:rsidR="001D003E" w:rsidRPr="00521371" w:rsidRDefault="001D003E" w:rsidP="001D003E">
      <w:pPr>
        <w:pStyle w:val="ListParagraph1"/>
        <w:numPr>
          <w:ilvl w:val="0"/>
          <w:numId w:val="4"/>
        </w:numPr>
        <w:spacing w:after="0" w:line="240" w:lineRule="auto"/>
        <w:ind w:right="566"/>
        <w:jc w:val="both"/>
        <w:rPr>
          <w:rFonts w:ascii="Arial" w:hAnsi="Arial" w:cs="Arial"/>
          <w:sz w:val="16"/>
          <w:szCs w:val="16"/>
        </w:rPr>
      </w:pPr>
      <w:r>
        <w:rPr>
          <w:rFonts w:ascii="Arial" w:hAnsi="Arial" w:cs="Arial"/>
          <w:sz w:val="16"/>
          <w:szCs w:val="16"/>
        </w:rPr>
        <w:t xml:space="preserve">Estimated expenses incurred in relation to receipts retained under section 74 of the PGPA Act 2013. </w:t>
      </w:r>
    </w:p>
    <w:p w:rsidR="001D003E" w:rsidRDefault="001D003E" w:rsidP="001D003E">
      <w:pPr>
        <w:pStyle w:val="ListParagraph1"/>
        <w:numPr>
          <w:ilvl w:val="0"/>
          <w:numId w:val="4"/>
        </w:numPr>
        <w:spacing w:after="0" w:line="240" w:lineRule="auto"/>
        <w:ind w:right="566"/>
        <w:jc w:val="both"/>
        <w:rPr>
          <w:rFonts w:ascii="Arial" w:hAnsi="Arial" w:cs="Arial"/>
          <w:sz w:val="16"/>
          <w:szCs w:val="16"/>
        </w:rPr>
        <w:sectPr w:rsidR="001D003E" w:rsidSect="001D003E">
          <w:headerReference w:type="even" r:id="rId97"/>
          <w:headerReference w:type="default" r:id="rId98"/>
          <w:footerReference w:type="even" r:id="rId99"/>
          <w:footerReference w:type="default" r:id="rId100"/>
          <w:headerReference w:type="first" r:id="rId101"/>
          <w:footerReference w:type="first" r:id="rId102"/>
          <w:type w:val="continuous"/>
          <w:pgSz w:w="10319" w:h="14572"/>
          <w:pgMar w:top="1440" w:right="1440" w:bottom="1440" w:left="1440" w:header="1021" w:footer="1021" w:gutter="0"/>
          <w:pgBorders>
            <w:top w:val="nil"/>
            <w:left w:val="nil"/>
            <w:bottom w:val="nil"/>
            <w:right w:val="nil"/>
          </w:pgBorders>
          <w:cols w:space="708"/>
          <w:docGrid w:linePitch="360"/>
        </w:sectPr>
      </w:pPr>
      <w:r>
        <w:rPr>
          <w:rFonts w:ascii="Arial" w:hAnsi="Arial" w:cs="Arial"/>
          <w:sz w:val="16"/>
          <w:szCs w:val="16"/>
        </w:rPr>
        <w:t>Expenses not requiring appropriation in the Budget year are made up of depreciation/amortisation expenses and audit fees.</w:t>
      </w:r>
    </w:p>
    <w:p w:rsidR="001D003E" w:rsidRDefault="001D003E" w:rsidP="001D003E">
      <w:pPr>
        <w:pStyle w:val="TableHeading"/>
        <w:keepLines w:val="0"/>
        <w:pageBreakBefore/>
        <w:pBdr>
          <w:top w:val="nil"/>
          <w:left w:val="nil"/>
          <w:bottom w:val="nil"/>
          <w:right w:val="nil"/>
          <w:between w:val="nil"/>
          <w:bar w:val="nil"/>
        </w:pBdr>
        <w:jc w:val="left"/>
        <w:rPr>
          <w:rFonts w:cs="Times New Roman"/>
          <w:sz w:val="22"/>
          <w:szCs w:val="22"/>
          <w:bdr w:val="nil"/>
        </w:rPr>
      </w:pPr>
      <w:r>
        <w:rPr>
          <w:rFonts w:cs="Times New Roman"/>
          <w:sz w:val="22"/>
          <w:szCs w:val="22"/>
          <w:bdr w:val="nil"/>
        </w:rPr>
        <w:lastRenderedPageBreak/>
        <w:t>Table 2.2.2: Program Components of Outcome 2</w:t>
      </w:r>
    </w:p>
    <w:p w:rsidR="001D003E" w:rsidRPr="00666857" w:rsidRDefault="001D003E" w:rsidP="001D003E">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p w:rsidR="001D003E" w:rsidRDefault="001D003E" w:rsidP="001D003E">
      <w:pPr>
        <w:pStyle w:val="TableHeading"/>
        <w:keepLines w:val="0"/>
        <w:pBdr>
          <w:top w:val="nil"/>
          <w:left w:val="nil"/>
          <w:bottom w:val="nil"/>
          <w:right w:val="nil"/>
          <w:between w:val="nil"/>
          <w:bar w:val="nil"/>
        </w:pBdr>
        <w:jc w:val="left"/>
        <w:rPr>
          <w:rFonts w:cs="Times New Roman"/>
          <w:bdr w:val="nil"/>
        </w:rPr>
      </w:pPr>
      <w:r>
        <w:rPr>
          <w:rFonts w:cs="Times New Roman"/>
          <w:sz w:val="22"/>
          <w:szCs w:val="22"/>
          <w:bdr w:val="nil"/>
        </w:rPr>
        <w:t>Program 2.1: General Medical Consultations and Services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GP consultations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113,000</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108,187</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105,085</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102,999</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101,709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Specialist consultations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112,800</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111,472</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107,975</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105,512</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103,903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Medical services</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405,502</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402,224</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386,956</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370,840</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372,852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Dental</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70,472</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65,588</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84,746</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83,168</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84,499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701,774</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687,471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684,762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662,519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662,963</w:t>
            </w:r>
          </w:p>
        </w:tc>
      </w:tr>
    </w:tbl>
    <w:p w:rsidR="00811FBF" w:rsidRDefault="00811FBF">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p w:rsidR="001D003E" w:rsidRPr="002B2EBB" w:rsidRDefault="001D003E" w:rsidP="001D003E">
      <w:pPr>
        <w:pStyle w:val="Heading4"/>
        <w:keepLines w:val="0"/>
        <w:pBdr>
          <w:top w:val="nil"/>
          <w:left w:val="nil"/>
          <w:bottom w:val="nil"/>
          <w:right w:val="nil"/>
          <w:between w:val="nil"/>
          <w:bar w:val="nil"/>
        </w:pBdr>
        <w:spacing w:after="0"/>
        <w:rPr>
          <w:rStyle w:val="TableHeadingChar"/>
          <w:rFonts w:cs="Times New Roman"/>
          <w:b/>
          <w:bdr w:val="nil"/>
        </w:rPr>
      </w:pPr>
      <w:r>
        <w:rPr>
          <w:bdr w:val="nil"/>
        </w:rPr>
        <w:t>Program 2.2: Veterans' Hospital Services</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Public hospitals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350,820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422,062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406,082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394,053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386,155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Private hospitals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655,421</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652,732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628,761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640,047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651,577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Nursing homes (Prisoners of War)</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9,066</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9,267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8,944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8,337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7,567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1,015,307</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1,084,061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1,043,787</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1,042,437</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1,045,299</w:t>
            </w:r>
          </w:p>
        </w:tc>
      </w:tr>
    </w:tbl>
    <w:p w:rsidR="00811FBF" w:rsidRDefault="00811FBF">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p w:rsidR="001D003E" w:rsidRDefault="001D003E" w:rsidP="001D003E">
      <w:pPr>
        <w:pStyle w:val="Heading4"/>
        <w:keepLines w:val="0"/>
        <w:pBdr>
          <w:top w:val="nil"/>
          <w:left w:val="nil"/>
          <w:bottom w:val="nil"/>
          <w:right w:val="nil"/>
          <w:between w:val="nil"/>
          <w:bar w:val="nil"/>
        </w:pBdr>
        <w:spacing w:after="0"/>
        <w:rPr>
          <w:bdr w:val="nil"/>
        </w:rPr>
      </w:pPr>
      <w:r>
        <w:rPr>
          <w:bdr w:val="nil"/>
        </w:rPr>
        <w:t>Program 2.3: Veterans' Pharmaceuticals Benefits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0"/>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Pharmaceutical services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313,522</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328,247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329,502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324,235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326,428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313,522</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328,247</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329,502</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324,235</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326,428</w:t>
            </w:r>
          </w:p>
        </w:tc>
      </w:tr>
    </w:tbl>
    <w:p w:rsidR="001D003E" w:rsidRPr="00BA4E90" w:rsidRDefault="001D003E" w:rsidP="001D003E">
      <w:pPr>
        <w:pStyle w:val="Heading4"/>
        <w:keepLines w:val="0"/>
        <w:pageBreakBefore/>
        <w:pBdr>
          <w:top w:val="nil"/>
          <w:left w:val="nil"/>
          <w:bottom w:val="nil"/>
          <w:right w:val="nil"/>
          <w:between w:val="nil"/>
          <w:bar w:val="nil"/>
        </w:pBdr>
        <w:spacing w:after="0"/>
        <w:rPr>
          <w:bdr w:val="nil"/>
        </w:rPr>
      </w:pPr>
      <w:r>
        <w:rPr>
          <w:bdr w:val="nil"/>
        </w:rPr>
        <w:lastRenderedPageBreak/>
        <w:t>Program 2.4: Veterans' Community Care and Support</w:t>
      </w:r>
    </w:p>
    <w:tbl>
      <w:tblPr>
        <w:tblStyle w:val="CDMRange2"/>
        <w:tblW w:w="8250" w:type="dxa"/>
        <w:tblLayout w:type="fixed"/>
        <w:tblLook w:val="0600" w:firstRow="0" w:lastRow="0" w:firstColumn="0" w:lastColumn="0" w:noHBand="1" w:noVBand="1"/>
      </w:tblPr>
      <w:tblGrid>
        <w:gridCol w:w="3225"/>
        <w:gridCol w:w="1005"/>
        <w:gridCol w:w="1005"/>
        <w:gridCol w:w="1005"/>
        <w:gridCol w:w="1005"/>
        <w:gridCol w:w="100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Grants-In-Aid</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Veteran Wellbeing Grants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13,501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3,567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3,635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Veteran and Community Grants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2,407</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2,505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Supporting Younger Veterans Grants Program</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0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1,022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Veteran Wellbeing Centres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3,610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13,910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5,944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3,032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Psychiatry Training Program (PTP)</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2,306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1,574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1,605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services (Appropriation Bill </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No. 2 &amp; 4)</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Specific purpose payment - Veteran Wellbeing Centre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5,050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Residential care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701,873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635,321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570,994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480,496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507,987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Community nursing</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116,547</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154,953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154,909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156,940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159,542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Veterans' Home Care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86,962</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105,559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108,382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110,099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112,267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In-home respite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8,510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9,888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9,620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9,823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10,043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Carer and volunteer support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529</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1,395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1,397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1,399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Public Governance, Performance and Accountability Act 2013 (PGPA)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Section 77 Repayments</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926,633</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937,009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866,471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767,111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796,065</w:t>
            </w:r>
          </w:p>
        </w:tc>
      </w:tr>
    </w:tbl>
    <w:p w:rsidR="00811FBF" w:rsidRDefault="00811FBF">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p w:rsidR="001D003E" w:rsidRPr="007F14A2" w:rsidRDefault="001D003E" w:rsidP="001D003E">
      <w:pPr>
        <w:pStyle w:val="Heading4"/>
        <w:keepLines w:val="0"/>
        <w:pageBreakBefore/>
        <w:pBdr>
          <w:top w:val="nil"/>
          <w:left w:val="nil"/>
          <w:bottom w:val="nil"/>
          <w:right w:val="nil"/>
          <w:between w:val="nil"/>
          <w:bar w:val="nil"/>
        </w:pBdr>
        <w:spacing w:after="0"/>
        <w:rPr>
          <w:bdr w:val="nil"/>
        </w:rPr>
      </w:pPr>
      <w:r>
        <w:rPr>
          <w:bdr w:val="nil"/>
        </w:rPr>
        <w:lastRenderedPageBreak/>
        <w:t>Program 2.5: Veterans' Counselling and Other Health Services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5"/>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(Appropriation Bill No. 1 &amp; 3)</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Counselling support &amp; children's assistance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3,070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2,314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1,413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1,938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1,891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Compensation and legal expenses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Veterans' Vocational Rehabilitation Scheme </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Health &amp; medical research</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2,479</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2,880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2,914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2,967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Wellbeing and Support Program (VEA Component)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177</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 (VEA)</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Travel for treatment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126,394</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163,925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188,536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190,843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193,897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Subsistence</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6,325</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7,524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7,376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7,579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7,737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Veterans and veterans' families counselling services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92,532</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111,446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115,303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121,401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123,371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Non-institutional care - services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219,504</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238,000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256,253</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274,409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294,233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Non-institutional care - products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48,450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48,621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46,425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47,611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48,609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Rehabilitation appliances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149,193</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145,585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149,454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146,795</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149,321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Health treatment for British Commonwealth and Allied veterans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4,567</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5,560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5,506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5,466</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5,332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5"/>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Australian Participants in British Nuclear Tests (Treatment) Act 2006</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Nuclear test health care payments</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7,632</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11,439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11,698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11,968</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12,159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5"/>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Act (Special Access) 2019</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Health Care for Southeast Asia Treaty Organisation personnel</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1,467</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4,508</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4,421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662,100</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742,499</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789,902</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816,016</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844,622</w:t>
            </w:r>
          </w:p>
        </w:tc>
      </w:tr>
    </w:tbl>
    <w:p w:rsidR="00811FBF" w:rsidRDefault="00811FBF">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p w:rsidR="001D003E" w:rsidRPr="00B15EDA" w:rsidRDefault="001D003E" w:rsidP="001D003E">
      <w:pPr>
        <w:pStyle w:val="Heading4"/>
        <w:keepLines w:val="0"/>
        <w:pageBreakBefore/>
        <w:pBdr>
          <w:top w:val="nil"/>
          <w:left w:val="nil"/>
          <w:bottom w:val="nil"/>
          <w:right w:val="nil"/>
          <w:between w:val="nil"/>
          <w:bar w:val="nil"/>
        </w:pBdr>
        <w:spacing w:after="0"/>
        <w:rPr>
          <w:bdr w:val="nil"/>
        </w:rPr>
      </w:pPr>
      <w:r>
        <w:rPr>
          <w:bdr w:val="nil"/>
        </w:rPr>
        <w:lastRenderedPageBreak/>
        <w:t>Program 2.6: Military Rehabilitation and Compensation Acts - Health and Other Care Services</w:t>
      </w:r>
    </w:p>
    <w:tbl>
      <w:tblPr>
        <w:tblStyle w:val="CDMRange2"/>
        <w:tblW w:w="8025" w:type="dxa"/>
        <w:tblLayout w:type="fixed"/>
        <w:tblLook w:val="0600" w:firstRow="0" w:lastRow="0" w:firstColumn="0" w:lastColumn="0" w:noHBand="1" w:noVBand="1"/>
      </w:tblPr>
      <w:tblGrid>
        <w:gridCol w:w="3225"/>
        <w:gridCol w:w="900"/>
        <w:gridCol w:w="975"/>
        <w:gridCol w:w="975"/>
        <w:gridCol w:w="975"/>
        <w:gridCol w:w="975"/>
      </w:tblGrid>
      <w:tr w:rsidR="00811FBF" w:rsidTr="009E58DC">
        <w:trPr>
          <w:trHeight w:hRule="exact" w:val="19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FF0000"/>
                <w:sz w:val="16"/>
              </w:rPr>
            </w:pP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FF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FF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FF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22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00" w:type="dxa"/>
            <w:tcBorders>
              <w:top w:val="single" w:sz="4" w:space="0" w:color="000000"/>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5"/>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Ordinary annual services (Appropriation Bill No.1 &amp;3)</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Wellbeing and Support Program (DRCA Component)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Wellbeing and Support Program (MRCA Component)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2,318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Compensation(Defence-related Claims) Act 1988</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Medical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9,461</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29,509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30,627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31,114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Rehabilitation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11,715</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13,120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13,133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13,159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13,198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18,289</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20,685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23,708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27,199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31,235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5"/>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Medical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157,006</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174,000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235,773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231,363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235,064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Rehabilitation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54,420</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63,107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68,706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66,754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81,343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services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17,120</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22,465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28,425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35,999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45,636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0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268,011</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309,162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402,064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407,945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440,488</w:t>
            </w:r>
          </w:p>
        </w:tc>
      </w:tr>
    </w:tbl>
    <w:p w:rsidR="00811FBF" w:rsidRDefault="001D003E">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1D003E" w:rsidRDefault="001D003E" w:rsidP="001D003E">
      <w:pPr>
        <w:pStyle w:val="Heading4"/>
        <w:keepLines w:val="0"/>
        <w:pBdr>
          <w:top w:val="nil"/>
          <w:left w:val="nil"/>
          <w:bottom w:val="nil"/>
          <w:right w:val="nil"/>
          <w:between w:val="nil"/>
          <w:bar w:val="nil"/>
        </w:pBdr>
        <w:spacing w:after="0"/>
        <w:rPr>
          <w:bdr w:val="nil"/>
        </w:rPr>
      </w:pPr>
      <w:r>
        <w:rPr>
          <w:bdr w:val="nil"/>
        </w:rPr>
        <w:t>Program 2.7: Adjustment to the Military Rehabilitation and Compensation Acts Liability Provision - Health and Other Care Services</w:t>
      </w:r>
    </w:p>
    <w:tbl>
      <w:tblPr>
        <w:tblStyle w:val="CDMRange1"/>
        <w:tblW w:w="8250" w:type="dxa"/>
        <w:tblLayout w:type="fixed"/>
        <w:tblLook w:val="0600" w:firstRow="0" w:lastRow="0" w:firstColumn="0" w:lastColumn="0" w:noHBand="1" w:noVBand="1"/>
      </w:tblPr>
      <w:tblGrid>
        <w:gridCol w:w="3225"/>
        <w:gridCol w:w="1005"/>
        <w:gridCol w:w="1005"/>
        <w:gridCol w:w="1005"/>
        <w:gridCol w:w="1005"/>
        <w:gridCol w:w="100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0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6,658,600</w:t>
            </w: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1,363,900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1,095,100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1,109,300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1,126,000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6,658,600</w:t>
            </w: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1,363,900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1,095,100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1,109,300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1,126,000</w:t>
            </w:r>
          </w:p>
        </w:tc>
      </w:tr>
    </w:tbl>
    <w:p w:rsidR="001D003E" w:rsidRDefault="005802F4" w:rsidP="001D003E">
      <w:pPr>
        <w:pStyle w:val="Heading4"/>
        <w:keepLines w:val="0"/>
        <w:pageBreakBefore/>
        <w:pBdr>
          <w:top w:val="nil"/>
          <w:left w:val="nil"/>
          <w:bottom w:val="nil"/>
          <w:right w:val="nil"/>
          <w:between w:val="nil"/>
          <w:bar w:val="nil"/>
        </w:pBdr>
        <w:spacing w:before="240" w:after="240"/>
        <w:rPr>
          <w:bdr w:val="nil"/>
        </w:rPr>
      </w:pPr>
      <w:r w:rsidRPr="00933E9B">
        <w:rPr>
          <w:rFonts w:eastAsia="Calibri" w:cs="Arial"/>
          <w:noProof/>
          <w:bdr w:val="nil"/>
        </w:rPr>
        <w:lastRenderedPageBreak/>
        <mc:AlternateContent>
          <mc:Choice Requires="wps">
            <w:drawing>
              <wp:anchor distT="45720" distB="45720" distL="114300" distR="114300" simplePos="0" relativeHeight="251658752" behindDoc="0" locked="0" layoutInCell="1" allowOverlap="1" wp14:anchorId="7C363187" wp14:editId="4616FE81">
                <wp:simplePos x="0" y="0"/>
                <wp:positionH relativeFrom="column">
                  <wp:posOffset>0</wp:posOffset>
                </wp:positionH>
                <wp:positionV relativeFrom="paragraph">
                  <wp:posOffset>570865</wp:posOffset>
                </wp:positionV>
                <wp:extent cx="4719320" cy="1099820"/>
                <wp:effectExtent l="0" t="0" r="24130"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1099820"/>
                        </a:xfrm>
                        <a:prstGeom prst="rect">
                          <a:avLst/>
                        </a:prstGeom>
                        <a:solidFill>
                          <a:sysClr val="window" lastClr="FFFFFF">
                            <a:lumMod val="85000"/>
                          </a:sysClr>
                        </a:solidFill>
                        <a:ln w="9525">
                          <a:solidFill>
                            <a:srgbClr val="000000"/>
                          </a:solidFill>
                          <a:miter lim="800000"/>
                          <a:headEnd/>
                          <a:tailEnd/>
                        </a:ln>
                      </wps:spPr>
                      <wps:txbx>
                        <w:txbxContent>
                          <w:p w:rsidR="009E58DC" w:rsidRDefault="009E58DC" w:rsidP="005802F4">
                            <w:pPr>
                              <w:keepLines w:val="0"/>
                              <w:pBdr>
                                <w:top w:val="nil"/>
                                <w:left w:val="nil"/>
                                <w:bottom w:val="nil"/>
                                <w:right w:val="nil"/>
                                <w:between w:val="nil"/>
                                <w:bar w:val="nil"/>
                              </w:pBdr>
                              <w:spacing w:before="120" w:after="120" w:line="240" w:lineRule="auto"/>
                              <w:jc w:val="left"/>
                              <w:rPr>
                                <w:rFonts w:ascii="Arial" w:eastAsia="Calibri" w:hAnsi="Arial" w:cs="Arial"/>
                                <w:b/>
                                <w:bdr w:val="nil"/>
                              </w:rPr>
                            </w:pPr>
                            <w:r>
                              <w:rPr>
                                <w:rFonts w:ascii="Arial" w:eastAsia="Calibri" w:hAnsi="Arial" w:cs="Arial"/>
                                <w:b/>
                                <w:bdr w:val="nil"/>
                              </w:rPr>
                              <w:t>Outcome 3: Strategy</w:t>
                            </w:r>
                          </w:p>
                          <w:p w:rsidR="009E58DC" w:rsidRPr="00025684" w:rsidRDefault="009E58DC" w:rsidP="005802F4">
                            <w:pPr>
                              <w:keepLines w:val="0"/>
                              <w:pBdr>
                                <w:top w:val="nil"/>
                                <w:left w:val="nil"/>
                                <w:bottom w:val="nil"/>
                                <w:right w:val="nil"/>
                                <w:between w:val="nil"/>
                                <w:bar w:val="nil"/>
                              </w:pBdr>
                              <w:spacing w:before="120" w:after="120" w:line="240" w:lineRule="auto"/>
                              <w:jc w:val="left"/>
                              <w:rPr>
                                <w:rFonts w:cs="Arial"/>
                                <w:bdr w:val="nil"/>
                              </w:rPr>
                            </w:pPr>
                            <w:r>
                              <w:rPr>
                                <w:rFonts w:cs="Arial"/>
                                <w:bdr w:val="nil"/>
                              </w:rPr>
                              <w:t>Acknowledgement and commemoration of those who served Australia and its allies in wars, conflicts and peace operations through promoting recognition of service and sacrifice, preservation of Australia’s wartime heritage, and official commemorations.</w:t>
                            </w:r>
                          </w:p>
                          <w:p w:rsidR="009E58DC" w:rsidRDefault="009E58DC" w:rsidP="005802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63187" id="_x0000_s1028" type="#_x0000_t202" style="position:absolute;margin-left:0;margin-top:44.95pt;width:371.6pt;height:86.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" fillcolor="#d9d9d9">
                <v:textbox>
                  <w:txbxContent>
                    <w:p w:rsidR="009E58DC" w:rsidRDefault="009E58DC" w:rsidP="005802F4">
                      <w:pPr>
                        <w:keepLines w:val="0"/>
                        <w:pBdr>
                          <w:top w:val="nil"/>
                          <w:left w:val="nil"/>
                          <w:bottom w:val="nil"/>
                          <w:right w:val="nil"/>
                          <w:between w:val="nil"/>
                          <w:bar w:val="nil"/>
                        </w:pBdr>
                        <w:spacing w:before="120" w:after="120" w:line="240" w:lineRule="auto"/>
                        <w:jc w:val="left"/>
                        <w:rPr>
                          <w:rFonts w:ascii="Arial" w:eastAsia="Calibri" w:hAnsi="Arial" w:cs="Arial"/>
                          <w:b/>
                          <w:bdr w:val="nil"/>
                        </w:rPr>
                      </w:pPr>
                      <w:r>
                        <w:rPr>
                          <w:rFonts w:ascii="Arial" w:eastAsia="Calibri" w:hAnsi="Arial" w:cs="Arial"/>
                          <w:b/>
                          <w:bdr w:val="nil"/>
                        </w:rPr>
                        <w:t>Outcome 3: Strategy</w:t>
                      </w:r>
                    </w:p>
                    <w:p w:rsidR="009E58DC" w:rsidRPr="00025684" w:rsidRDefault="009E58DC" w:rsidP="005802F4">
                      <w:pPr>
                        <w:keepLines w:val="0"/>
                        <w:pBdr>
                          <w:top w:val="nil"/>
                          <w:left w:val="nil"/>
                          <w:bottom w:val="nil"/>
                          <w:right w:val="nil"/>
                          <w:between w:val="nil"/>
                          <w:bar w:val="nil"/>
                        </w:pBdr>
                        <w:spacing w:before="120" w:after="120" w:line="240" w:lineRule="auto"/>
                        <w:jc w:val="left"/>
                        <w:rPr>
                          <w:rFonts w:cs="Arial"/>
                          <w:bdr w:val="nil"/>
                        </w:rPr>
                      </w:pPr>
                      <w:r>
                        <w:rPr>
                          <w:rFonts w:cs="Arial"/>
                          <w:bdr w:val="nil"/>
                        </w:rPr>
                        <w:t>Acknowledgement and commemoration of those who served Australia and its allies in wars, conflicts and peace operations through promoting recognition of service and sacrifice, preservation of Australia’s wartime heritage, and official commemorations.</w:t>
                      </w:r>
                    </w:p>
                    <w:p w:rsidR="009E58DC" w:rsidRDefault="009E58DC" w:rsidP="005802F4"/>
                  </w:txbxContent>
                </v:textbox>
                <w10:wrap type="square"/>
              </v:shape>
            </w:pict>
          </mc:Fallback>
        </mc:AlternateContent>
      </w:r>
      <w:r w:rsidR="001D003E">
        <w:rPr>
          <w:bdr w:val="nil"/>
        </w:rPr>
        <w:t>OUTCOME 3</w:t>
      </w:r>
    </w:p>
    <w:p w:rsidR="005802F4" w:rsidRDefault="005802F4" w:rsidP="001D003E">
      <w:pPr>
        <w:keepLines w:val="0"/>
        <w:pBdr>
          <w:top w:val="nil"/>
          <w:left w:val="nil"/>
          <w:bottom w:val="nil"/>
          <w:right w:val="nil"/>
          <w:between w:val="nil"/>
          <w:bar w:val="nil"/>
        </w:pBdr>
        <w:spacing w:before="120" w:after="120" w:line="240" w:lineRule="auto"/>
        <w:jc w:val="left"/>
        <w:rPr>
          <w:rFonts w:ascii="Arial" w:hAnsi="Arial" w:cs="Arial"/>
          <w:b/>
          <w:bdr w:val="nil"/>
        </w:rPr>
      </w:pPr>
    </w:p>
    <w:p w:rsidR="005802F4" w:rsidRDefault="005802F4" w:rsidP="001D003E">
      <w:pPr>
        <w:keepLines w:val="0"/>
        <w:pBdr>
          <w:top w:val="nil"/>
          <w:left w:val="nil"/>
          <w:bottom w:val="nil"/>
          <w:right w:val="nil"/>
          <w:between w:val="nil"/>
          <w:bar w:val="nil"/>
        </w:pBdr>
        <w:spacing w:before="120" w:after="120" w:line="240" w:lineRule="auto"/>
        <w:jc w:val="left"/>
        <w:rPr>
          <w:rFonts w:ascii="Arial" w:hAnsi="Arial" w:cs="Arial"/>
          <w:b/>
          <w:bdr w:val="nil"/>
        </w:rPr>
      </w:pPr>
      <w:r>
        <w:rPr>
          <w:rFonts w:ascii="Arial" w:hAnsi="Arial" w:cs="Arial"/>
          <w:b/>
          <w:bdr w:val="nil"/>
        </w:rPr>
        <w:t>Budgeted Expenses of Outcome 3</w:t>
      </w:r>
    </w:p>
    <w:p w:rsidR="005802F4" w:rsidRPr="005802F4" w:rsidRDefault="005802F4" w:rsidP="001D003E">
      <w:pPr>
        <w:keepLines w:val="0"/>
        <w:pBdr>
          <w:top w:val="nil"/>
          <w:left w:val="nil"/>
          <w:bottom w:val="nil"/>
          <w:right w:val="nil"/>
          <w:between w:val="nil"/>
          <w:bar w:val="nil"/>
        </w:pBdr>
        <w:spacing w:before="120" w:after="120" w:line="240" w:lineRule="auto"/>
        <w:jc w:val="left"/>
        <w:rPr>
          <w:rFonts w:ascii="Arial" w:hAnsi="Arial" w:cs="Arial"/>
          <w:bdr w:val="nil"/>
        </w:rPr>
      </w:pPr>
      <w:r>
        <w:rPr>
          <w:rFonts w:ascii="Arial" w:hAnsi="Arial" w:cs="Arial"/>
          <w:bdr w:val="nil"/>
        </w:rPr>
        <w:t xml:space="preserve">This table shows how much the entity intends to spend (on an accrual basis) on achieving the outcome, broken down by program, as well as by Administered and Departmental funding sources. </w:t>
      </w:r>
    </w:p>
    <w:p w:rsidR="005802F4" w:rsidRDefault="005802F4" w:rsidP="001D003E">
      <w:pPr>
        <w:keepLines w:val="0"/>
        <w:pBdr>
          <w:top w:val="nil"/>
          <w:left w:val="nil"/>
          <w:bottom w:val="nil"/>
          <w:right w:val="nil"/>
          <w:between w:val="nil"/>
          <w:bar w:val="nil"/>
        </w:pBdr>
        <w:spacing w:before="120" w:after="120" w:line="240" w:lineRule="auto"/>
        <w:jc w:val="left"/>
        <w:rPr>
          <w:rFonts w:ascii="Arial" w:hAnsi="Arial" w:cs="Arial"/>
          <w:b/>
          <w:bdr w:val="nil"/>
        </w:rPr>
      </w:pPr>
    </w:p>
    <w:p w:rsidR="001D003E" w:rsidRPr="000A6B2C" w:rsidRDefault="001D003E" w:rsidP="001D003E">
      <w:pPr>
        <w:pStyle w:val="TableHeading"/>
        <w:keepLines w:val="0"/>
        <w:pBdr>
          <w:top w:val="nil"/>
          <w:left w:val="nil"/>
          <w:bottom w:val="nil"/>
          <w:right w:val="nil"/>
          <w:between w:val="nil"/>
          <w:bar w:val="nil"/>
        </w:pBdr>
        <w:jc w:val="left"/>
        <w:rPr>
          <w:rFonts w:cs="Times New Roman"/>
          <w:bdr w:val="nil"/>
        </w:rPr>
      </w:pPr>
      <w:r>
        <w:rPr>
          <w:rFonts w:cs="Times New Roman"/>
          <w:bdr w:val="nil"/>
        </w:rPr>
        <w:t>Table 2.3.1: Budgeted Expenses for Outcome 3</w:t>
      </w:r>
    </w:p>
    <w:tbl>
      <w:tblPr>
        <w:tblStyle w:val="CDMRange2"/>
        <w:tblW w:w="7440" w:type="dxa"/>
        <w:tblLayout w:type="fixed"/>
        <w:tblLook w:val="0600" w:firstRow="0" w:lastRow="0" w:firstColumn="0" w:lastColumn="0" w:noHBand="1" w:noVBand="1"/>
      </w:tblPr>
      <w:tblGrid>
        <w:gridCol w:w="2940"/>
        <w:gridCol w:w="720"/>
        <w:gridCol w:w="945"/>
        <w:gridCol w:w="945"/>
        <w:gridCol w:w="945"/>
        <w:gridCol w:w="945"/>
      </w:tblGrid>
      <w:tr w:rsidR="00811FBF" w:rsidTr="009E58DC">
        <w:trPr>
          <w:trHeight w:hRule="exact" w:val="225"/>
          <w:tblHeader/>
        </w:trPr>
        <w:tc>
          <w:tcPr>
            <w:tcW w:w="2940" w:type="dxa"/>
            <w:tcBorders>
              <w:top w:val="single" w:sz="4" w:space="0" w:color="000000"/>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72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7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7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7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7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3.1:  War Graves</w:t>
            </w:r>
          </w:p>
        </w:tc>
        <w:tc>
          <w:tcPr>
            <w:tcW w:w="7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40"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7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19,498</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22,963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23,720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24,294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24,807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720"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53</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2940"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7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3,760</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3.1</w:t>
            </w:r>
          </w:p>
        </w:tc>
        <w:tc>
          <w:tcPr>
            <w:tcW w:w="72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23,311</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22,983</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23,740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24,329</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24,852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2940" w:type="dxa"/>
            <w:tcBorders>
              <w:top w:val="nil"/>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7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Program 3.2:  Commemorative Activities</w:t>
            </w:r>
          </w:p>
        </w:tc>
        <w:tc>
          <w:tcPr>
            <w:tcW w:w="7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7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40"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7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7,227</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26,370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26,849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20,687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16,192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3.2</w:t>
            </w:r>
          </w:p>
        </w:tc>
        <w:tc>
          <w:tcPr>
            <w:tcW w:w="7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7,227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26,370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26,849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20,687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16,192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tcBorders>
              <w:top w:val="single" w:sz="4" w:space="0" w:color="000000"/>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720" w:type="dxa"/>
            <w:tcBorders>
              <w:top w:val="single" w:sz="4" w:space="0" w:color="000000"/>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Continued on next page</w:t>
            </w:r>
          </w:p>
        </w:tc>
      </w:tr>
    </w:tbl>
    <w:p w:rsidR="001D003E" w:rsidRPr="00FE549C" w:rsidRDefault="001D003E" w:rsidP="001D003E">
      <w:pPr>
        <w:pStyle w:val="TableHeadingcontinued"/>
        <w:keepLines w:val="0"/>
        <w:pageBreakBefore/>
        <w:pBdr>
          <w:top w:val="nil"/>
          <w:left w:val="nil"/>
          <w:bottom w:val="nil"/>
          <w:right w:val="nil"/>
          <w:between w:val="nil"/>
          <w:bar w:val="nil"/>
        </w:pBdr>
        <w:jc w:val="left"/>
        <w:rPr>
          <w:rFonts w:ascii="Arial" w:hAnsi="Arial" w:cs="Arial"/>
          <w:bdr w:val="nil"/>
        </w:rPr>
      </w:pPr>
      <w:r w:rsidRPr="00FE549C">
        <w:rPr>
          <w:rFonts w:ascii="Arial" w:hAnsi="Arial" w:cs="Arial"/>
          <w:bdr w:val="nil"/>
        </w:rPr>
        <w:lastRenderedPageBreak/>
        <w:t>Table 2.3.1</w:t>
      </w:r>
      <w:r>
        <w:rPr>
          <w:rFonts w:ascii="Arial" w:hAnsi="Arial" w:cs="Arial"/>
          <w:bdr w:val="nil"/>
        </w:rPr>
        <w:t>: Budgeted Expenses and R</w:t>
      </w:r>
      <w:r w:rsidRPr="00FE549C">
        <w:rPr>
          <w:rFonts w:ascii="Arial" w:hAnsi="Arial" w:cs="Arial"/>
          <w:bdr w:val="nil"/>
        </w:rPr>
        <w:t xml:space="preserve">esources for Outcome </w:t>
      </w:r>
      <w:r>
        <w:rPr>
          <w:rFonts w:ascii="Arial" w:hAnsi="Arial" w:cs="Arial"/>
          <w:bdr w:val="nil"/>
        </w:rPr>
        <w:t>3</w:t>
      </w:r>
      <w:r w:rsidRPr="00FE549C">
        <w:rPr>
          <w:rFonts w:ascii="Arial" w:hAnsi="Arial" w:cs="Arial"/>
          <w:bdr w:val="nil"/>
        </w:rPr>
        <w:t xml:space="preserve"> (continued)</w:t>
      </w:r>
    </w:p>
    <w:tbl>
      <w:tblPr>
        <w:tblStyle w:val="CDMRange1"/>
        <w:tblW w:w="8085" w:type="dxa"/>
        <w:tblLayout w:type="fixed"/>
        <w:tblLook w:val="0600" w:firstRow="0" w:lastRow="0" w:firstColumn="0" w:lastColumn="0" w:noHBand="1" w:noVBand="1"/>
      </w:tblPr>
      <w:tblGrid>
        <w:gridCol w:w="3360"/>
        <w:gridCol w:w="945"/>
        <w:gridCol w:w="945"/>
        <w:gridCol w:w="945"/>
        <w:gridCol w:w="945"/>
        <w:gridCol w:w="945"/>
      </w:tblGrid>
      <w:tr w:rsidR="00811FBF" w:rsidTr="009E58DC">
        <w:trPr>
          <w:trHeight w:hRule="exact" w:val="225"/>
          <w:tblHeader/>
        </w:trPr>
        <w:tc>
          <w:tcPr>
            <w:tcW w:w="3360" w:type="dxa"/>
            <w:vMerge w:val="restart"/>
            <w:tcBorders>
              <w:top w:val="single" w:sz="4" w:space="0" w:color="000000"/>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rsidTr="009E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blHeader/>
        </w:trPr>
        <w:tc>
          <w:tcPr>
            <w:tcW w:w="3360" w:type="dxa"/>
            <w:vMerge/>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rsidTr="009E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blHeader/>
        </w:trPr>
        <w:tc>
          <w:tcPr>
            <w:tcW w:w="3360" w:type="dxa"/>
            <w:vMerge/>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rsidTr="009E5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blHeader/>
        </w:trPr>
        <w:tc>
          <w:tcPr>
            <w:tcW w:w="3360" w:type="dxa"/>
            <w:vMerge/>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Outcome 3 Totals by appropriation type</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360" w:type="dxa"/>
            <w:tcBorders>
              <w:top w:val="nil"/>
              <w:left w:val="nil"/>
              <w:bottom w:val="nil"/>
              <w:right w:val="nil"/>
              <w:tl2br w:val="nil"/>
              <w:tr2bl w:val="nil"/>
            </w:tcBorders>
            <w:shd w:val="clear" w:color="auto" w:fill="auto"/>
            <w:tcMar>
              <w:left w:w="40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27,225</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49,333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50,569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44,981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40,999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nil"/>
              <w:right w:val="nil"/>
              <w:tl2br w:val="nil"/>
              <w:tr2bl w:val="nil"/>
            </w:tcBorders>
            <w:shd w:val="clear" w:color="auto" w:fill="auto"/>
            <w:noWrap/>
            <w:tcMar>
              <w:left w:w="40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53</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360" w:type="dxa"/>
            <w:tcBorders>
              <w:top w:val="nil"/>
              <w:left w:val="nil"/>
              <w:bottom w:val="nil"/>
              <w:right w:val="nil"/>
              <w:tl2br w:val="nil"/>
              <w:tr2bl w:val="nil"/>
            </w:tcBorders>
            <w:shd w:val="clear" w:color="auto" w:fill="auto"/>
            <w:tcMar>
              <w:left w:w="40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3,760</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31,038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49,353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50,589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45,016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41,044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nil"/>
              <w:right w:val="nil"/>
              <w:tl2br w:val="nil"/>
              <w:tr2bl w:val="nil"/>
            </w:tcBorders>
            <w:shd w:val="clear" w:color="auto" w:fill="auto"/>
            <w:noWrap/>
            <w:tcMar>
              <w:left w:w="40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19,534</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28,911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28,462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20,361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20,166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360" w:type="dxa"/>
            <w:tcBorders>
              <w:top w:val="nil"/>
              <w:left w:val="nil"/>
              <w:bottom w:val="nil"/>
              <w:right w:val="nil"/>
              <w:tl2br w:val="nil"/>
              <w:tr2bl w:val="nil"/>
            </w:tcBorders>
            <w:shd w:val="clear" w:color="auto" w:fill="auto"/>
            <w:tcMar>
              <w:left w:w="40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2,769</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1,606</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1,688</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1,636</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1,661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22,303</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30,517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30,150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21,997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21,827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53,341</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79,870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80,739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67,013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62,871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single" w:sz="4" w:space="0" w:color="000000"/>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85</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116</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bl>
    <w:p w:rsidR="001D003E" w:rsidRPr="008617DF" w:rsidRDefault="001D003E" w:rsidP="001D003E">
      <w:pPr>
        <w:pStyle w:val="ListParagraph2"/>
        <w:numPr>
          <w:ilvl w:val="0"/>
          <w:numId w:val="5"/>
        </w:numPr>
        <w:spacing w:after="0" w:line="240" w:lineRule="auto"/>
        <w:ind w:right="566"/>
        <w:jc w:val="both"/>
        <w:rPr>
          <w:rFonts w:ascii="Arial" w:hAnsi="Arial" w:cs="Arial"/>
          <w:sz w:val="16"/>
          <w:szCs w:val="16"/>
        </w:rPr>
      </w:pPr>
      <w:r>
        <w:rPr>
          <w:rFonts w:ascii="Arial" w:hAnsi="Arial" w:cs="Arial"/>
          <w:sz w:val="16"/>
          <w:szCs w:val="16"/>
        </w:rPr>
        <w:t xml:space="preserve">Estimated expenses incurred in relation to receipts retained under section 74 of the PGPA Act 2013. </w:t>
      </w:r>
    </w:p>
    <w:p w:rsidR="001D003E" w:rsidRPr="00E51F61" w:rsidRDefault="001D003E" w:rsidP="001D003E">
      <w:pPr>
        <w:pStyle w:val="ListParagraph2"/>
        <w:numPr>
          <w:ilvl w:val="0"/>
          <w:numId w:val="5"/>
        </w:numPr>
        <w:spacing w:after="0" w:line="240" w:lineRule="auto"/>
        <w:ind w:right="566"/>
        <w:jc w:val="both"/>
        <w:rPr>
          <w:rFonts w:ascii="Arial" w:hAnsi="Arial" w:cs="Arial"/>
          <w:sz w:val="16"/>
          <w:szCs w:val="16"/>
        </w:rPr>
      </w:pPr>
      <w:r>
        <w:rPr>
          <w:rFonts w:ascii="Arial" w:hAnsi="Arial" w:cs="Arial"/>
          <w:sz w:val="16"/>
          <w:szCs w:val="16"/>
        </w:rPr>
        <w:t>Expenses not requiring appropriation in the Budget year are made up of depreciation/amortisation expenses and audit fees.</w:t>
      </w:r>
    </w:p>
    <w:p w:rsidR="001D003E" w:rsidRDefault="001D003E" w:rsidP="001D003E">
      <w:pPr>
        <w:pStyle w:val="TableHeading"/>
        <w:keepLines w:val="0"/>
        <w:pageBreakBefore/>
        <w:pBdr>
          <w:top w:val="nil"/>
          <w:left w:val="nil"/>
          <w:bottom w:val="nil"/>
          <w:right w:val="nil"/>
          <w:between w:val="nil"/>
          <w:bar w:val="nil"/>
        </w:pBdr>
        <w:jc w:val="left"/>
        <w:rPr>
          <w:rFonts w:cs="Times New Roman"/>
          <w:sz w:val="22"/>
          <w:szCs w:val="22"/>
          <w:bdr w:val="nil"/>
        </w:rPr>
      </w:pPr>
      <w:r>
        <w:rPr>
          <w:rFonts w:cs="Times New Roman"/>
          <w:sz w:val="22"/>
          <w:szCs w:val="22"/>
          <w:bdr w:val="nil"/>
        </w:rPr>
        <w:lastRenderedPageBreak/>
        <w:t>Table 2.3.2: Program Components of Outcome 3</w:t>
      </w:r>
    </w:p>
    <w:p w:rsidR="001D003E" w:rsidRPr="00666857" w:rsidRDefault="001D003E" w:rsidP="001D003E">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p w:rsidR="001D003E" w:rsidRDefault="001D003E" w:rsidP="001D003E">
      <w:pPr>
        <w:pStyle w:val="TableHeading"/>
        <w:keepLines w:val="0"/>
        <w:pBdr>
          <w:top w:val="nil"/>
          <w:left w:val="nil"/>
          <w:bottom w:val="nil"/>
          <w:right w:val="nil"/>
          <w:between w:val="nil"/>
          <w:bar w:val="nil"/>
        </w:pBdr>
        <w:jc w:val="left"/>
        <w:rPr>
          <w:rFonts w:cs="Times New Roman"/>
          <w:bdr w:val="nil"/>
        </w:rPr>
      </w:pPr>
      <w:r>
        <w:rPr>
          <w:rFonts w:cs="Times New Roman"/>
          <w:sz w:val="22"/>
          <w:szCs w:val="22"/>
          <w:bdr w:val="nil"/>
        </w:rPr>
        <w:t>Program 3.1: War Graves</w:t>
      </w:r>
    </w:p>
    <w:tbl>
      <w:tblPr>
        <w:tblStyle w:val="CDMRange2"/>
        <w:tblW w:w="8145" w:type="dxa"/>
        <w:tblLayout w:type="fixed"/>
        <w:tblLook w:val="0600" w:firstRow="0" w:lastRow="0" w:firstColumn="0" w:lastColumn="0" w:noHBand="1" w:noVBand="1"/>
      </w:tblPr>
      <w:tblGrid>
        <w:gridCol w:w="3360"/>
        <w:gridCol w:w="885"/>
        <w:gridCol w:w="975"/>
        <w:gridCol w:w="975"/>
        <w:gridCol w:w="975"/>
        <w:gridCol w:w="975"/>
      </w:tblGrid>
      <w:tr w:rsidR="00811FBF" w:rsidTr="009E58DC">
        <w:trPr>
          <w:trHeight w:hRule="exact" w:val="225"/>
          <w:tblHeader/>
        </w:trPr>
        <w:tc>
          <w:tcPr>
            <w:tcW w:w="33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360" w:type="dxa"/>
            <w:tcBorders>
              <w:top w:val="nil"/>
              <w:left w:val="nil"/>
              <w:bottom w:val="single" w:sz="4" w:space="0" w:color="000000"/>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36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Ordinary annual services (Appropriation Bill No. 1 &amp; 3)</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War graves care &amp; maintenance</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18,577</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21,771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22,491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23,035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23,522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360"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War graves refurbishment, reconstruction &amp; relocation</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921</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1,280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Compensation and legal expenses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Expenses: </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360"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Services for Other Entities and Trust Moneys Special Account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53</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19,551</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22,983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23,740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24,329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24,852</w:t>
            </w:r>
          </w:p>
        </w:tc>
      </w:tr>
    </w:tbl>
    <w:p w:rsidR="00811FBF" w:rsidRDefault="001D003E">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1D003E" w:rsidRDefault="001D003E" w:rsidP="001D003E">
      <w:pPr>
        <w:pStyle w:val="Heading4"/>
        <w:keepLines w:val="0"/>
        <w:pBdr>
          <w:top w:val="nil"/>
          <w:left w:val="nil"/>
          <w:bottom w:val="nil"/>
          <w:right w:val="nil"/>
          <w:between w:val="nil"/>
          <w:bar w:val="nil"/>
        </w:pBdr>
        <w:spacing w:after="0"/>
        <w:rPr>
          <w:bdr w:val="nil"/>
        </w:rPr>
      </w:pPr>
      <w:r>
        <w:rPr>
          <w:bdr w:val="nil"/>
        </w:rPr>
        <w:t>Program 3.2: Commemorative Activities</w:t>
      </w:r>
    </w:p>
    <w:tbl>
      <w:tblPr>
        <w:tblStyle w:val="CDMRange1"/>
        <w:tblW w:w="8235" w:type="dxa"/>
        <w:tblLayout w:type="fixed"/>
        <w:tblLook w:val="0600" w:firstRow="0" w:lastRow="0" w:firstColumn="0" w:lastColumn="0" w:noHBand="1" w:noVBand="1"/>
      </w:tblPr>
      <w:tblGrid>
        <w:gridCol w:w="3360"/>
        <w:gridCol w:w="975"/>
        <w:gridCol w:w="975"/>
        <w:gridCol w:w="975"/>
        <w:gridCol w:w="975"/>
        <w:gridCol w:w="975"/>
      </w:tblGrid>
      <w:tr w:rsidR="00811FBF" w:rsidTr="009E58DC">
        <w:trPr>
          <w:trHeight w:hRule="exact" w:val="225"/>
          <w:tblHeader/>
        </w:trPr>
        <w:tc>
          <w:tcPr>
            <w:tcW w:w="33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single" w:sz="4" w:space="0" w:color="000000"/>
              <w:right w:val="nil"/>
              <w:tl2br w:val="nil"/>
              <w:tr2bl w:val="nil"/>
            </w:tcBorders>
            <w:shd w:val="clear" w:color="auto" w:fill="auto"/>
            <w:tcMar>
              <w:left w:w="0" w:type="dxa"/>
              <w:right w:w="0" w:type="dxa"/>
            </w:tcMar>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336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Veterans' commemorative activities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7,227</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23,770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24,189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17,961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16,192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3360"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Australian Veterans' Recognition (Putting Veterans and Their Families First) Act 2019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2,600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2,660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2,726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7,227</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26,370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26,849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20,687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16,192</w:t>
            </w:r>
          </w:p>
        </w:tc>
      </w:tr>
    </w:tbl>
    <w:p w:rsidR="001D003E" w:rsidRDefault="001D003E" w:rsidP="001D003E">
      <w:pPr>
        <w:pStyle w:val="Source"/>
        <w:pBdr>
          <w:top w:val="nil"/>
          <w:left w:val="nil"/>
          <w:bottom w:val="nil"/>
          <w:right w:val="nil"/>
          <w:between w:val="nil"/>
          <w:bar w:val="nil"/>
        </w:pBdr>
        <w:ind w:right="566"/>
        <w:rPr>
          <w:bdr w:val="nil"/>
        </w:rPr>
      </w:pPr>
      <w:r>
        <w:t xml:space="preserve"> </w:t>
      </w:r>
    </w:p>
    <w:p w:rsidR="001D003E" w:rsidRDefault="001D003E" w:rsidP="001D003E">
      <w:pPr>
        <w:pStyle w:val="Heading2"/>
        <w:pageBreakBefore/>
        <w:pBdr>
          <w:top w:val="nil"/>
          <w:left w:val="nil"/>
          <w:bottom w:val="nil"/>
          <w:right w:val="nil"/>
          <w:between w:val="nil"/>
          <w:bar w:val="nil"/>
        </w:pBdr>
        <w:spacing w:before="240" w:after="240"/>
        <w:ind w:right="746"/>
        <w:rPr>
          <w:rFonts w:eastAsia="Times New Roman" w:cs="Times New Roman"/>
          <w:szCs w:val="20"/>
          <w:bdr w:val="nil"/>
          <w:lang w:val="en-AU" w:eastAsia="en-AU"/>
        </w:rPr>
      </w:pPr>
      <w:r>
        <w:rPr>
          <w:rFonts w:eastAsia="Times New Roman" w:cs="Times New Roman"/>
          <w:szCs w:val="20"/>
          <w:bdr w:val="nil"/>
          <w:lang w:val="en-AU" w:eastAsia="en-AU"/>
        </w:rPr>
        <w:lastRenderedPageBreak/>
        <w:t>Section 3: Special Account Flows and Budgeted Financial Statements</w:t>
      </w:r>
    </w:p>
    <w:p w:rsidR="001D003E" w:rsidRPr="00B63E3E" w:rsidRDefault="001D003E" w:rsidP="001D003E">
      <w:pPr>
        <w:pStyle w:val="Heading3"/>
        <w:keepLines w:val="0"/>
        <w:pBdr>
          <w:top w:val="nil"/>
          <w:left w:val="nil"/>
          <w:bottom w:val="nil"/>
          <w:right w:val="nil"/>
          <w:between w:val="nil"/>
          <w:bar w:val="nil"/>
        </w:pBdr>
        <w:spacing w:before="120" w:after="120"/>
        <w:jc w:val="left"/>
        <w:rPr>
          <w:bdr w:val="nil"/>
        </w:rPr>
      </w:pPr>
      <w:r>
        <w:rPr>
          <w:bdr w:val="nil"/>
        </w:rPr>
        <w:t>3.1</w:t>
      </w:r>
      <w:r>
        <w:rPr>
          <w:bdr w:val="nil"/>
        </w:rPr>
        <w:tab/>
        <w:t>Special account flows</w:t>
      </w:r>
      <w:r>
        <w:rPr>
          <w:bdr w:val="nil"/>
        </w:rPr>
        <w:br/>
      </w:r>
    </w:p>
    <w:p w:rsidR="001D003E" w:rsidRDefault="001D003E" w:rsidP="001D003E">
      <w:pPr>
        <w:pStyle w:val="Heading4"/>
        <w:keepLines w:val="0"/>
        <w:pBdr>
          <w:top w:val="nil"/>
          <w:left w:val="nil"/>
          <w:bottom w:val="nil"/>
          <w:right w:val="nil"/>
          <w:between w:val="nil"/>
          <w:bar w:val="nil"/>
        </w:pBdr>
        <w:rPr>
          <w:bdr w:val="nil"/>
        </w:rPr>
      </w:pPr>
      <w:r>
        <w:rPr>
          <w:bdr w:val="nil"/>
        </w:rPr>
        <w:t>Estimates of Special Account Flows</w:t>
      </w:r>
    </w:p>
    <w:p w:rsidR="001D003E" w:rsidRDefault="001D003E" w:rsidP="001D003E">
      <w:pPr>
        <w:keepLines w:val="0"/>
        <w:pBdr>
          <w:top w:val="nil"/>
          <w:left w:val="nil"/>
          <w:bottom w:val="nil"/>
          <w:right w:val="nil"/>
          <w:between w:val="nil"/>
          <w:bar w:val="nil"/>
        </w:pBdr>
        <w:ind w:right="566"/>
        <w:rPr>
          <w:bdr w:val="nil"/>
        </w:rPr>
      </w:pPr>
      <w:r>
        <w:rPr>
          <w:bdr w:val="nil"/>
        </w:rPr>
        <w:t>Special accounts provide a means to set aside and record amounts used for specified purposes. Table 3.1 shows the expected additions (receipts) and reductions (payments) for each account used by the Department of Veterans' Affairs.</w:t>
      </w:r>
    </w:p>
    <w:p w:rsidR="001D003E" w:rsidRDefault="001D003E" w:rsidP="001D003E">
      <w:pPr>
        <w:pStyle w:val="TableHeading"/>
        <w:keepLines w:val="0"/>
        <w:pBdr>
          <w:top w:val="nil"/>
          <w:left w:val="nil"/>
          <w:bottom w:val="nil"/>
          <w:right w:val="nil"/>
          <w:between w:val="nil"/>
          <w:bar w:val="nil"/>
        </w:pBdr>
        <w:jc w:val="left"/>
        <w:rPr>
          <w:rFonts w:eastAsia="Calibri"/>
          <w:bdr w:val="nil"/>
          <w:lang w:eastAsia="en-US"/>
        </w:rPr>
      </w:pPr>
      <w:r>
        <w:rPr>
          <w:rFonts w:eastAsia="Calibri"/>
          <w:bdr w:val="nil"/>
          <w:lang w:eastAsia="en-US"/>
        </w:rPr>
        <w:t>Table 3.1: Estimates of Special Account Flows and Balances</w:t>
      </w:r>
    </w:p>
    <w:tbl>
      <w:tblPr>
        <w:tblStyle w:val="CDMRange2"/>
        <w:tblW w:w="6720" w:type="dxa"/>
        <w:tblLayout w:type="fixed"/>
        <w:tblLook w:val="0600" w:firstRow="0" w:lastRow="0" w:firstColumn="0" w:lastColumn="0" w:noHBand="1" w:noVBand="1"/>
      </w:tblPr>
      <w:tblGrid>
        <w:gridCol w:w="2535"/>
        <w:gridCol w:w="765"/>
        <w:gridCol w:w="780"/>
        <w:gridCol w:w="810"/>
        <w:gridCol w:w="990"/>
        <w:gridCol w:w="840"/>
      </w:tblGrid>
      <w:tr w:rsidR="00811FBF" w:rsidTr="009E58DC">
        <w:trPr>
          <w:trHeight w:hRule="exact" w:val="225"/>
          <w:tblHeader/>
        </w:trPr>
        <w:tc>
          <w:tcPr>
            <w:tcW w:w="25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7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78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Opening</w:t>
            </w:r>
          </w:p>
        </w:tc>
        <w:tc>
          <w:tcPr>
            <w:tcW w:w="81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84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Closing</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78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balance</w:t>
            </w:r>
          </w:p>
        </w:tc>
        <w:tc>
          <w:tcPr>
            <w:tcW w:w="81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Receipts</w:t>
            </w:r>
          </w:p>
        </w:tc>
        <w:tc>
          <w:tcPr>
            <w:tcW w:w="99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Payments</w:t>
            </w:r>
          </w:p>
        </w:tc>
        <w:tc>
          <w:tcPr>
            <w:tcW w:w="84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balance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78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2021-22</w:t>
            </w:r>
          </w:p>
        </w:tc>
        <w:tc>
          <w:tcPr>
            <w:tcW w:w="81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2021-22</w:t>
            </w:r>
          </w:p>
        </w:tc>
        <w:tc>
          <w:tcPr>
            <w:tcW w:w="99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2021-22</w:t>
            </w:r>
          </w:p>
        </w:tc>
        <w:tc>
          <w:tcPr>
            <w:tcW w:w="84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2021-22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78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c>
          <w:tcPr>
            <w:tcW w:w="81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c>
          <w:tcPr>
            <w:tcW w:w="99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c>
          <w:tcPr>
            <w:tcW w:w="84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2020-21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Outcome</w:t>
            </w:r>
          </w:p>
        </w:tc>
        <w:tc>
          <w:tcPr>
            <w:tcW w:w="78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5"/>
        </w:trPr>
        <w:tc>
          <w:tcPr>
            <w:tcW w:w="2535"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Military Death Claim Compensation</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80" w:type="dxa"/>
            <w:tcBorders>
              <w:top w:val="single" w:sz="4" w:space="0" w:color="auto"/>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w:t>
            </w:r>
          </w:p>
        </w:tc>
        <w:tc>
          <w:tcPr>
            <w:tcW w:w="810" w:type="dxa"/>
            <w:tcBorders>
              <w:top w:val="single" w:sz="4" w:space="0" w:color="auto"/>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627</w:t>
            </w:r>
          </w:p>
        </w:tc>
        <w:tc>
          <w:tcPr>
            <w:tcW w:w="990" w:type="dxa"/>
            <w:tcBorders>
              <w:top w:val="single" w:sz="4" w:space="0" w:color="auto"/>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390</w:t>
            </w:r>
          </w:p>
        </w:tc>
        <w:tc>
          <w:tcPr>
            <w:tcW w:w="840" w:type="dxa"/>
            <w:tcBorders>
              <w:top w:val="single" w:sz="4" w:space="0" w:color="auto"/>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377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3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Special Account (A)</w:t>
            </w: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center"/>
              <w:rPr>
                <w:rFonts w:ascii="Arial" w:eastAsia="Arial" w:hAnsi="Arial" w:cs="Arial"/>
                <w:i/>
                <w:color w:val="000000"/>
                <w:sz w:val="16"/>
              </w:rPr>
            </w:pP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506</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441</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807</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140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3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Defence Service Homes</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7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6,451</w:t>
            </w:r>
          </w:p>
        </w:tc>
        <w:tc>
          <w:tcPr>
            <w:tcW w:w="81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61,519</w:t>
            </w:r>
          </w:p>
        </w:tc>
        <w:tc>
          <w:tcPr>
            <w:tcW w:w="99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61,261</w:t>
            </w:r>
          </w:p>
        </w:tc>
        <w:tc>
          <w:tcPr>
            <w:tcW w:w="84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6,709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3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Insurance Account (D)</w:t>
            </w: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center"/>
              <w:rPr>
                <w:rFonts w:ascii="Arial" w:eastAsia="Arial" w:hAnsi="Arial" w:cs="Arial"/>
                <w:color w:val="000000"/>
                <w:sz w:val="16"/>
              </w:rPr>
            </w:pP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3,425</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100,721</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97,695</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6,451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3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Services for Other Entities</w:t>
            </w: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center"/>
              <w:rPr>
                <w:rFonts w:ascii="Arial" w:eastAsia="Arial" w:hAnsi="Arial" w:cs="Arial"/>
                <w:color w:val="000000"/>
                <w:sz w:val="16"/>
              </w:rPr>
            </w:pPr>
          </w:p>
        </w:tc>
        <w:tc>
          <w:tcPr>
            <w:tcW w:w="7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141</w:t>
            </w:r>
          </w:p>
        </w:tc>
        <w:tc>
          <w:tcPr>
            <w:tcW w:w="81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w:t>
            </w:r>
          </w:p>
        </w:tc>
        <w:tc>
          <w:tcPr>
            <w:tcW w:w="99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84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3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and Trust Moneys Account (A)</w:t>
            </w:r>
          </w:p>
        </w:tc>
        <w:tc>
          <w:tcPr>
            <w:tcW w:w="76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center"/>
              <w:rPr>
                <w:rFonts w:ascii="Arial" w:eastAsia="Arial" w:hAnsi="Arial" w:cs="Arial"/>
                <w:color w:val="000000"/>
                <w:sz w:val="16"/>
              </w:rPr>
            </w:pPr>
            <w:r>
              <w:rPr>
                <w:rFonts w:ascii="Arial" w:eastAsia="Arial" w:hAnsi="Arial" w:cs="Arial"/>
                <w:color w:val="000000"/>
                <w:sz w:val="16"/>
              </w:rPr>
              <w:t>3</w:t>
            </w: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116</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78</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53</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141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Special Accounts </w:t>
            </w: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center"/>
              <w:rPr>
                <w:rFonts w:ascii="Arial" w:eastAsia="Arial" w:hAnsi="Arial" w:cs="Arial"/>
                <w:color w:val="000000"/>
                <w:sz w:val="16"/>
              </w:rPr>
            </w:pPr>
          </w:p>
        </w:tc>
        <w:tc>
          <w:tcPr>
            <w:tcW w:w="7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i/>
                <w:color w:val="000000"/>
                <w:sz w:val="16"/>
              </w:rPr>
            </w:pPr>
          </w:p>
        </w:tc>
        <w:tc>
          <w:tcPr>
            <w:tcW w:w="81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i/>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i/>
                <w:color w:val="000000"/>
                <w:sz w:val="16"/>
              </w:rPr>
            </w:pPr>
          </w:p>
        </w:tc>
        <w:tc>
          <w:tcPr>
            <w:tcW w:w="84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i/>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2021-22 Budget estimate</w:t>
            </w: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center"/>
              <w:rPr>
                <w:rFonts w:ascii="Arial" w:eastAsia="Arial" w:hAnsi="Arial" w:cs="Arial"/>
                <w:color w:val="000000"/>
                <w:sz w:val="16"/>
              </w:rPr>
            </w:pPr>
          </w:p>
        </w:tc>
        <w:tc>
          <w:tcPr>
            <w:tcW w:w="780" w:type="dxa"/>
            <w:tcBorders>
              <w:top w:val="nil"/>
              <w:left w:val="nil"/>
              <w:bottom w:val="single" w:sz="4" w:space="0" w:color="auto"/>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6,732</w:t>
            </w:r>
          </w:p>
        </w:tc>
        <w:tc>
          <w:tcPr>
            <w:tcW w:w="810" w:type="dxa"/>
            <w:tcBorders>
              <w:top w:val="nil"/>
              <w:left w:val="nil"/>
              <w:bottom w:val="single" w:sz="4" w:space="0" w:color="auto"/>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62,167</w:t>
            </w:r>
          </w:p>
        </w:tc>
        <w:tc>
          <w:tcPr>
            <w:tcW w:w="990" w:type="dxa"/>
            <w:tcBorders>
              <w:top w:val="nil"/>
              <w:left w:val="nil"/>
              <w:bottom w:val="single" w:sz="4" w:space="0" w:color="auto"/>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61,671</w:t>
            </w:r>
          </w:p>
        </w:tc>
        <w:tc>
          <w:tcPr>
            <w:tcW w:w="840" w:type="dxa"/>
            <w:tcBorders>
              <w:top w:val="nil"/>
              <w:left w:val="nil"/>
              <w:bottom w:val="single" w:sz="4" w:space="0" w:color="auto"/>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7,228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76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center"/>
              <w:rPr>
                <w:rFonts w:ascii="Arial" w:eastAsia="Arial" w:hAnsi="Arial" w:cs="Arial"/>
                <w:color w:val="000000"/>
                <w:sz w:val="16"/>
              </w:rPr>
            </w:pPr>
          </w:p>
        </w:tc>
        <w:tc>
          <w:tcPr>
            <w:tcW w:w="7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84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tcBorders>
              <w:top w:val="nil"/>
              <w:left w:val="nil"/>
              <w:bottom w:val="single" w:sz="4" w:space="0" w:color="000000"/>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i/>
                <w:color w:val="000000"/>
                <w:sz w:val="16"/>
              </w:rPr>
            </w:pPr>
            <w:r>
              <w:rPr>
                <w:rFonts w:ascii="Arial" w:eastAsia="Arial" w:hAnsi="Arial" w:cs="Arial"/>
                <w:i/>
                <w:color w:val="000000"/>
                <w:sz w:val="16"/>
              </w:rPr>
              <w:t>2020-21 actual</w:t>
            </w:r>
          </w:p>
        </w:tc>
        <w:tc>
          <w:tcPr>
            <w:tcW w:w="76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center"/>
              <w:rPr>
                <w:rFonts w:ascii="Arial" w:eastAsia="Arial" w:hAnsi="Arial" w:cs="Arial"/>
                <w:color w:val="000000"/>
                <w:sz w:val="16"/>
              </w:rPr>
            </w:pPr>
          </w:p>
        </w:tc>
        <w:tc>
          <w:tcPr>
            <w:tcW w:w="7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4,047</w:t>
            </w:r>
          </w:p>
        </w:tc>
        <w:tc>
          <w:tcPr>
            <w:tcW w:w="81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101,240</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98,555</w:t>
            </w:r>
          </w:p>
        </w:tc>
        <w:tc>
          <w:tcPr>
            <w:tcW w:w="84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i/>
                <w:color w:val="000000"/>
                <w:sz w:val="16"/>
              </w:rPr>
            </w:pPr>
            <w:r>
              <w:rPr>
                <w:rFonts w:ascii="Arial" w:eastAsia="Arial" w:hAnsi="Arial" w:cs="Arial"/>
                <w:i/>
                <w:color w:val="000000"/>
                <w:sz w:val="16"/>
              </w:rPr>
              <w:t>6,732</w:t>
            </w:r>
          </w:p>
        </w:tc>
      </w:tr>
    </w:tbl>
    <w:p w:rsidR="00811FBF" w:rsidRDefault="00811FBF">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p w:rsidR="001D003E" w:rsidRDefault="001D003E" w:rsidP="001D003E">
      <w:pPr>
        <w:pStyle w:val="ChartandTableFootnote"/>
        <w:keepLines w:val="0"/>
        <w:pBdr>
          <w:top w:val="nil"/>
          <w:left w:val="nil"/>
          <w:bottom w:val="nil"/>
          <w:right w:val="nil"/>
          <w:between w:val="nil"/>
          <w:bar w:val="nil"/>
        </w:pBdr>
        <w:rPr>
          <w:rFonts w:eastAsia="Calibri"/>
          <w:bdr w:val="nil"/>
        </w:rPr>
      </w:pPr>
      <w:r>
        <w:rPr>
          <w:rFonts w:eastAsia="Calibri"/>
          <w:bdr w:val="nil"/>
        </w:rPr>
        <w:t>(A) = Administered</w:t>
      </w:r>
    </w:p>
    <w:p w:rsidR="001D003E" w:rsidRDefault="001D003E" w:rsidP="001D003E">
      <w:pPr>
        <w:pStyle w:val="ChartandTableFootnote"/>
        <w:keepLines w:val="0"/>
        <w:pBdr>
          <w:top w:val="nil"/>
          <w:left w:val="nil"/>
          <w:bottom w:val="nil"/>
          <w:right w:val="nil"/>
          <w:between w:val="nil"/>
          <w:bar w:val="nil"/>
        </w:pBdr>
        <w:rPr>
          <w:rFonts w:eastAsia="Calibri"/>
          <w:bdr w:val="nil"/>
        </w:rPr>
      </w:pPr>
      <w:r>
        <w:rPr>
          <w:rFonts w:eastAsia="Calibri"/>
          <w:bdr w:val="nil"/>
        </w:rPr>
        <w:t>(D) = Departmental</w:t>
      </w:r>
    </w:p>
    <w:p w:rsidR="001D003E" w:rsidRDefault="001D003E" w:rsidP="001D003E">
      <w:pPr>
        <w:pStyle w:val="Heading3"/>
        <w:keepLines w:val="0"/>
        <w:pageBreakBefore/>
        <w:pBdr>
          <w:top w:val="nil"/>
          <w:left w:val="nil"/>
          <w:bottom w:val="nil"/>
          <w:right w:val="nil"/>
          <w:between w:val="nil"/>
          <w:bar w:val="nil"/>
        </w:pBdr>
        <w:jc w:val="left"/>
        <w:rPr>
          <w:bdr w:val="nil"/>
        </w:rPr>
      </w:pPr>
      <w:r>
        <w:rPr>
          <w:bdr w:val="nil"/>
        </w:rPr>
        <w:lastRenderedPageBreak/>
        <w:t>3.2</w:t>
      </w:r>
      <w:r>
        <w:rPr>
          <w:bdr w:val="nil"/>
        </w:rPr>
        <w:tab/>
        <w:t>Budgeted Financial Statements</w:t>
      </w:r>
    </w:p>
    <w:p w:rsidR="001D003E" w:rsidRDefault="001D003E" w:rsidP="001D003E">
      <w:pPr>
        <w:pStyle w:val="Heading4"/>
        <w:keepLines w:val="0"/>
        <w:pBdr>
          <w:top w:val="nil"/>
          <w:left w:val="nil"/>
          <w:bottom w:val="nil"/>
          <w:right w:val="nil"/>
          <w:between w:val="nil"/>
          <w:bar w:val="nil"/>
        </w:pBdr>
        <w:rPr>
          <w:bdr w:val="nil"/>
        </w:rPr>
      </w:pPr>
      <w:r>
        <w:rPr>
          <w:bdr w:val="nil"/>
        </w:rPr>
        <w:t>3.2.1</w:t>
      </w:r>
      <w:r>
        <w:rPr>
          <w:bdr w:val="nil"/>
        </w:rPr>
        <w:tab/>
        <w:t>Analysis of budgeted financial statements</w:t>
      </w:r>
    </w:p>
    <w:p w:rsidR="001D003E" w:rsidRDefault="001D003E" w:rsidP="001D003E">
      <w:pPr>
        <w:keepLines w:val="0"/>
        <w:pBdr>
          <w:top w:val="nil"/>
          <w:left w:val="nil"/>
          <w:bottom w:val="nil"/>
          <w:right w:val="nil"/>
          <w:between w:val="nil"/>
          <w:bar w:val="nil"/>
        </w:pBdr>
        <w:rPr>
          <w:bdr w:val="nil"/>
          <w:lang w:val="en-GB"/>
        </w:rPr>
      </w:pPr>
      <w:r>
        <w:rPr>
          <w:bdr w:val="nil"/>
          <w:lang w:val="en-GB"/>
        </w:rPr>
        <w:t xml:space="preserve">The budgeted financial statements are shown at three levels and reflect the financial results of the three reporting entities that comprise DVA’s departmental accounts: DVA amalgamated, DVA excluding Defence Services Homes Insurance Scheme (DSHIS), and DSHIS. </w:t>
      </w:r>
    </w:p>
    <w:p w:rsidR="001D003E" w:rsidRPr="00227E66" w:rsidRDefault="001D003E" w:rsidP="001D003E">
      <w:pPr>
        <w:pStyle w:val="Heading5"/>
        <w:keepLines w:val="0"/>
        <w:pBdr>
          <w:top w:val="nil"/>
          <w:left w:val="nil"/>
          <w:bottom w:val="nil"/>
          <w:right w:val="nil"/>
          <w:between w:val="nil"/>
          <w:bar w:val="nil"/>
        </w:pBdr>
        <w:rPr>
          <w:rFonts w:ascii="Arial" w:hAnsi="Arial" w:cs="Arial"/>
          <w:i w:val="0"/>
          <w:sz w:val="20"/>
          <w:szCs w:val="20"/>
          <w:bdr w:val="nil"/>
        </w:rPr>
      </w:pPr>
      <w:r w:rsidRPr="00227E66">
        <w:rPr>
          <w:rFonts w:ascii="Arial" w:hAnsi="Arial" w:cs="Arial"/>
          <w:i w:val="0"/>
          <w:sz w:val="20"/>
          <w:szCs w:val="20"/>
          <w:bdr w:val="nil"/>
          <w:lang w:val="en-GB"/>
        </w:rPr>
        <w:t>Departmental (DVA excluding DSHIS)</w:t>
      </w:r>
    </w:p>
    <w:p w:rsidR="001D003E" w:rsidRPr="00227E66" w:rsidRDefault="001D003E" w:rsidP="001D003E">
      <w:pPr>
        <w:pStyle w:val="Heading6"/>
        <w:keepLines w:val="0"/>
        <w:pBdr>
          <w:top w:val="nil"/>
          <w:left w:val="nil"/>
          <w:bottom w:val="nil"/>
          <w:right w:val="nil"/>
          <w:between w:val="nil"/>
          <w:bar w:val="nil"/>
        </w:pBdr>
        <w:rPr>
          <w:rFonts w:ascii="Arial" w:hAnsi="Arial" w:cs="Arial"/>
          <w:b w:val="0"/>
          <w:sz w:val="20"/>
          <w:szCs w:val="20"/>
          <w:bdr w:val="nil"/>
        </w:rPr>
      </w:pPr>
      <w:r>
        <w:rPr>
          <w:rFonts w:ascii="Arial" w:hAnsi="Arial" w:cs="Arial"/>
          <w:b w:val="0"/>
          <w:sz w:val="20"/>
          <w:szCs w:val="20"/>
          <w:bdr w:val="nil"/>
          <w:lang w:val="en-GB"/>
        </w:rPr>
        <w:t>Budgeted Departmental Income S</w:t>
      </w:r>
      <w:r w:rsidRPr="00227E66">
        <w:rPr>
          <w:rFonts w:ascii="Arial" w:hAnsi="Arial" w:cs="Arial"/>
          <w:b w:val="0"/>
          <w:sz w:val="20"/>
          <w:szCs w:val="20"/>
          <w:bdr w:val="nil"/>
          <w:lang w:val="en-GB"/>
        </w:rPr>
        <w:t>tatement</w:t>
      </w:r>
    </w:p>
    <w:p w:rsidR="001D003E" w:rsidRPr="00D74793" w:rsidRDefault="001D003E" w:rsidP="001D003E">
      <w:pPr>
        <w:keepLines w:val="0"/>
        <w:pBdr>
          <w:top w:val="nil"/>
          <w:left w:val="nil"/>
          <w:bottom w:val="nil"/>
          <w:right w:val="nil"/>
          <w:between w:val="nil"/>
          <w:bar w:val="nil"/>
        </w:pBdr>
        <w:rPr>
          <w:rFonts w:cs="Arial"/>
          <w:bdr w:val="nil"/>
          <w:lang w:val="en-GB"/>
        </w:rPr>
      </w:pPr>
      <w:r w:rsidRPr="00D74793">
        <w:rPr>
          <w:rFonts w:cs="Arial"/>
          <w:bdr w:val="nil"/>
          <w:lang w:val="en-GB"/>
        </w:rPr>
        <w:t>The Department is budgeting for a breakeven operating result in 2021-22.</w:t>
      </w:r>
    </w:p>
    <w:p w:rsidR="001D003E" w:rsidRPr="00227E66" w:rsidRDefault="001D003E" w:rsidP="001D003E">
      <w:pPr>
        <w:pStyle w:val="Heading6"/>
        <w:keepLines w:val="0"/>
        <w:pBdr>
          <w:top w:val="nil"/>
          <w:left w:val="nil"/>
          <w:bottom w:val="nil"/>
          <w:right w:val="nil"/>
          <w:between w:val="nil"/>
          <w:bar w:val="nil"/>
        </w:pBdr>
        <w:rPr>
          <w:rFonts w:ascii="Arial" w:hAnsi="Arial" w:cs="Arial"/>
          <w:b w:val="0"/>
          <w:sz w:val="20"/>
          <w:szCs w:val="20"/>
          <w:bdr w:val="nil"/>
          <w:lang w:val="en-GB"/>
        </w:rPr>
      </w:pPr>
      <w:r>
        <w:rPr>
          <w:rFonts w:ascii="Arial" w:hAnsi="Arial" w:cs="Arial"/>
          <w:b w:val="0"/>
          <w:sz w:val="20"/>
          <w:szCs w:val="20"/>
          <w:bdr w:val="nil"/>
          <w:lang w:val="en-GB"/>
        </w:rPr>
        <w:t>Budgeted Departmental Balance S</w:t>
      </w:r>
      <w:r w:rsidRPr="00227E66">
        <w:rPr>
          <w:rFonts w:ascii="Arial" w:hAnsi="Arial" w:cs="Arial"/>
          <w:b w:val="0"/>
          <w:sz w:val="20"/>
          <w:szCs w:val="20"/>
          <w:bdr w:val="nil"/>
          <w:lang w:val="en-GB"/>
        </w:rPr>
        <w:t>heet</w:t>
      </w:r>
    </w:p>
    <w:p w:rsidR="001D003E" w:rsidRPr="00F05F2C" w:rsidRDefault="001D003E">
      <w:pPr>
        <w:keepLines w:val="0"/>
        <w:pBdr>
          <w:top w:val="nil"/>
          <w:left w:val="nil"/>
          <w:bottom w:val="nil"/>
          <w:right w:val="nil"/>
          <w:between w:val="nil"/>
          <w:bar w:val="nil"/>
        </w:pBdr>
        <w:rPr>
          <w:bdr w:val="nil"/>
          <w:lang w:val="en-GB"/>
        </w:rPr>
      </w:pPr>
      <w:r w:rsidRPr="00682C05">
        <w:rPr>
          <w:bdr w:val="nil"/>
          <w:lang w:val="en-GB"/>
        </w:rPr>
        <w:t xml:space="preserve">The Department’s net asset (equity) position for the </w:t>
      </w:r>
      <w:r>
        <w:rPr>
          <w:bdr w:val="nil"/>
          <w:lang w:val="en-GB"/>
        </w:rPr>
        <w:t>2021-22</w:t>
      </w:r>
      <w:r w:rsidRPr="00682C05">
        <w:rPr>
          <w:bdr w:val="nil"/>
          <w:lang w:val="en-GB"/>
        </w:rPr>
        <w:t xml:space="preserve"> financial year is projected to be $</w:t>
      </w:r>
      <w:r>
        <w:rPr>
          <w:bdr w:val="nil"/>
          <w:lang w:val="en-GB"/>
        </w:rPr>
        <w:t>43.9</w:t>
      </w:r>
      <w:r w:rsidRPr="00682C05">
        <w:rPr>
          <w:bdr w:val="nil"/>
          <w:lang w:val="en-GB"/>
        </w:rPr>
        <w:t xml:space="preserve"> million, which is </w:t>
      </w:r>
      <w:r>
        <w:rPr>
          <w:bdr w:val="nil"/>
          <w:lang w:val="en-GB"/>
        </w:rPr>
        <w:t>an increase</w:t>
      </w:r>
      <w:r w:rsidRPr="00682C05">
        <w:rPr>
          <w:bdr w:val="nil"/>
          <w:lang w:val="en-GB"/>
        </w:rPr>
        <w:t xml:space="preserve"> of $</w:t>
      </w:r>
      <w:r>
        <w:rPr>
          <w:bdr w:val="nil"/>
          <w:lang w:val="en-GB"/>
        </w:rPr>
        <w:t>16.2</w:t>
      </w:r>
      <w:r w:rsidRPr="00682C05">
        <w:rPr>
          <w:bdr w:val="nil"/>
          <w:lang w:val="en-GB"/>
        </w:rPr>
        <w:t xml:space="preserve"> million from the estimated Budget figure of $</w:t>
      </w:r>
      <w:r>
        <w:rPr>
          <w:bdr w:val="nil"/>
          <w:lang w:val="en-GB"/>
        </w:rPr>
        <w:t>27.7</w:t>
      </w:r>
      <w:r w:rsidRPr="00682C05">
        <w:rPr>
          <w:bdr w:val="nil"/>
          <w:lang w:val="en-GB"/>
        </w:rPr>
        <w:t xml:space="preserve"> million. </w:t>
      </w:r>
    </w:p>
    <w:p w:rsidR="001D003E" w:rsidRDefault="001D003E" w:rsidP="001D003E">
      <w:pPr>
        <w:pStyle w:val="Heading4"/>
        <w:keepLines w:val="0"/>
        <w:pageBreakBefore/>
        <w:pBdr>
          <w:top w:val="nil"/>
          <w:left w:val="nil"/>
          <w:bottom w:val="nil"/>
          <w:right w:val="nil"/>
          <w:between w:val="nil"/>
          <w:bar w:val="nil"/>
        </w:pBdr>
        <w:rPr>
          <w:bdr w:val="nil"/>
        </w:rPr>
      </w:pPr>
      <w:r>
        <w:rPr>
          <w:bdr w:val="nil"/>
        </w:rPr>
        <w:lastRenderedPageBreak/>
        <w:t>3.2.2</w:t>
      </w:r>
      <w:r>
        <w:rPr>
          <w:bdr w:val="nil"/>
        </w:rPr>
        <w:tab/>
        <w:t>Budgeted Financial Statements</w:t>
      </w:r>
    </w:p>
    <w:p w:rsidR="001D003E" w:rsidRPr="00A6389F" w:rsidRDefault="001D003E" w:rsidP="001D003E">
      <w:pPr>
        <w:pStyle w:val="TableHeading"/>
        <w:keepLines w:val="0"/>
        <w:pBdr>
          <w:top w:val="nil"/>
          <w:left w:val="nil"/>
          <w:bottom w:val="nil"/>
          <w:right w:val="nil"/>
          <w:between w:val="nil"/>
          <w:bar w:val="nil"/>
        </w:pBdr>
        <w:spacing w:before="0" w:after="0"/>
        <w:jc w:val="left"/>
        <w:rPr>
          <w:rFonts w:eastAsia="Calibri"/>
          <w:bdr w:val="nil"/>
          <w:lang w:eastAsia="en-US"/>
        </w:rPr>
      </w:pPr>
      <w:r>
        <w:rPr>
          <w:rFonts w:eastAsia="Calibri"/>
          <w:bdr w:val="nil"/>
          <w:lang w:eastAsia="en-US"/>
        </w:rPr>
        <w:t>Table 3.2a: Budgeted Departmental Comprehensive Income Statement (amalgamated) (showing net cost of services) (for the period ended 30 June)</w:t>
      </w:r>
    </w:p>
    <w:tbl>
      <w:tblPr>
        <w:tblStyle w:val="CDMRange1"/>
        <w:tblW w:w="7635" w:type="dxa"/>
        <w:tblLayout w:type="fixed"/>
        <w:tblLook w:val="0600" w:firstRow="0" w:lastRow="0" w:firstColumn="0" w:lastColumn="0" w:noHBand="1" w:noVBand="1"/>
      </w:tblPr>
      <w:tblGrid>
        <w:gridCol w:w="3060"/>
        <w:gridCol w:w="915"/>
        <w:gridCol w:w="915"/>
        <w:gridCol w:w="915"/>
        <w:gridCol w:w="915"/>
        <w:gridCol w:w="915"/>
      </w:tblGrid>
      <w:tr w:rsidR="00811FBF" w:rsidTr="009E58DC">
        <w:trPr>
          <w:trHeight w:hRule="exact" w:val="225"/>
          <w:tblHeader/>
        </w:trPr>
        <w:tc>
          <w:tcPr>
            <w:tcW w:w="30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EXPENSE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192,090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218,322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218,684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203,395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203,379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Supplier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167,418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182,676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167,123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71,952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72,855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47,412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41,886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43,217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42,534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42,822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37,191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39,839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46,070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58,584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1,928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1,052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446,039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484,001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476,363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371,200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378,692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39,115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45,576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51,601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57,379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63,601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6,692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6,753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2,680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795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3,890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4,751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5,198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52,377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57,049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63,465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69,665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76,347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52,377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57,049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63,465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69,665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76,347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35"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cost of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393,662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426,952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412,898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301,535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302,345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384,301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404,658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389,943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279,869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280,843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6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(9,361)</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(22,294)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(22,955)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(21,666)</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(21,502)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35"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2745"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Changes in assets revaluation</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reserve</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1,148</w:t>
            </w:r>
          </w:p>
        </w:tc>
        <w:tc>
          <w:tcPr>
            <w:tcW w:w="91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1,148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 (loss)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(8,213)</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(22,294)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(22,955)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(21,666)</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(21,502)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274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1D003E" w:rsidRPr="00A6389F" w:rsidRDefault="001D003E" w:rsidP="001D003E">
      <w:pPr>
        <w:pStyle w:val="TableHeading"/>
        <w:keepLines w:val="0"/>
        <w:pageBreakBefore/>
        <w:pBdr>
          <w:top w:val="nil"/>
          <w:left w:val="nil"/>
          <w:bottom w:val="nil"/>
          <w:right w:val="nil"/>
          <w:between w:val="nil"/>
          <w:bar w:val="nil"/>
        </w:pBdr>
        <w:spacing w:after="0"/>
        <w:jc w:val="left"/>
        <w:rPr>
          <w:rFonts w:eastAsia="Calibri"/>
          <w:bdr w:val="nil"/>
          <w:lang w:eastAsia="en-US"/>
        </w:rPr>
      </w:pPr>
      <w:r>
        <w:rPr>
          <w:rFonts w:eastAsia="Calibri"/>
          <w:bdr w:val="nil"/>
          <w:lang w:eastAsia="en-US"/>
        </w:rPr>
        <w:lastRenderedPageBreak/>
        <w:t>Table 3.2a: Budgeted Departmental Comprehensive Income Statement (amalgamated) (showing net cost of services) (for the period ended 30 June)</w:t>
      </w:r>
      <w:r>
        <w:rPr>
          <w:rFonts w:eastAsia="Calibri"/>
          <w:snapToGrid w:val="0"/>
          <w:bdr w:val="nil"/>
          <w:lang w:eastAsia="en-US"/>
        </w:rPr>
        <w:t xml:space="preserve"> (continued)</w:t>
      </w:r>
    </w:p>
    <w:tbl>
      <w:tblPr>
        <w:tblStyle w:val="CDMRange2"/>
        <w:tblW w:w="7635" w:type="dxa"/>
        <w:tblLayout w:type="fixed"/>
        <w:tblLook w:val="0600" w:firstRow="0" w:lastRow="0" w:firstColumn="0" w:lastColumn="0" w:noHBand="1" w:noVBand="1"/>
      </w:tblPr>
      <w:tblGrid>
        <w:gridCol w:w="3060"/>
        <w:gridCol w:w="915"/>
        <w:gridCol w:w="915"/>
        <w:gridCol w:w="915"/>
        <w:gridCol w:w="915"/>
        <w:gridCol w:w="915"/>
      </w:tblGrid>
      <w:tr w:rsidR="00811FBF" w:rsidTr="009E58DC">
        <w:trPr>
          <w:trHeight w:hRule="exact" w:val="225"/>
          <w:tblHeader/>
        </w:trPr>
        <w:tc>
          <w:tcPr>
            <w:tcW w:w="30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890" w:type="dxa"/>
            <w:gridSpan w:val="3"/>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91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vMerge w:val="restart"/>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the statement of</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vMerge/>
            <w:tcBorders>
              <w:top w:val="nil"/>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vMerge/>
            <w:tcBorders>
              <w:top w:val="nil"/>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(8,213)</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(22,294)</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(22,955)</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(21,666)</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(21,502)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0"/>
        </w:trPr>
        <w:tc>
          <w:tcPr>
            <w:tcW w:w="3060" w:type="dxa"/>
            <w:tcBorders>
              <w:top w:val="nil"/>
              <w:left w:val="nil"/>
              <w:bottom w:val="nil"/>
              <w:right w:val="nil"/>
              <w:tl2br w:val="nil"/>
              <w:tr2bl w:val="nil"/>
            </w:tcBorders>
            <w:shd w:val="clear" w:color="auto" w:fill="auto"/>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30"/>
        </w:trPr>
        <w:tc>
          <w:tcPr>
            <w:tcW w:w="3060" w:type="dxa"/>
            <w:tcBorders>
              <w:top w:val="nil"/>
              <w:left w:val="nil"/>
              <w:bottom w:val="nil"/>
              <w:right w:val="nil"/>
              <w:tl2br w:val="nil"/>
              <w:tr2bl w:val="nil"/>
            </w:tcBorders>
            <w:shd w:val="clear" w:color="auto" w:fill="auto"/>
            <w:tcMar>
              <w:left w:w="175" w:type="dxa"/>
              <w:right w:w="40" w:type="dxa"/>
            </w:tcMa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previously funded through</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revenue appropriations </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24,709</w:t>
            </w:r>
          </w:p>
        </w:tc>
        <w:tc>
          <w:tcPr>
            <w:tcW w:w="91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22,214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23,387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22,635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22,999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060"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22,703</w:t>
            </w:r>
          </w:p>
        </w:tc>
        <w:tc>
          <w:tcPr>
            <w:tcW w:w="915" w:type="dxa"/>
            <w:tcBorders>
              <w:top w:val="nil"/>
              <w:left w:val="nil"/>
              <w:bottom w:val="nil"/>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19,672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19,830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19,899</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19,823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060"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Principal repayments on leased</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 </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(20,456)</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(19,592)</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(20,262)</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(20,868)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(21,320)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0"/>
        </w:trPr>
        <w:tc>
          <w:tcPr>
            <w:tcW w:w="3060" w:type="dxa"/>
            <w:tcBorders>
              <w:top w:val="nil"/>
              <w:left w:val="nil"/>
              <w:bottom w:val="single" w:sz="4" w:space="0" w:color="000000"/>
              <w:right w:val="nil"/>
              <w:tl2br w:val="nil"/>
              <w:tr2bl w:val="nil"/>
            </w:tcBorders>
            <w:shd w:val="clear" w:color="auto" w:fill="auto"/>
            <w:tcMar>
              <w:left w:w="135"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20"/>
        </w:trPr>
        <w:tc>
          <w:tcPr>
            <w:tcW w:w="30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excluding depreciation/</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amortisation expenses previously</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funded through revenue</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appropriations, depreciation on </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ROU, principal repayments on </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leased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18,743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975"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2745" w:type="dxa"/>
            <w:gridSpan w:val="3"/>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10"/>
        </w:trPr>
        <w:tc>
          <w:tcPr>
            <w:tcW w:w="7635" w:type="dxa"/>
            <w:gridSpan w:val="6"/>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 From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7635" w:type="dxa"/>
            <w:gridSpan w:val="6"/>
            <w:tcBorders>
              <w:top w:val="nil"/>
              <w:left w:val="nil"/>
              <w:bottom w:val="nil"/>
              <w:right w:val="nil"/>
              <w:tl2br w:val="nil"/>
              <w:tr2bl w:val="nil"/>
            </w:tcBorders>
            <w:shd w:val="clear" w:color="auto" w:fill="auto"/>
            <w:noWrap/>
            <w:tcMar>
              <w:left w:w="40" w:type="dxa"/>
              <w:right w:w="40" w:type="dxa"/>
            </w:tcMa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(b) Applies leases under AASB 16 Leases.</w:t>
            </w:r>
          </w:p>
        </w:tc>
      </w:tr>
    </w:tbl>
    <w:p w:rsidR="001D003E" w:rsidRDefault="001D003E" w:rsidP="001D003E">
      <w:pPr>
        <w:pStyle w:val="TableHeading"/>
        <w:keepLines w:val="0"/>
        <w:pageBreakBefore/>
        <w:pBdr>
          <w:top w:val="nil"/>
          <w:left w:val="nil"/>
          <w:bottom w:val="nil"/>
          <w:right w:val="nil"/>
          <w:between w:val="nil"/>
          <w:bar w:val="nil"/>
        </w:pBdr>
        <w:spacing w:after="0"/>
        <w:jc w:val="left"/>
        <w:rPr>
          <w:rFonts w:eastAsia="Calibri"/>
          <w:bdr w:val="nil"/>
          <w:lang w:eastAsia="en-US"/>
        </w:rPr>
      </w:pPr>
      <w:r>
        <w:rPr>
          <w:rFonts w:eastAsia="Calibri"/>
          <w:bdr w:val="nil"/>
          <w:lang w:eastAsia="en-US"/>
        </w:rPr>
        <w:lastRenderedPageBreak/>
        <w:t xml:space="preserve">Table 3.3a: Budgeted Departmental Balance Sheet (amalgamated) </w:t>
      </w:r>
    </w:p>
    <w:p w:rsidR="001D003E" w:rsidRPr="0092199D" w:rsidRDefault="001D003E" w:rsidP="001D003E">
      <w:pPr>
        <w:pStyle w:val="TableHeading"/>
        <w:keepLines w:val="0"/>
        <w:pBdr>
          <w:top w:val="nil"/>
          <w:left w:val="nil"/>
          <w:bottom w:val="nil"/>
          <w:right w:val="nil"/>
          <w:between w:val="nil"/>
          <w:bar w:val="nil"/>
        </w:pBdr>
        <w:spacing w:before="0" w:after="0"/>
        <w:jc w:val="left"/>
        <w:rPr>
          <w:rFonts w:eastAsia="Calibri"/>
          <w:bdr w:val="nil"/>
          <w:lang w:eastAsia="en-US"/>
        </w:rPr>
      </w:pPr>
      <w:r>
        <w:rPr>
          <w:rFonts w:eastAsia="Calibri"/>
          <w:bdr w:val="nil"/>
          <w:lang w:eastAsia="en-US"/>
        </w:rPr>
        <w:t>(</w:t>
      </w:r>
      <w:r w:rsidRPr="0092199D">
        <w:rPr>
          <w:rFonts w:eastAsia="Calibri"/>
          <w:bdr w:val="nil"/>
          <w:lang w:eastAsia="en-US"/>
        </w:rPr>
        <w:t>as at 30</w:t>
      </w:r>
      <w:r w:rsidRPr="0092199D">
        <w:rPr>
          <w:rFonts w:eastAsia="Calibri"/>
          <w:snapToGrid w:val="0"/>
          <w:bdr w:val="nil"/>
          <w:lang w:eastAsia="en-US"/>
        </w:rPr>
        <w:t> June</w:t>
      </w:r>
      <w:r>
        <w:rPr>
          <w:rFonts w:eastAsia="Calibri"/>
          <w:snapToGrid w:val="0"/>
          <w:bdr w:val="nil"/>
          <w:lang w:eastAsia="en-US"/>
        </w:rPr>
        <w:t>)</w:t>
      </w:r>
    </w:p>
    <w:tbl>
      <w:tblPr>
        <w:tblStyle w:val="CDMRange1"/>
        <w:tblW w:w="7815" w:type="dxa"/>
        <w:tblLayout w:type="fixed"/>
        <w:tblLook w:val="0600" w:firstRow="0" w:lastRow="0" w:firstColumn="0" w:lastColumn="0" w:noHBand="1" w:noVBand="1"/>
      </w:tblPr>
      <w:tblGrid>
        <w:gridCol w:w="3075"/>
        <w:gridCol w:w="930"/>
        <w:gridCol w:w="930"/>
        <w:gridCol w:w="930"/>
        <w:gridCol w:w="975"/>
        <w:gridCol w:w="975"/>
      </w:tblGrid>
      <w:tr w:rsidR="00811FBF" w:rsidTr="009E58DC">
        <w:trPr>
          <w:trHeight w:hRule="exact" w:val="195"/>
          <w:tblHeader/>
        </w:trPr>
        <w:tc>
          <w:tcPr>
            <w:tcW w:w="30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Cash and equivalents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9,950</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11,557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13,042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13,350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13,626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43,229</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44,874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46,584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48,349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49,062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Appropriation receivables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57,091</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57,091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57,091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57,091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57,091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52,001</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50,150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51,718</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56,303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57,148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162,271</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163,672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168,435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175,093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176,927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128,144</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111,375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129,648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106,469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86,355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Infrastructure, plant and equipment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299</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61,434</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61,771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58,922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56,222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53,211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3,478</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3,538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3,539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Assets held for sale</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194,705</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176,986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192,363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166,432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143,293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356,976</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340,658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360,798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341,525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320,220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46,636</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45,791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44,359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43,355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42,776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34,981</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38,933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40,505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42,616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44,998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81,617</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84,724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84,864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85,971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87,774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98,924</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84,210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108,535</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90,211</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74,406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98,924</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84,210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108,535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90,211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74,406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66,994</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69,601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71,962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72,219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72,565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39,482</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34,879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37,141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42,435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42,121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106,476</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104,480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109,103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114,654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114,686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287,017</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273,414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302,502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290,836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276,866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69,959</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67,244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58,296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50,689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43,354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342,258</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362,837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376,844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390,903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405,070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75" w:type="dxa"/>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 (accumulated </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deficit)</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(289,708)</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(313,002)</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(335,957)</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(357,623)</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(379,125)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69,959</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67,244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58,296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50,689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43,354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05"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8"/>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8"/>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8"/>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8"/>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30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8"/>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8"/>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8"/>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65" w:type="dxa"/>
            <w:gridSpan w:val="4"/>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Equity is the residual interest in assets after the deduction of liabilities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bl>
    <w:p w:rsidR="001D003E" w:rsidRPr="001167E1" w:rsidRDefault="001D003E" w:rsidP="001D003E">
      <w:pPr>
        <w:pStyle w:val="TableHeading"/>
        <w:keepLines w:val="0"/>
        <w:pageBreakBefore/>
        <w:pBdr>
          <w:top w:val="nil"/>
          <w:left w:val="nil"/>
          <w:bottom w:val="nil"/>
          <w:right w:val="nil"/>
          <w:between w:val="nil"/>
          <w:bar w:val="nil"/>
        </w:pBdr>
        <w:spacing w:after="0"/>
        <w:jc w:val="left"/>
        <w:rPr>
          <w:rFonts w:eastAsia="Calibri"/>
          <w:bdr w:val="nil"/>
          <w:lang w:eastAsia="en-US"/>
        </w:rPr>
      </w:pPr>
      <w:r>
        <w:rPr>
          <w:rFonts w:eastAsia="Calibri"/>
          <w:bdr w:val="nil"/>
          <w:lang w:eastAsia="en-US"/>
        </w:rPr>
        <w:lastRenderedPageBreak/>
        <w:t>Table 3.4a: Budgeted Departmental Statement of Cash Flows (amalgamated) (</w:t>
      </w:r>
      <w:r w:rsidRPr="001167E1">
        <w:rPr>
          <w:rFonts w:eastAsia="Calibri"/>
          <w:bdr w:val="nil"/>
          <w:lang w:eastAsia="en-US"/>
        </w:rPr>
        <w:t>for the period ended 30 June</w:t>
      </w:r>
      <w:r>
        <w:rPr>
          <w:rFonts w:eastAsia="Calibri"/>
          <w:bdr w:val="nil"/>
          <w:lang w:eastAsia="en-US"/>
        </w:rPr>
        <w:t>)</w:t>
      </w:r>
    </w:p>
    <w:tbl>
      <w:tblPr>
        <w:tblStyle w:val="CDMRange2"/>
        <w:tblW w:w="7800" w:type="dxa"/>
        <w:tblLayout w:type="fixed"/>
        <w:tblLook w:val="0600" w:firstRow="0" w:lastRow="0" w:firstColumn="0" w:lastColumn="0" w:noHBand="1" w:noVBand="1"/>
      </w:tblPr>
      <w:tblGrid>
        <w:gridCol w:w="3225"/>
        <w:gridCol w:w="915"/>
        <w:gridCol w:w="915"/>
        <w:gridCol w:w="915"/>
        <w:gridCol w:w="915"/>
        <w:gridCol w:w="91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379,356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413,284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399,049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289,110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280,843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8,050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63,372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57,903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63,585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71,409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11,828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7,725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7,921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8,512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66,070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5,198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465,304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488,612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468,892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365,724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357,450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191,248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216,280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215,700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188,839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190,470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176,294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80,170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72,639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1,117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1,052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67,253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62,586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52,314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56,534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58,851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448,457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470,264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445,577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339,963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335,009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cash from or (used by)</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16,847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18,348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23,315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25,761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22,441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34,506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non-financial</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34,506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and equipment, and 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12,431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20,579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14,167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Purchase of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29,507</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845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41,938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18,728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15,575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18,644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15,012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 or (used by)  </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(7,432)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(17,728)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(15,575)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(18,644)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(15,012)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Equity Injections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14,424</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20,579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14,007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14,059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14,167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14,424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20,579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14,167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Lease Liability - principal payments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20,456</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19,592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20,262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20,868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21,320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20,456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19,592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20,262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20,868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21,320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 or (used by)  </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(6,032)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987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(6,255)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(7,153)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increase or (decrease)</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3,383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276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beginning of the reporting period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6,567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9,950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11,557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13,042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13,350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end of the reporting period</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9,950</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11,557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13,042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13,350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13,626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4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8"/>
              </w:rPr>
            </w:pPr>
          </w:p>
        </w:tc>
      </w:tr>
    </w:tbl>
    <w:p w:rsidR="001D003E" w:rsidRPr="006209D7" w:rsidRDefault="001D003E" w:rsidP="001D003E">
      <w:pPr>
        <w:pStyle w:val="TableHeading"/>
        <w:keepLines w:val="0"/>
        <w:pageBreakBefore/>
        <w:pBdr>
          <w:top w:val="nil"/>
          <w:left w:val="nil"/>
          <w:bottom w:val="nil"/>
          <w:right w:val="nil"/>
          <w:between w:val="nil"/>
          <w:bar w:val="nil"/>
        </w:pBdr>
        <w:spacing w:after="0"/>
        <w:jc w:val="left"/>
        <w:rPr>
          <w:rFonts w:eastAsia="Calibri"/>
          <w:bdr w:val="nil"/>
          <w:lang w:eastAsia="en-US"/>
        </w:rPr>
      </w:pPr>
      <w:r>
        <w:rPr>
          <w:rFonts w:eastAsia="Calibri"/>
          <w:bdr w:val="nil"/>
          <w:lang w:eastAsia="en-US"/>
        </w:rPr>
        <w:lastRenderedPageBreak/>
        <w:t>Table 3.2b: Departmental Comprehensive Income Statement (DVA excluding</w:t>
      </w:r>
      <w:r>
        <w:rPr>
          <w:rFonts w:eastAsia="Calibri"/>
          <w:bdr w:val="nil"/>
          <w:lang w:eastAsia="en-US"/>
        </w:rPr>
        <w:br/>
        <w:t xml:space="preserve"> DSHIS) (Showing Net Cost of Services) (</w:t>
      </w:r>
      <w:r w:rsidRPr="006209D7">
        <w:rPr>
          <w:rFonts w:eastAsia="Calibri"/>
          <w:snapToGrid w:val="0"/>
          <w:bdr w:val="nil"/>
          <w:lang w:eastAsia="en-US"/>
        </w:rPr>
        <w:t>for the period ended 30 June</w:t>
      </w:r>
      <w:r>
        <w:rPr>
          <w:rFonts w:eastAsia="Calibri"/>
          <w:snapToGrid w:val="0"/>
          <w:bdr w:val="nil"/>
          <w:lang w:eastAsia="en-US"/>
        </w:rPr>
        <w:t>)</w:t>
      </w:r>
    </w:p>
    <w:tbl>
      <w:tblPr>
        <w:tblStyle w:val="CDMRange1"/>
        <w:tblW w:w="7800" w:type="dxa"/>
        <w:tblLayout w:type="fixed"/>
        <w:tblLook w:val="0600" w:firstRow="0" w:lastRow="0" w:firstColumn="0" w:lastColumn="0" w:noHBand="1" w:noVBand="1"/>
      </w:tblPr>
      <w:tblGrid>
        <w:gridCol w:w="3225"/>
        <w:gridCol w:w="915"/>
        <w:gridCol w:w="915"/>
        <w:gridCol w:w="915"/>
        <w:gridCol w:w="915"/>
        <w:gridCol w:w="91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EXPENSE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188,903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213,133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213,417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198,049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197,953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Supplier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164,134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179,662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164,153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69,032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69,992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47,332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41,886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43,217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42,534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42,822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1,928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1,052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402,297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435,959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422,056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310,847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311,819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8,196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8,312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8,448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8,582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8,724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2,615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730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10,811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9,127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9,278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9,432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9,594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10,811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9,127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9,278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9,432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9,594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cost of (contribution by) services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391,486</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426,832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412,778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301,415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302,225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384,181</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404,538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389,823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279,749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280,723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(7,305)</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(22,294)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(22,955)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(21,666)</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(21,502)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2745"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Changes in assets revaluation</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reserve</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1,148</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1,148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 (loss)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(6,157)</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(22,294)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(22,955)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(21,666)</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(21,502)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274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1D003E" w:rsidRPr="006209D7" w:rsidRDefault="001D003E" w:rsidP="001D003E">
      <w:pPr>
        <w:pStyle w:val="TableHeading"/>
        <w:keepLines w:val="0"/>
        <w:pageBreakBefore/>
        <w:pBdr>
          <w:top w:val="nil"/>
          <w:left w:val="nil"/>
          <w:bottom w:val="nil"/>
          <w:right w:val="nil"/>
          <w:between w:val="nil"/>
          <w:bar w:val="nil"/>
        </w:pBdr>
        <w:spacing w:after="0"/>
        <w:jc w:val="left"/>
        <w:rPr>
          <w:rFonts w:eastAsia="Calibri"/>
          <w:bdr w:val="nil"/>
          <w:lang w:eastAsia="en-US"/>
        </w:rPr>
      </w:pPr>
      <w:r>
        <w:rPr>
          <w:rFonts w:eastAsia="Calibri"/>
          <w:bdr w:val="nil"/>
          <w:lang w:eastAsia="en-US"/>
        </w:rPr>
        <w:lastRenderedPageBreak/>
        <w:t>Table 3.2b: Departmental Comprehensive Income Statement (DVA excluding</w:t>
      </w:r>
      <w:r>
        <w:rPr>
          <w:rFonts w:eastAsia="Calibri"/>
          <w:bdr w:val="nil"/>
          <w:lang w:eastAsia="en-US"/>
        </w:rPr>
        <w:br/>
        <w:t xml:space="preserve"> DSHIS) (Showing Net Cost of Services) (</w:t>
      </w:r>
      <w:r w:rsidRPr="006209D7">
        <w:rPr>
          <w:rFonts w:eastAsia="Calibri"/>
          <w:snapToGrid w:val="0"/>
          <w:bdr w:val="nil"/>
          <w:lang w:eastAsia="en-US"/>
        </w:rPr>
        <w:t>for the period ended 30 June</w:t>
      </w:r>
      <w:r>
        <w:rPr>
          <w:rFonts w:eastAsia="Calibri"/>
          <w:snapToGrid w:val="0"/>
          <w:bdr w:val="nil"/>
          <w:lang w:eastAsia="en-US"/>
        </w:rPr>
        <w:t>) (continued)</w:t>
      </w:r>
    </w:p>
    <w:tbl>
      <w:tblPr>
        <w:tblStyle w:val="CDMRange2"/>
        <w:tblW w:w="7889" w:type="dxa"/>
        <w:tblLayout w:type="fixed"/>
        <w:tblLook w:val="0600" w:firstRow="0" w:lastRow="0" w:firstColumn="0" w:lastColumn="0" w:noHBand="1" w:noVBand="1"/>
      </w:tblPr>
      <w:tblGrid>
        <w:gridCol w:w="3340"/>
        <w:gridCol w:w="910"/>
        <w:gridCol w:w="910"/>
        <w:gridCol w:w="909"/>
        <w:gridCol w:w="909"/>
        <w:gridCol w:w="911"/>
      </w:tblGrid>
      <w:tr w:rsidR="00811FBF" w:rsidTr="009E58DC">
        <w:trPr>
          <w:trHeight w:hRule="exact" w:val="236"/>
          <w:tblHeader/>
        </w:trPr>
        <w:tc>
          <w:tcPr>
            <w:tcW w:w="33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5160" w:type="dxa"/>
            <w:gridSpan w:val="3"/>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334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09"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09"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09"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334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09"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09"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09"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09"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334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09"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334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09"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334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9"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9"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9"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9"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334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334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income/ (loss) </w:t>
            </w: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09"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3340"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the statement of</w:t>
            </w: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09"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3340"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(6,157)</w:t>
            </w:r>
          </w:p>
        </w:tc>
        <w:tc>
          <w:tcPr>
            <w:tcW w:w="909"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(22,294)</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(22,955)</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(21,666)</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(21,502)</w:t>
            </w: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334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2"/>
        </w:trPr>
        <w:tc>
          <w:tcPr>
            <w:tcW w:w="3340" w:type="dxa"/>
            <w:tcBorders>
              <w:top w:val="nil"/>
              <w:left w:val="nil"/>
              <w:bottom w:val="nil"/>
              <w:right w:val="nil"/>
              <w:tl2br w:val="nil"/>
              <w:tr2bl w:val="nil"/>
            </w:tcBorders>
            <w:shd w:val="clear" w:color="auto" w:fill="auto"/>
            <w:tcMar>
              <w:left w:w="175" w:type="dxa"/>
              <w:right w:w="40" w:type="dxa"/>
            </w:tcMa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previously funded through</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revenue appropriations</w:t>
            </w:r>
            <w:r>
              <w:rPr>
                <w:rFonts w:ascii="Arial" w:eastAsia="Arial" w:hAnsi="Arial" w:cs="Arial"/>
                <w:color w:val="000000"/>
                <w:sz w:val="16"/>
                <w:vertAlign w:val="superscript"/>
              </w:rPr>
              <w:t xml:space="preserve"> (a)</w:t>
            </w:r>
          </w:p>
        </w:tc>
        <w:tc>
          <w:tcPr>
            <w:tcW w:w="909"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24,629</w:t>
            </w:r>
          </w:p>
        </w:tc>
        <w:tc>
          <w:tcPr>
            <w:tcW w:w="909"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22,214</w:t>
            </w:r>
          </w:p>
        </w:tc>
        <w:tc>
          <w:tcPr>
            <w:tcW w:w="909"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23,387</w:t>
            </w:r>
          </w:p>
        </w:tc>
        <w:tc>
          <w:tcPr>
            <w:tcW w:w="909"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22,635</w:t>
            </w:r>
          </w:p>
        </w:tc>
        <w:tc>
          <w:tcPr>
            <w:tcW w:w="909"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22,999</w:t>
            </w: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7"/>
        </w:trPr>
        <w:tc>
          <w:tcPr>
            <w:tcW w:w="3340" w:type="dxa"/>
            <w:tcBorders>
              <w:top w:val="nil"/>
              <w:left w:val="nil"/>
              <w:bottom w:val="nil"/>
              <w:right w:val="nil"/>
              <w:tl2br w:val="nil"/>
              <w:tr2bl w:val="nil"/>
            </w:tcBorders>
            <w:shd w:val="clear" w:color="auto" w:fill="auto"/>
            <w:tcMar>
              <w:left w:w="175" w:type="dxa"/>
              <w:right w:w="40" w:type="dxa"/>
            </w:tcMa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expenses </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for ROU </w:t>
            </w:r>
            <w:r>
              <w:rPr>
                <w:rFonts w:ascii="Arial" w:eastAsia="Arial" w:hAnsi="Arial" w:cs="Arial"/>
                <w:color w:val="000000"/>
                <w:sz w:val="16"/>
                <w:vertAlign w:val="superscript"/>
              </w:rPr>
              <w:t>(b)</w:t>
            </w:r>
          </w:p>
        </w:tc>
        <w:tc>
          <w:tcPr>
            <w:tcW w:w="909"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22,703</w:t>
            </w:r>
          </w:p>
        </w:tc>
        <w:tc>
          <w:tcPr>
            <w:tcW w:w="909"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19,672</w:t>
            </w:r>
          </w:p>
        </w:tc>
        <w:tc>
          <w:tcPr>
            <w:tcW w:w="909"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19,830</w:t>
            </w:r>
          </w:p>
        </w:tc>
        <w:tc>
          <w:tcPr>
            <w:tcW w:w="909"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19,899</w:t>
            </w:r>
          </w:p>
        </w:tc>
        <w:tc>
          <w:tcPr>
            <w:tcW w:w="909"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19,823</w:t>
            </w: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7"/>
        </w:trPr>
        <w:tc>
          <w:tcPr>
            <w:tcW w:w="3340" w:type="dxa"/>
            <w:tcBorders>
              <w:top w:val="nil"/>
              <w:left w:val="nil"/>
              <w:bottom w:val="nil"/>
              <w:right w:val="nil"/>
              <w:tl2br w:val="nil"/>
              <w:tr2bl w:val="nil"/>
            </w:tcBorders>
            <w:shd w:val="clear" w:color="auto" w:fill="auto"/>
            <w:tcMar>
              <w:left w:w="175" w:type="dxa"/>
              <w:right w:w="40" w:type="dxa"/>
            </w:tcMa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Principal repayments on leased</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r>
              <w:rPr>
                <w:rFonts w:ascii="Arial" w:eastAsia="Arial" w:hAnsi="Arial" w:cs="Arial"/>
                <w:color w:val="000000"/>
                <w:sz w:val="16"/>
                <w:vertAlign w:val="superscript"/>
              </w:rPr>
              <w:t xml:space="preserve"> (b)</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(20,456)</w:t>
            </w:r>
          </w:p>
        </w:tc>
        <w:tc>
          <w:tcPr>
            <w:tcW w:w="909"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(19,592)</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(20,262)</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(20,868)</w:t>
            </w:r>
          </w:p>
        </w:tc>
        <w:tc>
          <w:tcPr>
            <w:tcW w:w="909"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(21,320)</w:t>
            </w: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3340" w:type="dxa"/>
            <w:tcBorders>
              <w:top w:val="nil"/>
              <w:left w:val="nil"/>
              <w:bottom w:val="single" w:sz="4" w:space="0" w:color="000000"/>
              <w:right w:val="nil"/>
              <w:tl2br w:val="nil"/>
              <w:tr2bl w:val="nil"/>
            </w:tcBorders>
            <w:shd w:val="clear" w:color="auto" w:fill="auto"/>
            <w:tcMar>
              <w:left w:w="135" w:type="dxa"/>
              <w:right w:w="0" w:type="dxa"/>
            </w:tcMar>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3"/>
        </w:trPr>
        <w:tc>
          <w:tcPr>
            <w:tcW w:w="334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excluding depreciation/</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amortisation expenses previously</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funded through revenue</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appropriations, depreciation on </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ROU, principal repayments on </w:t>
            </w:r>
          </w:p>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leased assets</w:t>
            </w:r>
          </w:p>
        </w:tc>
        <w:tc>
          <w:tcPr>
            <w:tcW w:w="909"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20,719</w:t>
            </w:r>
          </w:p>
        </w:tc>
        <w:tc>
          <w:tcPr>
            <w:tcW w:w="909"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9"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9"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9"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425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09"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4"/>
        </w:trPr>
        <w:tc>
          <w:tcPr>
            <w:tcW w:w="334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09"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24"/>
        </w:trPr>
        <w:tc>
          <w:tcPr>
            <w:tcW w:w="7889" w:type="dxa"/>
            <w:gridSpan w:val="6"/>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 From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tc>
      </w:tr>
      <w:tr w:rsidR="00811FBF" w:rsidTr="00580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6"/>
        </w:trPr>
        <w:tc>
          <w:tcPr>
            <w:tcW w:w="7889" w:type="dxa"/>
            <w:gridSpan w:val="6"/>
            <w:tcBorders>
              <w:top w:val="nil"/>
              <w:left w:val="nil"/>
              <w:bottom w:val="nil"/>
              <w:right w:val="nil"/>
              <w:tl2br w:val="nil"/>
              <w:tr2bl w:val="nil"/>
            </w:tcBorders>
            <w:shd w:val="clear" w:color="auto" w:fill="auto"/>
            <w:tcMar>
              <w:left w:w="40" w:type="dxa"/>
              <w:right w:w="40" w:type="dxa"/>
            </w:tcMa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(b) Applies leases under AASB 16 Leases.</w:t>
            </w:r>
          </w:p>
        </w:tc>
      </w:tr>
    </w:tbl>
    <w:p w:rsidR="001D003E" w:rsidRPr="00353E70" w:rsidRDefault="001D003E" w:rsidP="001D003E">
      <w:pPr>
        <w:keepLines w:val="0"/>
        <w:pageBreakBefore/>
        <w:pBdr>
          <w:top w:val="nil"/>
          <w:left w:val="nil"/>
          <w:bottom w:val="nil"/>
          <w:right w:val="nil"/>
          <w:between w:val="nil"/>
          <w:bar w:val="nil"/>
        </w:pBdr>
        <w:spacing w:before="120" w:after="0" w:line="240" w:lineRule="auto"/>
        <w:jc w:val="left"/>
        <w:rPr>
          <w:rFonts w:ascii="Times New Roman" w:hAnsi="Times New Roman"/>
          <w:b/>
          <w:sz w:val="24"/>
          <w:szCs w:val="24"/>
          <w:bdr w:val="nil"/>
        </w:rPr>
      </w:pPr>
      <w:r w:rsidRPr="00387B9C">
        <w:rPr>
          <w:rFonts w:ascii="Arial" w:hAnsi="Arial" w:cs="Arial"/>
          <w:b/>
          <w:bdr w:val="nil"/>
        </w:rPr>
        <w:lastRenderedPageBreak/>
        <w:t xml:space="preserve">Table </w:t>
      </w:r>
      <w:r>
        <w:rPr>
          <w:rFonts w:ascii="Arial" w:hAnsi="Arial" w:cs="Arial"/>
          <w:b/>
          <w:bdr w:val="nil"/>
        </w:rPr>
        <w:t>3.3b: Budgeted Departmental Balance S</w:t>
      </w:r>
      <w:r w:rsidRPr="00387B9C">
        <w:rPr>
          <w:rFonts w:ascii="Arial" w:hAnsi="Arial" w:cs="Arial"/>
          <w:b/>
          <w:bdr w:val="nil"/>
        </w:rPr>
        <w:t>heet (DVA excluding DSHIS)</w:t>
      </w:r>
      <w:r w:rsidRPr="00353E70">
        <w:rPr>
          <w:rFonts w:ascii="Times New Roman" w:hAnsi="Times New Roman"/>
          <w:b/>
          <w:sz w:val="24"/>
          <w:szCs w:val="24"/>
          <w:bdr w:val="nil"/>
        </w:rPr>
        <w:t xml:space="preserve"> </w:t>
      </w:r>
      <w:r>
        <w:rPr>
          <w:rFonts w:ascii="Times New Roman" w:hAnsi="Times New Roman"/>
          <w:b/>
          <w:sz w:val="24"/>
          <w:szCs w:val="24"/>
          <w:bdr w:val="nil"/>
        </w:rPr>
        <w:t>(</w:t>
      </w:r>
      <w:r w:rsidRPr="00D37976">
        <w:rPr>
          <w:rFonts w:ascii="Arial" w:hAnsi="Arial" w:cs="Arial"/>
          <w:b/>
          <w:bdr w:val="nil"/>
        </w:rPr>
        <w:t>as at 30 June</w:t>
      </w:r>
      <w:r>
        <w:rPr>
          <w:rFonts w:ascii="Arial" w:hAnsi="Arial" w:cs="Arial"/>
          <w:b/>
          <w:bdr w:val="nil"/>
        </w:rPr>
        <w:t>)</w:t>
      </w:r>
    </w:p>
    <w:tbl>
      <w:tblPr>
        <w:tblStyle w:val="CDMRange1"/>
        <w:tblW w:w="7935" w:type="dxa"/>
        <w:tblLayout w:type="fixed"/>
        <w:tblLook w:val="0600" w:firstRow="0" w:lastRow="0" w:firstColumn="0" w:lastColumn="0" w:noHBand="1" w:noVBand="1"/>
      </w:tblPr>
      <w:tblGrid>
        <w:gridCol w:w="3360"/>
        <w:gridCol w:w="915"/>
        <w:gridCol w:w="915"/>
        <w:gridCol w:w="915"/>
        <w:gridCol w:w="915"/>
        <w:gridCol w:w="915"/>
      </w:tblGrid>
      <w:tr w:rsidR="00811FBF" w:rsidTr="009E58DC">
        <w:trPr>
          <w:trHeight w:hRule="exact" w:val="225"/>
          <w:tblHeader/>
        </w:trPr>
        <w:tc>
          <w:tcPr>
            <w:tcW w:w="336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3,499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6,199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6,541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61,934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61,973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62,013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62,041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62,076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65,433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66,821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68,212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68,411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68,617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3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128,144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111,375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129,648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106,469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86,355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Infrastructure, plant and equipment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61,434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61,771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58,922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56,222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53,211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3,438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3,438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Assets held for sale</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194,665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176,886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192,263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166,332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143,192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260,098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243,707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260,475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234,743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211,809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3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3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40,473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39,469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37,876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36,707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36,001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5,124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6,293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6,859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FFFFFF" w:fill="FFFFFF"/>
            <w:noWrap/>
            <w:tcMar>
              <w:left w:w="40" w:type="dxa"/>
              <w:right w:w="40" w:type="dxa"/>
            </w:tcMar>
            <w:vAlign w:val="center"/>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45,597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44,028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43,058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43,000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42,860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3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98,924</w:t>
            </w:r>
          </w:p>
        </w:tc>
        <w:tc>
          <w:tcPr>
            <w:tcW w:w="91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84,210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108,535</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90,211</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74,406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98,924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84,210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108,535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90,211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74,406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Employees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66,994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69,601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71,962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72,219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72,565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2,010</w:t>
            </w:r>
          </w:p>
        </w:tc>
        <w:tc>
          <w:tcPr>
            <w:tcW w:w="91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2,010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2,010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2,010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2,010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FFFFFF" w:fill="FFFFFF"/>
            <w:noWrap/>
            <w:tcMar>
              <w:left w:w="40" w:type="dxa"/>
              <w:right w:w="40" w:type="dxa"/>
            </w:tcMar>
            <w:vAlign w:val="center"/>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69,004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71,611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73,972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74,229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74,575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213,525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199,849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225,565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207,440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191,841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3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46,573</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43,858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34,910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27,303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19,968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360" w:type="dxa"/>
            <w:tcBorders>
              <w:top w:val="nil"/>
              <w:left w:val="nil"/>
              <w:bottom w:val="nil"/>
              <w:right w:val="nil"/>
              <w:tl2br w:val="nil"/>
              <w:tr2bl w:val="nil"/>
            </w:tcBorders>
            <w:shd w:val="clear" w:color="FFFFFF" w:fill="FFFFFF"/>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342,258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362,837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376,844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390,903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405,070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 deficit)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(313,094)</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(336,388)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(359,343)</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(381,009)</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(402,511)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46,573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43,858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34,910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27,303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19,968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75"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336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6105" w:type="dxa"/>
            <w:gridSpan w:val="4"/>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Equity is the residual interest in assets after the deduction of 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bl>
    <w:p w:rsidR="001D003E" w:rsidRDefault="001D003E" w:rsidP="001D003E">
      <w:pPr>
        <w:pStyle w:val="TableHeading"/>
        <w:keepLines w:val="0"/>
        <w:pageBreakBefore/>
        <w:pBdr>
          <w:top w:val="nil"/>
          <w:left w:val="nil"/>
          <w:bottom w:val="nil"/>
          <w:right w:val="nil"/>
          <w:between w:val="nil"/>
          <w:bar w:val="nil"/>
        </w:pBdr>
        <w:spacing w:after="0"/>
        <w:jc w:val="left"/>
        <w:rPr>
          <w:bdr w:val="nil"/>
        </w:rPr>
      </w:pPr>
      <w:r>
        <w:rPr>
          <w:bdr w:val="nil"/>
        </w:rPr>
        <w:lastRenderedPageBreak/>
        <w:t>Table 3.4b: Budgeted Departmental Statement of Cash Flows (DVA excluding DSHIS) (</w:t>
      </w:r>
      <w:r w:rsidRPr="00C939E2">
        <w:rPr>
          <w:bdr w:val="nil"/>
        </w:rPr>
        <w:t>for the period ended 30 June</w:t>
      </w:r>
      <w:r>
        <w:rPr>
          <w:bdr w:val="nil"/>
        </w:rPr>
        <w:t>)</w:t>
      </w:r>
    </w:p>
    <w:tbl>
      <w:tblPr>
        <w:tblStyle w:val="CDMRange2"/>
        <w:tblW w:w="7635" w:type="dxa"/>
        <w:tblLayout w:type="fixed"/>
        <w:tblLook w:val="0600" w:firstRow="0" w:lastRow="0" w:firstColumn="0" w:lastColumn="0" w:noHBand="1" w:noVBand="1"/>
      </w:tblPr>
      <w:tblGrid>
        <w:gridCol w:w="3060"/>
        <w:gridCol w:w="915"/>
        <w:gridCol w:w="915"/>
        <w:gridCol w:w="915"/>
        <w:gridCol w:w="915"/>
        <w:gridCol w:w="915"/>
      </w:tblGrid>
      <w:tr w:rsidR="00811FBF" w:rsidTr="009E58DC">
        <w:trPr>
          <w:trHeight w:hRule="exact" w:val="225"/>
          <w:tblHeader/>
        </w:trPr>
        <w:tc>
          <w:tcPr>
            <w:tcW w:w="306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379,236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413,164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398,929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288,990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280,723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9,518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7,813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8,540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8,690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8,829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11,803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7,725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7,921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8,512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400,557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428,702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415,390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306,192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289,552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188,315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210,551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210,433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196,681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197,041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185,641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179,960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165,597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68,952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69,968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7,782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18,250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17,747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19,520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1,052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381,738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408,761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393,777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285,153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268,061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cash from (used by)</w:t>
            </w: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18,819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19,941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21,613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21,039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21,491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non-financial</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equipment, and 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12,430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20,579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14,167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12,430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20,579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14,167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 (used by)  </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(12,430)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(19,579)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(14,167)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Contributed equity </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14,424</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20,579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14,007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14,059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14,167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14,424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20,579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14,167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Lease Liability - principal payments</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20,456</w:t>
            </w:r>
          </w:p>
        </w:tc>
        <w:tc>
          <w:tcPr>
            <w:tcW w:w="91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19,592</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20,262</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20,868</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21,320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20,456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19,592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20,262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20,868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21,320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 (used by)  </w:t>
            </w: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(6,032)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987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(6,255)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(7,153)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increase (decrease)</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357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equivalents at the </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beginning of the reporting period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3,142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6,199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6,370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the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end of the reporting period</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3,499</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4,848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6,199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6,370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6,541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890" w:type="dxa"/>
            <w:gridSpan w:val="3"/>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bl>
    <w:p w:rsidR="001D003E" w:rsidRPr="001C6501" w:rsidRDefault="001D003E" w:rsidP="001D003E">
      <w:pPr>
        <w:keepLines w:val="0"/>
        <w:pageBreakBefore/>
        <w:pBdr>
          <w:top w:val="nil"/>
          <w:left w:val="nil"/>
          <w:bottom w:val="nil"/>
          <w:right w:val="nil"/>
          <w:between w:val="nil"/>
          <w:bar w:val="nil"/>
        </w:pBdr>
        <w:spacing w:before="120" w:after="0" w:line="240" w:lineRule="auto"/>
        <w:jc w:val="left"/>
        <w:rPr>
          <w:rFonts w:ascii="Arial" w:hAnsi="Arial" w:cs="Arial"/>
          <w:bdr w:val="nil"/>
        </w:rPr>
      </w:pPr>
      <w:r w:rsidRPr="001C6501">
        <w:rPr>
          <w:rFonts w:ascii="Arial" w:hAnsi="Arial" w:cs="Arial"/>
          <w:b/>
          <w:bdr w:val="nil"/>
        </w:rPr>
        <w:lastRenderedPageBreak/>
        <w:t xml:space="preserve">Table </w:t>
      </w:r>
      <w:r>
        <w:rPr>
          <w:rFonts w:ascii="Arial" w:hAnsi="Arial" w:cs="Arial"/>
          <w:b/>
          <w:bdr w:val="nil"/>
        </w:rPr>
        <w:t>3.2c: Departmental Comprehensive Income Statement (DSHIS) (S</w:t>
      </w:r>
      <w:r w:rsidRPr="001C6501">
        <w:rPr>
          <w:rFonts w:ascii="Arial" w:hAnsi="Arial" w:cs="Arial"/>
          <w:b/>
          <w:bdr w:val="nil"/>
        </w:rPr>
        <w:t>howing</w:t>
      </w:r>
      <w:r>
        <w:rPr>
          <w:rFonts w:ascii="Arial" w:hAnsi="Arial" w:cs="Arial"/>
          <w:b/>
          <w:bdr w:val="nil"/>
        </w:rPr>
        <w:br/>
        <w:t xml:space="preserve"> Net Cost of S</w:t>
      </w:r>
      <w:r w:rsidRPr="001C6501">
        <w:rPr>
          <w:rFonts w:ascii="Arial" w:hAnsi="Arial" w:cs="Arial"/>
          <w:b/>
          <w:bdr w:val="nil"/>
        </w:rPr>
        <w:t xml:space="preserve">ervices) </w:t>
      </w:r>
      <w:r>
        <w:rPr>
          <w:rFonts w:ascii="Arial" w:hAnsi="Arial" w:cs="Arial"/>
          <w:b/>
          <w:bdr w:val="nil"/>
        </w:rPr>
        <w:t>(</w:t>
      </w:r>
      <w:r w:rsidRPr="00762B36">
        <w:rPr>
          <w:rFonts w:ascii="Arial" w:hAnsi="Arial" w:cs="Arial"/>
          <w:b/>
          <w:bdr w:val="nil"/>
        </w:rPr>
        <w:t>for the period ended 30 June</w:t>
      </w:r>
      <w:r>
        <w:rPr>
          <w:rFonts w:ascii="Arial" w:hAnsi="Arial" w:cs="Arial"/>
          <w:b/>
          <w:bdr w:val="nil"/>
        </w:rPr>
        <w:t>)</w:t>
      </w:r>
    </w:p>
    <w:tbl>
      <w:tblPr>
        <w:tblStyle w:val="CDMRange1"/>
        <w:tblW w:w="7635" w:type="dxa"/>
        <w:tblLayout w:type="fixed"/>
        <w:tblLook w:val="0600" w:firstRow="0" w:lastRow="0" w:firstColumn="0" w:lastColumn="0" w:noHBand="1" w:noVBand="1"/>
      </w:tblPr>
      <w:tblGrid>
        <w:gridCol w:w="3060"/>
        <w:gridCol w:w="915"/>
        <w:gridCol w:w="915"/>
        <w:gridCol w:w="915"/>
        <w:gridCol w:w="915"/>
        <w:gridCol w:w="915"/>
      </w:tblGrid>
      <w:tr w:rsidR="00811FBF" w:rsidTr="009E58DC">
        <w:trPr>
          <w:trHeight w:hRule="exact" w:val="225"/>
          <w:tblHeader/>
        </w:trPr>
        <w:tc>
          <w:tcPr>
            <w:tcW w:w="306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3,187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5,346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5,426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Supplier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4,788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4,762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4,834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37,191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39,839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46,070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58,584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45,246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49,651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56,029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62,195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68,844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39,115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45,576</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51,601</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57,379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63,601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3,890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5,058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43,070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49,531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55,909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62,075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68,724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43,070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49,531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55,909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62,075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68,724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contribution by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2,176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Surplus (Deficit) after income tax</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(2,056)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income/ (loss)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(2,056)</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05"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 (loss)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as per the statement of</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tcMar>
              <w:left w:w="22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(2,056)</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Plus non-appropriated expenses: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60" w:type="dxa"/>
            <w:tcBorders>
              <w:top w:val="nil"/>
              <w:left w:val="nil"/>
              <w:bottom w:val="nil"/>
              <w:right w:val="nil"/>
              <w:tl2br w:val="nil"/>
              <w:tr2bl w:val="nil"/>
            </w:tcBorders>
            <w:shd w:val="clear" w:color="auto" w:fill="auto"/>
            <w:tcMar>
              <w:left w:w="40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 (loss)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excluding depreciation and </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22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amortisation expenses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(1,976)</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975"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bl>
    <w:p w:rsidR="001D003E" w:rsidRDefault="001D003E" w:rsidP="001D003E">
      <w:pPr>
        <w:pStyle w:val="TableHeading"/>
        <w:keepLines w:val="0"/>
        <w:pageBreakBefore/>
        <w:pBdr>
          <w:top w:val="nil"/>
          <w:left w:val="nil"/>
          <w:bottom w:val="nil"/>
          <w:right w:val="nil"/>
          <w:between w:val="nil"/>
          <w:bar w:val="nil"/>
        </w:pBdr>
        <w:spacing w:after="0"/>
        <w:jc w:val="left"/>
        <w:rPr>
          <w:bdr w:val="nil"/>
        </w:rPr>
      </w:pPr>
      <w:r>
        <w:rPr>
          <w:bdr w:val="nil"/>
        </w:rPr>
        <w:lastRenderedPageBreak/>
        <w:t>Table 3.3c: Budgeted Departmental Balance Sheet (DSHIS) (</w:t>
      </w:r>
      <w:r w:rsidRPr="006F2C20">
        <w:rPr>
          <w:bdr w:val="nil"/>
        </w:rPr>
        <w:t>as at 30 June</w:t>
      </w:r>
      <w:r>
        <w:rPr>
          <w:bdr w:val="nil"/>
        </w:rPr>
        <w:t>)</w:t>
      </w:r>
    </w:p>
    <w:tbl>
      <w:tblPr>
        <w:tblStyle w:val="CDMRange2"/>
        <w:tblW w:w="7635" w:type="dxa"/>
        <w:tblLayout w:type="fixed"/>
        <w:tblLook w:val="0600" w:firstRow="0" w:lastRow="0" w:firstColumn="0" w:lastColumn="0" w:noHBand="1" w:noVBand="1"/>
      </w:tblPr>
      <w:tblGrid>
        <w:gridCol w:w="3060"/>
        <w:gridCol w:w="915"/>
        <w:gridCol w:w="915"/>
        <w:gridCol w:w="915"/>
        <w:gridCol w:w="915"/>
        <w:gridCol w:w="915"/>
      </w:tblGrid>
      <w:tr w:rsidR="00811FBF" w:rsidTr="009E58DC">
        <w:trPr>
          <w:trHeight w:hRule="exact" w:val="225"/>
          <w:tblHeader/>
        </w:trPr>
        <w:tc>
          <w:tcPr>
            <w:tcW w:w="306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6,451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6,843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7,085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40,155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41,761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43,431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45,168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45,846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52,001</w:t>
            </w:r>
          </w:p>
        </w:tc>
        <w:tc>
          <w:tcPr>
            <w:tcW w:w="91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50,150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51,718</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56,303</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57,148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98,607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98,620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101,992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108,451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110,079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91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98,647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98,720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102,092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108,551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110,180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Suppliers and accruals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7,932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8,091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8,252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8,417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8,544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29,857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34,374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35,323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36,323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38,139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37,789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42,465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43,575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44,740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46,683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Provision for claims</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37,472</w:t>
            </w:r>
          </w:p>
        </w:tc>
        <w:tc>
          <w:tcPr>
            <w:tcW w:w="91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32,869</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35,131</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40,425</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40,111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37,472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32,869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35,131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40,425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40,111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75,261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75,334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78,706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85,165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86,794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auto"/>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60"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 </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23,386</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23,386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23,386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23,386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23,386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23,386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890" w:type="dxa"/>
            <w:gridSpan w:val="3"/>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306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05" w:type="dxa"/>
            <w:gridSpan w:val="4"/>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Equity is the residual interest in assets after the deduction of 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bl>
    <w:p w:rsidR="001D003E" w:rsidRPr="001134D8" w:rsidRDefault="001D003E" w:rsidP="001D003E">
      <w:pPr>
        <w:keepLines w:val="0"/>
        <w:pageBreakBefore/>
        <w:pBdr>
          <w:top w:val="nil"/>
          <w:left w:val="nil"/>
          <w:bottom w:val="nil"/>
          <w:right w:val="nil"/>
          <w:between w:val="nil"/>
          <w:bar w:val="nil"/>
        </w:pBdr>
        <w:spacing w:before="120" w:after="0" w:line="240" w:lineRule="auto"/>
        <w:jc w:val="left"/>
        <w:rPr>
          <w:rFonts w:ascii="Arial" w:hAnsi="Arial" w:cs="Arial"/>
          <w:bdr w:val="nil"/>
        </w:rPr>
      </w:pPr>
      <w:r w:rsidRPr="001134D8">
        <w:rPr>
          <w:rFonts w:ascii="Arial" w:hAnsi="Arial" w:cs="Arial"/>
          <w:b/>
          <w:bdr w:val="nil"/>
        </w:rPr>
        <w:lastRenderedPageBreak/>
        <w:t xml:space="preserve">Table </w:t>
      </w:r>
      <w:r>
        <w:rPr>
          <w:rFonts w:ascii="Arial" w:hAnsi="Arial" w:cs="Arial"/>
          <w:b/>
          <w:bdr w:val="nil"/>
        </w:rPr>
        <w:t>3.4c: Budgeted Departmental Statement of Cash Flows (DSHIS) (</w:t>
      </w:r>
      <w:r w:rsidRPr="00685C5D">
        <w:rPr>
          <w:rFonts w:ascii="Arial" w:hAnsi="Arial" w:cs="Arial"/>
          <w:b/>
          <w:bdr w:val="nil"/>
        </w:rPr>
        <w:t>for the period ended 30 June</w:t>
      </w:r>
      <w:r>
        <w:rPr>
          <w:rFonts w:ascii="Arial" w:hAnsi="Arial" w:cs="Arial"/>
          <w:b/>
          <w:bdr w:val="nil"/>
        </w:rPr>
        <w:t>)</w:t>
      </w:r>
    </w:p>
    <w:tbl>
      <w:tblPr>
        <w:tblStyle w:val="CDMRange1"/>
        <w:tblW w:w="7800" w:type="dxa"/>
        <w:tblLayout w:type="fixed"/>
        <w:tblLook w:val="0600" w:firstRow="0" w:lastRow="0" w:firstColumn="0" w:lastColumn="0" w:noHBand="1" w:noVBand="1"/>
      </w:tblPr>
      <w:tblGrid>
        <w:gridCol w:w="3225"/>
        <w:gridCol w:w="915"/>
        <w:gridCol w:w="915"/>
        <w:gridCol w:w="915"/>
        <w:gridCol w:w="915"/>
        <w:gridCol w:w="915"/>
      </w:tblGrid>
      <w:tr w:rsidR="00811FBF" w:rsidTr="009E58DC">
        <w:trPr>
          <w:trHeight w:hRule="exact" w:val="225"/>
          <w:tblHeader/>
        </w:trPr>
        <w:tc>
          <w:tcPr>
            <w:tcW w:w="322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Appropriations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Sales of goods and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54,538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56,969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50,861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56,623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64,691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11,532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5,058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66,215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61,519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55,224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61,374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69,869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3,187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5,346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5,426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17,382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4,642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47,619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52,984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43,789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46,774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58,851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68,188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63,112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53,522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56,652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68,919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cash from (used by)</w:t>
            </w: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single" w:sz="4" w:space="0" w:color="auto"/>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(1,973)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4,722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950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225" w:type="dxa"/>
            <w:tcBorders>
              <w:top w:val="nil"/>
              <w:left w:val="nil"/>
              <w:bottom w:val="nil"/>
              <w:right w:val="nil"/>
              <w:tl2br w:val="nil"/>
              <w:tr2bl w:val="nil"/>
            </w:tcBorders>
            <w:shd w:val="clear" w:color="FFFFFF" w:fill="FFFFFF"/>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34,506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34,506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Purchase of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29,507</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845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29,507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4,585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 (used by)  </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auto"/>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4,999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(4,585)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increase (decrease)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in cash held</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3,026</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258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137</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equivalents at the </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beginning of the reporting period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3,425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6,451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6,843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6,980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the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end of the reporting period</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6,451</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6,709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6,980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7,085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14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bl>
    <w:p w:rsidR="001D003E" w:rsidRDefault="001D003E" w:rsidP="001D003E">
      <w:pPr>
        <w:pStyle w:val="TableHeading"/>
        <w:keepLines w:val="0"/>
        <w:pageBreakBefore/>
        <w:pBdr>
          <w:top w:val="nil"/>
          <w:left w:val="nil"/>
          <w:bottom w:val="nil"/>
          <w:right w:val="nil"/>
          <w:between w:val="nil"/>
          <w:bar w:val="nil"/>
        </w:pBdr>
        <w:spacing w:after="0"/>
        <w:jc w:val="left"/>
        <w:rPr>
          <w:rFonts w:eastAsia="Calibri"/>
          <w:bdr w:val="nil"/>
          <w:lang w:eastAsia="en-US"/>
        </w:rPr>
      </w:pPr>
      <w:r>
        <w:rPr>
          <w:rFonts w:eastAsia="Calibri"/>
          <w:bdr w:val="nil"/>
          <w:lang w:eastAsia="en-US"/>
        </w:rPr>
        <w:lastRenderedPageBreak/>
        <w:t xml:space="preserve">Table 3.5: Departmental Statement of Changes in Equity – Summary of Movement (Budget Year 2021-22) </w:t>
      </w:r>
    </w:p>
    <w:tbl>
      <w:tblPr>
        <w:tblStyle w:val="CDMRange2"/>
        <w:tblW w:w="7560" w:type="dxa"/>
        <w:tblLayout w:type="fixed"/>
        <w:tblLook w:val="0600" w:firstRow="0" w:lastRow="0" w:firstColumn="0" w:lastColumn="0" w:noHBand="1" w:noVBand="1"/>
      </w:tblPr>
      <w:tblGrid>
        <w:gridCol w:w="180"/>
        <w:gridCol w:w="180"/>
        <w:gridCol w:w="2700"/>
        <w:gridCol w:w="1125"/>
        <w:gridCol w:w="1125"/>
        <w:gridCol w:w="1125"/>
        <w:gridCol w:w="1125"/>
      </w:tblGrid>
      <w:tr w:rsidR="00811FBF" w:rsidTr="009E58DC">
        <w:trPr>
          <w:trHeight w:hRule="exact" w:val="240"/>
          <w:tblHeader/>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2021</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12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(289,705)</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17,409</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342,258</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69,962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(289,708)</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17,409</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342,258</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69,959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Comprehensive income surplus/(deficit) for the period</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(22,294)</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(22,294)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 attributable to the Australian Government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(22,294)</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(22,294)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i/>
                <w:color w:val="000000"/>
                <w:sz w:val="16"/>
              </w:rPr>
            </w:pPr>
          </w:p>
        </w:tc>
        <w:tc>
          <w:tcPr>
            <w:tcW w:w="18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2700"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Distribution to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Contribution by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6,872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6,872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(DCBs)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13,707</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13,707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  Other</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20,579</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19,579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w:t>
            </w: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28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2022</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(313,002)</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17,409</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362,837</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67,244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10" w:type="dxa"/>
            <w:gridSpan w:val="5"/>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bl>
    <w:p w:rsidR="001D003E" w:rsidRDefault="001D003E" w:rsidP="001D003E">
      <w:pPr>
        <w:pStyle w:val="TableHeading"/>
        <w:keepLines w:val="0"/>
        <w:pageBreakBefore/>
        <w:pBdr>
          <w:top w:val="nil"/>
          <w:left w:val="nil"/>
          <w:bottom w:val="nil"/>
          <w:right w:val="nil"/>
          <w:between w:val="nil"/>
          <w:bar w:val="nil"/>
        </w:pBdr>
        <w:spacing w:after="0"/>
        <w:jc w:val="left"/>
        <w:rPr>
          <w:rFonts w:eastAsia="Calibri"/>
          <w:bdr w:val="nil"/>
          <w:lang w:eastAsia="en-US"/>
        </w:rPr>
      </w:pPr>
      <w:r>
        <w:rPr>
          <w:rFonts w:eastAsia="Calibri"/>
          <w:bdr w:val="nil"/>
          <w:lang w:eastAsia="en-US"/>
        </w:rPr>
        <w:lastRenderedPageBreak/>
        <w:t>Table 3.6: Departmental Capital Budget Statement (for the period ended 30 June)</w:t>
      </w:r>
    </w:p>
    <w:tbl>
      <w:tblPr>
        <w:tblStyle w:val="CDMRange1"/>
        <w:tblW w:w="7920" w:type="dxa"/>
        <w:tblLayout w:type="fixed"/>
        <w:tblLook w:val="0600" w:firstRow="0" w:lastRow="0" w:firstColumn="0" w:lastColumn="0" w:noHBand="1" w:noVBand="1"/>
      </w:tblPr>
      <w:tblGrid>
        <w:gridCol w:w="3345"/>
        <w:gridCol w:w="915"/>
        <w:gridCol w:w="915"/>
        <w:gridCol w:w="915"/>
        <w:gridCol w:w="915"/>
        <w:gridCol w:w="915"/>
      </w:tblGrid>
      <w:tr w:rsidR="00811FBF" w:rsidTr="009E58DC">
        <w:trPr>
          <w:trHeight w:hRule="exact" w:val="225"/>
          <w:tblHeader/>
        </w:trPr>
        <w:tc>
          <w:tcPr>
            <w:tcW w:w="33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 xml:space="preserve">Forward </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 xml:space="preserve">Forward </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 xml:space="preserve">Forward </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8"/>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8"/>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8"/>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8"/>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CAPITAL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4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and Bill 3 (Departmental Capital Budget)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13,694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13,866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13,974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 and Bill 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6,596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capital appropriations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20,290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18,959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14,167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Represented by: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20,290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18,959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14,167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items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20,290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18,959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14,167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2,198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7,451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4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 Departmental Capital Budget</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13,694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13,866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13,974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45" w:type="dxa"/>
            <w:tcBorders>
              <w:top w:val="nil"/>
              <w:left w:val="nil"/>
              <w:bottom w:val="nil"/>
              <w:right w:val="nil"/>
              <w:tl2br w:val="nil"/>
              <w:tr2bl w:val="nil"/>
            </w:tcBorders>
            <w:shd w:val="clear" w:color="auto" w:fill="auto"/>
            <w:tcMar>
              <w:left w:w="175"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 resources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253</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16,145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21,158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14,167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8"/>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12,468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20,579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14,059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14,167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less additions by finance lease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less additions by creditors / borrowings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plus borrowing / finance costs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31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less s32 / restructuring</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tcBorders>
              <w:top w:val="nil"/>
              <w:left w:val="nil"/>
              <w:bottom w:val="single" w:sz="4" w:space="0" w:color="000000"/>
              <w:right w:val="nil"/>
              <w:tl2br w:val="nil"/>
              <w:tr2bl w:val="nil"/>
            </w:tcBorders>
            <w:shd w:val="clear" w:color="auto" w:fill="auto"/>
            <w:noWrap/>
            <w:tcMar>
              <w:left w:w="175"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acquire assets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12,468</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20,579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14,007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14,059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14,167</w:t>
            </w:r>
          </w:p>
        </w:tc>
      </w:tr>
    </w:tbl>
    <w:p w:rsidR="001D003E" w:rsidRPr="00970D85" w:rsidRDefault="001D003E" w:rsidP="001D003E">
      <w:pPr>
        <w:pStyle w:val="ListParagraph3"/>
        <w:numPr>
          <w:ilvl w:val="0"/>
          <w:numId w:val="6"/>
        </w:numPr>
        <w:spacing w:after="0" w:line="240" w:lineRule="auto"/>
        <w:ind w:right="566"/>
        <w:jc w:val="both"/>
        <w:rPr>
          <w:rFonts w:ascii="Arial" w:hAnsi="Arial" w:cs="Arial"/>
          <w:sz w:val="16"/>
          <w:szCs w:val="16"/>
        </w:rPr>
      </w:pPr>
      <w:r>
        <w:rPr>
          <w:rFonts w:ascii="Arial" w:hAnsi="Arial" w:cs="Arial"/>
          <w:sz w:val="16"/>
          <w:szCs w:val="16"/>
        </w:rPr>
        <w:t xml:space="preserve">Includes </w:t>
      </w:r>
      <w:r w:rsidRPr="003D65B7">
        <w:rPr>
          <w:rFonts w:ascii="Arial" w:hAnsi="Arial" w:cs="Arial"/>
          <w:sz w:val="16"/>
          <w:szCs w:val="16"/>
        </w:rPr>
        <w:t>current Appropriation Bill (No. 4) and prior year Appropriation Act No. 2/4/6.</w:t>
      </w:r>
    </w:p>
    <w:p w:rsidR="001D003E" w:rsidRPr="001F025D" w:rsidRDefault="001D003E" w:rsidP="001D003E">
      <w:pPr>
        <w:pStyle w:val="ListParagraph3"/>
        <w:numPr>
          <w:ilvl w:val="0"/>
          <w:numId w:val="6"/>
        </w:numPr>
        <w:spacing w:after="0" w:line="240" w:lineRule="auto"/>
        <w:ind w:right="566"/>
        <w:jc w:val="both"/>
        <w:rPr>
          <w:rFonts w:ascii="Arial" w:hAnsi="Arial" w:cs="Arial"/>
          <w:sz w:val="16"/>
          <w:szCs w:val="16"/>
        </w:rPr>
      </w:pPr>
      <w:r>
        <w:rPr>
          <w:rFonts w:ascii="Arial" w:hAnsi="Arial" w:cs="Arial"/>
          <w:sz w:val="16"/>
          <w:szCs w:val="16"/>
        </w:rPr>
        <w:t>I</w:t>
      </w:r>
      <w:r w:rsidRPr="001F025D">
        <w:rPr>
          <w:rFonts w:ascii="Arial" w:hAnsi="Arial" w:cs="Arial"/>
          <w:sz w:val="16"/>
          <w:szCs w:val="16"/>
        </w:rPr>
        <w:t>ncludes the following sources of funding:</w:t>
      </w:r>
    </w:p>
    <w:p w:rsidR="001D003E" w:rsidRPr="009E2DCB" w:rsidRDefault="001D003E" w:rsidP="001D003E">
      <w:pPr>
        <w:pStyle w:val="ListParagraph3"/>
        <w:spacing w:after="0" w:line="240" w:lineRule="auto"/>
        <w:ind w:left="360" w:right="566"/>
        <w:jc w:val="both"/>
        <w:rPr>
          <w:rFonts w:ascii="Arial" w:hAnsi="Arial" w:cs="Arial"/>
          <w:sz w:val="16"/>
          <w:szCs w:val="16"/>
        </w:rPr>
      </w:pPr>
      <w:r w:rsidRPr="001F025D">
        <w:rPr>
          <w:rFonts w:ascii="Arial" w:hAnsi="Arial" w:cs="Arial"/>
          <w:sz w:val="16"/>
          <w:szCs w:val="16"/>
        </w:rPr>
        <w:t>- current Appropriation Bill (No. 3) and prior year Appropri</w:t>
      </w:r>
      <w:r>
        <w:rPr>
          <w:rFonts w:ascii="Arial" w:hAnsi="Arial" w:cs="Arial"/>
          <w:sz w:val="16"/>
          <w:szCs w:val="16"/>
        </w:rPr>
        <w:t>ation Act 1/3/5 appropriations</w:t>
      </w:r>
      <w:r w:rsidRPr="001F025D">
        <w:rPr>
          <w:rFonts w:ascii="Arial" w:hAnsi="Arial" w:cs="Arial"/>
          <w:sz w:val="16"/>
          <w:szCs w:val="16"/>
        </w:rPr>
        <w:t>;</w:t>
      </w:r>
      <w:r>
        <w:rPr>
          <w:rFonts w:ascii="Arial" w:hAnsi="Arial" w:cs="Arial"/>
          <w:sz w:val="16"/>
          <w:szCs w:val="16"/>
        </w:rPr>
        <w:t xml:space="preserve"> </w:t>
      </w:r>
      <w:r w:rsidRPr="009E2DCB">
        <w:rPr>
          <w:rFonts w:ascii="Arial" w:hAnsi="Arial" w:cs="Arial"/>
          <w:sz w:val="16"/>
          <w:szCs w:val="16"/>
        </w:rPr>
        <w:t>and</w:t>
      </w:r>
    </w:p>
    <w:p w:rsidR="001D003E" w:rsidRPr="009E2DCB" w:rsidRDefault="001D003E" w:rsidP="001D003E">
      <w:pPr>
        <w:pStyle w:val="ListParagraph3"/>
        <w:spacing w:after="0" w:line="240" w:lineRule="auto"/>
        <w:ind w:left="360" w:right="566"/>
        <w:jc w:val="both"/>
        <w:rPr>
          <w:rFonts w:ascii="Arial" w:hAnsi="Arial" w:cs="Arial"/>
          <w:sz w:val="16"/>
          <w:szCs w:val="16"/>
        </w:rPr>
      </w:pPr>
      <w:r>
        <w:rPr>
          <w:rFonts w:ascii="Arial" w:hAnsi="Arial" w:cs="Arial"/>
          <w:sz w:val="16"/>
          <w:szCs w:val="16"/>
        </w:rPr>
        <w:t>- internally developed assets.</w:t>
      </w:r>
    </w:p>
    <w:p w:rsidR="001D003E" w:rsidRPr="00BB64D6" w:rsidRDefault="001D003E" w:rsidP="001D003E">
      <w:pPr>
        <w:pStyle w:val="ListParagraph3"/>
        <w:spacing w:after="0" w:line="240" w:lineRule="auto"/>
        <w:ind w:left="360" w:right="566"/>
        <w:jc w:val="both"/>
        <w:rPr>
          <w:rFonts w:ascii="Arial" w:hAnsi="Arial" w:cs="Arial"/>
          <w:sz w:val="16"/>
          <w:szCs w:val="16"/>
        </w:rPr>
      </w:pPr>
      <w:r>
        <w:t xml:space="preserve"> </w:t>
      </w:r>
    </w:p>
    <w:p w:rsidR="001D003E" w:rsidRDefault="001D003E" w:rsidP="001D003E">
      <w:pPr>
        <w:pStyle w:val="TableHeading"/>
        <w:keepLines w:val="0"/>
        <w:pageBreakBefore/>
        <w:pBdr>
          <w:top w:val="nil"/>
          <w:left w:val="nil"/>
          <w:bottom w:val="nil"/>
          <w:right w:val="nil"/>
          <w:between w:val="nil"/>
          <w:bar w:val="nil"/>
        </w:pBdr>
        <w:jc w:val="left"/>
        <w:rPr>
          <w:bdr w:val="nil"/>
        </w:rPr>
      </w:pPr>
      <w:r>
        <w:rPr>
          <w:bdr w:val="nil"/>
        </w:rPr>
        <w:lastRenderedPageBreak/>
        <w:t>Table 3.7: Statement of Asset Movements (2021-22 Budget year)</w:t>
      </w:r>
    </w:p>
    <w:tbl>
      <w:tblPr>
        <w:tblStyle w:val="CDMRange2"/>
        <w:tblW w:w="7950" w:type="dxa"/>
        <w:tblLayout w:type="fixed"/>
        <w:tblLook w:val="0600" w:firstRow="0" w:lastRow="0" w:firstColumn="0" w:lastColumn="0" w:noHBand="1" w:noVBand="1"/>
      </w:tblPr>
      <w:tblGrid>
        <w:gridCol w:w="3120"/>
        <w:gridCol w:w="870"/>
        <w:gridCol w:w="1215"/>
        <w:gridCol w:w="1020"/>
        <w:gridCol w:w="810"/>
        <w:gridCol w:w="915"/>
      </w:tblGrid>
      <w:tr w:rsidR="00811FBF" w:rsidTr="009E58DC">
        <w:trPr>
          <w:trHeight w:hRule="exact" w:val="225"/>
          <w:tblHeader/>
        </w:trPr>
        <w:tc>
          <w:tcPr>
            <w:tcW w:w="31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2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L&amp;B IP&amp;E</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infrastructure,</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held for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sale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2021</w:t>
            </w: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32,952</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777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195,028</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230,107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137,471</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137,645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(1,130)</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(496)</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(133,591)</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(135,217)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 - ROU</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(41,149)</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(156)</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(41,305)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128,144</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299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61,437</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191,230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new or replacement assets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By purchase or internally developed:</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Appropriation equity</w:t>
            </w:r>
            <w:r>
              <w:rPr>
                <w:rFonts w:ascii="Arial" w:eastAsia="Arial" w:hAnsi="Arial" w:cs="Arial"/>
                <w:color w:val="000000"/>
                <w:sz w:val="16"/>
                <w:vertAlign w:val="superscript"/>
              </w:rPr>
              <w:t>a</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9,575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9,575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120"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Appropriation ordinary annual services</w:t>
            </w:r>
            <w:r>
              <w:rPr>
                <w:rFonts w:ascii="Arial" w:eastAsia="Arial" w:hAnsi="Arial" w:cs="Arial"/>
                <w:color w:val="000000"/>
                <w:sz w:val="16"/>
                <w:vertAlign w:val="superscript"/>
              </w:rPr>
              <w:t>b</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4,765</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6,139</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11,004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By purchase - ROU</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4,759</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4,878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9,524</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15,714</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25,457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(6,701)</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(136)</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(15,377)</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(22,214)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(19,592)</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(19,672)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Disposals</w:t>
            </w:r>
            <w:r>
              <w:rPr>
                <w:rFonts w:ascii="Arial" w:eastAsia="Arial" w:hAnsi="Arial" w:cs="Arial"/>
                <w:color w:val="000000"/>
                <w:sz w:val="16"/>
                <w:vertAlign w:val="superscript"/>
              </w:rPr>
              <w:t>c</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(1,350)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(26,293)</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(15,377)</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(43,236)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2022</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37,717</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877</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210,739</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249,333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142,230</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293</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142,523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(7,831)</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(632)</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(148,968)</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(157,431)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 - ROU</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(60,741)</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(236)</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(60,977)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111,375</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302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61,771</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173,448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95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1D003E" w:rsidRDefault="001D003E" w:rsidP="001D003E">
      <w:pPr>
        <w:pStyle w:val="ListParagraph4"/>
        <w:numPr>
          <w:ilvl w:val="0"/>
          <w:numId w:val="7"/>
        </w:numPr>
        <w:spacing w:before="120" w:after="0" w:line="240" w:lineRule="auto"/>
        <w:rPr>
          <w:rFonts w:ascii="Arial" w:hAnsi="Arial" w:cs="Arial"/>
          <w:sz w:val="16"/>
          <w:szCs w:val="16"/>
        </w:rPr>
      </w:pPr>
      <w:r w:rsidRPr="00F458E2">
        <w:rPr>
          <w:rFonts w:ascii="Arial" w:hAnsi="Arial" w:cs="Arial"/>
          <w:sz w:val="16"/>
          <w:szCs w:val="16"/>
        </w:rPr>
        <w:t xml:space="preserve">"Appropriation equity" refers to equity injections or Administered Assets and Liabilities appropriations provided through </w:t>
      </w:r>
      <w:r w:rsidRPr="00F458E2">
        <w:rPr>
          <w:rFonts w:ascii="Arial" w:hAnsi="Arial" w:cs="Arial"/>
          <w:i/>
          <w:sz w:val="16"/>
          <w:szCs w:val="16"/>
        </w:rPr>
        <w:t>Appropriation Act (No. 2) 2021-22</w:t>
      </w:r>
      <w:r>
        <w:rPr>
          <w:rFonts w:ascii="Arial" w:hAnsi="Arial" w:cs="Arial"/>
          <w:sz w:val="16"/>
          <w:szCs w:val="16"/>
        </w:rPr>
        <w:t xml:space="preserve"> </w:t>
      </w:r>
      <w:r w:rsidRPr="00F458E2">
        <w:rPr>
          <w:rFonts w:ascii="Arial" w:hAnsi="Arial" w:cs="Arial"/>
          <w:sz w:val="16"/>
          <w:szCs w:val="16"/>
        </w:rPr>
        <w:t xml:space="preserve">and </w:t>
      </w:r>
      <w:r w:rsidRPr="00F458E2">
        <w:rPr>
          <w:rFonts w:ascii="Arial" w:hAnsi="Arial" w:cs="Arial"/>
          <w:i/>
          <w:sz w:val="16"/>
          <w:szCs w:val="16"/>
        </w:rPr>
        <w:t>Appropriation Bill (No. 4) 2021-22,</w:t>
      </w:r>
      <w:r w:rsidRPr="00F458E2">
        <w:rPr>
          <w:rFonts w:ascii="Arial" w:hAnsi="Arial" w:cs="Arial"/>
          <w:sz w:val="16"/>
          <w:szCs w:val="16"/>
        </w:rPr>
        <w:t xml:space="preserve"> including Collection Development Acquisition Budget.</w:t>
      </w:r>
    </w:p>
    <w:p w:rsidR="001D003E" w:rsidRDefault="001D003E" w:rsidP="001D003E">
      <w:pPr>
        <w:pStyle w:val="ListParagraph4"/>
        <w:numPr>
          <w:ilvl w:val="0"/>
          <w:numId w:val="7"/>
        </w:numPr>
        <w:spacing w:after="0" w:line="240" w:lineRule="auto"/>
        <w:rPr>
          <w:rFonts w:ascii="Arial" w:hAnsi="Arial" w:cs="Arial"/>
          <w:sz w:val="16"/>
          <w:szCs w:val="16"/>
        </w:rPr>
      </w:pPr>
      <w:r w:rsidRPr="009507CC">
        <w:rPr>
          <w:rFonts w:ascii="Arial" w:hAnsi="Arial" w:cs="Arial"/>
          <w:sz w:val="16"/>
          <w:szCs w:val="16"/>
        </w:rPr>
        <w:t xml:space="preserve">“Appropriation ordinary annual services” refers to funding provided through </w:t>
      </w:r>
      <w:r w:rsidRPr="00F458E2">
        <w:rPr>
          <w:rFonts w:ascii="Arial" w:hAnsi="Arial" w:cs="Arial"/>
          <w:i/>
          <w:sz w:val="16"/>
          <w:szCs w:val="16"/>
        </w:rPr>
        <w:t xml:space="preserve">Appropriation Act (No. 1) 2021-22 </w:t>
      </w:r>
      <w:r w:rsidRPr="00F458E2">
        <w:rPr>
          <w:rFonts w:ascii="Arial" w:hAnsi="Arial" w:cs="Arial"/>
          <w:sz w:val="16"/>
          <w:szCs w:val="16"/>
        </w:rPr>
        <w:t xml:space="preserve">and </w:t>
      </w:r>
      <w:r w:rsidRPr="00F458E2">
        <w:rPr>
          <w:rFonts w:ascii="Arial" w:hAnsi="Arial" w:cs="Arial"/>
          <w:i/>
          <w:sz w:val="16"/>
          <w:szCs w:val="16"/>
        </w:rPr>
        <w:t>Appropriation Bill (No. 3) 2021-22</w:t>
      </w:r>
      <w:r w:rsidRPr="00F458E2">
        <w:rPr>
          <w:rFonts w:ascii="Arial" w:hAnsi="Arial" w:cs="Arial"/>
          <w:sz w:val="16"/>
          <w:szCs w:val="16"/>
        </w:rPr>
        <w:t xml:space="preserve"> for depreciation/amortisation expenses, Departmental Capital Budget or other operational expenses.</w:t>
      </w:r>
    </w:p>
    <w:p w:rsidR="001D003E" w:rsidRPr="00656C4B" w:rsidRDefault="001D003E" w:rsidP="001D003E">
      <w:pPr>
        <w:pStyle w:val="ListParagraph4"/>
        <w:numPr>
          <w:ilvl w:val="0"/>
          <w:numId w:val="7"/>
        </w:numPr>
        <w:spacing w:after="0" w:line="240" w:lineRule="auto"/>
        <w:rPr>
          <w:rFonts w:ascii="Arial" w:hAnsi="Arial" w:cs="Arial"/>
          <w:sz w:val="16"/>
          <w:szCs w:val="16"/>
        </w:rPr>
      </w:pPr>
      <w:r>
        <w:rPr>
          <w:rFonts w:ascii="Arial" w:hAnsi="Arial" w:cs="Arial"/>
          <w:sz w:val="16"/>
          <w:szCs w:val="16"/>
        </w:rPr>
        <w:t>Net proceeds may be returned to the Official Public Account.</w:t>
      </w:r>
    </w:p>
    <w:p w:rsidR="001D003E" w:rsidRDefault="001D003E" w:rsidP="001D003E">
      <w:pPr>
        <w:pStyle w:val="TableHeading"/>
        <w:keepLines w:val="0"/>
        <w:pageBreakBefore/>
        <w:pBdr>
          <w:top w:val="nil"/>
          <w:left w:val="nil"/>
          <w:bottom w:val="nil"/>
          <w:right w:val="nil"/>
          <w:between w:val="nil"/>
          <w:bar w:val="nil"/>
        </w:pBdr>
        <w:spacing w:after="0"/>
        <w:jc w:val="left"/>
        <w:rPr>
          <w:bdr w:val="nil"/>
        </w:rPr>
      </w:pPr>
      <w:r>
        <w:rPr>
          <w:bdr w:val="nil"/>
        </w:rPr>
        <w:lastRenderedPageBreak/>
        <w:t>Table 3.8: Schedule of Budgeted Income and Expenses Administered on Behalf of Government (</w:t>
      </w:r>
      <w:r w:rsidRPr="007134A3">
        <w:rPr>
          <w:bdr w:val="nil"/>
        </w:rPr>
        <w:t>for the period ended 30 June</w:t>
      </w:r>
      <w:r>
        <w:rPr>
          <w:bdr w:val="nil"/>
        </w:rPr>
        <w:t>)</w:t>
      </w:r>
    </w:p>
    <w:tbl>
      <w:tblPr>
        <w:tblStyle w:val="CDMRange1"/>
        <w:tblW w:w="8520" w:type="dxa"/>
        <w:tblLayout w:type="fixed"/>
        <w:tblLook w:val="0600" w:firstRow="0" w:lastRow="0" w:firstColumn="0" w:lastColumn="0" w:noHBand="1" w:noVBand="1"/>
      </w:tblPr>
      <w:tblGrid>
        <w:gridCol w:w="3120"/>
        <w:gridCol w:w="1080"/>
        <w:gridCol w:w="1080"/>
        <w:gridCol w:w="1080"/>
        <w:gridCol w:w="1080"/>
        <w:gridCol w:w="1080"/>
      </w:tblGrid>
      <w:tr w:rsidR="00811FBF" w:rsidTr="009E58DC">
        <w:trPr>
          <w:trHeight w:hRule="exact" w:val="225"/>
          <w:tblHeader/>
        </w:trPr>
        <w:tc>
          <w:tcPr>
            <w:tcW w:w="31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08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EXPENSES ADMINISTERED ON</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BEHALF OF GOVERNMENT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11,031</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11,290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10,790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10,939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11,083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21,593</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33,531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43,217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20,756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13,592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11,938,157</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7,451,507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7,679,846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6,562,575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6,493,511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Health Care Payments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10,517,573</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5,454,956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5,218,865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5,150,032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5,265,252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44,241</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42,748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41,253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41,319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28,945</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50,035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51,115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45,761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44,327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r>
              <w:rPr>
                <w:rFonts w:ascii="Arial" w:eastAsia="Arial" w:hAnsi="Arial" w:cs="Arial"/>
                <w:color w:val="000000"/>
                <w:sz w:val="16"/>
                <w:vertAlign w:val="superscript"/>
              </w:rPr>
              <w:t>(a)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3,760</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w:t>
            </w:r>
          </w:p>
        </w:tc>
        <w:tc>
          <w:tcPr>
            <w:tcW w:w="1080"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single" w:sz="4" w:space="0" w:color="auto"/>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22,565,300</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13,047,412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13,046,581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11,831,316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11,869,084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BEBEB"/>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18,444</w:t>
            </w:r>
          </w:p>
        </w:tc>
        <w:tc>
          <w:tcPr>
            <w:tcW w:w="108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21,094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21,118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20,728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11,436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18,444</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21,094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21,118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20,728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11,436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 administered</w:t>
            </w:r>
          </w:p>
        </w:tc>
        <w:tc>
          <w:tcPr>
            <w:tcW w:w="1080" w:type="dxa"/>
            <w:tcBorders>
              <w:top w:val="single" w:sz="4" w:space="0" w:color="000000"/>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single" w:sz="4" w:space="0" w:color="000000"/>
              <w:left w:val="nil"/>
              <w:bottom w:val="single" w:sz="4" w:space="0" w:color="auto"/>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single" w:sz="4" w:space="0" w:color="000000"/>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single" w:sz="4" w:space="0" w:color="000000"/>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single" w:sz="4" w:space="0" w:color="000000"/>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18,444</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21,094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21,118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20,728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11,436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Cost of (contribution by)</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services</w:t>
            </w:r>
          </w:p>
        </w:tc>
        <w:tc>
          <w:tcPr>
            <w:tcW w:w="108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22,546,856</w:t>
            </w:r>
          </w:p>
        </w:tc>
        <w:tc>
          <w:tcPr>
            <w:tcW w:w="1080"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13,026,318</w:t>
            </w:r>
          </w:p>
        </w:tc>
        <w:tc>
          <w:tcPr>
            <w:tcW w:w="108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13,025,463</w:t>
            </w:r>
          </w:p>
        </w:tc>
        <w:tc>
          <w:tcPr>
            <w:tcW w:w="108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11,810,588</w:t>
            </w:r>
          </w:p>
        </w:tc>
        <w:tc>
          <w:tcPr>
            <w:tcW w:w="108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11,857,648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Surplus (Deficit)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(22,546,856)</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(13,026,318)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(13,025,463)</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(11,810,588)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(11,857,648)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22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Changes in asset revaluation surplus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Revaluation transferred to reserves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108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108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 (loss)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single" w:sz="4" w:space="0" w:color="000000"/>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(22,536,856)</w:t>
            </w:r>
          </w:p>
        </w:tc>
        <w:tc>
          <w:tcPr>
            <w:tcW w:w="108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(13,026,318)</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(13,025,463)</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(11,810,588)</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(11,857,648)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80" w:type="dxa"/>
            <w:gridSpan w:val="3"/>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50"/>
        </w:trPr>
        <w:tc>
          <w:tcPr>
            <w:tcW w:w="8520" w:type="dxa"/>
            <w:gridSpan w:val="6"/>
            <w:tcBorders>
              <w:top w:val="nil"/>
              <w:left w:val="nil"/>
              <w:bottom w:val="nil"/>
              <w:right w:val="nil"/>
              <w:tl2br w:val="nil"/>
              <w:tr2bl w:val="nil"/>
            </w:tcBorders>
            <w:shd w:val="clear" w:color="auto" w:fill="auto"/>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(a) From 2010-11, the Government introduced net cash appropriation arrangements where Appropriation Act </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(No. 1) or Bill (No. 3) revenue appropriations for the depreciation/amortisation expenses of non-corporate Commonwealth entities (and select corporate Commonwealth entities) were replaced with a separate Administered Capital Budget (ACB) provided through Appropriation Act (No. 1) or Bill (No. 3) equity appropriations.</w:t>
            </w:r>
          </w:p>
        </w:tc>
      </w:tr>
    </w:tbl>
    <w:p w:rsidR="001D003E" w:rsidRDefault="001D003E" w:rsidP="001D003E">
      <w:pPr>
        <w:pStyle w:val="TableHeading"/>
        <w:keepLines w:val="0"/>
        <w:pageBreakBefore/>
        <w:pBdr>
          <w:top w:val="nil"/>
          <w:left w:val="nil"/>
          <w:bottom w:val="nil"/>
          <w:right w:val="nil"/>
          <w:between w:val="nil"/>
          <w:bar w:val="nil"/>
        </w:pBdr>
        <w:spacing w:after="0"/>
        <w:jc w:val="left"/>
        <w:rPr>
          <w:bdr w:val="nil"/>
        </w:rPr>
      </w:pPr>
      <w:r>
        <w:rPr>
          <w:bdr w:val="nil"/>
        </w:rPr>
        <w:lastRenderedPageBreak/>
        <w:t>Table 3.9: Schedule of Budgeted Assets and Liabilities Administered on Behalf of Government (</w:t>
      </w:r>
      <w:r w:rsidRPr="00151EF0">
        <w:rPr>
          <w:bdr w:val="nil"/>
        </w:rPr>
        <w:t>as at 30 June</w:t>
      </w:r>
      <w:r>
        <w:rPr>
          <w:bdr w:val="nil"/>
        </w:rPr>
        <w:t>)</w:t>
      </w:r>
    </w:p>
    <w:tbl>
      <w:tblPr>
        <w:tblStyle w:val="CDMRange2"/>
        <w:tblW w:w="8325" w:type="dxa"/>
        <w:tblLayout w:type="fixed"/>
        <w:tblLook w:val="0600" w:firstRow="0" w:lastRow="0" w:firstColumn="0" w:lastColumn="0" w:noHBand="1" w:noVBand="1"/>
      </w:tblPr>
      <w:tblGrid>
        <w:gridCol w:w="2775"/>
        <w:gridCol w:w="1110"/>
        <w:gridCol w:w="1110"/>
        <w:gridCol w:w="1110"/>
        <w:gridCol w:w="1110"/>
        <w:gridCol w:w="1110"/>
      </w:tblGrid>
      <w:tr w:rsidR="00811FBF" w:rsidTr="009E58DC">
        <w:trPr>
          <w:trHeight w:hRule="exact" w:val="225"/>
          <w:tblHeader/>
        </w:trPr>
        <w:tc>
          <w:tcPr>
            <w:tcW w:w="27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11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ASSETS ADMINISTERED ON </w:t>
            </w: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BEHALF OF GOVERNMENT</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receivables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78,864</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82,421</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82,461</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82,536</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82,536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1,542,454</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1,685,863</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1,851,410</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1,903,963</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1,913,939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1,654,740</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1,801,706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1,967,293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2,019,921</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2,029,897</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71,315</w:t>
            </w:r>
          </w:p>
        </w:tc>
        <w:tc>
          <w:tcPr>
            <w:tcW w:w="1110"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71,315</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71,315</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71,315</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71,315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71,315</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71,315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71,315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71,315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71,315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assets administered </w:t>
            </w:r>
          </w:p>
        </w:tc>
        <w:tc>
          <w:tcPr>
            <w:tcW w:w="111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single" w:sz="4" w:space="0" w:color="auto"/>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on behalf of government</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1,726,055</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1,873,021</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2,038,608</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2,091,236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2,101,212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277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LIABILITIES ADMINISTERED </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ON BEHALF OF GOVERNMENT</w:t>
            </w:r>
          </w:p>
        </w:tc>
        <w:tc>
          <w:tcPr>
            <w:tcW w:w="111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Personal benefits payables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26,455</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62,995</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71,830</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81,865</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94,381</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Grants payables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5,169</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5,035</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5,045</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5,045</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5,045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Health and other payables</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58,982</w:t>
            </w:r>
          </w:p>
        </w:tc>
        <w:tc>
          <w:tcPr>
            <w:tcW w:w="1110"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59,005</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59,020</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59,039</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59,039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90,606</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127,035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135,895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145,949</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158,465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3,377</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3,377</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3,242</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3,085</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3,085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Personal benefits provisions</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25,129,516</w:t>
            </w:r>
          </w:p>
        </w:tc>
        <w:tc>
          <w:tcPr>
            <w:tcW w:w="1110" w:type="dxa"/>
            <w:tcBorders>
              <w:top w:val="nil"/>
              <w:left w:val="nil"/>
              <w:bottom w:val="nil"/>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25,633,318</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26,234,216</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27,049,716</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27,877,416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Health and other provisions</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21,157,197</w:t>
            </w:r>
          </w:p>
        </w:tc>
        <w:tc>
          <w:tcPr>
            <w:tcW w:w="1110"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22,524,085</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23,622,247</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24,735,112</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25,862,218</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46,290,090</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48,160,780</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49,859,705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51,787,913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53,742,719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775"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w:t>
            </w:r>
          </w:p>
        </w:tc>
        <w:tc>
          <w:tcPr>
            <w:tcW w:w="1110" w:type="dxa"/>
            <w:tcBorders>
              <w:top w:val="nil"/>
              <w:left w:val="nil"/>
              <w:bottom w:val="single" w:sz="4" w:space="0" w:color="auto"/>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b/>
                <w:color w:val="000000"/>
                <w:sz w:val="16"/>
              </w:rPr>
            </w:pPr>
          </w:p>
        </w:tc>
        <w:tc>
          <w:tcPr>
            <w:tcW w:w="1110" w:type="dxa"/>
            <w:tcBorders>
              <w:top w:val="nil"/>
              <w:left w:val="nil"/>
              <w:bottom w:val="single" w:sz="4" w:space="0" w:color="auto"/>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behalf of the government</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46,380,696</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48,287,815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49,995,600</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51,933,862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53,901,184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325"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1D003E" w:rsidRPr="000A2095" w:rsidRDefault="001D003E" w:rsidP="001D003E">
      <w:pPr>
        <w:keepLines w:val="0"/>
        <w:pageBreakBefore/>
        <w:pBdr>
          <w:top w:val="nil"/>
          <w:left w:val="nil"/>
          <w:bottom w:val="nil"/>
          <w:right w:val="nil"/>
          <w:between w:val="nil"/>
          <w:bar w:val="nil"/>
        </w:pBdr>
        <w:spacing w:before="120" w:after="0" w:line="240" w:lineRule="auto"/>
        <w:jc w:val="left"/>
        <w:rPr>
          <w:rFonts w:ascii="Arial" w:hAnsi="Arial" w:cs="Arial"/>
          <w:b/>
          <w:bdr w:val="nil"/>
        </w:rPr>
      </w:pPr>
      <w:r w:rsidRPr="000A2095">
        <w:rPr>
          <w:rFonts w:ascii="Arial" w:hAnsi="Arial" w:cs="Arial"/>
          <w:b/>
          <w:bdr w:val="nil"/>
        </w:rPr>
        <w:lastRenderedPageBreak/>
        <w:t xml:space="preserve">Table </w:t>
      </w:r>
      <w:r>
        <w:rPr>
          <w:rFonts w:ascii="Arial" w:hAnsi="Arial" w:cs="Arial"/>
          <w:b/>
          <w:bdr w:val="nil"/>
        </w:rPr>
        <w:t>3.10: Schedule of Budgeted Administered Cash Flows (</w:t>
      </w:r>
      <w:r w:rsidRPr="00A11A44">
        <w:rPr>
          <w:rFonts w:ascii="Arial" w:hAnsi="Arial" w:cs="Arial"/>
          <w:b/>
          <w:bdr w:val="nil"/>
        </w:rPr>
        <w:t>for the period ended 30 June</w:t>
      </w:r>
      <w:r>
        <w:rPr>
          <w:rFonts w:ascii="Arial" w:hAnsi="Arial" w:cs="Arial"/>
          <w:b/>
          <w:bdr w:val="nil"/>
        </w:rPr>
        <w:t>)</w:t>
      </w:r>
    </w:p>
    <w:tbl>
      <w:tblPr>
        <w:tblStyle w:val="CDMRange1"/>
        <w:tblW w:w="8040" w:type="dxa"/>
        <w:tblLayout w:type="fixed"/>
        <w:tblLook w:val="0600" w:firstRow="0" w:lastRow="0" w:firstColumn="0" w:lastColumn="0" w:noHBand="1" w:noVBand="1"/>
      </w:tblPr>
      <w:tblGrid>
        <w:gridCol w:w="2490"/>
        <w:gridCol w:w="1110"/>
        <w:gridCol w:w="1110"/>
        <w:gridCol w:w="1110"/>
        <w:gridCol w:w="1110"/>
        <w:gridCol w:w="1110"/>
      </w:tblGrid>
      <w:tr w:rsidR="00811FBF" w:rsidTr="009E58DC">
        <w:trPr>
          <w:trHeight w:hRule="exact" w:val="225"/>
          <w:tblHeader/>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11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righ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51,178</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8,611</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20,981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21,078</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20,653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11,436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59,789</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68,981</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69,078</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68,653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59,436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6,753,918</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6,911,552</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7,070,113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5,737,040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5,653,295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Health Payments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4,046,208</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4,185,840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4,219,803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4,130,909</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4,230,473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Grant payments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19,171</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36,962</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43,207</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20,756</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13,592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10,968</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11,290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10,925</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11,096</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11,083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9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Payments to Australian War Memorial</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44,241</w:t>
            </w:r>
          </w:p>
        </w:tc>
        <w:tc>
          <w:tcPr>
            <w:tcW w:w="1110" w:type="dxa"/>
            <w:tcBorders>
              <w:top w:val="nil"/>
              <w:left w:val="nil"/>
              <w:bottom w:val="single" w:sz="4" w:space="0" w:color="auto"/>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42,748</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41,253</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41,319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10,874,506</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11,191,737</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11,386,796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9,941,054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9,949,762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 (used by) </w:t>
            </w:r>
          </w:p>
        </w:tc>
        <w:tc>
          <w:tcPr>
            <w:tcW w:w="111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(10,814,717)</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(11,122,756)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(11,317,718)</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(9,872,401)</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(9,890,326)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9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Payments to Australian War Memorial</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55,306</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165,547</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52,553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9,976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55,306</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165,547</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52,553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9,976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cash from (used) by</w:t>
            </w:r>
          </w:p>
        </w:tc>
        <w:tc>
          <w:tcPr>
            <w:tcW w:w="111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110" w:type="dxa"/>
            <w:tcBorders>
              <w:top w:val="single" w:sz="4" w:space="0" w:color="auto"/>
              <w:left w:val="nil"/>
              <w:bottom w:val="single" w:sz="4" w:space="0" w:color="000000"/>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2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(55,306)</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(165,547)</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(52,553)</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(9,976)</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Net decrease in cash held</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(10,870,023)</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(11,266,165)</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(11,483,265)</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(9,924,954)</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(9,900,302)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9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beginning of reporting period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50,614</w:t>
            </w:r>
          </w:p>
        </w:tc>
        <w:tc>
          <w:tcPr>
            <w:tcW w:w="111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9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10,912,582</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11,280,072</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11,497,583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9,939,147</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9,914,495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90" w:type="dxa"/>
            <w:tcBorders>
              <w:top w:val="nil"/>
              <w:left w:val="nil"/>
              <w:bottom w:val="nil"/>
              <w:right w:val="nil"/>
              <w:tl2br w:val="nil"/>
              <w:tr2bl w:val="nil"/>
            </w:tcBorders>
            <w:shd w:val="clear" w:color="auto" w:fill="auto"/>
            <w:tcMar>
              <w:left w:w="22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to Official Public </w:t>
            </w:r>
          </w:p>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Account</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(59,751)</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(13,907)</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(14,318)</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(14,193)</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(14,193)</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at end of reporting period</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33,422</w:t>
            </w:r>
          </w:p>
        </w:tc>
        <w:tc>
          <w:tcPr>
            <w:tcW w:w="111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33,422</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33,422</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33,422</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33,422</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04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1D003E" w:rsidRDefault="001D003E" w:rsidP="001D003E">
      <w:pPr>
        <w:pStyle w:val="TableHeading"/>
        <w:keepLines w:val="0"/>
        <w:pageBreakBefore/>
        <w:pBdr>
          <w:top w:val="nil"/>
          <w:left w:val="nil"/>
          <w:bottom w:val="nil"/>
          <w:right w:val="nil"/>
          <w:between w:val="nil"/>
          <w:bar w:val="nil"/>
        </w:pBdr>
        <w:jc w:val="left"/>
        <w:rPr>
          <w:bdr w:val="nil"/>
        </w:rPr>
      </w:pPr>
      <w:r>
        <w:rPr>
          <w:bdr w:val="nil"/>
        </w:rPr>
        <w:lastRenderedPageBreak/>
        <w:t>Table 3.11: Statement of Administered Asset Movements (2021-22 Budget year)</w:t>
      </w:r>
    </w:p>
    <w:tbl>
      <w:tblPr>
        <w:tblStyle w:val="CDMRange2"/>
        <w:tblW w:w="7815" w:type="dxa"/>
        <w:tblLayout w:type="fixed"/>
        <w:tblLook w:val="0600" w:firstRow="0" w:lastRow="0" w:firstColumn="0" w:lastColumn="0" w:noHBand="1" w:noVBand="1"/>
      </w:tblPr>
      <w:tblGrid>
        <w:gridCol w:w="180"/>
        <w:gridCol w:w="2805"/>
        <w:gridCol w:w="810"/>
        <w:gridCol w:w="870"/>
        <w:gridCol w:w="1215"/>
        <w:gridCol w:w="1020"/>
        <w:gridCol w:w="915"/>
      </w:tblGrid>
      <w:tr w:rsidR="00811FBF" w:rsidTr="009E58DC">
        <w:trPr>
          <w:trHeight w:hRule="exact" w:val="225"/>
          <w:tblHeader/>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2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infrastructure,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b/>
                <w:color w:val="00000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2021</w:t>
            </w: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56,702</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5,494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13,333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75,529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(4,214)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(4,214)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56,702</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5,494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9,119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71,315</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new or replacement assets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By purchase or internally developed: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Appropriation equity</w:t>
            </w:r>
            <w:r>
              <w:rPr>
                <w:rFonts w:ascii="Arial" w:eastAsia="Arial" w:hAnsi="Arial" w:cs="Arial"/>
                <w:color w:val="000000"/>
                <w:sz w:val="16"/>
                <w:vertAlign w:val="superscript"/>
              </w:rPr>
              <w:t>a</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Appropriation ordinary annual services</w:t>
            </w:r>
            <w:r>
              <w:rPr>
                <w:rFonts w:ascii="Arial" w:eastAsia="Arial" w:hAnsi="Arial" w:cs="Arial"/>
                <w:color w:val="000000"/>
                <w:sz w:val="16"/>
                <w:vertAlign w:val="superscript"/>
              </w:rPr>
              <w:t>b</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811FBF" w:rsidRDefault="00811FBF">
            <w:pPr>
              <w:spacing w:after="0" w:line="240" w:lineRule="auto"/>
              <w:jc w:val="lef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2022</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56,702</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5,494</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13,333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75,529</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right"/>
              <w:rPr>
                <w:rFonts w:ascii="Arial" w:eastAsia="Arial" w:hAnsi="Arial" w:cs="Arial"/>
                <w:color w:val="000000"/>
                <w:sz w:val="16"/>
              </w:rPr>
            </w:pP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811FBF" w:rsidRDefault="00811FBF">
            <w:pPr>
              <w:spacing w:after="0" w:line="240" w:lineRule="auto"/>
              <w:jc w:val="left"/>
              <w:rPr>
                <w:rFonts w:ascii="Arial" w:eastAsia="Arial" w:hAnsi="Arial" w:cs="Arial"/>
                <w:color w:val="000000"/>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811FBF" w:rsidRDefault="001D003E">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(4,214)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right"/>
              <w:rPr>
                <w:rFonts w:ascii="Arial" w:eastAsia="Arial" w:hAnsi="Arial" w:cs="Arial"/>
                <w:color w:val="000000"/>
                <w:sz w:val="16"/>
              </w:rPr>
            </w:pPr>
            <w:r>
              <w:rPr>
                <w:rFonts w:ascii="Arial" w:eastAsia="Arial" w:hAnsi="Arial" w:cs="Arial"/>
                <w:color w:val="000000"/>
                <w:sz w:val="16"/>
              </w:rPr>
              <w:t>(4,214)</w:t>
            </w:r>
          </w:p>
        </w:tc>
      </w:tr>
      <w:tr w:rsidR="00811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811FBF" w:rsidRDefault="001D003E">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56,702</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5,494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9,119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811FBF" w:rsidRDefault="001D003E">
            <w:pPr>
              <w:spacing w:after="0" w:line="240" w:lineRule="auto"/>
              <w:jc w:val="right"/>
              <w:rPr>
                <w:rFonts w:ascii="Arial" w:eastAsia="Arial" w:hAnsi="Arial" w:cs="Arial"/>
                <w:b/>
                <w:color w:val="000000"/>
                <w:sz w:val="16"/>
              </w:rPr>
            </w:pPr>
            <w:r>
              <w:rPr>
                <w:rFonts w:ascii="Arial" w:eastAsia="Arial" w:hAnsi="Arial" w:cs="Arial"/>
                <w:b/>
                <w:color w:val="000000"/>
                <w:sz w:val="16"/>
              </w:rPr>
              <w:t>71,315</w:t>
            </w:r>
          </w:p>
        </w:tc>
      </w:tr>
    </w:tbl>
    <w:p w:rsidR="001D003E" w:rsidRDefault="001D003E" w:rsidP="001D003E">
      <w:pPr>
        <w:pStyle w:val="ListParagraph5"/>
        <w:spacing w:before="120" w:after="0" w:line="240" w:lineRule="auto"/>
        <w:ind w:left="0"/>
        <w:rPr>
          <w:rFonts w:ascii="Arial" w:hAnsi="Arial" w:cs="Arial"/>
          <w:sz w:val="16"/>
          <w:szCs w:val="16"/>
        </w:rPr>
      </w:pPr>
      <w:r>
        <w:rPr>
          <w:rFonts w:ascii="Arial" w:hAnsi="Arial" w:cs="Arial"/>
          <w:sz w:val="16"/>
          <w:szCs w:val="16"/>
        </w:rPr>
        <w:t>Prepared on Australian Accounting Standards basis</w:t>
      </w:r>
    </w:p>
    <w:p w:rsidR="001D003E" w:rsidRDefault="001D003E" w:rsidP="001D003E">
      <w:pPr>
        <w:pStyle w:val="ListParagraph5"/>
        <w:spacing w:before="120" w:after="0" w:line="240" w:lineRule="auto"/>
        <w:ind w:left="0"/>
        <w:rPr>
          <w:rFonts w:ascii="Arial" w:hAnsi="Arial" w:cs="Arial"/>
          <w:sz w:val="16"/>
          <w:szCs w:val="16"/>
        </w:rPr>
      </w:pPr>
    </w:p>
    <w:p w:rsidR="001D003E" w:rsidRDefault="001D003E" w:rsidP="001D003E">
      <w:pPr>
        <w:pStyle w:val="ListParagraph5"/>
        <w:numPr>
          <w:ilvl w:val="0"/>
          <w:numId w:val="8"/>
        </w:numPr>
        <w:spacing w:before="120" w:after="0" w:line="240" w:lineRule="auto"/>
        <w:rPr>
          <w:rFonts w:ascii="Arial" w:hAnsi="Arial" w:cs="Arial"/>
          <w:sz w:val="16"/>
          <w:szCs w:val="16"/>
        </w:rPr>
      </w:pPr>
      <w:r w:rsidRPr="00B40281">
        <w:rPr>
          <w:rFonts w:ascii="Arial" w:hAnsi="Arial" w:cs="Arial"/>
          <w:sz w:val="16"/>
          <w:szCs w:val="16"/>
        </w:rPr>
        <w:t>Includes current Appropriation Bill (No. 4) and prior year Appropriation Act No. 2/4/6.</w:t>
      </w:r>
    </w:p>
    <w:p w:rsidR="001D003E" w:rsidRPr="00B40281" w:rsidRDefault="001D003E" w:rsidP="001D003E">
      <w:pPr>
        <w:pStyle w:val="ListParagraph5"/>
        <w:numPr>
          <w:ilvl w:val="0"/>
          <w:numId w:val="8"/>
        </w:numPr>
        <w:spacing w:after="0" w:line="240" w:lineRule="auto"/>
        <w:rPr>
          <w:rFonts w:ascii="Arial" w:hAnsi="Arial" w:cs="Arial"/>
          <w:sz w:val="16"/>
          <w:szCs w:val="16"/>
        </w:rPr>
      </w:pPr>
      <w:r w:rsidRPr="00B40281">
        <w:rPr>
          <w:rFonts w:ascii="Arial" w:hAnsi="Arial" w:cs="Arial"/>
          <w:sz w:val="16"/>
          <w:szCs w:val="16"/>
        </w:rPr>
        <w:t>Includes the following sources of funding:</w:t>
      </w:r>
    </w:p>
    <w:p w:rsidR="001D003E" w:rsidRPr="00B40281" w:rsidRDefault="001D003E" w:rsidP="001D003E">
      <w:pPr>
        <w:pStyle w:val="ListParagraph5"/>
        <w:spacing w:after="0" w:line="240" w:lineRule="auto"/>
        <w:ind w:left="360"/>
        <w:rPr>
          <w:rFonts w:ascii="Arial" w:hAnsi="Arial" w:cs="Arial"/>
          <w:sz w:val="16"/>
          <w:szCs w:val="16"/>
        </w:rPr>
      </w:pPr>
      <w:r w:rsidRPr="00B40281">
        <w:rPr>
          <w:rFonts w:ascii="Arial" w:hAnsi="Arial" w:cs="Arial"/>
          <w:sz w:val="16"/>
          <w:szCs w:val="16"/>
        </w:rPr>
        <w:t>- current Appropriation Bill (No. 3) and prior year Appropriation Act 1/3/5 (including ACBs);</w:t>
      </w:r>
    </w:p>
    <w:p w:rsidR="001D003E" w:rsidRPr="00B40281" w:rsidRDefault="001D003E" w:rsidP="001D003E">
      <w:pPr>
        <w:pStyle w:val="ListParagraph5"/>
        <w:spacing w:after="0" w:line="240" w:lineRule="auto"/>
        <w:ind w:left="360"/>
        <w:rPr>
          <w:rFonts w:ascii="Arial" w:hAnsi="Arial" w:cs="Arial"/>
          <w:sz w:val="16"/>
          <w:szCs w:val="16"/>
        </w:rPr>
      </w:pPr>
      <w:r w:rsidRPr="00B40281">
        <w:rPr>
          <w:rFonts w:ascii="Arial" w:hAnsi="Arial" w:cs="Arial"/>
          <w:sz w:val="16"/>
          <w:szCs w:val="16"/>
        </w:rPr>
        <w:t>- donations/gifts of non-financial assets;</w:t>
      </w:r>
    </w:p>
    <w:p w:rsidR="001D003E" w:rsidRPr="00B40281" w:rsidRDefault="001D003E" w:rsidP="001D003E">
      <w:pPr>
        <w:pStyle w:val="ListParagraph5"/>
        <w:spacing w:after="0" w:line="240" w:lineRule="auto"/>
        <w:ind w:left="360"/>
        <w:rPr>
          <w:rFonts w:ascii="Arial" w:hAnsi="Arial" w:cs="Arial"/>
          <w:sz w:val="16"/>
          <w:szCs w:val="16"/>
        </w:rPr>
      </w:pPr>
      <w:r w:rsidRPr="00B40281">
        <w:rPr>
          <w:rFonts w:ascii="Arial" w:hAnsi="Arial" w:cs="Arial"/>
          <w:sz w:val="16"/>
          <w:szCs w:val="16"/>
        </w:rPr>
        <w:t>- internally developed assets; and</w:t>
      </w:r>
    </w:p>
    <w:p w:rsidR="001D003E" w:rsidRPr="00810B4F" w:rsidRDefault="001D003E" w:rsidP="001D003E">
      <w:pPr>
        <w:pStyle w:val="ListParagraph5"/>
        <w:spacing w:after="0" w:line="240" w:lineRule="auto"/>
        <w:ind w:left="360"/>
        <w:rPr>
          <w:rFonts w:ascii="Arial" w:hAnsi="Arial" w:cs="Arial"/>
          <w:sz w:val="16"/>
          <w:szCs w:val="16"/>
        </w:rPr>
        <w:sectPr w:rsidR="001D003E" w:rsidRPr="00810B4F" w:rsidSect="001D003E">
          <w:headerReference w:type="even" r:id="rId103"/>
          <w:headerReference w:type="default" r:id="rId104"/>
          <w:footerReference w:type="even" r:id="rId105"/>
          <w:footerReference w:type="default" r:id="rId106"/>
          <w:headerReference w:type="first" r:id="rId107"/>
          <w:footerReference w:type="first" r:id="rId108"/>
          <w:type w:val="continuous"/>
          <w:pgSz w:w="10319" w:h="14572"/>
          <w:pgMar w:top="1304" w:right="1389" w:bottom="1304" w:left="1389" w:header="1021" w:footer="1021" w:gutter="0"/>
          <w:pgBorders>
            <w:top w:val="nil"/>
            <w:left w:val="nil"/>
            <w:bottom w:val="nil"/>
            <w:right w:val="nil"/>
          </w:pgBorders>
          <w:cols w:space="708"/>
          <w:docGrid w:linePitch="360"/>
        </w:sectPr>
      </w:pPr>
      <w:r w:rsidRPr="00B40281">
        <w:rPr>
          <w:rFonts w:ascii="Arial" w:hAnsi="Arial" w:cs="Arial"/>
          <w:sz w:val="16"/>
          <w:szCs w:val="16"/>
        </w:rPr>
        <w:t>- proceeds from the sale of assets.</w:t>
      </w:r>
      <w:r>
        <w:rPr>
          <w:rFonts w:ascii="Arial" w:hAnsi="Arial" w:cs="Arial"/>
          <w:sz w:val="16"/>
          <w:szCs w:val="16"/>
        </w:rPr>
        <w:t xml:space="preserve"> </w:t>
      </w:r>
    </w:p>
    <w:p w:rsidR="001D003E" w:rsidRDefault="001D003E" w:rsidP="001D003E">
      <w:pPr>
        <w:pStyle w:val="Heading10"/>
        <w:pageBreakBefore/>
        <w:spacing w:before="480"/>
      </w:pPr>
      <w:r>
        <w:rPr>
          <w:rFonts w:cs="Arial"/>
        </w:rPr>
        <w:lastRenderedPageBreak/>
        <w:t>Portfolio Glossary</w:t>
      </w:r>
    </w:p>
    <w:tbl>
      <w:tblPr>
        <w:tblW w:w="0" w:type="auto"/>
        <w:tblLayout w:type="fixed"/>
        <w:tblLook w:val="01E0" w:firstRow="1" w:lastRow="1" w:firstColumn="1" w:lastColumn="1" w:noHBand="0" w:noVBand="0"/>
      </w:tblPr>
      <w:tblGrid>
        <w:gridCol w:w="2802"/>
        <w:gridCol w:w="5125"/>
      </w:tblGrid>
      <w:tr w:rsidR="00811FBF" w:rsidTr="001D003E">
        <w:tc>
          <w:tcPr>
            <w:tcW w:w="2802" w:type="dxa"/>
          </w:tcPr>
          <w:p w:rsidR="001D003E" w:rsidRDefault="001D003E">
            <w:pPr>
              <w:pStyle w:val="TableTextLeft"/>
            </w:pPr>
            <w:r>
              <w:t>Accrual accounting</w:t>
            </w:r>
          </w:p>
        </w:tc>
        <w:tc>
          <w:tcPr>
            <w:tcW w:w="5125" w:type="dxa"/>
          </w:tcPr>
          <w:p w:rsidR="001D003E" w:rsidRDefault="001D003E">
            <w:pPr>
              <w:pStyle w:val="TableTextLeft"/>
            </w:pPr>
            <w:r>
              <w:t xml:space="preserve">System of accounting where items are brought to account and included in the financial statements as they are earned or incurred, rather than as they are received or paid. </w:t>
            </w:r>
          </w:p>
        </w:tc>
      </w:tr>
      <w:tr w:rsidR="00811FBF" w:rsidTr="001D003E">
        <w:tc>
          <w:tcPr>
            <w:tcW w:w="2802" w:type="dxa"/>
          </w:tcPr>
          <w:p w:rsidR="001D003E" w:rsidRDefault="001D003E">
            <w:pPr>
              <w:pStyle w:val="TableTextLeft"/>
            </w:pPr>
            <w:r>
              <w:t>Accumulated depreciation</w:t>
            </w:r>
          </w:p>
        </w:tc>
        <w:tc>
          <w:tcPr>
            <w:tcW w:w="5125" w:type="dxa"/>
          </w:tcPr>
          <w:p w:rsidR="001D003E" w:rsidRDefault="001D003E">
            <w:pPr>
              <w:pStyle w:val="TableTextLeft"/>
            </w:pPr>
            <w:r>
              <w:t>The aggregate depreciation recorded for a particular depreciating asset.</w:t>
            </w:r>
          </w:p>
        </w:tc>
      </w:tr>
      <w:tr w:rsidR="00811FBF" w:rsidTr="001D003E">
        <w:tc>
          <w:tcPr>
            <w:tcW w:w="2802" w:type="dxa"/>
          </w:tcPr>
          <w:p w:rsidR="001D003E" w:rsidRDefault="001D003E">
            <w:pPr>
              <w:pStyle w:val="TableTextLeft"/>
            </w:pPr>
            <w:r>
              <w:t xml:space="preserve">Additional estimates </w:t>
            </w:r>
          </w:p>
        </w:tc>
        <w:tc>
          <w:tcPr>
            <w:tcW w:w="5125" w:type="dxa"/>
          </w:tcPr>
          <w:p w:rsidR="001D003E" w:rsidRDefault="001D003E">
            <w:pPr>
              <w:pStyle w:val="TableTextLeft"/>
            </w:pPr>
            <w:r>
              <w:t xml:space="preserve">Where amounts appropriated at Budget time are insufficient, Parliament may appropriate more funds to portfolios through the Additional Estimates Acts. </w:t>
            </w:r>
          </w:p>
        </w:tc>
      </w:tr>
      <w:tr w:rsidR="00811FBF" w:rsidTr="001D003E">
        <w:tc>
          <w:tcPr>
            <w:tcW w:w="2802" w:type="dxa"/>
          </w:tcPr>
          <w:p w:rsidR="001D003E" w:rsidRDefault="001D003E">
            <w:pPr>
              <w:pStyle w:val="TableTextLeft"/>
            </w:pPr>
            <w:r>
              <w:t>Administered items</w:t>
            </w:r>
          </w:p>
        </w:tc>
        <w:tc>
          <w:tcPr>
            <w:tcW w:w="5125" w:type="dxa"/>
          </w:tcPr>
          <w:p w:rsidR="001D003E" w:rsidRDefault="001D003E">
            <w:pPr>
              <w:pStyle w:val="TableTextLeft"/>
            </w:pPr>
            <w:r>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811FBF" w:rsidTr="001D003E">
        <w:tc>
          <w:tcPr>
            <w:tcW w:w="2802" w:type="dxa"/>
          </w:tcPr>
          <w:p w:rsidR="001D003E" w:rsidRDefault="001D003E">
            <w:pPr>
              <w:pStyle w:val="TableTextLeft"/>
            </w:pPr>
            <w:r>
              <w:t>AEIFRS</w:t>
            </w:r>
          </w:p>
        </w:tc>
        <w:tc>
          <w:tcPr>
            <w:tcW w:w="5125" w:type="dxa"/>
          </w:tcPr>
          <w:p w:rsidR="001D003E" w:rsidRDefault="001D003E">
            <w:pPr>
              <w:pStyle w:val="TableTextLeft"/>
            </w:pPr>
            <w:r>
              <w:t xml:space="preserve">Australian Equivalents to International Financial Reporting Standards, which were issued by the Australian Accounting Standards Board in July 2004. </w:t>
            </w:r>
          </w:p>
        </w:tc>
      </w:tr>
      <w:tr w:rsidR="00811FBF" w:rsidTr="001D003E">
        <w:tc>
          <w:tcPr>
            <w:tcW w:w="2802" w:type="dxa"/>
          </w:tcPr>
          <w:p w:rsidR="001D003E" w:rsidRDefault="001D003E">
            <w:pPr>
              <w:pStyle w:val="TableTextLeft"/>
            </w:pPr>
            <w:r>
              <w:t>Appropriation</w:t>
            </w:r>
          </w:p>
        </w:tc>
        <w:tc>
          <w:tcPr>
            <w:tcW w:w="5125" w:type="dxa"/>
          </w:tcPr>
          <w:p w:rsidR="001D003E" w:rsidRDefault="001D003E">
            <w:pPr>
              <w:pStyle w:val="TableTextLeft"/>
            </w:pPr>
            <w:r>
              <w:t>An authorisation by Parliament to spend moneys from the Consolidated Revenue Fund for a particular purpose.</w:t>
            </w:r>
          </w:p>
        </w:tc>
      </w:tr>
      <w:tr w:rsidR="00811FBF" w:rsidTr="001D003E">
        <w:tc>
          <w:tcPr>
            <w:tcW w:w="2802" w:type="dxa"/>
          </w:tcPr>
          <w:p w:rsidR="001D003E" w:rsidRDefault="001D003E">
            <w:pPr>
              <w:pStyle w:val="TableTextLeft"/>
            </w:pPr>
            <w:r>
              <w:t>Annual Appropriation</w:t>
            </w:r>
          </w:p>
        </w:tc>
        <w:tc>
          <w:tcPr>
            <w:tcW w:w="5125" w:type="dxa"/>
          </w:tcPr>
          <w:p w:rsidR="001D003E" w:rsidRDefault="001D003E">
            <w:pPr>
              <w:pStyle w:val="TableTextLeft"/>
            </w:pPr>
            <w:r>
              <w:rPr>
                <w:color w:val="000000"/>
              </w:rPr>
              <w:t xml:space="preserve">Acts of Parliament, which provide appropriation for the government’s activities during a specific financial year. Three appropriation Bills are introduced into Parliament in May and comprise the Budget. Further supplementary Bills are introduced later in the financial year as part of the Additional Estimates process. The Parliamentary departments have their own appropriation Bills. </w:t>
            </w:r>
          </w:p>
        </w:tc>
      </w:tr>
      <w:tr w:rsidR="00811FBF" w:rsidTr="001D003E">
        <w:tc>
          <w:tcPr>
            <w:tcW w:w="2802" w:type="dxa"/>
          </w:tcPr>
          <w:p w:rsidR="001D003E" w:rsidRDefault="001D003E">
            <w:pPr>
              <w:pStyle w:val="TableTextLeft"/>
            </w:pPr>
            <w:r>
              <w:t>Capital expenditure</w:t>
            </w:r>
          </w:p>
        </w:tc>
        <w:tc>
          <w:tcPr>
            <w:tcW w:w="5125" w:type="dxa"/>
          </w:tcPr>
          <w:p w:rsidR="001D003E" w:rsidRDefault="001D003E">
            <w:pPr>
              <w:pStyle w:val="TableTextLeft"/>
            </w:pPr>
            <w:r>
              <w:t>Expenditure by an agency on capital projects, for example purchasing a building.</w:t>
            </w:r>
          </w:p>
        </w:tc>
      </w:tr>
      <w:tr w:rsidR="00811FBF" w:rsidTr="001D003E">
        <w:tc>
          <w:tcPr>
            <w:tcW w:w="2802" w:type="dxa"/>
          </w:tcPr>
          <w:p w:rsidR="001D003E" w:rsidRDefault="001D003E">
            <w:pPr>
              <w:pStyle w:val="TableTextLeft"/>
            </w:pPr>
            <w:r>
              <w:t>Consolidated Revenue Fund</w:t>
            </w:r>
          </w:p>
        </w:tc>
        <w:tc>
          <w:tcPr>
            <w:tcW w:w="5125" w:type="dxa"/>
          </w:tcPr>
          <w:p w:rsidR="001D003E" w:rsidRDefault="001D003E">
            <w:pPr>
              <w:pStyle w:val="TableTextLeft"/>
            </w:pPr>
            <w: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bl>
    <w:p w:rsidR="001D003E" w:rsidRDefault="001D003E">
      <w:pPr>
        <w:pStyle w:val="Normal9"/>
        <w:sectPr w:rsidR="001D003E" w:rsidSect="001D003E">
          <w:headerReference w:type="even" r:id="rId109"/>
          <w:headerReference w:type="default" r:id="rId110"/>
          <w:footerReference w:type="even" r:id="rId111"/>
          <w:footerReference w:type="default" r:id="rId112"/>
          <w:headerReference w:type="first" r:id="rId113"/>
          <w:footerReference w:type="first" r:id="rId114"/>
          <w:type w:val="continuous"/>
          <w:pgSz w:w="10319" w:h="14572"/>
          <w:pgMar w:top="1304" w:right="1389" w:bottom="1304" w:left="1389" w:header="1021" w:footer="1021" w:gutter="0"/>
          <w:pgBorders>
            <w:top w:val="nil"/>
            <w:left w:val="nil"/>
            <w:bottom w:val="nil"/>
            <w:right w:val="nil"/>
          </w:pgBorders>
          <w:cols w:space="708"/>
          <w:docGrid w:linePitch="360"/>
        </w:sectPr>
      </w:pPr>
      <w:r>
        <w:t xml:space="preserve"> </w:t>
      </w:r>
    </w:p>
    <w:tbl>
      <w:tblPr>
        <w:tblW w:w="7920" w:type="dxa"/>
        <w:jc w:val="center"/>
        <w:tblLayout w:type="fixed"/>
        <w:tblLook w:val="01E0" w:firstRow="1" w:lastRow="1" w:firstColumn="1" w:lastColumn="1" w:noHBand="0" w:noVBand="0"/>
      </w:tblPr>
      <w:tblGrid>
        <w:gridCol w:w="2801"/>
        <w:gridCol w:w="5119"/>
      </w:tblGrid>
      <w:tr w:rsidR="00811FBF" w:rsidTr="001D003E">
        <w:trPr>
          <w:jc w:val="center"/>
        </w:trPr>
        <w:tc>
          <w:tcPr>
            <w:tcW w:w="2801" w:type="dxa"/>
          </w:tcPr>
          <w:p w:rsidR="001D003E" w:rsidRPr="006415FE" w:rsidRDefault="001D003E" w:rsidP="001D003E">
            <w:pPr>
              <w:pStyle w:val="TableTextLeft0"/>
              <w:pageBreakBefore/>
            </w:pPr>
            <w:r>
              <w:lastRenderedPageBreak/>
              <w:t>Departmental items</w:t>
            </w:r>
          </w:p>
        </w:tc>
        <w:tc>
          <w:tcPr>
            <w:tcW w:w="5119" w:type="dxa"/>
          </w:tcPr>
          <w:p w:rsidR="001D003E" w:rsidRPr="006415FE" w:rsidRDefault="001D003E" w:rsidP="001D003E">
            <w:pPr>
              <w:pStyle w:val="TableTextLeft0"/>
            </w:pPr>
            <w:r>
              <w:t>Assets, liabilities, revenues and expenses that are controlled by the agency to produce outputs. Departmental items would generally include computers, plant and equipment assets used by agencies in providing goods and services, and most employee expenses, supplier costs and other administrative expenses incurred.</w:t>
            </w:r>
          </w:p>
        </w:tc>
      </w:tr>
      <w:tr w:rsidR="00811FBF" w:rsidTr="001D003E">
        <w:trPr>
          <w:jc w:val="center"/>
        </w:trPr>
        <w:tc>
          <w:tcPr>
            <w:tcW w:w="2801" w:type="dxa"/>
          </w:tcPr>
          <w:p w:rsidR="001D003E" w:rsidRPr="006415FE" w:rsidRDefault="001D003E" w:rsidP="001D003E">
            <w:pPr>
              <w:pStyle w:val="TableTextLeft0"/>
            </w:pPr>
            <w:r>
              <w:t>Depreciation</w:t>
            </w:r>
          </w:p>
        </w:tc>
        <w:tc>
          <w:tcPr>
            <w:tcW w:w="5119" w:type="dxa"/>
          </w:tcPr>
          <w:p w:rsidR="001D003E" w:rsidRPr="006415FE" w:rsidRDefault="001D003E" w:rsidP="001D003E">
            <w:pPr>
              <w:pStyle w:val="TableTextLeft0"/>
            </w:pPr>
            <w:r>
              <w:t>Apportionment of an asset’s capital value as an expense over its estimated useful life to take account of normal usage, obsolescence, or the passage of time.</w:t>
            </w:r>
          </w:p>
        </w:tc>
      </w:tr>
      <w:tr w:rsidR="00811FBF" w:rsidTr="001D003E">
        <w:trPr>
          <w:jc w:val="center"/>
        </w:trPr>
        <w:tc>
          <w:tcPr>
            <w:tcW w:w="2801" w:type="dxa"/>
          </w:tcPr>
          <w:p w:rsidR="001D003E" w:rsidRPr="006415FE" w:rsidRDefault="001D003E" w:rsidP="001D003E">
            <w:pPr>
              <w:pStyle w:val="TableTextLeft0"/>
            </w:pPr>
            <w:r w:rsidRPr="002D37C0">
              <w:t>Effectiveness indicators</w:t>
            </w:r>
          </w:p>
        </w:tc>
        <w:tc>
          <w:tcPr>
            <w:tcW w:w="5119" w:type="dxa"/>
          </w:tcPr>
          <w:p w:rsidR="001D003E" w:rsidRPr="006415FE" w:rsidRDefault="001D003E" w:rsidP="001D003E">
            <w:pPr>
              <w:pStyle w:val="TableTextLeft0"/>
            </w:pPr>
            <w:r w:rsidRPr="002D37C0">
              <w:t>Indicators to assess the degree of success in achieving outcomes.  As outcomes are generally long-term in nature, effectiveness indicators often relate to intermediate outcomes (shorter term impacts) below the planned outcomes specified.</w:t>
            </w:r>
          </w:p>
        </w:tc>
      </w:tr>
      <w:tr w:rsidR="00811FBF" w:rsidTr="001D003E">
        <w:trPr>
          <w:jc w:val="center"/>
        </w:trPr>
        <w:tc>
          <w:tcPr>
            <w:tcW w:w="2801" w:type="dxa"/>
          </w:tcPr>
          <w:p w:rsidR="001D003E" w:rsidRPr="006415FE" w:rsidRDefault="001D003E" w:rsidP="001D003E">
            <w:pPr>
              <w:pStyle w:val="TableTextLeft0"/>
            </w:pPr>
            <w:r w:rsidRPr="006415FE">
              <w:t>Efficiency indicators</w:t>
            </w:r>
          </w:p>
        </w:tc>
        <w:tc>
          <w:tcPr>
            <w:tcW w:w="5119" w:type="dxa"/>
          </w:tcPr>
          <w:p w:rsidR="001D003E" w:rsidRPr="006415FE" w:rsidRDefault="001D003E" w:rsidP="001D003E">
            <w:pPr>
              <w:pStyle w:val="TableTextLeft0"/>
            </w:pPr>
            <w:r w:rsidRPr="006415FE">
              <w:t>Measures the adequacy of an agency’s management of its outputs and, where applicable, administered items. Includes price, quality and quantity indicators. The interrelationship between the three efficiency indicators of any one output should be considered when judging efficiency.</w:t>
            </w:r>
          </w:p>
        </w:tc>
      </w:tr>
      <w:tr w:rsidR="00811FBF" w:rsidTr="001D003E">
        <w:trPr>
          <w:jc w:val="center"/>
        </w:trPr>
        <w:tc>
          <w:tcPr>
            <w:tcW w:w="2801" w:type="dxa"/>
          </w:tcPr>
          <w:p w:rsidR="001D003E" w:rsidRPr="006415FE" w:rsidRDefault="001D003E" w:rsidP="001D003E">
            <w:pPr>
              <w:pStyle w:val="TableTextLeft0"/>
            </w:pPr>
            <w:r w:rsidRPr="006415FE">
              <w:t>Equity or net assets</w:t>
            </w:r>
          </w:p>
        </w:tc>
        <w:tc>
          <w:tcPr>
            <w:tcW w:w="5119" w:type="dxa"/>
          </w:tcPr>
          <w:p w:rsidR="001D003E" w:rsidRPr="006415FE" w:rsidRDefault="001D003E" w:rsidP="001D003E">
            <w:pPr>
              <w:pStyle w:val="TableTextLeft0"/>
            </w:pPr>
            <w:r w:rsidRPr="006415FE">
              <w:t>Residual interest in the assets of an entity after deduction of its liabilities.</w:t>
            </w:r>
          </w:p>
        </w:tc>
      </w:tr>
      <w:tr w:rsidR="00811FBF" w:rsidTr="001D003E">
        <w:trPr>
          <w:jc w:val="center"/>
        </w:trPr>
        <w:tc>
          <w:tcPr>
            <w:tcW w:w="2801" w:type="dxa"/>
          </w:tcPr>
          <w:p w:rsidR="001D003E" w:rsidRPr="006415FE" w:rsidRDefault="001D003E" w:rsidP="001D003E">
            <w:pPr>
              <w:pStyle w:val="TableTextLeft0"/>
            </w:pPr>
            <w:r w:rsidRPr="006415FE">
              <w:t xml:space="preserve">Expense </w:t>
            </w:r>
          </w:p>
        </w:tc>
        <w:tc>
          <w:tcPr>
            <w:tcW w:w="5119" w:type="dxa"/>
          </w:tcPr>
          <w:p w:rsidR="001D003E" w:rsidRPr="006415FE" w:rsidRDefault="001D003E" w:rsidP="001D003E">
            <w:pPr>
              <w:pStyle w:val="TableTextLeft0"/>
            </w:pPr>
            <w:r w:rsidRPr="006415FE">
              <w:t>Expenses represent the full costs of an activity, that is, the total value of all the resources consumed in producing goods and services or the loss of future economic benefits in the form of reductions in assets or increases in liabilities of the entity. Expenses include cash items, such as salary payments, as well as expenses that have been incurred, such as accruing employee entitlements that will be paid in the future.</w:t>
            </w:r>
          </w:p>
        </w:tc>
      </w:tr>
      <w:tr w:rsidR="00811FBF" w:rsidTr="001D003E">
        <w:trPr>
          <w:jc w:val="center"/>
        </w:trPr>
        <w:tc>
          <w:tcPr>
            <w:tcW w:w="2801" w:type="dxa"/>
          </w:tcPr>
          <w:p w:rsidR="001D003E" w:rsidRPr="006415FE" w:rsidRDefault="001D003E" w:rsidP="001D003E">
            <w:pPr>
              <w:pStyle w:val="TableTextLeft0"/>
            </w:pPr>
            <w:r w:rsidRPr="006415FE">
              <w:t>Fair value</w:t>
            </w:r>
          </w:p>
        </w:tc>
        <w:tc>
          <w:tcPr>
            <w:tcW w:w="5119" w:type="dxa"/>
          </w:tcPr>
          <w:p w:rsidR="001D003E" w:rsidRPr="006415FE" w:rsidRDefault="001D003E" w:rsidP="001D003E">
            <w:pPr>
              <w:pStyle w:val="TableTextLeft0"/>
            </w:pPr>
            <w:r w:rsidRPr="006415FE">
              <w:t xml:space="preserve">Valuation methodology: </w:t>
            </w:r>
            <w:r w:rsidRPr="006415FE">
              <w:rPr>
                <w:color w:val="000000"/>
              </w:rPr>
              <w:t>The amount for which an asset could be exchanged or a liability settled between knowledgeable, willing parties in an arm’s length transaction. Australian Government entities will move to this method incrementally by 30 June 2006 for valuing most infrastructure, plant and equipment.</w:t>
            </w:r>
          </w:p>
        </w:tc>
      </w:tr>
      <w:tr w:rsidR="00811FBF" w:rsidTr="001D003E">
        <w:trPr>
          <w:jc w:val="center"/>
        </w:trPr>
        <w:tc>
          <w:tcPr>
            <w:tcW w:w="2801" w:type="dxa"/>
          </w:tcPr>
          <w:p w:rsidR="001D003E" w:rsidRPr="006415FE" w:rsidRDefault="001D003E" w:rsidP="001D003E">
            <w:pPr>
              <w:pStyle w:val="TableTextLeft0"/>
            </w:pPr>
            <w:r w:rsidRPr="006415FE">
              <w:t>Intermediate outcomes</w:t>
            </w:r>
          </w:p>
        </w:tc>
        <w:tc>
          <w:tcPr>
            <w:tcW w:w="5119" w:type="dxa"/>
          </w:tcPr>
          <w:p w:rsidR="001D003E" w:rsidRPr="006415FE" w:rsidRDefault="001D003E" w:rsidP="001D003E">
            <w:pPr>
              <w:pStyle w:val="TableTextLeft0"/>
            </w:pPr>
            <w:r w:rsidRPr="006415FE">
              <w:t xml:space="preserve">More specific medium-term impacts (eg trend data, targets or milestones) below the level of the planned outcomes specified in the Budget. A combination of several intermediate outcomes can at times be considered as a proxy for determining the achievement of outcomes or progress towards outcomes. </w:t>
            </w:r>
            <w:r w:rsidRPr="006415FE">
              <w:rPr>
                <w:i/>
                <w:iCs/>
              </w:rPr>
              <w:t>See</w:t>
            </w:r>
            <w:r w:rsidRPr="006415FE">
              <w:t xml:space="preserve"> Outcomes.</w:t>
            </w:r>
          </w:p>
        </w:tc>
      </w:tr>
    </w:tbl>
    <w:p w:rsidR="001D003E" w:rsidRDefault="001D003E">
      <w:pPr>
        <w:pStyle w:val="Normal100"/>
      </w:pPr>
      <w:r>
        <w:br w:type="page"/>
      </w:r>
    </w:p>
    <w:tbl>
      <w:tblPr>
        <w:tblW w:w="7920" w:type="dxa"/>
        <w:jc w:val="center"/>
        <w:tblLayout w:type="fixed"/>
        <w:tblLook w:val="01E0" w:firstRow="1" w:lastRow="1" w:firstColumn="1" w:lastColumn="1" w:noHBand="0" w:noVBand="0"/>
      </w:tblPr>
      <w:tblGrid>
        <w:gridCol w:w="2801"/>
        <w:gridCol w:w="5119"/>
      </w:tblGrid>
      <w:tr w:rsidR="00811FBF" w:rsidTr="001D003E">
        <w:trPr>
          <w:jc w:val="center"/>
        </w:trPr>
        <w:tc>
          <w:tcPr>
            <w:tcW w:w="2801" w:type="dxa"/>
          </w:tcPr>
          <w:p w:rsidR="001D003E" w:rsidRPr="006415FE" w:rsidRDefault="001D003E" w:rsidP="001D003E">
            <w:pPr>
              <w:pStyle w:val="TableTextLeft0"/>
            </w:pPr>
            <w:r>
              <w:rPr>
                <w:rFonts w:ascii="Calibri" w:hAnsi="Calibri" w:cs="Times New Roman"/>
                <w:sz w:val="22"/>
                <w:szCs w:val="22"/>
              </w:rPr>
              <w:lastRenderedPageBreak/>
              <w:br w:type="page"/>
            </w:r>
            <w:r w:rsidRPr="006415FE">
              <w:t>Operating result</w:t>
            </w:r>
          </w:p>
        </w:tc>
        <w:tc>
          <w:tcPr>
            <w:tcW w:w="5119" w:type="dxa"/>
          </w:tcPr>
          <w:p w:rsidR="001D003E" w:rsidRPr="006415FE" w:rsidRDefault="001D003E" w:rsidP="001D003E">
            <w:pPr>
              <w:pStyle w:val="TableTextLeft0"/>
            </w:pPr>
            <w:r w:rsidRPr="006415FE">
              <w:t>Equals revenue less expenses.</w:t>
            </w:r>
          </w:p>
        </w:tc>
      </w:tr>
      <w:tr w:rsidR="00811FBF" w:rsidTr="001D003E">
        <w:trPr>
          <w:jc w:val="center"/>
        </w:trPr>
        <w:tc>
          <w:tcPr>
            <w:tcW w:w="2801" w:type="dxa"/>
          </w:tcPr>
          <w:p w:rsidR="001D003E" w:rsidRPr="006415FE" w:rsidRDefault="001D003E" w:rsidP="001D003E">
            <w:pPr>
              <w:pStyle w:val="TableTextLeft0"/>
            </w:pPr>
            <w:r w:rsidRPr="006415FE">
              <w:t>Outcomes</w:t>
            </w:r>
          </w:p>
        </w:tc>
        <w:tc>
          <w:tcPr>
            <w:tcW w:w="5119" w:type="dxa"/>
          </w:tcPr>
          <w:p w:rsidR="001D003E" w:rsidRPr="006415FE" w:rsidRDefault="001D003E" w:rsidP="001D003E">
            <w:pPr>
              <w:pStyle w:val="TableTextLeft0"/>
            </w:pPr>
            <w:r w:rsidRPr="006415FE">
              <w:t>The government’s objectives in each portfolio area. Outcomes are desired results, impacts or consequences for the Australian community as influenced by the actions of the Australian Government. Actual outcomes are assessments of the end results or impacts actually achieved.</w:t>
            </w:r>
          </w:p>
        </w:tc>
      </w:tr>
      <w:tr w:rsidR="00811FBF" w:rsidTr="001D003E">
        <w:trPr>
          <w:jc w:val="center"/>
        </w:trPr>
        <w:tc>
          <w:tcPr>
            <w:tcW w:w="2801" w:type="dxa"/>
          </w:tcPr>
          <w:p w:rsidR="001D003E" w:rsidRPr="006415FE" w:rsidRDefault="001D003E" w:rsidP="001D003E">
            <w:pPr>
              <w:pStyle w:val="TableTextLeft0"/>
            </w:pPr>
            <w:r w:rsidRPr="006415FE">
              <w:t>Output groups</w:t>
            </w:r>
          </w:p>
        </w:tc>
        <w:tc>
          <w:tcPr>
            <w:tcW w:w="5119" w:type="dxa"/>
          </w:tcPr>
          <w:p w:rsidR="001D003E" w:rsidRPr="006415FE" w:rsidRDefault="001D003E" w:rsidP="001D003E">
            <w:pPr>
              <w:pStyle w:val="TableTextLeft0"/>
            </w:pPr>
            <w:r w:rsidRPr="006415FE">
              <w:t>A logical aggregation of agency outputs, where useful, and based either on homogeneity, type of product, business line or beneficiary target group. Aggregation of outputs may also be needed for the provision of adequate information for performance monitoring, or based on a materiality test.</w:t>
            </w:r>
          </w:p>
        </w:tc>
      </w:tr>
      <w:tr w:rsidR="00811FBF" w:rsidTr="001D003E">
        <w:trPr>
          <w:jc w:val="center"/>
        </w:trPr>
        <w:tc>
          <w:tcPr>
            <w:tcW w:w="2801" w:type="dxa"/>
          </w:tcPr>
          <w:p w:rsidR="001D003E" w:rsidRPr="006415FE" w:rsidRDefault="001D003E" w:rsidP="001D003E">
            <w:pPr>
              <w:pStyle w:val="TableTextLeft0"/>
            </w:pPr>
            <w:r w:rsidRPr="006415FE">
              <w:t>Outputs</w:t>
            </w:r>
          </w:p>
        </w:tc>
        <w:tc>
          <w:tcPr>
            <w:tcW w:w="5119" w:type="dxa"/>
          </w:tcPr>
          <w:p w:rsidR="001D003E" w:rsidRPr="006415FE" w:rsidRDefault="001D003E" w:rsidP="001D003E">
            <w:pPr>
              <w:pStyle w:val="TableTextLeft0"/>
            </w:pPr>
            <w:r w:rsidRPr="006415FE">
              <w:t>The goods and services produced by agencies on behalf of government for external organisations or individuals. Outputs also include goods and services for other areas of government external to the agency.</w:t>
            </w:r>
          </w:p>
        </w:tc>
      </w:tr>
      <w:tr w:rsidR="00811FBF" w:rsidTr="001D003E">
        <w:trPr>
          <w:jc w:val="center"/>
        </w:trPr>
        <w:tc>
          <w:tcPr>
            <w:tcW w:w="2801" w:type="dxa"/>
          </w:tcPr>
          <w:p w:rsidR="001D003E" w:rsidRDefault="001D003E" w:rsidP="001D003E">
            <w:pPr>
              <w:pStyle w:val="TableTextLeft0"/>
            </w:pPr>
            <w:r>
              <w:t>Price</w:t>
            </w:r>
          </w:p>
        </w:tc>
        <w:tc>
          <w:tcPr>
            <w:tcW w:w="5119" w:type="dxa"/>
          </w:tcPr>
          <w:p w:rsidR="001D003E" w:rsidRDefault="001D003E" w:rsidP="001D003E">
            <w:pPr>
              <w:pStyle w:val="TableTextLeft0"/>
            </w:pPr>
            <w:r>
              <w:t>One of the three key efficiency indicators. The amount the government or the community pays for the delivery of agreed outputs.</w:t>
            </w:r>
          </w:p>
        </w:tc>
      </w:tr>
      <w:tr w:rsidR="00811FBF" w:rsidTr="001D003E">
        <w:trPr>
          <w:jc w:val="center"/>
        </w:trPr>
        <w:tc>
          <w:tcPr>
            <w:tcW w:w="2801" w:type="dxa"/>
          </w:tcPr>
          <w:p w:rsidR="001D003E" w:rsidRDefault="001D003E" w:rsidP="001D003E">
            <w:pPr>
              <w:pStyle w:val="TableTextLeft0"/>
            </w:pPr>
            <w:r>
              <w:t>Quality</w:t>
            </w:r>
          </w:p>
        </w:tc>
        <w:tc>
          <w:tcPr>
            <w:tcW w:w="5119" w:type="dxa"/>
          </w:tcPr>
          <w:p w:rsidR="001D003E" w:rsidRDefault="001D003E" w:rsidP="001D003E">
            <w:pPr>
              <w:pStyle w:val="TableTextLeft0"/>
            </w:pPr>
            <w:r>
              <w:t>One of the three key efficiency indicators. Relates to the characteristics by which customers or stakeholders judge an organisation, product or service. Assessment of quality involves use of information gathered from interested parties to identify differences between users’ expectations and experiences.</w:t>
            </w:r>
          </w:p>
        </w:tc>
      </w:tr>
      <w:tr w:rsidR="00811FBF" w:rsidTr="001D003E">
        <w:trPr>
          <w:jc w:val="center"/>
        </w:trPr>
        <w:tc>
          <w:tcPr>
            <w:tcW w:w="2801" w:type="dxa"/>
          </w:tcPr>
          <w:p w:rsidR="001D003E" w:rsidRDefault="001D003E" w:rsidP="001D003E">
            <w:pPr>
              <w:pStyle w:val="TableTextLeft0"/>
            </w:pPr>
            <w:r>
              <w:t>Quantity</w:t>
            </w:r>
          </w:p>
        </w:tc>
        <w:tc>
          <w:tcPr>
            <w:tcW w:w="5119" w:type="dxa"/>
          </w:tcPr>
          <w:p w:rsidR="001D003E" w:rsidRDefault="001D003E" w:rsidP="001D003E">
            <w:pPr>
              <w:pStyle w:val="TableTextLeft0"/>
            </w:pPr>
            <w:r>
              <w:t>One of the three key efficiency indicators. Examples include the size of an output; count or volume measures; how many or how much.</w:t>
            </w:r>
          </w:p>
        </w:tc>
      </w:tr>
      <w:tr w:rsidR="00811FBF" w:rsidTr="001D003E">
        <w:trPr>
          <w:jc w:val="center"/>
        </w:trPr>
        <w:tc>
          <w:tcPr>
            <w:tcW w:w="2801" w:type="dxa"/>
          </w:tcPr>
          <w:p w:rsidR="001D003E" w:rsidRDefault="001D003E" w:rsidP="001D003E">
            <w:pPr>
              <w:pStyle w:val="TableTextLeft0"/>
            </w:pPr>
            <w:r>
              <w:t>Revenue</w:t>
            </w:r>
          </w:p>
        </w:tc>
        <w:tc>
          <w:tcPr>
            <w:tcW w:w="5119" w:type="dxa"/>
          </w:tcPr>
          <w:p w:rsidR="001D003E" w:rsidRDefault="001D003E" w:rsidP="001D003E">
            <w:pPr>
              <w:pStyle w:val="TableTextLeft0"/>
            </w:pPr>
            <w:r>
              <w:t>Total value of resources earned or received to cover the production of goods and services.</w:t>
            </w:r>
          </w:p>
        </w:tc>
      </w:tr>
    </w:tbl>
    <w:p w:rsidR="001D003E" w:rsidRDefault="001D003E">
      <w:pPr>
        <w:pStyle w:val="Normal100"/>
      </w:pPr>
      <w:r>
        <w:br w:type="page"/>
      </w:r>
    </w:p>
    <w:tbl>
      <w:tblPr>
        <w:tblW w:w="7920" w:type="dxa"/>
        <w:jc w:val="center"/>
        <w:tblLayout w:type="fixed"/>
        <w:tblLook w:val="01E0" w:firstRow="1" w:lastRow="1" w:firstColumn="1" w:lastColumn="1" w:noHBand="0" w:noVBand="0"/>
      </w:tblPr>
      <w:tblGrid>
        <w:gridCol w:w="2801"/>
        <w:gridCol w:w="5119"/>
      </w:tblGrid>
      <w:tr w:rsidR="00811FBF" w:rsidTr="001D003E">
        <w:trPr>
          <w:jc w:val="center"/>
        </w:trPr>
        <w:tc>
          <w:tcPr>
            <w:tcW w:w="2801" w:type="dxa"/>
          </w:tcPr>
          <w:p w:rsidR="001D003E" w:rsidRDefault="001D003E" w:rsidP="001D003E">
            <w:pPr>
              <w:pStyle w:val="TableTextLeft0"/>
            </w:pPr>
            <w:r>
              <w:lastRenderedPageBreak/>
              <w:t>Special Account</w:t>
            </w:r>
          </w:p>
        </w:tc>
        <w:tc>
          <w:tcPr>
            <w:tcW w:w="5119" w:type="dxa"/>
          </w:tcPr>
          <w:p w:rsidR="001D003E" w:rsidRDefault="001D003E" w:rsidP="001D003E">
            <w:pPr>
              <w:pStyle w:val="Default"/>
              <w:rPr>
                <w:rFonts w:ascii="Arial" w:hAnsi="Arial" w:cs="Arial"/>
                <w:sz w:val="18"/>
                <w:szCs w:val="18"/>
              </w:rPr>
            </w:pPr>
            <w:r>
              <w:rPr>
                <w:rFonts w:ascii="Arial" w:hAnsi="Arial" w:cs="Arial"/>
                <w:sz w:val="18"/>
                <w:szCs w:val="18"/>
              </w:rPr>
              <w:t xml:space="preserve">Special Accounts allow money in the Consolidated Revenue Fund (CRF) to be acknowledged as set-aside (hypothecated) for a particular purpose. Amounts credited to a Special Account may only be spent for the purposes of the Special Account. Special Accounts can only be established by a written determination of the Finance Minister (section 78 of the </w:t>
            </w:r>
            <w:r>
              <w:rPr>
                <w:rFonts w:ascii="Arial" w:hAnsi="Arial" w:cs="Arial"/>
                <w:i/>
                <w:iCs/>
                <w:sz w:val="18"/>
                <w:szCs w:val="18"/>
              </w:rPr>
              <w:t>Public Governance, Performance and Accountability (PGPA) Act 2013</w:t>
            </w:r>
            <w:r>
              <w:rPr>
                <w:rFonts w:ascii="Arial" w:hAnsi="Arial" w:cs="Arial"/>
                <w:sz w:val="18"/>
                <w:szCs w:val="18"/>
              </w:rPr>
              <w:t xml:space="preserve">) or through an Act of Parliament (section 80 of the </w:t>
            </w:r>
            <w:r>
              <w:rPr>
                <w:rFonts w:ascii="Arial" w:hAnsi="Arial" w:cs="Arial"/>
                <w:i/>
                <w:iCs/>
                <w:sz w:val="18"/>
                <w:szCs w:val="18"/>
              </w:rPr>
              <w:t>PGPA Act 2013</w:t>
            </w:r>
            <w:r>
              <w:rPr>
                <w:rFonts w:ascii="Arial" w:hAnsi="Arial" w:cs="Arial"/>
                <w:sz w:val="18"/>
                <w:szCs w:val="18"/>
              </w:rPr>
              <w:t xml:space="preserve">). </w:t>
            </w:r>
          </w:p>
          <w:p w:rsidR="001D003E" w:rsidRDefault="001D003E" w:rsidP="001D003E">
            <w:pPr>
              <w:pStyle w:val="TableTextLeft0"/>
            </w:pPr>
          </w:p>
        </w:tc>
      </w:tr>
      <w:tr w:rsidR="00811FBF" w:rsidTr="001D003E">
        <w:trPr>
          <w:jc w:val="center"/>
        </w:trPr>
        <w:tc>
          <w:tcPr>
            <w:tcW w:w="2801" w:type="dxa"/>
          </w:tcPr>
          <w:p w:rsidR="001D003E" w:rsidRDefault="001D003E" w:rsidP="001D003E">
            <w:pPr>
              <w:pStyle w:val="TableTextLeft0"/>
            </w:pPr>
            <w:r>
              <w:t>Special Appropriations (including Standing Appropriations)</w:t>
            </w:r>
          </w:p>
        </w:tc>
        <w:tc>
          <w:tcPr>
            <w:tcW w:w="5119" w:type="dxa"/>
          </w:tcPr>
          <w:p w:rsidR="001D003E" w:rsidRDefault="001D003E" w:rsidP="001D003E">
            <w:pPr>
              <w:pStyle w:val="TableTextLeft0"/>
            </w:pPr>
            <w:r>
              <w:t>An amount of money appropriated by a particular Act of Parliament for a specific purpose and number of years. For special appropriations, the authority to withdraw funds from the Consolidated Revenue Fund does not generally cease at the end of the financial year.</w:t>
            </w:r>
          </w:p>
          <w:p w:rsidR="001D003E" w:rsidRDefault="001D003E" w:rsidP="001D003E">
            <w:pPr>
              <w:pStyle w:val="TableTextLeft0"/>
            </w:pPr>
            <w:r>
              <w:t>Standing appropriations are a subcategory consisting of ongoing special appropriations — the amount appropriated will depend on circumstances specified in the legislation.</w:t>
            </w:r>
          </w:p>
        </w:tc>
      </w:tr>
    </w:tbl>
    <w:p w:rsidR="001D003E" w:rsidRDefault="001D003E">
      <w:pPr>
        <w:pStyle w:val="Normal100"/>
      </w:pPr>
    </w:p>
    <w:sectPr w:rsidR="001D003E" w:rsidSect="001D003E">
      <w:headerReference w:type="even" r:id="rId115"/>
      <w:headerReference w:type="default" r:id="rId116"/>
      <w:footerReference w:type="even" r:id="rId117"/>
      <w:footerReference w:type="default" r:id="rId118"/>
      <w:headerReference w:type="first" r:id="rId119"/>
      <w:footerReference w:type="first" r:id="rId120"/>
      <w:type w:val="continuous"/>
      <w:pgSz w:w="10319" w:h="14572"/>
      <w:pgMar w:top="1304" w:right="1389" w:bottom="1304" w:left="1389" w:header="1021" w:footer="1021" w:gutter="0"/>
      <w:pgBorders>
        <w:top w:val="nil"/>
        <w:left w:val="nil"/>
        <w:bottom w:val="nil"/>
        <w:right w:val="nil"/>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8DC" w:rsidRDefault="009E58DC">
      <w:pPr>
        <w:spacing w:after="0" w:line="240" w:lineRule="auto"/>
      </w:pPr>
      <w:r>
        <w:separator/>
      </w:r>
    </w:p>
  </w:endnote>
  <w:endnote w:type="continuationSeparator" w:id="0">
    <w:p w:rsidR="009E58DC" w:rsidRDefault="009E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A31FF" w:rsidRDefault="009E58DC" w:rsidP="001D003E">
    <w:pPr>
      <w:pStyle w:val="Footer"/>
      <w:pBdr>
        <w:top w:val="single" w:sz="4" w:space="1" w:color="auto"/>
        <w:left w:val="nil"/>
        <w:bottom w:val="nil"/>
        <w:right w:val="nil"/>
        <w:between w:val="nil"/>
        <w:bar w:val="nil"/>
      </w:pBdr>
      <w:jc w:val="left"/>
      <w:rPr>
        <w:b/>
        <w:sz w:val="18"/>
        <w:szCs w:val="18"/>
        <w:bdr w:val="nil"/>
      </w:rPr>
    </w:pPr>
    <w:r>
      <w:rPr>
        <w:sz w:val="18"/>
        <w:szCs w:val="18"/>
        <w:bdr w:val="nil"/>
      </w:rPr>
      <w:br/>
    </w:r>
    <w:r>
      <w:rPr>
        <w:b/>
        <w:sz w:val="18"/>
        <w:szCs w:val="18"/>
        <w:bdr w:val="nil"/>
      </w:rPr>
      <w:t xml:space="preserve">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773EBE">
      <w:rPr>
        <w:b/>
        <w:noProof/>
        <w:sz w:val="18"/>
        <w:szCs w:val="18"/>
        <w:bdr w:val="nil"/>
      </w:rPr>
      <w:t>iv</w:t>
    </w:r>
    <w:r>
      <w:rPr>
        <w:b/>
        <w:sz w:val="18"/>
        <w:szCs w:val="18"/>
        <w:bdr w:val="nil"/>
      </w:rPr>
      <w:fldChar w:fldCharType="end"/>
    </w:r>
    <w:r>
      <w:rPr>
        <w:b/>
        <w:noProof/>
        <w:sz w:val="18"/>
        <w:szCs w:val="18"/>
        <w:bdr w:val="nil"/>
      </w:rPr>
      <w:t xml:space="preserve"> </w:t>
    </w:r>
    <w:r w:rsidRPr="00614DBC">
      <w:rPr>
        <w:noProof/>
        <w:sz w:val="18"/>
        <w:szCs w:val="18"/>
        <w:bdr w:val="nil"/>
      </w:rPr>
      <w:t>|</w:t>
    </w:r>
    <w:r>
      <w:rPr>
        <w:b/>
        <w:noProof/>
        <w:sz w:val="18"/>
        <w:szCs w:val="18"/>
        <w:bdr w:val="nil"/>
      </w:rPr>
      <w:t xml:space="preserve"> </w:t>
    </w:r>
    <w:r>
      <w:rPr>
        <w:sz w:val="18"/>
        <w:szCs w:val="18"/>
        <w:bdr w:val="nil"/>
      </w:rPr>
      <w:t>User Guide</w:t>
    </w:r>
    <w:r>
      <w:rPr>
        <w:b/>
        <w:sz w:val="18"/>
        <w:szCs w:val="18"/>
        <w:bdr w:val="nil"/>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A31FF" w:rsidRDefault="009E58DC" w:rsidP="001D003E">
    <w:pPr>
      <w:pStyle w:val="Footer0"/>
      <w:keepLines/>
      <w:pBdr>
        <w:top w:val="single" w:sz="4" w:space="1" w:color="auto"/>
        <w:left w:val="nil"/>
        <w:bottom w:val="nil"/>
        <w:right w:val="nil"/>
        <w:between w:val="nil"/>
        <w:bar w:val="nil"/>
      </w:pBdr>
      <w:rPr>
        <w:rFonts w:ascii="Arial" w:eastAsia="Times New Roman" w:hAnsi="Arial" w:cs="Times New Roman"/>
        <w:b/>
        <w:sz w:val="18"/>
        <w:szCs w:val="18"/>
        <w:bdr w:val="nil"/>
        <w:lang w:val="en-AU" w:eastAsia="en-AU"/>
      </w:rPr>
    </w:pPr>
    <w:r>
      <w:rPr>
        <w:rFonts w:ascii="Arial" w:eastAsia="Times New Roman" w:hAnsi="Arial" w:cs="Times New Roman"/>
        <w:sz w:val="18"/>
        <w:szCs w:val="18"/>
        <w:bdr w:val="nil"/>
        <w:lang w:val="en-AU" w:eastAsia="en-AU"/>
      </w:rPr>
      <w:br/>
    </w:r>
    <w:r>
      <w:rPr>
        <w:rFonts w:ascii="Arial" w:eastAsia="Times New Roman" w:hAnsi="Arial" w:cs="Times New Roman"/>
        <w:b/>
        <w:sz w:val="18"/>
        <w:szCs w:val="18"/>
        <w:bdr w:val="nil"/>
        <w:lang w:val="en-AU" w:eastAsia="en-AU"/>
      </w:rPr>
      <w:t xml:space="preserve">Page </w:t>
    </w:r>
    <w:r>
      <w:rPr>
        <w:rFonts w:ascii="Arial" w:eastAsia="Times New Roman" w:hAnsi="Arial" w:cs="Times New Roman"/>
        <w:b/>
        <w:sz w:val="18"/>
        <w:szCs w:val="18"/>
        <w:bdr w:val="nil"/>
        <w:lang w:val="en-AU" w:eastAsia="en-AU"/>
      </w:rPr>
      <w:fldChar w:fldCharType="begin"/>
    </w:r>
    <w:r>
      <w:rPr>
        <w:rFonts w:ascii="Arial" w:eastAsia="Times New Roman" w:hAnsi="Arial" w:cs="Times New Roman"/>
        <w:b/>
        <w:sz w:val="18"/>
        <w:szCs w:val="18"/>
        <w:bdr w:val="nil"/>
        <w:lang w:val="en-AU" w:eastAsia="en-AU"/>
      </w:rPr>
      <w:instrText xml:space="preserve"> PAGE  \* roman  \* MERGEFORMAT </w:instrText>
    </w:r>
    <w:r>
      <w:rPr>
        <w:rFonts w:ascii="Arial" w:eastAsia="Times New Roman" w:hAnsi="Arial" w:cs="Times New Roman"/>
        <w:b/>
        <w:sz w:val="18"/>
        <w:szCs w:val="18"/>
        <w:bdr w:val="nil"/>
        <w:lang w:val="en-AU" w:eastAsia="en-AU"/>
      </w:rPr>
      <w:fldChar w:fldCharType="separate"/>
    </w:r>
    <w:r w:rsidR="00773EBE">
      <w:rPr>
        <w:rFonts w:ascii="Arial" w:eastAsia="Times New Roman" w:hAnsi="Arial" w:cs="Times New Roman"/>
        <w:b/>
        <w:noProof/>
        <w:sz w:val="18"/>
        <w:szCs w:val="18"/>
        <w:bdr w:val="nil"/>
        <w:lang w:val="en-AU" w:eastAsia="en-AU"/>
      </w:rPr>
      <w:t>viii</w:t>
    </w:r>
    <w:r>
      <w:rPr>
        <w:rFonts w:ascii="Arial" w:eastAsia="Times New Roman" w:hAnsi="Arial" w:cs="Times New Roman"/>
        <w:b/>
        <w:sz w:val="18"/>
        <w:szCs w:val="18"/>
        <w:bdr w:val="nil"/>
        <w:lang w:val="en-AU" w:eastAsia="en-AU"/>
      </w:rPr>
      <w:fldChar w:fldCharType="end"/>
    </w:r>
    <w:r>
      <w:rPr>
        <w:rFonts w:ascii="Arial" w:eastAsia="Times New Roman" w:hAnsi="Arial" w:cs="Times New Roman"/>
        <w:b/>
        <w:noProof/>
        <w:sz w:val="18"/>
        <w:szCs w:val="18"/>
        <w:bdr w:val="nil"/>
        <w:lang w:val="en-AU" w:eastAsia="en-AU"/>
      </w:rPr>
      <w:t xml:space="preserve"> </w:t>
    </w:r>
    <w:r w:rsidRPr="00614DBC">
      <w:rPr>
        <w:rFonts w:ascii="Arial" w:eastAsia="Times New Roman" w:hAnsi="Arial" w:cs="Times New Roman"/>
        <w:noProof/>
        <w:sz w:val="18"/>
        <w:szCs w:val="18"/>
        <w:bdr w:val="nil"/>
        <w:lang w:val="en-AU" w:eastAsia="en-AU"/>
      </w:rPr>
      <w:t>|</w:t>
    </w:r>
    <w:r>
      <w:rPr>
        <w:rFonts w:ascii="Arial" w:eastAsia="Times New Roman" w:hAnsi="Arial" w:cs="Times New Roman"/>
        <w:b/>
        <w:noProof/>
        <w:sz w:val="18"/>
        <w:szCs w:val="18"/>
        <w:bdr w:val="nil"/>
        <w:lang w:val="en-AU" w:eastAsia="en-AU"/>
      </w:rPr>
      <w:t xml:space="preserve"> </w:t>
    </w:r>
    <w:r>
      <w:rPr>
        <w:rFonts w:ascii="Arial" w:eastAsia="Times New Roman" w:hAnsi="Arial" w:cs="Times New Roman"/>
        <w:sz w:val="18"/>
        <w:szCs w:val="18"/>
        <w:bdr w:val="nil"/>
        <w:lang w:val="en-AU" w:eastAsia="en-AU"/>
      </w:rPr>
      <w:t>User Guide</w:t>
    </w:r>
    <w:r>
      <w:rPr>
        <w:rFonts w:ascii="Arial" w:eastAsia="Times New Roman" w:hAnsi="Arial" w:cs="Times New Roman"/>
        <w:b/>
        <w:sz w:val="18"/>
        <w:szCs w:val="18"/>
        <w:bdr w:val="nil"/>
        <w:lang w:val="en-AU" w:eastAsia="en-AU"/>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A31FF" w:rsidRDefault="009E58DC" w:rsidP="001D003E">
    <w:pPr>
      <w:pStyle w:val="Footer0"/>
      <w:keepLines/>
      <w:pBdr>
        <w:top w:val="single" w:sz="4" w:space="1" w:color="auto"/>
        <w:left w:val="nil"/>
        <w:bottom w:val="nil"/>
        <w:right w:val="nil"/>
        <w:between w:val="nil"/>
        <w:bar w:val="nil"/>
      </w:pBdr>
      <w:jc w:val="right"/>
      <w:rPr>
        <w:rFonts w:ascii="Arial" w:eastAsia="Times New Roman" w:hAnsi="Arial" w:cs="Times New Roman"/>
        <w:b/>
        <w:sz w:val="18"/>
        <w:szCs w:val="18"/>
        <w:bdr w:val="nil"/>
        <w:lang w:val="en-AU" w:eastAsia="en-AU"/>
      </w:rPr>
    </w:pPr>
    <w:r>
      <w:rPr>
        <w:rFonts w:ascii="Arial" w:eastAsia="Times New Roman" w:hAnsi="Arial" w:cs="Times New Roman"/>
        <w:sz w:val="18"/>
        <w:szCs w:val="18"/>
        <w:bdr w:val="nil"/>
        <w:lang w:val="en-AU" w:eastAsia="en-AU"/>
      </w:rPr>
      <w:br/>
    </w:r>
    <w:r w:rsidRPr="00BA31FF">
      <w:rPr>
        <w:rFonts w:ascii="Arial" w:eastAsia="Times New Roman" w:hAnsi="Arial" w:cs="Times New Roman"/>
        <w:sz w:val="18"/>
        <w:szCs w:val="18"/>
        <w:bdr w:val="nil"/>
        <w:lang w:val="en-AU" w:eastAsia="en-AU"/>
      </w:rPr>
      <w:t>User Guide |</w:t>
    </w:r>
    <w:r>
      <w:rPr>
        <w:rFonts w:ascii="Arial" w:eastAsia="Times New Roman" w:hAnsi="Arial" w:cs="Times New Roman"/>
        <w:b/>
        <w:sz w:val="18"/>
        <w:szCs w:val="18"/>
        <w:bdr w:val="nil"/>
        <w:lang w:val="en-AU" w:eastAsia="en-AU"/>
      </w:rPr>
      <w:t xml:space="preserve"> Page </w:t>
    </w:r>
    <w:r>
      <w:rPr>
        <w:rFonts w:ascii="Arial" w:eastAsia="Times New Roman" w:hAnsi="Arial" w:cs="Times New Roman"/>
        <w:b/>
        <w:sz w:val="18"/>
        <w:szCs w:val="18"/>
        <w:bdr w:val="nil"/>
        <w:lang w:val="en-AU" w:eastAsia="en-AU"/>
      </w:rPr>
      <w:fldChar w:fldCharType="begin"/>
    </w:r>
    <w:r>
      <w:rPr>
        <w:rFonts w:ascii="Arial" w:eastAsia="Times New Roman" w:hAnsi="Arial" w:cs="Times New Roman"/>
        <w:b/>
        <w:sz w:val="18"/>
        <w:szCs w:val="18"/>
        <w:bdr w:val="nil"/>
        <w:lang w:val="en-AU" w:eastAsia="en-AU"/>
      </w:rPr>
      <w:instrText xml:space="preserve"> PAGE  \* roman  \* MERGEFORMAT </w:instrText>
    </w:r>
    <w:r>
      <w:rPr>
        <w:rFonts w:ascii="Arial" w:eastAsia="Times New Roman" w:hAnsi="Arial" w:cs="Times New Roman"/>
        <w:b/>
        <w:sz w:val="18"/>
        <w:szCs w:val="18"/>
        <w:bdr w:val="nil"/>
        <w:lang w:val="en-AU" w:eastAsia="en-AU"/>
      </w:rPr>
      <w:fldChar w:fldCharType="separate"/>
    </w:r>
    <w:r>
      <w:rPr>
        <w:rFonts w:ascii="Arial" w:eastAsia="Times New Roman" w:hAnsi="Arial" w:cs="Times New Roman"/>
        <w:b/>
        <w:noProof/>
        <w:sz w:val="18"/>
        <w:szCs w:val="18"/>
        <w:bdr w:val="nil"/>
        <w:lang w:val="en-AU" w:eastAsia="en-AU"/>
      </w:rPr>
      <w:t>i</w:t>
    </w:r>
    <w:r>
      <w:rPr>
        <w:rFonts w:ascii="Arial" w:eastAsia="Times New Roman" w:hAnsi="Arial" w:cs="Times New Roman"/>
        <w:b/>
        <w:sz w:val="18"/>
        <w:szCs w:val="18"/>
        <w:bdr w:val="nil"/>
        <w:lang w:val="en-AU" w:eastAsia="en-AU"/>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pStyle w:val="Normal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1756F1" w:rsidRDefault="009E58DC" w:rsidP="001D003E">
    <w:pPr>
      <w:keepLines w:val="0"/>
      <w:pBdr>
        <w:top w:val="nil"/>
        <w:left w:val="nil"/>
        <w:bottom w:val="nil"/>
        <w:right w:val="nil"/>
        <w:between w:val="nil"/>
        <w:bar w:val="nil"/>
      </w:pBdr>
      <w:spacing w:after="0" w:line="240" w:lineRule="auto"/>
      <w:jc w:val="center"/>
      <w:rPr>
        <w:rFonts w:ascii="Times New Roman" w:hAnsi="Times New Roman"/>
        <w:color w:val="FFFFFF"/>
        <w:sz w:val="24"/>
        <w:szCs w:val="24"/>
        <w:bdr w:val="nil"/>
      </w:rPr>
    </w:pPr>
    <w:r w:rsidRPr="001756F1">
      <w:rPr>
        <w:rFonts w:ascii="Times New Roman" w:hAnsi="Times New Roman"/>
        <w:color w:val="FFFFFF"/>
        <w:sz w:val="24"/>
        <w:szCs w:val="24"/>
        <w:bdr w:val="nil"/>
      </w:rPr>
      <w:fldChar w:fldCharType="begin"/>
    </w:r>
    <w:r w:rsidRPr="001756F1">
      <w:rPr>
        <w:rFonts w:ascii="Times New Roman" w:hAnsi="Times New Roman"/>
        <w:color w:val="FFFFFF"/>
        <w:sz w:val="24"/>
        <w:szCs w:val="24"/>
        <w:bdr w:val="nil"/>
      </w:rPr>
      <w:instrText xml:space="preserve"> PAGE  \* roman  \* MERGEFORMAT </w:instrText>
    </w:r>
    <w:r w:rsidRPr="001756F1">
      <w:rPr>
        <w:rFonts w:ascii="Times New Roman" w:hAnsi="Times New Roman"/>
        <w:color w:val="FFFFFF"/>
        <w:sz w:val="24"/>
        <w:szCs w:val="24"/>
        <w:bdr w:val="nil"/>
      </w:rPr>
      <w:fldChar w:fldCharType="separate"/>
    </w:r>
    <w:r w:rsidRPr="001756F1">
      <w:rPr>
        <w:rFonts w:ascii="Times New Roman" w:hAnsi="Times New Roman"/>
        <w:noProof/>
        <w:color w:val="FFFFFF"/>
        <w:sz w:val="24"/>
        <w:szCs w:val="24"/>
        <w:bdr w:val="nil"/>
      </w:rPr>
      <w:t>iv</w:t>
    </w:r>
    <w:r w:rsidRPr="001756F1">
      <w:rPr>
        <w:rFonts w:ascii="Times New Roman" w:hAnsi="Times New Roman"/>
        <w:color w:val="FFFFFF"/>
        <w:sz w:val="24"/>
        <w:szCs w:val="24"/>
        <w:bdr w:val="nil"/>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1756F1" w:rsidRDefault="009E58DC" w:rsidP="001D003E">
    <w:pPr>
      <w:keepLines w:val="0"/>
      <w:pBdr>
        <w:top w:val="nil"/>
        <w:left w:val="nil"/>
        <w:bottom w:val="nil"/>
        <w:right w:val="nil"/>
        <w:between w:val="nil"/>
        <w:bar w:val="nil"/>
      </w:pBdr>
      <w:spacing w:after="0" w:line="240" w:lineRule="auto"/>
      <w:jc w:val="center"/>
      <w:rPr>
        <w:rFonts w:ascii="Times New Roman" w:hAnsi="Times New Roman"/>
        <w:color w:val="FFFFFF"/>
        <w:sz w:val="24"/>
        <w:szCs w:val="24"/>
        <w:bdr w:val="nil"/>
      </w:rPr>
    </w:pPr>
    <w:r w:rsidRPr="001756F1">
      <w:rPr>
        <w:rFonts w:ascii="Times New Roman" w:hAnsi="Times New Roman"/>
        <w:color w:val="FFFFFF"/>
        <w:sz w:val="24"/>
        <w:szCs w:val="24"/>
        <w:bdr w:val="nil"/>
      </w:rPr>
      <w:fldChar w:fldCharType="begin"/>
    </w:r>
    <w:r w:rsidRPr="001756F1">
      <w:rPr>
        <w:rFonts w:ascii="Times New Roman" w:hAnsi="Times New Roman"/>
        <w:color w:val="FFFFFF"/>
        <w:sz w:val="24"/>
        <w:szCs w:val="24"/>
        <w:bdr w:val="nil"/>
      </w:rPr>
      <w:instrText xml:space="preserve"> PAGE  \* roman  \* MERGEFORMAT </w:instrText>
    </w:r>
    <w:r w:rsidRPr="001756F1">
      <w:rPr>
        <w:rFonts w:ascii="Times New Roman" w:hAnsi="Times New Roman"/>
        <w:color w:val="FFFFFF"/>
        <w:sz w:val="24"/>
        <w:szCs w:val="24"/>
        <w:bdr w:val="nil"/>
      </w:rPr>
      <w:fldChar w:fldCharType="separate"/>
    </w:r>
    <w:r w:rsidR="00773EBE">
      <w:rPr>
        <w:rFonts w:ascii="Times New Roman" w:hAnsi="Times New Roman"/>
        <w:noProof/>
        <w:color w:val="FFFFFF"/>
        <w:sz w:val="24"/>
        <w:szCs w:val="24"/>
        <w:bdr w:val="nil"/>
      </w:rPr>
      <w:t>ix</w:t>
    </w:r>
    <w:r w:rsidRPr="001756F1">
      <w:rPr>
        <w:rFonts w:ascii="Times New Roman" w:hAnsi="Times New Roman"/>
        <w:color w:val="FFFFFF"/>
        <w:sz w:val="24"/>
        <w:szCs w:val="24"/>
        <w:bdr w:val="ni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7E2962" w:rsidRDefault="009E58DC" w:rsidP="001D003E">
    <w:pPr>
      <w:keepLines w:val="0"/>
      <w:pBdr>
        <w:top w:val="nil"/>
        <w:left w:val="nil"/>
        <w:bottom w:val="nil"/>
        <w:right w:val="nil"/>
        <w:between w:val="nil"/>
        <w:bar w:val="nil"/>
      </w:pBdr>
      <w:spacing w:after="0" w:line="240" w:lineRule="auto"/>
      <w:jc w:val="center"/>
      <w:rPr>
        <w:rFonts w:ascii="Arial" w:hAnsi="Arial" w:cs="Arial"/>
        <w:color w:val="FFFFFF"/>
        <w:bdr w:val="nil"/>
      </w:rPr>
    </w:pPr>
    <w:r w:rsidRPr="007E2962">
      <w:rPr>
        <w:rFonts w:ascii="Arial" w:hAnsi="Arial" w:cs="Arial"/>
        <w:color w:val="FFFFFF"/>
        <w:bdr w:val="nil"/>
      </w:rPr>
      <w:t>ix</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7E2962" w:rsidRDefault="009E58DC" w:rsidP="001D003E">
    <w:pPr>
      <w:keepLines w:val="0"/>
      <w:pBdr>
        <w:top w:val="nil"/>
        <w:left w:val="nil"/>
        <w:bottom w:val="nil"/>
        <w:right w:val="nil"/>
        <w:between w:val="nil"/>
        <w:bar w:val="nil"/>
      </w:pBdr>
      <w:spacing w:after="0" w:line="240" w:lineRule="auto"/>
      <w:jc w:val="center"/>
      <w:rPr>
        <w:rFonts w:ascii="Arial" w:hAnsi="Arial" w:cs="Arial"/>
        <w:color w:val="FFFFFF"/>
        <w:bdr w:val="nil"/>
      </w:rPr>
    </w:pPr>
    <w:r w:rsidRPr="007E2962">
      <w:rPr>
        <w:rFonts w:ascii="Arial" w:hAnsi="Arial" w:cs="Arial"/>
        <w:color w:val="FFFFFF"/>
        <w:bdr w:val="nil"/>
      </w:rPr>
      <w:t>ix</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keepLines w:val="0"/>
      <w:pBdr>
        <w:top w:val="nil"/>
        <w:left w:val="nil"/>
        <w:bottom w:val="nil"/>
        <w:right w:val="nil"/>
        <w:between w:val="nil"/>
        <w:bar w:val="nil"/>
      </w:pBdr>
      <w:spacing w:after="0" w:line="240" w:lineRule="auto"/>
      <w:jc w:val="center"/>
      <w:rPr>
        <w:rFonts w:ascii="Arial" w:hAnsi="Arial" w:cs="Arial"/>
        <w:color w:val="FFFFFF"/>
        <w:bdr w:val="nil"/>
      </w:rPr>
    </w:pPr>
    <w:r>
      <w:rPr>
        <w:rFonts w:ascii="Arial" w:hAnsi="Arial" w:cs="Arial"/>
        <w:color w:val="FFFFFF"/>
        <w:bdr w:val="nil"/>
      </w:rPr>
      <w:fldChar w:fldCharType="begin"/>
    </w:r>
    <w:r>
      <w:rPr>
        <w:rFonts w:ascii="Arial" w:hAnsi="Arial" w:cs="Arial"/>
        <w:color w:val="FFFFFF"/>
        <w:bdr w:val="nil"/>
      </w:rPr>
      <w:instrText xml:space="preserve"> PAGE  \* Arabic  \* MERGEFORMAT </w:instrText>
    </w:r>
    <w:r>
      <w:rPr>
        <w:rFonts w:ascii="Arial" w:hAnsi="Arial" w:cs="Arial"/>
        <w:color w:val="FFFFFF"/>
        <w:bdr w:val="nil"/>
      </w:rPr>
      <w:fldChar w:fldCharType="separate"/>
    </w:r>
    <w:r w:rsidR="00773EBE">
      <w:rPr>
        <w:rFonts w:ascii="Arial" w:hAnsi="Arial" w:cs="Arial"/>
        <w:noProof/>
        <w:color w:val="FFFFFF"/>
        <w:bdr w:val="nil"/>
      </w:rPr>
      <w:t>2</w:t>
    </w:r>
    <w:r>
      <w:rPr>
        <w:rFonts w:ascii="Arial" w:hAnsi="Arial" w:cs="Arial"/>
        <w:color w:val="FFFFFF"/>
        <w:bdr w:val="nil"/>
      </w:rPr>
      <w:fldChar w:fldCharType="end"/>
    </w:r>
  </w:p>
  <w:p w:rsidR="009E58DC" w:rsidRPr="007E2962" w:rsidRDefault="009E58DC" w:rsidP="001D003E">
    <w:pPr>
      <w:keepLines w:val="0"/>
      <w:pBdr>
        <w:top w:val="nil"/>
        <w:left w:val="nil"/>
        <w:bottom w:val="nil"/>
        <w:right w:val="nil"/>
        <w:between w:val="nil"/>
        <w:bar w:val="nil"/>
      </w:pBdr>
      <w:spacing w:after="0" w:line="240" w:lineRule="auto"/>
      <w:jc w:val="center"/>
      <w:rPr>
        <w:rFonts w:ascii="Arial" w:hAnsi="Arial" w:cs="Arial"/>
        <w:color w:val="FFFFFF"/>
        <w:bdr w:val="nil"/>
      </w:rPr>
    </w:pPr>
    <w:r w:rsidRPr="007E2962">
      <w:rPr>
        <w:rFonts w:ascii="Arial" w:hAnsi="Arial" w:cs="Arial"/>
        <w:color w:val="FFFFFF"/>
        <w:bdr w:val="nil"/>
      </w:rPr>
      <w:t>ix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A31FF" w:rsidRDefault="009E58DC" w:rsidP="001D003E">
    <w:pPr>
      <w:pStyle w:val="Footer"/>
      <w:pBdr>
        <w:top w:val="single" w:sz="4" w:space="1" w:color="auto"/>
        <w:left w:val="nil"/>
        <w:bottom w:val="nil"/>
        <w:right w:val="nil"/>
        <w:between w:val="nil"/>
        <w:bar w:val="nil"/>
      </w:pBdr>
      <w:jc w:val="right"/>
      <w:rPr>
        <w:b/>
        <w:sz w:val="18"/>
        <w:szCs w:val="18"/>
        <w:bdr w:val="nil"/>
      </w:rPr>
    </w:pPr>
    <w:r>
      <w:rPr>
        <w:sz w:val="18"/>
        <w:szCs w:val="18"/>
        <w:bdr w:val="nil"/>
      </w:rPr>
      <w:br/>
    </w:r>
    <w:r w:rsidRPr="00BA31FF">
      <w:rPr>
        <w:sz w:val="18"/>
        <w:szCs w:val="18"/>
        <w:bdr w:val="nil"/>
      </w:rPr>
      <w:t>User Guide |</w:t>
    </w:r>
    <w:r>
      <w:rPr>
        <w:b/>
        <w:sz w:val="18"/>
        <w:szCs w:val="18"/>
        <w:bdr w:val="nil"/>
      </w:rPr>
      <w:t xml:space="preserve"> 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Pr>
        <w:b/>
        <w:noProof/>
        <w:sz w:val="18"/>
        <w:szCs w:val="18"/>
        <w:bdr w:val="nil"/>
      </w:rPr>
      <w:t>i</w:t>
    </w:r>
    <w:r>
      <w:rPr>
        <w:b/>
        <w:sz w:val="18"/>
        <w:szCs w:val="18"/>
        <w:bdr w:val="nil"/>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keepLines w:val="0"/>
      <w:pBdr>
        <w:top w:val="nil"/>
        <w:left w:val="nil"/>
        <w:bottom w:val="nil"/>
        <w:right w:val="nil"/>
        <w:between w:val="nil"/>
        <w:bar w:val="nil"/>
      </w:pBdr>
      <w:spacing w:after="0" w:line="240" w:lineRule="auto"/>
      <w:jc w:val="center"/>
      <w:rPr>
        <w:rFonts w:ascii="Arial" w:hAnsi="Arial" w:cs="Arial"/>
        <w:color w:val="FFFFFF"/>
        <w:bdr w:val="nil"/>
      </w:rPr>
    </w:pPr>
    <w:r>
      <w:rPr>
        <w:rFonts w:ascii="Arial" w:hAnsi="Arial" w:cs="Arial"/>
        <w:color w:val="FFFFFF"/>
        <w:bdr w:val="nil"/>
      </w:rPr>
      <w:fldChar w:fldCharType="begin"/>
    </w:r>
    <w:r>
      <w:rPr>
        <w:rFonts w:ascii="Arial" w:hAnsi="Arial" w:cs="Arial"/>
        <w:color w:val="FFFFFF"/>
        <w:bdr w:val="nil"/>
      </w:rPr>
      <w:instrText xml:space="preserve"> PAGE  \* Arabic  \* MERGEFORMAT </w:instrText>
    </w:r>
    <w:r>
      <w:rPr>
        <w:rFonts w:ascii="Arial" w:hAnsi="Arial" w:cs="Arial"/>
        <w:color w:val="FFFFFF"/>
        <w:bdr w:val="nil"/>
      </w:rPr>
      <w:fldChar w:fldCharType="separate"/>
    </w:r>
    <w:r w:rsidR="00773EBE">
      <w:rPr>
        <w:rFonts w:ascii="Arial" w:hAnsi="Arial" w:cs="Arial"/>
        <w:noProof/>
        <w:color w:val="FFFFFF"/>
        <w:bdr w:val="nil"/>
      </w:rPr>
      <w:t>1</w:t>
    </w:r>
    <w:r>
      <w:rPr>
        <w:rFonts w:ascii="Arial" w:hAnsi="Arial" w:cs="Arial"/>
        <w:color w:val="FFFFFF"/>
        <w:bdr w:val="nil"/>
      </w:rPr>
      <w:fldChar w:fldCharType="end"/>
    </w:r>
  </w:p>
  <w:p w:rsidR="009E58DC" w:rsidRPr="007E2962" w:rsidRDefault="009E58DC" w:rsidP="001D003E">
    <w:pPr>
      <w:keepLines w:val="0"/>
      <w:pBdr>
        <w:top w:val="nil"/>
        <w:left w:val="nil"/>
        <w:bottom w:val="nil"/>
        <w:right w:val="nil"/>
        <w:between w:val="nil"/>
        <w:bar w:val="nil"/>
      </w:pBdr>
      <w:spacing w:after="0" w:line="240" w:lineRule="auto"/>
      <w:jc w:val="center"/>
      <w:rPr>
        <w:rFonts w:ascii="Arial" w:hAnsi="Arial" w:cs="Arial"/>
        <w:color w:val="FFFFFF"/>
        <w:bdr w:val="nil"/>
      </w:rPr>
    </w:pPr>
    <w:r w:rsidRPr="007E2962">
      <w:rPr>
        <w:rFonts w:ascii="Arial" w:hAnsi="Arial" w:cs="Arial"/>
        <w:color w:val="FFFFFF"/>
        <w:bdr w:val="nil"/>
      </w:rPr>
      <w:t>ix</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
      <w:pBdr>
        <w:top w:val="single" w:sz="4" w:space="1" w:color="auto"/>
        <w:left w:val="nil"/>
        <w:bottom w:val="nil"/>
        <w:right w:val="nil"/>
        <w:between w:val="nil"/>
        <w:bar w:val="nil"/>
      </w:pBdr>
      <w:jc w:val="right"/>
      <w:rPr>
        <w:sz w:val="18"/>
        <w:bdr w:val="nil"/>
      </w:rPr>
    </w:pPr>
  </w:p>
  <w:p w:rsidR="009E58DC" w:rsidRPr="00DC1555" w:rsidRDefault="009E58DC" w:rsidP="001D003E">
    <w:pPr>
      <w:pStyle w:val="Footer"/>
      <w:pBdr>
        <w:top w:val="nil"/>
        <w:left w:val="nil"/>
        <w:bottom w:val="nil"/>
        <w:right w:val="nil"/>
        <w:between w:val="nil"/>
        <w:bar w:val="nil"/>
      </w:pBdr>
      <w:jc w:val="lef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Pr="00DC1555">
      <w:rPr>
        <w:b/>
        <w:noProof/>
        <w:sz w:val="18"/>
        <w:bdr w:val="nil"/>
      </w:rPr>
      <w:t>1</w:t>
    </w:r>
    <w:r w:rsidRPr="00DC1555">
      <w:rPr>
        <w:b/>
        <w:noProof/>
        <w:sz w:val="18"/>
        <w:bdr w:val="nil"/>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
      <w:pBdr>
        <w:top w:val="single" w:sz="4" w:space="1" w:color="auto"/>
        <w:left w:val="nil"/>
        <w:bottom w:val="nil"/>
        <w:right w:val="nil"/>
        <w:between w:val="nil"/>
        <w:bar w:val="nil"/>
      </w:pBdr>
      <w:jc w:val="left"/>
      <w:rPr>
        <w:sz w:val="18"/>
        <w:bdr w:val="nil"/>
      </w:rPr>
    </w:pPr>
  </w:p>
  <w:p w:rsidR="009E58DC" w:rsidRPr="00DC1555" w:rsidRDefault="009E58DC" w:rsidP="001D003E">
    <w:pPr>
      <w:pStyle w:val="Footer"/>
      <w:pBdr>
        <w:top w:val="nil"/>
        <w:left w:val="nil"/>
        <w:bottom w:val="nil"/>
        <w:right w:val="nil"/>
        <w:between w:val="nil"/>
        <w:bar w:val="nil"/>
      </w:pBdr>
      <w:jc w:val="righ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00773EBE">
      <w:rPr>
        <w:b/>
        <w:noProof/>
        <w:sz w:val="18"/>
        <w:bdr w:val="nil"/>
      </w:rPr>
      <w:t>3</w:t>
    </w:r>
    <w:r w:rsidRPr="00DC1555">
      <w:rPr>
        <w:b/>
        <w:noProof/>
        <w:sz w:val="18"/>
        <w:bdr w:val="nil"/>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
      <w:pBdr>
        <w:top w:val="single" w:sz="4" w:space="1" w:color="auto"/>
        <w:left w:val="nil"/>
        <w:bottom w:val="nil"/>
        <w:right w:val="nil"/>
        <w:between w:val="nil"/>
        <w:bar w:val="nil"/>
      </w:pBdr>
      <w:jc w:val="right"/>
      <w:rPr>
        <w:sz w:val="18"/>
        <w:bdr w:val="nil"/>
      </w:rPr>
    </w:pPr>
  </w:p>
  <w:p w:rsidR="009E58DC" w:rsidRPr="00DC1555" w:rsidRDefault="009E58DC" w:rsidP="001D003E">
    <w:pPr>
      <w:pStyle w:val="Footer"/>
      <w:pBdr>
        <w:top w:val="nil"/>
        <w:left w:val="nil"/>
        <w:bottom w:val="nil"/>
        <w:right w:val="nil"/>
        <w:between w:val="nil"/>
        <w:bar w:val="nil"/>
      </w:pBdr>
      <w:jc w:val="lef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00773EBE">
      <w:rPr>
        <w:b/>
        <w:noProof/>
        <w:sz w:val="18"/>
        <w:bdr w:val="nil"/>
      </w:rPr>
      <w:t>4</w:t>
    </w:r>
    <w:r w:rsidRPr="00DC1555">
      <w:rPr>
        <w:b/>
        <w:noProof/>
        <w:sz w:val="18"/>
        <w:bdr w:val="nil"/>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
      <w:pBdr>
        <w:top w:val="single" w:sz="4" w:space="1" w:color="auto"/>
        <w:left w:val="nil"/>
        <w:bottom w:val="nil"/>
        <w:right w:val="nil"/>
        <w:between w:val="nil"/>
        <w:bar w:val="nil"/>
      </w:pBdr>
      <w:jc w:val="left"/>
      <w:rPr>
        <w:sz w:val="18"/>
        <w:bdr w:val="nil"/>
      </w:rPr>
    </w:pPr>
  </w:p>
  <w:p w:rsidR="009E58DC" w:rsidRPr="00DC1555" w:rsidRDefault="009E58DC" w:rsidP="001D003E">
    <w:pPr>
      <w:pStyle w:val="Footer"/>
      <w:pBdr>
        <w:top w:val="nil"/>
        <w:left w:val="nil"/>
        <w:bottom w:val="nil"/>
        <w:right w:val="nil"/>
        <w:between w:val="nil"/>
        <w:bar w:val="nil"/>
      </w:pBdr>
      <w:jc w:val="righ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Pr="00DC1555">
      <w:rPr>
        <w:b/>
        <w:noProof/>
        <w:sz w:val="18"/>
        <w:bdr w:val="nil"/>
      </w:rPr>
      <w:t>1</w:t>
    </w:r>
    <w:r w:rsidRPr="00DC1555">
      <w:rPr>
        <w:b/>
        <w:noProof/>
        <w:sz w:val="18"/>
        <w:bdr w:val="nil"/>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1756F1" w:rsidRDefault="009E58DC" w:rsidP="001D003E">
    <w:pPr>
      <w:keepLines w:val="0"/>
      <w:pBdr>
        <w:top w:val="nil"/>
        <w:left w:val="nil"/>
        <w:bottom w:val="nil"/>
        <w:right w:val="nil"/>
        <w:between w:val="nil"/>
        <w:bar w:val="nil"/>
      </w:pBdr>
      <w:spacing w:after="0" w:line="240" w:lineRule="auto"/>
      <w:jc w:val="center"/>
      <w:rPr>
        <w:rFonts w:ascii="Times New Roman" w:hAnsi="Times New Roman"/>
        <w:color w:val="FFFFFF"/>
        <w:sz w:val="24"/>
        <w:szCs w:val="24"/>
        <w:bdr w:val="nil"/>
      </w:rPr>
    </w:pPr>
    <w:r w:rsidRPr="001756F1">
      <w:rPr>
        <w:rFonts w:ascii="Times New Roman" w:hAnsi="Times New Roman"/>
        <w:color w:val="FFFFFF"/>
        <w:sz w:val="24"/>
        <w:szCs w:val="24"/>
        <w:bdr w:val="nil"/>
      </w:rPr>
      <w:fldChar w:fldCharType="begin"/>
    </w:r>
    <w:r w:rsidRPr="001756F1">
      <w:rPr>
        <w:rFonts w:ascii="Times New Roman" w:hAnsi="Times New Roman"/>
        <w:color w:val="FFFFFF"/>
        <w:sz w:val="24"/>
        <w:szCs w:val="24"/>
        <w:bdr w:val="nil"/>
      </w:rPr>
      <w:instrText xml:space="preserve"> PAGE  \* roman  \* MERGEFORMAT </w:instrText>
    </w:r>
    <w:r w:rsidRPr="001756F1">
      <w:rPr>
        <w:rFonts w:ascii="Times New Roman" w:hAnsi="Times New Roman"/>
        <w:color w:val="FFFFFF"/>
        <w:sz w:val="24"/>
        <w:szCs w:val="24"/>
        <w:bdr w:val="nil"/>
      </w:rPr>
      <w:fldChar w:fldCharType="separate"/>
    </w:r>
    <w:r w:rsidRPr="001756F1">
      <w:rPr>
        <w:rFonts w:ascii="Times New Roman" w:hAnsi="Times New Roman"/>
        <w:noProof/>
        <w:color w:val="FFFFFF"/>
        <w:sz w:val="24"/>
        <w:szCs w:val="24"/>
        <w:bdr w:val="nil"/>
      </w:rPr>
      <w:t>iv</w:t>
    </w:r>
    <w:r w:rsidRPr="001756F1">
      <w:rPr>
        <w:rFonts w:ascii="Times New Roman" w:hAnsi="Times New Roman"/>
        <w:color w:val="FFFFFF"/>
        <w:sz w:val="24"/>
        <w:szCs w:val="24"/>
        <w:bdr w:val="nil"/>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1756F1" w:rsidRDefault="009E58DC" w:rsidP="001D003E">
    <w:pPr>
      <w:keepLines w:val="0"/>
      <w:pBdr>
        <w:top w:val="nil"/>
        <w:left w:val="nil"/>
        <w:bottom w:val="nil"/>
        <w:right w:val="nil"/>
        <w:between w:val="nil"/>
        <w:bar w:val="nil"/>
      </w:pBdr>
      <w:spacing w:after="0" w:line="240" w:lineRule="auto"/>
      <w:jc w:val="center"/>
      <w:rPr>
        <w:rFonts w:ascii="Times New Roman" w:hAnsi="Times New Roman"/>
        <w:color w:val="FFFFFF"/>
        <w:sz w:val="24"/>
        <w:szCs w:val="24"/>
        <w:bdr w:val="nil"/>
      </w:rPr>
    </w:pPr>
    <w:r w:rsidRPr="001756F1">
      <w:rPr>
        <w:rFonts w:ascii="Times New Roman" w:hAnsi="Times New Roman"/>
        <w:color w:val="FFFFFF"/>
        <w:sz w:val="24"/>
        <w:szCs w:val="24"/>
        <w:bdr w:val="nil"/>
      </w:rPr>
      <w:fldChar w:fldCharType="begin"/>
    </w:r>
    <w:r w:rsidRPr="001756F1">
      <w:rPr>
        <w:rFonts w:ascii="Times New Roman" w:hAnsi="Times New Roman"/>
        <w:color w:val="FFFFFF"/>
        <w:sz w:val="24"/>
        <w:szCs w:val="24"/>
        <w:bdr w:val="nil"/>
      </w:rPr>
      <w:instrText xml:space="preserve"> PAGE  \* roman  \* MERGEFORMAT </w:instrText>
    </w:r>
    <w:r w:rsidRPr="001756F1">
      <w:rPr>
        <w:rFonts w:ascii="Times New Roman" w:hAnsi="Times New Roman"/>
        <w:color w:val="FFFFFF"/>
        <w:sz w:val="24"/>
        <w:szCs w:val="24"/>
        <w:bdr w:val="nil"/>
      </w:rPr>
      <w:fldChar w:fldCharType="separate"/>
    </w:r>
    <w:r w:rsidR="00773EBE">
      <w:rPr>
        <w:rFonts w:ascii="Times New Roman" w:hAnsi="Times New Roman"/>
        <w:noProof/>
        <w:color w:val="FFFFFF"/>
        <w:sz w:val="24"/>
        <w:szCs w:val="24"/>
        <w:bdr w:val="nil"/>
      </w:rPr>
      <w:t>v</w:t>
    </w:r>
    <w:r w:rsidRPr="001756F1">
      <w:rPr>
        <w:rFonts w:ascii="Times New Roman" w:hAnsi="Times New Roman"/>
        <w:color w:val="FFFFFF"/>
        <w:sz w:val="24"/>
        <w:szCs w:val="24"/>
        <w:bdr w:val="ni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rPr>
        <w:bdr w:val="nil"/>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4B0217" w:rsidRDefault="009E58DC" w:rsidP="001D003E">
    <w:pPr>
      <w:keepLines w:val="0"/>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4B0217">
      <w:rPr>
        <w:rFonts w:ascii="Arial" w:eastAsia="Calibri" w:hAnsi="Arial" w:cs="Arial"/>
        <w:color w:val="FFFFFF"/>
        <w:bdr w:val="nil"/>
        <w:lang w:eastAsia="en-US"/>
      </w:rPr>
      <w:fldChar w:fldCharType="begin"/>
    </w:r>
    <w:r w:rsidRPr="004B0217">
      <w:rPr>
        <w:rFonts w:ascii="Arial" w:eastAsia="Calibri" w:hAnsi="Arial" w:cs="Arial"/>
        <w:color w:val="FFFFFF"/>
        <w:bdr w:val="nil"/>
        <w:lang w:eastAsia="en-US"/>
      </w:rPr>
      <w:instrText xml:space="preserve"> PAGE  \* Arabic  \* MERGEFORMAT </w:instrText>
    </w:r>
    <w:r w:rsidRPr="004B0217">
      <w:rPr>
        <w:rFonts w:ascii="Arial" w:eastAsia="Calibri" w:hAnsi="Arial" w:cs="Arial"/>
        <w:color w:val="FFFFFF"/>
        <w:bdr w:val="nil"/>
        <w:lang w:eastAsia="en-US"/>
      </w:rPr>
      <w:fldChar w:fldCharType="separate"/>
    </w:r>
    <w:r w:rsidR="00773EBE">
      <w:rPr>
        <w:rFonts w:ascii="Arial" w:eastAsia="Calibri" w:hAnsi="Arial" w:cs="Arial"/>
        <w:noProof/>
        <w:color w:val="FFFFFF"/>
        <w:bdr w:val="nil"/>
        <w:lang w:eastAsia="en-US"/>
      </w:rPr>
      <w:t>6</w:t>
    </w:r>
    <w:r w:rsidRPr="004B0217">
      <w:rPr>
        <w:rFonts w:ascii="Arial" w:eastAsia="Calibri" w:hAnsi="Arial" w:cs="Arial"/>
        <w:color w:val="FFFFFF"/>
        <w:bdr w:val="nil"/>
        <w:lang w:eastAsia="en-US"/>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4B0217" w:rsidRDefault="009E58DC" w:rsidP="001D003E">
    <w:pPr>
      <w:keepLines w:val="0"/>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4B0217">
      <w:rPr>
        <w:rFonts w:ascii="Arial" w:eastAsia="Calibri" w:hAnsi="Arial" w:cs="Arial"/>
        <w:color w:val="FFFFFF"/>
        <w:bdr w:val="nil"/>
        <w:lang w:eastAsia="en-US"/>
      </w:rPr>
      <w:fldChar w:fldCharType="begin"/>
    </w:r>
    <w:r w:rsidRPr="004B0217">
      <w:rPr>
        <w:rFonts w:ascii="Arial" w:eastAsia="Calibri" w:hAnsi="Arial" w:cs="Arial"/>
        <w:color w:val="FFFFFF"/>
        <w:bdr w:val="nil"/>
        <w:lang w:eastAsia="en-US"/>
      </w:rPr>
      <w:instrText xml:space="preserve"> PAGE  \* Arabic  \* MERGEFORMAT </w:instrText>
    </w:r>
    <w:r w:rsidRPr="004B0217">
      <w:rPr>
        <w:rFonts w:ascii="Arial" w:eastAsia="Calibri" w:hAnsi="Arial" w:cs="Arial"/>
        <w:color w:val="FFFFFF"/>
        <w:bdr w:val="nil"/>
        <w:lang w:eastAsia="en-US"/>
      </w:rPr>
      <w:fldChar w:fldCharType="separate"/>
    </w:r>
    <w:r w:rsidRPr="004B0217">
      <w:rPr>
        <w:rFonts w:ascii="Arial" w:eastAsia="Calibri" w:hAnsi="Arial" w:cs="Arial"/>
        <w:noProof/>
        <w:color w:val="FFFFFF"/>
        <w:bdr w:val="nil"/>
        <w:lang w:eastAsia="en-US"/>
      </w:rPr>
      <w:t>1</w:t>
    </w:r>
    <w:r w:rsidRPr="004B0217">
      <w:rPr>
        <w:rFonts w:ascii="Arial" w:eastAsia="Calibri" w:hAnsi="Arial" w:cs="Arial"/>
        <w:color w:val="FFFFFF"/>
        <w:bdr w:val="nil"/>
        <w:lang w:eastAsia="en-US"/>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
      <w:pBdr>
        <w:top w:val="single" w:sz="4" w:space="1" w:color="auto"/>
        <w:left w:val="nil"/>
        <w:bottom w:val="nil"/>
        <w:right w:val="nil"/>
        <w:between w:val="nil"/>
        <w:bar w:val="nil"/>
      </w:pBdr>
      <w:jc w:val="right"/>
      <w:rPr>
        <w:sz w:val="18"/>
        <w:bdr w:val="nil"/>
      </w:rPr>
    </w:pPr>
  </w:p>
  <w:p w:rsidR="009E58DC" w:rsidRPr="00801FE2" w:rsidRDefault="009E58DC" w:rsidP="001D003E">
    <w:pPr>
      <w:pStyle w:val="Footer"/>
      <w:pBdr>
        <w:top w:val="nil"/>
        <w:left w:val="nil"/>
        <w:bottom w:val="nil"/>
        <w:right w:val="nil"/>
        <w:between w:val="nil"/>
        <w:bar w:val="nil"/>
      </w:pBdr>
      <w:jc w:val="left"/>
      <w:rPr>
        <w:sz w:val="18"/>
        <w:bdr w:val="nil"/>
      </w:rPr>
    </w:pPr>
    <w:r w:rsidRPr="00801FE2">
      <w:rPr>
        <w:sz w:val="18"/>
        <w:bdr w:val="nil"/>
      </w:rPr>
      <w:t xml:space="preserve">DVA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Pr="00801FE2">
      <w:rPr>
        <w:b/>
        <w:noProof/>
        <w:sz w:val="18"/>
        <w:bdr w:val="nil"/>
      </w:rPr>
      <w:t>1</w:t>
    </w:r>
    <w:r w:rsidRPr="00801FE2">
      <w:rPr>
        <w:b/>
        <w:noProof/>
        <w:sz w:val="18"/>
        <w:bdr w:val="nil"/>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
      <w:pBdr>
        <w:top w:val="single" w:sz="4" w:space="1" w:color="auto"/>
        <w:left w:val="nil"/>
        <w:bottom w:val="nil"/>
        <w:right w:val="nil"/>
        <w:between w:val="nil"/>
        <w:bar w:val="nil"/>
      </w:pBdr>
      <w:jc w:val="right"/>
      <w:rPr>
        <w:sz w:val="18"/>
        <w:bdr w:val="nil"/>
      </w:rPr>
    </w:pPr>
  </w:p>
  <w:p w:rsidR="009E58DC" w:rsidRPr="00801FE2" w:rsidRDefault="009E58DC" w:rsidP="001D003E">
    <w:pPr>
      <w:pStyle w:val="Footer"/>
      <w:pBdr>
        <w:top w:val="nil"/>
        <w:left w:val="nil"/>
        <w:bottom w:val="nil"/>
        <w:right w:val="nil"/>
        <w:between w:val="nil"/>
        <w:bar w:val="nil"/>
      </w:pBdr>
      <w:jc w:val="right"/>
      <w:rPr>
        <w:sz w:val="18"/>
        <w:bdr w:val="nil"/>
      </w:rPr>
    </w:pPr>
    <w:r w:rsidRPr="00801FE2">
      <w:rPr>
        <w:sz w:val="18"/>
        <w:bdr w:val="nil"/>
      </w:rPr>
      <w:t xml:space="preserve">DVA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773EBE">
      <w:rPr>
        <w:b/>
        <w:noProof/>
        <w:sz w:val="18"/>
        <w:bdr w:val="nil"/>
      </w:rPr>
      <w:t>7</w:t>
    </w:r>
    <w:r w:rsidRPr="00801FE2">
      <w:rPr>
        <w:b/>
        <w:noProof/>
        <w:sz w:val="18"/>
        <w:bdr w:val="nil"/>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
      <w:pBdr>
        <w:top w:val="single" w:sz="4" w:space="1" w:color="auto"/>
        <w:left w:val="nil"/>
        <w:bottom w:val="nil"/>
        <w:right w:val="nil"/>
        <w:between w:val="nil"/>
        <w:bar w:val="nil"/>
      </w:pBdr>
      <w:jc w:val="right"/>
      <w:rPr>
        <w:sz w:val="18"/>
        <w:bdr w:val="nil"/>
      </w:rPr>
    </w:pPr>
  </w:p>
  <w:p w:rsidR="009E58DC" w:rsidRPr="00801FE2" w:rsidRDefault="009E58DC" w:rsidP="001D003E">
    <w:pPr>
      <w:pStyle w:val="Footer"/>
      <w:pBdr>
        <w:top w:val="nil"/>
        <w:left w:val="nil"/>
        <w:bottom w:val="nil"/>
        <w:right w:val="nil"/>
        <w:between w:val="nil"/>
        <w:bar w:val="nil"/>
      </w:pBdr>
      <w:jc w:val="left"/>
      <w:rPr>
        <w:sz w:val="18"/>
        <w:bdr w:val="nil"/>
      </w:rPr>
    </w:pPr>
    <w:r w:rsidRPr="00801FE2">
      <w:rPr>
        <w:sz w:val="18"/>
        <w:bdr w:val="nil"/>
      </w:rPr>
      <w:t xml:space="preserve">DVA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773EBE">
      <w:rPr>
        <w:b/>
        <w:noProof/>
        <w:sz w:val="18"/>
        <w:bdr w:val="nil"/>
      </w:rPr>
      <w:t>8</w:t>
    </w:r>
    <w:r w:rsidRPr="00801FE2">
      <w:rPr>
        <w:b/>
        <w:noProof/>
        <w:sz w:val="18"/>
        <w:bdr w:val="nil"/>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
      <w:pBdr>
        <w:top w:val="single" w:sz="4" w:space="1" w:color="auto"/>
        <w:left w:val="nil"/>
        <w:bottom w:val="nil"/>
        <w:right w:val="nil"/>
        <w:between w:val="nil"/>
        <w:bar w:val="nil"/>
      </w:pBdr>
      <w:jc w:val="left"/>
      <w:rPr>
        <w:sz w:val="18"/>
        <w:bdr w:val="nil"/>
      </w:rPr>
    </w:pPr>
  </w:p>
  <w:p w:rsidR="009E58DC" w:rsidRPr="00801FE2" w:rsidRDefault="009E58DC" w:rsidP="001D003E">
    <w:pPr>
      <w:pStyle w:val="Footer"/>
      <w:pBdr>
        <w:top w:val="nil"/>
        <w:left w:val="nil"/>
        <w:bottom w:val="nil"/>
        <w:right w:val="nil"/>
        <w:between w:val="nil"/>
        <w:bar w:val="nil"/>
      </w:pBdr>
      <w:jc w:val="right"/>
      <w:rPr>
        <w:sz w:val="18"/>
        <w:bdr w:val="nil"/>
      </w:rPr>
    </w:pPr>
    <w:r w:rsidRPr="00801FE2">
      <w:rPr>
        <w:sz w:val="18"/>
        <w:bdr w:val="nil"/>
      </w:rPr>
      <w:t xml:space="preserve">DVA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Pr>
        <w:b/>
        <w:noProof/>
        <w:sz w:val="18"/>
        <w:bdr w:val="nil"/>
      </w:rPr>
      <w:t>9</w:t>
    </w:r>
    <w:r w:rsidRPr="00801FE2">
      <w:rPr>
        <w:b/>
        <w:noProof/>
        <w:sz w:val="18"/>
        <w:bdr w:val="nil"/>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1756F1" w:rsidRDefault="009E58DC" w:rsidP="001D003E">
    <w:pPr>
      <w:keepLines w:val="0"/>
      <w:pBdr>
        <w:top w:val="nil"/>
        <w:left w:val="nil"/>
        <w:bottom w:val="nil"/>
        <w:right w:val="nil"/>
        <w:between w:val="nil"/>
        <w:bar w:val="nil"/>
      </w:pBdr>
      <w:spacing w:after="0" w:line="240" w:lineRule="auto"/>
      <w:jc w:val="center"/>
      <w:rPr>
        <w:rFonts w:ascii="Times New Roman" w:hAnsi="Times New Roman"/>
        <w:color w:val="FFFFFF"/>
        <w:sz w:val="24"/>
        <w:szCs w:val="24"/>
        <w:bdr w:val="nil"/>
      </w:rPr>
    </w:pPr>
    <w:r w:rsidRPr="001756F1">
      <w:rPr>
        <w:rFonts w:ascii="Times New Roman" w:hAnsi="Times New Roman"/>
        <w:color w:val="FFFFFF"/>
        <w:sz w:val="24"/>
        <w:szCs w:val="24"/>
        <w:bdr w:val="nil"/>
      </w:rPr>
      <w:fldChar w:fldCharType="begin"/>
    </w:r>
    <w:r w:rsidRPr="001756F1">
      <w:rPr>
        <w:rFonts w:ascii="Times New Roman" w:hAnsi="Times New Roman"/>
        <w:color w:val="FFFFFF"/>
        <w:sz w:val="24"/>
        <w:szCs w:val="24"/>
        <w:bdr w:val="nil"/>
      </w:rPr>
      <w:instrText xml:space="preserve"> PAGE  \* roman  \* MERGEFORMAT </w:instrText>
    </w:r>
    <w:r w:rsidRPr="001756F1">
      <w:rPr>
        <w:rFonts w:ascii="Times New Roman" w:hAnsi="Times New Roman"/>
        <w:color w:val="FFFFFF"/>
        <w:sz w:val="24"/>
        <w:szCs w:val="24"/>
        <w:bdr w:val="nil"/>
      </w:rPr>
      <w:fldChar w:fldCharType="separate"/>
    </w:r>
    <w:r w:rsidR="00773EBE">
      <w:rPr>
        <w:rFonts w:ascii="Times New Roman" w:hAnsi="Times New Roman"/>
        <w:noProof/>
        <w:color w:val="FFFFFF"/>
        <w:sz w:val="24"/>
        <w:szCs w:val="24"/>
        <w:bdr w:val="nil"/>
      </w:rPr>
      <w:t>vi</w:t>
    </w:r>
    <w:r w:rsidRPr="001756F1">
      <w:rPr>
        <w:rFonts w:ascii="Times New Roman" w:hAnsi="Times New Roman"/>
        <w:color w:val="FFFFFF"/>
        <w:sz w:val="24"/>
        <w:szCs w:val="24"/>
        <w:bdr w:val="nil"/>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
      <w:pBdr>
        <w:top w:val="single" w:sz="4" w:space="1" w:color="auto"/>
        <w:left w:val="nil"/>
        <w:bottom w:val="nil"/>
        <w:right w:val="nil"/>
        <w:between w:val="nil"/>
        <w:bar w:val="nil"/>
      </w:pBdr>
      <w:jc w:val="right"/>
      <w:rPr>
        <w:sz w:val="18"/>
        <w:bdr w:val="nil"/>
      </w:rPr>
    </w:pPr>
  </w:p>
  <w:p w:rsidR="009E58DC" w:rsidRPr="00801FE2" w:rsidRDefault="009E58DC" w:rsidP="001D003E">
    <w:pPr>
      <w:pStyle w:val="Footer"/>
      <w:pBdr>
        <w:top w:val="nil"/>
        <w:left w:val="nil"/>
        <w:bottom w:val="nil"/>
        <w:right w:val="nil"/>
        <w:between w:val="nil"/>
        <w:bar w:val="nil"/>
      </w:pBdr>
      <w:jc w:val="left"/>
      <w:rPr>
        <w:sz w:val="18"/>
        <w:bdr w:val="nil"/>
      </w:rPr>
    </w:pPr>
    <w:r w:rsidRPr="00801FE2">
      <w:rPr>
        <w:sz w:val="18"/>
        <w:bdr w:val="nil"/>
      </w:rPr>
      <w:t xml:space="preserve">DVA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773EBE">
      <w:rPr>
        <w:b/>
        <w:noProof/>
        <w:sz w:val="18"/>
        <w:bdr w:val="nil"/>
      </w:rPr>
      <w:t>12</w:t>
    </w:r>
    <w:r w:rsidRPr="00801FE2">
      <w:rPr>
        <w:b/>
        <w:noProof/>
        <w:sz w:val="18"/>
        <w:bdr w:val="nil"/>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
      <w:pBdr>
        <w:top w:val="single" w:sz="4" w:space="1" w:color="auto"/>
        <w:left w:val="nil"/>
        <w:bottom w:val="nil"/>
        <w:right w:val="nil"/>
        <w:between w:val="nil"/>
        <w:bar w:val="nil"/>
      </w:pBdr>
      <w:jc w:val="left"/>
      <w:rPr>
        <w:sz w:val="18"/>
        <w:bdr w:val="nil"/>
      </w:rPr>
    </w:pPr>
  </w:p>
  <w:p w:rsidR="009E58DC" w:rsidRPr="00801FE2" w:rsidRDefault="009E58DC" w:rsidP="001D003E">
    <w:pPr>
      <w:pStyle w:val="Footer"/>
      <w:pBdr>
        <w:top w:val="nil"/>
        <w:left w:val="nil"/>
        <w:bottom w:val="nil"/>
        <w:right w:val="nil"/>
        <w:between w:val="nil"/>
        <w:bar w:val="nil"/>
      </w:pBdr>
      <w:jc w:val="right"/>
      <w:rPr>
        <w:sz w:val="18"/>
        <w:bdr w:val="nil"/>
      </w:rPr>
    </w:pPr>
    <w:r w:rsidRPr="00801FE2">
      <w:rPr>
        <w:sz w:val="18"/>
        <w:bdr w:val="nil"/>
      </w:rPr>
      <w:t xml:space="preserve">DVA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773EBE">
      <w:rPr>
        <w:b/>
        <w:noProof/>
        <w:sz w:val="18"/>
        <w:bdr w:val="nil"/>
      </w:rPr>
      <w:t>11</w:t>
    </w:r>
    <w:r w:rsidRPr="00801FE2">
      <w:rPr>
        <w:b/>
        <w:noProof/>
        <w:sz w:val="18"/>
        <w:bdr w:val="nil"/>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4"/>
      <w:keepLines/>
      <w:pBdr>
        <w:top w:val="single" w:sz="4" w:space="1" w:color="auto"/>
        <w:left w:val="nil"/>
        <w:bottom w:val="nil"/>
        <w:right w:val="nil"/>
        <w:between w:val="nil"/>
        <w:bar w:val="nil"/>
      </w:pBdr>
      <w:jc w:val="right"/>
      <w:rPr>
        <w:rFonts w:eastAsia="Times New Roman"/>
        <w:sz w:val="18"/>
        <w:szCs w:val="20"/>
        <w:bdr w:val="nil"/>
        <w:lang w:eastAsia="en-AU"/>
      </w:rPr>
    </w:pPr>
  </w:p>
  <w:p w:rsidR="009E58DC" w:rsidRPr="00801FE2" w:rsidRDefault="009E58DC" w:rsidP="001D003E">
    <w:pPr>
      <w:pStyle w:val="Footer4"/>
      <w:keepLines/>
      <w:pBdr>
        <w:top w:val="nil"/>
        <w:left w:val="nil"/>
        <w:bottom w:val="nil"/>
        <w:right w:val="nil"/>
        <w:between w:val="nil"/>
        <w:bar w:val="nil"/>
      </w:pBdr>
      <w:jc w:val="left"/>
      <w:rPr>
        <w:rFonts w:eastAsia="Times New Roman"/>
        <w:sz w:val="18"/>
        <w:szCs w:val="20"/>
        <w:bdr w:val="nil"/>
        <w:lang w:eastAsia="en-AU"/>
      </w:rPr>
    </w:pPr>
    <w:r w:rsidRPr="00801FE2">
      <w:rPr>
        <w:rFonts w:eastAsia="Times New Roman"/>
        <w:sz w:val="18"/>
        <w:szCs w:val="20"/>
        <w:bdr w:val="nil"/>
        <w:lang w:eastAsia="en-AU"/>
      </w:rPr>
      <w:t xml:space="preserve">DVA | </w:t>
    </w:r>
    <w:r w:rsidRPr="00801FE2">
      <w:rPr>
        <w:rFonts w:eastAsia="Times New Roman"/>
        <w:b/>
        <w:sz w:val="18"/>
        <w:szCs w:val="20"/>
        <w:bdr w:val="nil"/>
        <w:lang w:eastAsia="en-AU"/>
      </w:rPr>
      <w:t xml:space="preserve">Page </w:t>
    </w:r>
    <w:r w:rsidRPr="00801FE2">
      <w:rPr>
        <w:rFonts w:eastAsia="Times New Roman"/>
        <w:b/>
        <w:sz w:val="18"/>
        <w:szCs w:val="20"/>
        <w:bdr w:val="nil"/>
        <w:lang w:eastAsia="en-AU"/>
      </w:rPr>
      <w:fldChar w:fldCharType="begin"/>
    </w:r>
    <w:r w:rsidRPr="00801FE2">
      <w:rPr>
        <w:rFonts w:eastAsia="Times New Roman"/>
        <w:b/>
        <w:sz w:val="18"/>
        <w:szCs w:val="20"/>
        <w:bdr w:val="nil"/>
        <w:lang w:eastAsia="en-AU"/>
      </w:rPr>
      <w:instrText xml:space="preserve"> PAGE   \* MERGEFORMAT </w:instrText>
    </w:r>
    <w:r w:rsidRPr="00801FE2">
      <w:rPr>
        <w:rFonts w:eastAsia="Times New Roman"/>
        <w:b/>
        <w:sz w:val="18"/>
        <w:szCs w:val="20"/>
        <w:bdr w:val="nil"/>
        <w:lang w:eastAsia="en-AU"/>
      </w:rPr>
      <w:fldChar w:fldCharType="separate"/>
    </w:r>
    <w:r w:rsidRPr="00801FE2">
      <w:rPr>
        <w:rFonts w:eastAsia="Times New Roman"/>
        <w:b/>
        <w:noProof/>
        <w:sz w:val="18"/>
        <w:szCs w:val="20"/>
        <w:bdr w:val="nil"/>
        <w:lang w:eastAsia="en-AU"/>
      </w:rPr>
      <w:t>1</w:t>
    </w:r>
    <w:r w:rsidRPr="00801FE2">
      <w:rPr>
        <w:rFonts w:eastAsia="Times New Roman"/>
        <w:b/>
        <w:noProof/>
        <w:sz w:val="18"/>
        <w:szCs w:val="20"/>
        <w:bdr w:val="nil"/>
        <w:lang w:eastAsia="en-AU"/>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4"/>
      <w:keepLines/>
      <w:pBdr>
        <w:top w:val="single" w:sz="4" w:space="1" w:color="auto"/>
        <w:left w:val="nil"/>
        <w:bottom w:val="nil"/>
        <w:right w:val="nil"/>
        <w:between w:val="nil"/>
        <w:bar w:val="nil"/>
      </w:pBdr>
      <w:jc w:val="left"/>
      <w:rPr>
        <w:rFonts w:eastAsia="Times New Roman"/>
        <w:sz w:val="18"/>
        <w:szCs w:val="20"/>
        <w:bdr w:val="nil"/>
        <w:lang w:eastAsia="en-AU"/>
      </w:rPr>
    </w:pPr>
  </w:p>
  <w:p w:rsidR="009E58DC" w:rsidRPr="00801FE2" w:rsidRDefault="009E58DC" w:rsidP="001D003E">
    <w:pPr>
      <w:pStyle w:val="Footer4"/>
      <w:keepLines/>
      <w:pBdr>
        <w:top w:val="nil"/>
        <w:left w:val="nil"/>
        <w:bottom w:val="nil"/>
        <w:right w:val="nil"/>
        <w:between w:val="nil"/>
        <w:bar w:val="nil"/>
      </w:pBdr>
      <w:jc w:val="right"/>
      <w:rPr>
        <w:rFonts w:eastAsia="Times New Roman"/>
        <w:sz w:val="18"/>
        <w:szCs w:val="20"/>
        <w:bdr w:val="nil"/>
        <w:lang w:eastAsia="en-AU"/>
      </w:rPr>
    </w:pPr>
    <w:r w:rsidRPr="00801FE2">
      <w:rPr>
        <w:rFonts w:eastAsia="Times New Roman"/>
        <w:sz w:val="18"/>
        <w:szCs w:val="20"/>
        <w:bdr w:val="nil"/>
        <w:lang w:eastAsia="en-AU"/>
      </w:rPr>
      <w:t xml:space="preserve">DVA | </w:t>
    </w:r>
    <w:r w:rsidRPr="00801FE2">
      <w:rPr>
        <w:rFonts w:eastAsia="Times New Roman"/>
        <w:b/>
        <w:sz w:val="18"/>
        <w:szCs w:val="20"/>
        <w:bdr w:val="nil"/>
        <w:lang w:eastAsia="en-AU"/>
      </w:rPr>
      <w:t xml:space="preserve">Page </w:t>
    </w:r>
    <w:r w:rsidRPr="00801FE2">
      <w:rPr>
        <w:rFonts w:eastAsia="Times New Roman"/>
        <w:b/>
        <w:sz w:val="18"/>
        <w:szCs w:val="20"/>
        <w:bdr w:val="nil"/>
        <w:lang w:eastAsia="en-AU"/>
      </w:rPr>
      <w:fldChar w:fldCharType="begin"/>
    </w:r>
    <w:r w:rsidRPr="00801FE2">
      <w:rPr>
        <w:rFonts w:eastAsia="Times New Roman"/>
        <w:b/>
        <w:sz w:val="18"/>
        <w:szCs w:val="20"/>
        <w:bdr w:val="nil"/>
        <w:lang w:eastAsia="en-AU"/>
      </w:rPr>
      <w:instrText xml:space="preserve"> PAGE   \* MERGEFORMAT </w:instrText>
    </w:r>
    <w:r w:rsidRPr="00801FE2">
      <w:rPr>
        <w:rFonts w:eastAsia="Times New Roman"/>
        <w:b/>
        <w:sz w:val="18"/>
        <w:szCs w:val="20"/>
        <w:bdr w:val="nil"/>
        <w:lang w:eastAsia="en-AU"/>
      </w:rPr>
      <w:fldChar w:fldCharType="separate"/>
    </w:r>
    <w:r w:rsidRPr="00801FE2">
      <w:rPr>
        <w:rFonts w:eastAsia="Times New Roman"/>
        <w:b/>
        <w:noProof/>
        <w:sz w:val="18"/>
        <w:szCs w:val="20"/>
        <w:bdr w:val="nil"/>
        <w:lang w:eastAsia="en-AU"/>
      </w:rPr>
      <w:t>1</w:t>
    </w:r>
    <w:r w:rsidRPr="00801FE2">
      <w:rPr>
        <w:rFonts w:eastAsia="Times New Roman"/>
        <w:b/>
        <w:noProof/>
        <w:sz w:val="18"/>
        <w:szCs w:val="20"/>
        <w:bdr w:val="nil"/>
        <w:lang w:eastAsia="en-AU"/>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pStyle w:val="Normal4"/>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
      <w:pBdr>
        <w:top w:val="single" w:sz="4" w:space="1" w:color="auto"/>
        <w:left w:val="nil"/>
        <w:bottom w:val="nil"/>
        <w:right w:val="nil"/>
        <w:between w:val="nil"/>
        <w:bar w:val="nil"/>
      </w:pBdr>
      <w:jc w:val="right"/>
      <w:rPr>
        <w:sz w:val="18"/>
        <w:bdr w:val="nil"/>
      </w:rPr>
    </w:pPr>
  </w:p>
  <w:p w:rsidR="009E58DC" w:rsidRPr="00801FE2" w:rsidRDefault="009E58DC" w:rsidP="001D003E">
    <w:pPr>
      <w:pStyle w:val="Footer"/>
      <w:pBdr>
        <w:top w:val="nil"/>
        <w:left w:val="nil"/>
        <w:bottom w:val="nil"/>
        <w:right w:val="nil"/>
        <w:between w:val="nil"/>
        <w:bar w:val="nil"/>
      </w:pBdr>
      <w:jc w:val="left"/>
      <w:rPr>
        <w:sz w:val="18"/>
        <w:bdr w:val="nil"/>
      </w:rPr>
    </w:pPr>
    <w:r w:rsidRPr="00801FE2">
      <w:rPr>
        <w:sz w:val="18"/>
        <w:bdr w:val="nil"/>
      </w:rPr>
      <w:t xml:space="preserve">DVA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773EBE">
      <w:rPr>
        <w:b/>
        <w:noProof/>
        <w:sz w:val="18"/>
        <w:bdr w:val="nil"/>
      </w:rPr>
      <w:t>56</w:t>
    </w:r>
    <w:r w:rsidRPr="00801FE2">
      <w:rPr>
        <w:b/>
        <w:noProof/>
        <w:sz w:val="18"/>
        <w:bdr w:val="nil"/>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
      <w:pBdr>
        <w:top w:val="single" w:sz="4" w:space="1" w:color="auto"/>
        <w:left w:val="nil"/>
        <w:bottom w:val="nil"/>
        <w:right w:val="nil"/>
        <w:between w:val="nil"/>
        <w:bar w:val="nil"/>
      </w:pBdr>
      <w:jc w:val="left"/>
      <w:rPr>
        <w:sz w:val="18"/>
        <w:bdr w:val="nil"/>
      </w:rPr>
    </w:pPr>
  </w:p>
  <w:p w:rsidR="009E58DC" w:rsidRPr="00801FE2" w:rsidRDefault="009E58DC" w:rsidP="001D003E">
    <w:pPr>
      <w:pStyle w:val="Footer"/>
      <w:pBdr>
        <w:top w:val="nil"/>
        <w:left w:val="nil"/>
        <w:bottom w:val="nil"/>
        <w:right w:val="nil"/>
        <w:between w:val="nil"/>
        <w:bar w:val="nil"/>
      </w:pBdr>
      <w:jc w:val="right"/>
      <w:rPr>
        <w:sz w:val="18"/>
        <w:bdr w:val="nil"/>
      </w:rPr>
    </w:pPr>
    <w:r w:rsidRPr="00801FE2">
      <w:rPr>
        <w:sz w:val="18"/>
        <w:bdr w:val="nil"/>
      </w:rPr>
      <w:t xml:space="preserve">DVA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773EBE">
      <w:rPr>
        <w:b/>
        <w:noProof/>
        <w:sz w:val="18"/>
        <w:bdr w:val="nil"/>
      </w:rPr>
      <w:t>57</w:t>
    </w:r>
    <w:r w:rsidRPr="00801FE2">
      <w:rPr>
        <w:b/>
        <w:noProof/>
        <w:sz w:val="18"/>
        <w:bdr w:val="nil"/>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9"/>
      <w:keepLines/>
      <w:pBdr>
        <w:top w:val="single" w:sz="4" w:space="1" w:color="auto"/>
        <w:left w:val="nil"/>
        <w:bottom w:val="nil"/>
        <w:right w:val="nil"/>
        <w:between w:val="nil"/>
        <w:bar w:val="nil"/>
      </w:pBdr>
      <w:jc w:val="right"/>
      <w:rPr>
        <w:rFonts w:eastAsia="Times New Roman"/>
        <w:sz w:val="18"/>
        <w:szCs w:val="20"/>
        <w:bdr w:val="nil"/>
        <w:lang w:eastAsia="en-AU"/>
      </w:rPr>
    </w:pPr>
  </w:p>
  <w:p w:rsidR="009E58DC" w:rsidRPr="00801FE2" w:rsidRDefault="009E58DC" w:rsidP="001D003E">
    <w:pPr>
      <w:pStyle w:val="Footer9"/>
      <w:keepLines/>
      <w:pBdr>
        <w:top w:val="nil"/>
        <w:left w:val="nil"/>
        <w:bottom w:val="nil"/>
        <w:right w:val="nil"/>
        <w:between w:val="nil"/>
        <w:bar w:val="nil"/>
      </w:pBdr>
      <w:jc w:val="left"/>
      <w:rPr>
        <w:rFonts w:eastAsia="Times New Roman"/>
        <w:sz w:val="18"/>
        <w:szCs w:val="20"/>
        <w:bdr w:val="nil"/>
        <w:lang w:eastAsia="en-AU"/>
      </w:rPr>
    </w:pPr>
    <w:r w:rsidRPr="00801FE2">
      <w:rPr>
        <w:rFonts w:eastAsia="Times New Roman"/>
        <w:sz w:val="18"/>
        <w:szCs w:val="20"/>
        <w:bdr w:val="nil"/>
        <w:lang w:eastAsia="en-AU"/>
      </w:rPr>
      <w:t xml:space="preserve">DVA | </w:t>
    </w:r>
    <w:r w:rsidRPr="00801FE2">
      <w:rPr>
        <w:rFonts w:eastAsia="Times New Roman"/>
        <w:b/>
        <w:sz w:val="18"/>
        <w:szCs w:val="20"/>
        <w:bdr w:val="nil"/>
        <w:lang w:eastAsia="en-AU"/>
      </w:rPr>
      <w:t xml:space="preserve">Page </w:t>
    </w:r>
    <w:r w:rsidRPr="00801FE2">
      <w:rPr>
        <w:rFonts w:eastAsia="Times New Roman"/>
        <w:b/>
        <w:sz w:val="18"/>
        <w:szCs w:val="20"/>
        <w:bdr w:val="nil"/>
        <w:lang w:eastAsia="en-AU"/>
      </w:rPr>
      <w:fldChar w:fldCharType="begin"/>
    </w:r>
    <w:r w:rsidRPr="00801FE2">
      <w:rPr>
        <w:rFonts w:eastAsia="Times New Roman"/>
        <w:b/>
        <w:sz w:val="18"/>
        <w:szCs w:val="20"/>
        <w:bdr w:val="nil"/>
        <w:lang w:eastAsia="en-AU"/>
      </w:rPr>
      <w:instrText xml:space="preserve"> PAGE   \* MERGEFORMAT </w:instrText>
    </w:r>
    <w:r w:rsidRPr="00801FE2">
      <w:rPr>
        <w:rFonts w:eastAsia="Times New Roman"/>
        <w:b/>
        <w:sz w:val="18"/>
        <w:szCs w:val="20"/>
        <w:bdr w:val="nil"/>
        <w:lang w:eastAsia="en-AU"/>
      </w:rPr>
      <w:fldChar w:fldCharType="separate"/>
    </w:r>
    <w:r w:rsidR="00773EBE">
      <w:rPr>
        <w:rFonts w:eastAsia="Times New Roman"/>
        <w:b/>
        <w:noProof/>
        <w:sz w:val="18"/>
        <w:szCs w:val="20"/>
        <w:bdr w:val="nil"/>
        <w:lang w:eastAsia="en-AU"/>
      </w:rPr>
      <w:t>58</w:t>
    </w:r>
    <w:r w:rsidRPr="00801FE2">
      <w:rPr>
        <w:rFonts w:eastAsia="Times New Roman"/>
        <w:b/>
        <w:noProof/>
        <w:sz w:val="18"/>
        <w:szCs w:val="20"/>
        <w:bdr w:val="nil"/>
        <w:lang w:eastAsia="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1756F1" w:rsidRDefault="009E58DC" w:rsidP="001D003E">
    <w:pPr>
      <w:keepLines w:val="0"/>
      <w:pBdr>
        <w:top w:val="nil"/>
        <w:left w:val="nil"/>
        <w:bottom w:val="nil"/>
        <w:right w:val="nil"/>
        <w:between w:val="nil"/>
        <w:bar w:val="nil"/>
      </w:pBdr>
      <w:spacing w:after="0" w:line="240" w:lineRule="auto"/>
      <w:jc w:val="center"/>
      <w:rPr>
        <w:rFonts w:ascii="Times New Roman" w:hAnsi="Times New Roman"/>
        <w:color w:val="FFFFFF"/>
        <w:sz w:val="24"/>
        <w:szCs w:val="24"/>
        <w:bdr w:val="nil"/>
      </w:rPr>
    </w:pPr>
    <w:r w:rsidRPr="001756F1">
      <w:rPr>
        <w:rFonts w:ascii="Times New Roman" w:hAnsi="Times New Roman"/>
        <w:color w:val="FFFFFF"/>
        <w:sz w:val="24"/>
        <w:szCs w:val="24"/>
        <w:bdr w:val="nil"/>
      </w:rPr>
      <w:fldChar w:fldCharType="begin"/>
    </w:r>
    <w:r w:rsidRPr="001756F1">
      <w:rPr>
        <w:rFonts w:ascii="Times New Roman" w:hAnsi="Times New Roman"/>
        <w:color w:val="FFFFFF"/>
        <w:sz w:val="24"/>
        <w:szCs w:val="24"/>
        <w:bdr w:val="nil"/>
      </w:rPr>
      <w:instrText xml:space="preserve"> PAGE  \* roman  \* MERGEFORMAT </w:instrText>
    </w:r>
    <w:r w:rsidRPr="001756F1">
      <w:rPr>
        <w:rFonts w:ascii="Times New Roman" w:hAnsi="Times New Roman"/>
        <w:color w:val="FFFFFF"/>
        <w:sz w:val="24"/>
        <w:szCs w:val="24"/>
        <w:bdr w:val="nil"/>
      </w:rPr>
      <w:fldChar w:fldCharType="separate"/>
    </w:r>
    <w:r w:rsidR="00773EBE">
      <w:rPr>
        <w:rFonts w:ascii="Times New Roman" w:hAnsi="Times New Roman"/>
        <w:noProof/>
        <w:color w:val="FFFFFF"/>
        <w:sz w:val="24"/>
        <w:szCs w:val="24"/>
        <w:bdr w:val="nil"/>
      </w:rPr>
      <w:t>v</w:t>
    </w:r>
    <w:r w:rsidRPr="001756F1">
      <w:rPr>
        <w:rFonts w:ascii="Times New Roman" w:hAnsi="Times New Roman"/>
        <w:color w:val="FFFFFF"/>
        <w:sz w:val="24"/>
        <w:szCs w:val="24"/>
        <w:bdr w:val="nil"/>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9"/>
      <w:keepLines/>
      <w:pBdr>
        <w:top w:val="single" w:sz="4" w:space="1" w:color="auto"/>
        <w:left w:val="nil"/>
        <w:bottom w:val="nil"/>
        <w:right w:val="nil"/>
        <w:between w:val="nil"/>
        <w:bar w:val="nil"/>
      </w:pBdr>
      <w:jc w:val="left"/>
      <w:rPr>
        <w:rFonts w:eastAsia="Times New Roman"/>
        <w:sz w:val="18"/>
        <w:szCs w:val="20"/>
        <w:bdr w:val="nil"/>
        <w:lang w:eastAsia="en-AU"/>
      </w:rPr>
    </w:pPr>
  </w:p>
  <w:p w:rsidR="009E58DC" w:rsidRPr="00801FE2" w:rsidRDefault="009E58DC" w:rsidP="001D003E">
    <w:pPr>
      <w:pStyle w:val="Footer9"/>
      <w:keepLines/>
      <w:pBdr>
        <w:top w:val="nil"/>
        <w:left w:val="nil"/>
        <w:bottom w:val="nil"/>
        <w:right w:val="nil"/>
        <w:between w:val="nil"/>
        <w:bar w:val="nil"/>
      </w:pBdr>
      <w:jc w:val="right"/>
      <w:rPr>
        <w:rFonts w:eastAsia="Times New Roman"/>
        <w:sz w:val="18"/>
        <w:szCs w:val="20"/>
        <w:bdr w:val="nil"/>
        <w:lang w:eastAsia="en-AU"/>
      </w:rPr>
    </w:pPr>
    <w:r w:rsidRPr="00801FE2">
      <w:rPr>
        <w:rFonts w:eastAsia="Times New Roman"/>
        <w:sz w:val="18"/>
        <w:szCs w:val="20"/>
        <w:bdr w:val="nil"/>
        <w:lang w:eastAsia="en-AU"/>
      </w:rPr>
      <w:t xml:space="preserve">DVA | </w:t>
    </w:r>
    <w:r w:rsidRPr="00801FE2">
      <w:rPr>
        <w:rFonts w:eastAsia="Times New Roman"/>
        <w:b/>
        <w:sz w:val="18"/>
        <w:szCs w:val="20"/>
        <w:bdr w:val="nil"/>
        <w:lang w:eastAsia="en-AU"/>
      </w:rPr>
      <w:t xml:space="preserve">Page </w:t>
    </w:r>
    <w:r w:rsidRPr="00801FE2">
      <w:rPr>
        <w:rFonts w:eastAsia="Times New Roman"/>
        <w:b/>
        <w:sz w:val="18"/>
        <w:szCs w:val="20"/>
        <w:bdr w:val="nil"/>
        <w:lang w:eastAsia="en-AU"/>
      </w:rPr>
      <w:fldChar w:fldCharType="begin"/>
    </w:r>
    <w:r w:rsidRPr="00801FE2">
      <w:rPr>
        <w:rFonts w:eastAsia="Times New Roman"/>
        <w:b/>
        <w:sz w:val="18"/>
        <w:szCs w:val="20"/>
        <w:bdr w:val="nil"/>
        <w:lang w:eastAsia="en-AU"/>
      </w:rPr>
      <w:instrText xml:space="preserve"> PAGE   \* MERGEFORMAT </w:instrText>
    </w:r>
    <w:r w:rsidRPr="00801FE2">
      <w:rPr>
        <w:rFonts w:eastAsia="Times New Roman"/>
        <w:b/>
        <w:sz w:val="18"/>
        <w:szCs w:val="20"/>
        <w:bdr w:val="nil"/>
        <w:lang w:eastAsia="en-AU"/>
      </w:rPr>
      <w:fldChar w:fldCharType="separate"/>
    </w:r>
    <w:r>
      <w:rPr>
        <w:rFonts w:eastAsia="Times New Roman"/>
        <w:b/>
        <w:noProof/>
        <w:sz w:val="18"/>
        <w:szCs w:val="20"/>
        <w:bdr w:val="nil"/>
        <w:lang w:eastAsia="en-AU"/>
      </w:rPr>
      <w:t>59</w:t>
    </w:r>
    <w:r w:rsidRPr="00801FE2">
      <w:rPr>
        <w:rFonts w:eastAsia="Times New Roman"/>
        <w:b/>
        <w:noProof/>
        <w:sz w:val="18"/>
        <w:szCs w:val="20"/>
        <w:bdr w:val="nil"/>
        <w:lang w:eastAsia="en-AU"/>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pStyle w:val="Normal9"/>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10"/>
      <w:keepLines/>
      <w:pBdr>
        <w:top w:val="single" w:sz="4" w:space="1" w:color="auto"/>
        <w:left w:val="nil"/>
        <w:bottom w:val="nil"/>
        <w:right w:val="nil"/>
        <w:between w:val="nil"/>
        <w:bar w:val="nil"/>
      </w:pBdr>
      <w:jc w:val="right"/>
      <w:rPr>
        <w:rFonts w:eastAsia="Times New Roman"/>
        <w:sz w:val="18"/>
        <w:szCs w:val="20"/>
        <w:bdr w:val="nil"/>
        <w:lang w:eastAsia="en-AU"/>
      </w:rPr>
    </w:pPr>
  </w:p>
  <w:p w:rsidR="009E58DC" w:rsidRPr="00801FE2" w:rsidRDefault="009E58DC" w:rsidP="001D003E">
    <w:pPr>
      <w:pStyle w:val="Footer10"/>
      <w:keepLines/>
      <w:pBdr>
        <w:top w:val="nil"/>
        <w:left w:val="nil"/>
        <w:bottom w:val="nil"/>
        <w:right w:val="nil"/>
        <w:between w:val="nil"/>
        <w:bar w:val="nil"/>
      </w:pBdr>
      <w:jc w:val="left"/>
      <w:rPr>
        <w:rFonts w:eastAsia="Times New Roman"/>
        <w:sz w:val="18"/>
        <w:szCs w:val="20"/>
        <w:bdr w:val="nil"/>
        <w:lang w:eastAsia="en-AU"/>
      </w:rPr>
    </w:pPr>
    <w:r w:rsidRPr="00801FE2">
      <w:rPr>
        <w:rFonts w:eastAsia="Times New Roman"/>
        <w:sz w:val="18"/>
        <w:szCs w:val="20"/>
        <w:bdr w:val="nil"/>
        <w:lang w:eastAsia="en-AU"/>
      </w:rPr>
      <w:t xml:space="preserve">DVA | </w:t>
    </w:r>
    <w:r w:rsidRPr="00801FE2">
      <w:rPr>
        <w:rFonts w:eastAsia="Times New Roman"/>
        <w:b/>
        <w:sz w:val="18"/>
        <w:szCs w:val="20"/>
        <w:bdr w:val="nil"/>
        <w:lang w:eastAsia="en-AU"/>
      </w:rPr>
      <w:t xml:space="preserve">Page </w:t>
    </w:r>
    <w:r w:rsidRPr="00801FE2">
      <w:rPr>
        <w:rFonts w:eastAsia="Times New Roman"/>
        <w:b/>
        <w:sz w:val="18"/>
        <w:szCs w:val="20"/>
        <w:bdr w:val="nil"/>
        <w:lang w:eastAsia="en-AU"/>
      </w:rPr>
      <w:fldChar w:fldCharType="begin"/>
    </w:r>
    <w:r w:rsidRPr="00801FE2">
      <w:rPr>
        <w:rFonts w:eastAsia="Times New Roman"/>
        <w:b/>
        <w:sz w:val="18"/>
        <w:szCs w:val="20"/>
        <w:bdr w:val="nil"/>
        <w:lang w:eastAsia="en-AU"/>
      </w:rPr>
      <w:instrText xml:space="preserve"> PAGE   \* MERGEFORMAT </w:instrText>
    </w:r>
    <w:r w:rsidRPr="00801FE2">
      <w:rPr>
        <w:rFonts w:eastAsia="Times New Roman"/>
        <w:b/>
        <w:sz w:val="18"/>
        <w:szCs w:val="20"/>
        <w:bdr w:val="nil"/>
        <w:lang w:eastAsia="en-AU"/>
      </w:rPr>
      <w:fldChar w:fldCharType="separate"/>
    </w:r>
    <w:r w:rsidR="00773EBE">
      <w:rPr>
        <w:rFonts w:eastAsia="Times New Roman"/>
        <w:b/>
        <w:noProof/>
        <w:sz w:val="18"/>
        <w:szCs w:val="20"/>
        <w:bdr w:val="nil"/>
        <w:lang w:eastAsia="en-AU"/>
      </w:rPr>
      <w:t>60</w:t>
    </w:r>
    <w:r w:rsidRPr="00801FE2">
      <w:rPr>
        <w:rFonts w:eastAsia="Times New Roman"/>
        <w:b/>
        <w:noProof/>
        <w:sz w:val="18"/>
        <w:szCs w:val="20"/>
        <w:bdr w:val="nil"/>
        <w:lang w:eastAsia="en-AU"/>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Footer10"/>
      <w:keepLines/>
      <w:pBdr>
        <w:top w:val="single" w:sz="4" w:space="1" w:color="auto"/>
        <w:left w:val="nil"/>
        <w:bottom w:val="nil"/>
        <w:right w:val="nil"/>
        <w:between w:val="nil"/>
        <w:bar w:val="nil"/>
      </w:pBdr>
      <w:jc w:val="left"/>
      <w:rPr>
        <w:rFonts w:eastAsia="Times New Roman"/>
        <w:sz w:val="18"/>
        <w:szCs w:val="20"/>
        <w:bdr w:val="nil"/>
        <w:lang w:eastAsia="en-AU"/>
      </w:rPr>
    </w:pPr>
  </w:p>
  <w:p w:rsidR="009E58DC" w:rsidRPr="00801FE2" w:rsidRDefault="009E58DC" w:rsidP="001D003E">
    <w:pPr>
      <w:pStyle w:val="Footer10"/>
      <w:keepLines/>
      <w:pBdr>
        <w:top w:val="nil"/>
        <w:left w:val="nil"/>
        <w:bottom w:val="nil"/>
        <w:right w:val="nil"/>
        <w:between w:val="nil"/>
        <w:bar w:val="nil"/>
      </w:pBdr>
      <w:jc w:val="right"/>
      <w:rPr>
        <w:rFonts w:eastAsia="Times New Roman"/>
        <w:sz w:val="18"/>
        <w:szCs w:val="20"/>
        <w:bdr w:val="nil"/>
        <w:lang w:eastAsia="en-AU"/>
      </w:rPr>
    </w:pPr>
    <w:r w:rsidRPr="00801FE2">
      <w:rPr>
        <w:rFonts w:eastAsia="Times New Roman"/>
        <w:sz w:val="18"/>
        <w:szCs w:val="20"/>
        <w:bdr w:val="nil"/>
        <w:lang w:eastAsia="en-AU"/>
      </w:rPr>
      <w:t xml:space="preserve">DVA | </w:t>
    </w:r>
    <w:r w:rsidRPr="00801FE2">
      <w:rPr>
        <w:rFonts w:eastAsia="Times New Roman"/>
        <w:b/>
        <w:sz w:val="18"/>
        <w:szCs w:val="20"/>
        <w:bdr w:val="nil"/>
        <w:lang w:eastAsia="en-AU"/>
      </w:rPr>
      <w:t xml:space="preserve">Page </w:t>
    </w:r>
    <w:r w:rsidRPr="00801FE2">
      <w:rPr>
        <w:rFonts w:eastAsia="Times New Roman"/>
        <w:b/>
        <w:sz w:val="18"/>
        <w:szCs w:val="20"/>
        <w:bdr w:val="nil"/>
        <w:lang w:eastAsia="en-AU"/>
      </w:rPr>
      <w:fldChar w:fldCharType="begin"/>
    </w:r>
    <w:r w:rsidRPr="00801FE2">
      <w:rPr>
        <w:rFonts w:eastAsia="Times New Roman"/>
        <w:b/>
        <w:sz w:val="18"/>
        <w:szCs w:val="20"/>
        <w:bdr w:val="nil"/>
        <w:lang w:eastAsia="en-AU"/>
      </w:rPr>
      <w:instrText xml:space="preserve"> PAGE   \* MERGEFORMAT </w:instrText>
    </w:r>
    <w:r w:rsidRPr="00801FE2">
      <w:rPr>
        <w:rFonts w:eastAsia="Times New Roman"/>
        <w:b/>
        <w:sz w:val="18"/>
        <w:szCs w:val="20"/>
        <w:bdr w:val="nil"/>
        <w:lang w:eastAsia="en-AU"/>
      </w:rPr>
      <w:fldChar w:fldCharType="separate"/>
    </w:r>
    <w:r w:rsidR="00773EBE">
      <w:rPr>
        <w:rFonts w:eastAsia="Times New Roman"/>
        <w:b/>
        <w:noProof/>
        <w:sz w:val="18"/>
        <w:szCs w:val="20"/>
        <w:bdr w:val="nil"/>
        <w:lang w:eastAsia="en-AU"/>
      </w:rPr>
      <w:t>61</w:t>
    </w:r>
    <w:r w:rsidRPr="00801FE2">
      <w:rPr>
        <w:rFonts w:eastAsia="Times New Roman"/>
        <w:b/>
        <w:noProof/>
        <w:sz w:val="18"/>
        <w:szCs w:val="20"/>
        <w:bdr w:val="nil"/>
        <w:lang w:eastAsia="en-AU"/>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pStyle w:val="Normal10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A31FF" w:rsidRDefault="009E58DC" w:rsidP="001D003E">
    <w:pPr>
      <w:pStyle w:val="Footer"/>
      <w:pBdr>
        <w:top w:val="single" w:sz="4" w:space="1" w:color="auto"/>
        <w:left w:val="nil"/>
        <w:bottom w:val="nil"/>
        <w:right w:val="nil"/>
        <w:between w:val="nil"/>
        <w:bar w:val="nil"/>
      </w:pBdr>
      <w:jc w:val="left"/>
      <w:rPr>
        <w:b/>
        <w:sz w:val="18"/>
        <w:szCs w:val="18"/>
        <w:bdr w:val="nil"/>
      </w:rPr>
    </w:pPr>
    <w:r>
      <w:rPr>
        <w:sz w:val="18"/>
        <w:szCs w:val="18"/>
        <w:bdr w:val="nil"/>
      </w:rPr>
      <w:br/>
    </w:r>
    <w:r>
      <w:rPr>
        <w:b/>
        <w:sz w:val="18"/>
        <w:szCs w:val="18"/>
        <w:bdr w:val="nil"/>
      </w:rPr>
      <w:t xml:space="preserve">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Pr>
        <w:b/>
        <w:sz w:val="18"/>
        <w:szCs w:val="18"/>
        <w:bdr w:val="nil"/>
      </w:rPr>
      <w:t>i</w:t>
    </w:r>
    <w:r>
      <w:rPr>
        <w:b/>
        <w:sz w:val="18"/>
        <w:szCs w:val="18"/>
        <w:bdr w:val="nil"/>
      </w:rPr>
      <w:fldChar w:fldCharType="end"/>
    </w:r>
    <w:r>
      <w:rPr>
        <w:b/>
        <w:noProof/>
        <w:sz w:val="18"/>
        <w:szCs w:val="18"/>
        <w:bdr w:val="nil"/>
      </w:rPr>
      <w:t xml:space="preserve"> </w:t>
    </w:r>
    <w:r w:rsidRPr="00614DBC">
      <w:rPr>
        <w:noProof/>
        <w:sz w:val="18"/>
        <w:szCs w:val="18"/>
        <w:bdr w:val="nil"/>
      </w:rPr>
      <w:t>|</w:t>
    </w:r>
    <w:r>
      <w:rPr>
        <w:b/>
        <w:noProof/>
        <w:sz w:val="18"/>
        <w:szCs w:val="18"/>
        <w:bdr w:val="nil"/>
      </w:rPr>
      <w:t xml:space="preserve"> </w:t>
    </w:r>
    <w:r>
      <w:rPr>
        <w:sz w:val="18"/>
        <w:szCs w:val="18"/>
        <w:bdr w:val="nil"/>
      </w:rPr>
      <w:t>User Guide</w:t>
    </w:r>
    <w:r>
      <w:rPr>
        <w:b/>
        <w:sz w:val="18"/>
        <w:szCs w:val="18"/>
        <w:bdr w:val="ni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A31FF" w:rsidRDefault="009E58DC" w:rsidP="001D003E">
    <w:pPr>
      <w:pStyle w:val="Footer"/>
      <w:pBdr>
        <w:top w:val="single" w:sz="4" w:space="1" w:color="auto"/>
        <w:left w:val="nil"/>
        <w:bottom w:val="nil"/>
        <w:right w:val="nil"/>
        <w:between w:val="nil"/>
        <w:bar w:val="nil"/>
      </w:pBdr>
      <w:jc w:val="right"/>
      <w:rPr>
        <w:b/>
        <w:sz w:val="18"/>
        <w:szCs w:val="18"/>
        <w:bdr w:val="nil"/>
      </w:rPr>
    </w:pPr>
    <w:r>
      <w:rPr>
        <w:sz w:val="18"/>
        <w:szCs w:val="18"/>
        <w:bdr w:val="nil"/>
      </w:rPr>
      <w:br/>
    </w:r>
    <w:r w:rsidRPr="00BA31FF">
      <w:rPr>
        <w:sz w:val="18"/>
        <w:szCs w:val="18"/>
        <w:bdr w:val="nil"/>
      </w:rPr>
      <w:t>User Guide |</w:t>
    </w:r>
    <w:r>
      <w:rPr>
        <w:b/>
        <w:sz w:val="18"/>
        <w:szCs w:val="18"/>
        <w:bdr w:val="nil"/>
      </w:rPr>
      <w:t xml:space="preserve"> 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773EBE">
      <w:rPr>
        <w:b/>
        <w:noProof/>
        <w:sz w:val="18"/>
        <w:szCs w:val="18"/>
        <w:bdr w:val="nil"/>
      </w:rPr>
      <w:t>vii</w:t>
    </w:r>
    <w:r>
      <w:rPr>
        <w:b/>
        <w:sz w:val="18"/>
        <w:szCs w:val="18"/>
        <w:bdr w:val="ni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8DC" w:rsidRDefault="009E58DC">
      <w:pPr>
        <w:spacing w:after="0" w:line="240" w:lineRule="auto"/>
      </w:pPr>
      <w:r>
        <w:separator/>
      </w:r>
    </w:p>
  </w:footnote>
  <w:footnote w:type="continuationSeparator" w:id="0">
    <w:p w:rsidR="009E58DC" w:rsidRDefault="009E5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suppressLineNumbers/>
      <w:pBdr>
        <w:top w:val="nil"/>
        <w:left w:val="nil"/>
        <w:bottom w:val="nil"/>
        <w:right w:val="nil"/>
        <w:between w:val="nil"/>
        <w:bar w:val="nil"/>
      </w:pBdr>
      <w:spacing w:after="0" w:line="14" w:lineRule="exact"/>
      <w:contextualSpacing/>
      <w:rPr>
        <w:bdr w:val="nil"/>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pStyle w:val="Normal0"/>
      <w:suppressLineNumbers/>
      <w:spacing w:after="0" w:line="14" w:lineRule="exact"/>
      <w:contextualSpacing/>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pStyle w:val="Normal0"/>
      <w:suppressLineNumbers/>
      <w:spacing w:after="0" w:line="14" w:lineRule="exact"/>
      <w:contextualSpacing/>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pStyle w:val="Normal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383DEE" w:rsidRDefault="009E58DC" w:rsidP="001D003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383DEE" w:rsidRDefault="009E58DC" w:rsidP="001D003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383DEE" w:rsidRDefault="009E58DC" w:rsidP="001D003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383DEE" w:rsidRDefault="009E58DC" w:rsidP="001D003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383DEE">
      <w:rPr>
        <w:rFonts w:eastAsia="Calibri"/>
        <w:i/>
        <w:color w:val="FFFFFF"/>
        <w:bdr w:val="nil"/>
        <w:lang w:eastAsia="en-US"/>
      </w:rPr>
      <w:t>User Guide</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HeaderOdd"/>
      <w:keepLines w:val="0"/>
      <w:pBdr>
        <w:top w:val="nil"/>
        <w:left w:val="nil"/>
        <w:bottom w:val="nil"/>
        <w:right w:val="nil"/>
        <w:between w:val="nil"/>
        <w:bar w:val="nil"/>
      </w:pBdr>
      <w:jc w:val="left"/>
      <w:rPr>
        <w:bdr w:val="ni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suppressLineNumbers/>
      <w:pBdr>
        <w:top w:val="nil"/>
        <w:left w:val="nil"/>
        <w:bottom w:val="nil"/>
        <w:right w:val="nil"/>
        <w:between w:val="nil"/>
        <w:bar w:val="nil"/>
      </w:pBdr>
      <w:spacing w:after="0" w:line="14" w:lineRule="exact"/>
      <w:contextualSpacing/>
      <w:rPr>
        <w:bdr w:val="nil"/>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HeaderOdd"/>
      <w:keepLines w:val="0"/>
      <w:pBdr>
        <w:top w:val="nil"/>
        <w:left w:val="nil"/>
        <w:bottom w:val="nil"/>
        <w:right w:val="nil"/>
        <w:between w:val="nil"/>
        <w:bar w:val="nil"/>
      </w:pBdr>
      <w:jc w:val="left"/>
      <w:rPr>
        <w:bdr w:val="nil"/>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HeaderOdd"/>
      <w:keepLines w:val="0"/>
      <w:pBdr>
        <w:top w:val="nil"/>
        <w:left w:val="nil"/>
        <w:bottom w:val="nil"/>
        <w:right w:val="nil"/>
        <w:between w:val="nil"/>
        <w:bar w:val="nil"/>
      </w:pBdr>
      <w:jc w:val="left"/>
      <w:rPr>
        <w:bdr w:val="nil"/>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rsidP="001D003E">
    <w:pPr>
      <w:pStyle w:val="HeaderOdd"/>
      <w:keepLines w:val="0"/>
      <w:pBdr>
        <w:top w:val="nil"/>
        <w:left w:val="nil"/>
        <w:bottom w:val="nil"/>
        <w:right w:val="nil"/>
        <w:between w:val="nil"/>
        <w:bar w:val="nil"/>
      </w:pBdr>
      <w:jc w:val="left"/>
      <w:rPr>
        <w:bdr w:val="nil"/>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D77B0" w:rsidRDefault="009E58DC" w:rsidP="001D003E">
    <w:pPr>
      <w:pStyle w:val="HeaderOdd"/>
      <w:keepLines w:val="0"/>
      <w:pBdr>
        <w:top w:val="nil"/>
        <w:left w:val="nil"/>
        <w:bottom w:val="nil"/>
        <w:right w:val="nil"/>
        <w:between w:val="nil"/>
        <w:bar w:val="nil"/>
      </w:pBdr>
      <w:spacing w:line="260" w:lineRule="exact"/>
      <w:jc w:val="left"/>
      <w:rPr>
        <w:rFonts w:ascii="Arial" w:hAnsi="Arial"/>
        <w:i w:val="0"/>
        <w:sz w:val="18"/>
        <w:bdr w:val="nil"/>
      </w:rPr>
    </w:pPr>
    <w:r>
      <w:rPr>
        <w:rFonts w:ascii="Arial Bold" w:hAnsi="Arial Bold"/>
        <w:b/>
        <w:i w:val="0"/>
        <w:noProof/>
        <w:position w:val="-10"/>
        <w:sz w:val="18"/>
        <w:bdr w:val="nil"/>
      </w:rPr>
      <w:drawing>
        <wp:inline distT="0" distB="0" distL="0" distR="0">
          <wp:extent cx="988695" cy="223520"/>
          <wp:effectExtent l="0" t="0" r="1905" b="5080"/>
          <wp:docPr id="10424199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34955"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rPr>
        <w:rFonts w:ascii="Arial" w:hAnsi="Arial"/>
        <w:i w:val="0"/>
        <w:sz w:val="18"/>
        <w:bdr w:val="nil"/>
      </w:rPr>
      <w:t xml:space="preserve"> | </w:t>
    </w:r>
    <w:r w:rsidRPr="00865138">
      <w:rPr>
        <w:rFonts w:ascii="Arial" w:hAnsi="Arial"/>
        <w:i w:val="0"/>
        <w:sz w:val="18"/>
        <w:bdr w:val="nil"/>
      </w:rPr>
      <w:t>Portfolio Additional</w:t>
    </w:r>
    <w:r>
      <w:rPr>
        <w:rFonts w:ascii="Arial" w:hAnsi="Arial"/>
        <w:i w:val="0"/>
        <w:sz w:val="18"/>
        <w:bdr w:val="nil"/>
      </w:rPr>
      <w:t xml:space="preserve"> Estimates Statements 2021-22</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D77B0" w:rsidRDefault="009E58DC" w:rsidP="001D003E">
    <w:pPr>
      <w:pStyle w:val="HeaderOdd"/>
      <w:keepLines w:val="0"/>
      <w:pBdr>
        <w:top w:val="nil"/>
        <w:left w:val="nil"/>
        <w:bottom w:val="nil"/>
        <w:right w:val="nil"/>
        <w:between w:val="nil"/>
        <w:bar w:val="nil"/>
      </w:pBdr>
      <w:spacing w:line="260" w:lineRule="exact"/>
      <w:rPr>
        <w:rFonts w:ascii="Arial" w:hAnsi="Arial"/>
        <w:i w:val="0"/>
        <w:sz w:val="18"/>
        <w:bdr w:val="nil"/>
      </w:rPr>
    </w:pPr>
    <w:r w:rsidRPr="00865138">
      <w:rPr>
        <w:rFonts w:ascii="Arial" w:hAnsi="Arial"/>
        <w:i w:val="0"/>
        <w:sz w:val="18"/>
        <w:bdr w:val="nil"/>
      </w:rPr>
      <w:t>Portfolio Additio</w:t>
    </w:r>
    <w:r>
      <w:rPr>
        <w:rFonts w:ascii="Arial" w:hAnsi="Arial"/>
        <w:i w:val="0"/>
        <w:sz w:val="18"/>
        <w:bdr w:val="nil"/>
      </w:rPr>
      <w:t>nal Estimates Statements 2021-22</w:t>
    </w:r>
    <w:r w:rsidRPr="00865138">
      <w:rPr>
        <w:rFonts w:ascii="Arial" w:hAnsi="Arial"/>
        <w:i w:val="0"/>
        <w:sz w:val="18"/>
        <w:bdr w:val="nil"/>
      </w:rPr>
      <w:t xml:space="preserve">  |</w:t>
    </w:r>
    <w:r>
      <w:rPr>
        <w:rFonts w:ascii="Arial" w:hAnsi="Arial"/>
        <w:i w:val="0"/>
        <w:sz w:val="18"/>
        <w:bdr w:val="nil"/>
      </w:rPr>
      <w:t xml:space="preserve">  </w:t>
    </w:r>
    <w:r>
      <w:rPr>
        <w:rFonts w:ascii="Arial Bold" w:hAnsi="Arial Bold"/>
        <w:b/>
        <w:i w:val="0"/>
        <w:noProof/>
        <w:position w:val="-10"/>
        <w:sz w:val="18"/>
        <w:bdr w:val="nil"/>
      </w:rPr>
      <w:drawing>
        <wp:inline distT="0" distB="0" distL="0" distR="0">
          <wp:extent cx="988695" cy="223520"/>
          <wp:effectExtent l="0" t="0" r="1905" b="5080"/>
          <wp:docPr id="860331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34955"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572D51" w:rsidRDefault="009E58DC" w:rsidP="001D003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572D51" w:rsidRDefault="009E58DC" w:rsidP="001D003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rPr>
        <w:bdr w:val="nil"/>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572D51" w:rsidRDefault="009E58DC" w:rsidP="001D003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572D51" w:rsidRDefault="009E58DC" w:rsidP="001D003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572D51" w:rsidRDefault="009E58DC" w:rsidP="001D003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572D51" w:rsidRDefault="009E58DC" w:rsidP="001D003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572D51" w:rsidRDefault="009E58DC" w:rsidP="001D003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572D51" w:rsidRDefault="009E58DC" w:rsidP="001D003E">
    <w:pPr>
      <w:keepLines w:val="0"/>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suppressLineNumbers/>
      <w:pBdr>
        <w:top w:val="nil"/>
        <w:left w:val="nil"/>
        <w:bottom w:val="nil"/>
        <w:right w:val="nil"/>
        <w:between w:val="nil"/>
        <w:bar w:val="nil"/>
      </w:pBdr>
      <w:spacing w:after="0" w:line="14" w:lineRule="exact"/>
      <w:contextualSpacing/>
      <w:jc w:val="left"/>
      <w:rPr>
        <w:rFonts w:ascii="Times New Roman" w:hAnsi="Times New Roman"/>
        <w:sz w:val="24"/>
        <w:szCs w:val="24"/>
        <w:bdr w:val="nil"/>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D77B0" w:rsidRDefault="009E58DC" w:rsidP="001D003E">
    <w:pPr>
      <w:pStyle w:val="HeaderOdd"/>
      <w:keepLines w:val="0"/>
      <w:pBdr>
        <w:top w:val="nil"/>
        <w:left w:val="nil"/>
        <w:bottom w:val="nil"/>
        <w:right w:val="nil"/>
        <w:between w:val="nil"/>
        <w:bar w:val="nil"/>
      </w:pBdr>
      <w:spacing w:line="260" w:lineRule="exact"/>
      <w:jc w:val="left"/>
      <w:rPr>
        <w:rFonts w:ascii="Arial" w:hAnsi="Arial"/>
        <w:i w:val="0"/>
        <w:sz w:val="18"/>
        <w:bdr w:val="nil"/>
      </w:rPr>
    </w:pPr>
    <w:r>
      <w:rPr>
        <w:rFonts w:ascii="Arial Bold" w:hAnsi="Arial Bold"/>
        <w:b/>
        <w:i w:val="0"/>
        <w:noProof/>
        <w:position w:val="-10"/>
        <w:sz w:val="18"/>
        <w:bdr w:val="nil"/>
      </w:rPr>
      <w:drawing>
        <wp:inline distT="0" distB="0" distL="0" distR="0">
          <wp:extent cx="988695" cy="223520"/>
          <wp:effectExtent l="0" t="0" r="1905" b="5080"/>
          <wp:docPr id="4893517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34955"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rPr>
        <w:rFonts w:ascii="Arial" w:hAnsi="Arial"/>
        <w:i w:val="0"/>
        <w:sz w:val="18"/>
        <w:bdr w:val="nil"/>
      </w:rPr>
      <w:t xml:space="preserve"> | </w:t>
    </w:r>
    <w:r w:rsidRPr="00865138">
      <w:rPr>
        <w:rFonts w:ascii="Arial" w:hAnsi="Arial"/>
        <w:i w:val="0"/>
        <w:sz w:val="18"/>
        <w:bdr w:val="nil"/>
      </w:rPr>
      <w:t>Portfolio Additional</w:t>
    </w:r>
    <w:r>
      <w:rPr>
        <w:rFonts w:ascii="Arial" w:hAnsi="Arial"/>
        <w:i w:val="0"/>
        <w:sz w:val="18"/>
        <w:bdr w:val="nil"/>
      </w:rPr>
      <w:t xml:space="preserve"> Estimates Statements 2021-22</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D77B0" w:rsidRDefault="009E58DC" w:rsidP="001D003E">
    <w:pPr>
      <w:pStyle w:val="HeaderOdd"/>
      <w:keepLines w:val="0"/>
      <w:pBdr>
        <w:top w:val="nil"/>
        <w:left w:val="nil"/>
        <w:bottom w:val="nil"/>
        <w:right w:val="nil"/>
        <w:between w:val="nil"/>
        <w:bar w:val="nil"/>
      </w:pBdr>
      <w:spacing w:line="260" w:lineRule="exact"/>
      <w:rPr>
        <w:rFonts w:ascii="Arial" w:hAnsi="Arial"/>
        <w:i w:val="0"/>
        <w:sz w:val="18"/>
        <w:bdr w:val="nil"/>
      </w:rPr>
    </w:pPr>
    <w:r w:rsidRPr="00865138">
      <w:rPr>
        <w:rFonts w:ascii="Arial" w:hAnsi="Arial"/>
        <w:i w:val="0"/>
        <w:sz w:val="18"/>
        <w:bdr w:val="nil"/>
      </w:rPr>
      <w:t>Portfolio Additio</w:t>
    </w:r>
    <w:r>
      <w:rPr>
        <w:rFonts w:ascii="Arial" w:hAnsi="Arial"/>
        <w:i w:val="0"/>
        <w:sz w:val="18"/>
        <w:bdr w:val="nil"/>
      </w:rPr>
      <w:t>nal Estimates Statements 2021-22</w:t>
    </w:r>
    <w:r w:rsidRPr="00865138">
      <w:rPr>
        <w:rFonts w:ascii="Arial" w:hAnsi="Arial"/>
        <w:i w:val="0"/>
        <w:sz w:val="18"/>
        <w:bdr w:val="nil"/>
      </w:rPr>
      <w:t xml:space="preserve">  |</w:t>
    </w:r>
    <w:r>
      <w:rPr>
        <w:rFonts w:ascii="Arial" w:hAnsi="Arial"/>
        <w:i w:val="0"/>
        <w:sz w:val="18"/>
        <w:bdr w:val="nil"/>
      </w:rPr>
      <w:t xml:space="preserve">  </w:t>
    </w:r>
    <w:r>
      <w:rPr>
        <w:rFonts w:ascii="Arial Bold" w:hAnsi="Arial Bold"/>
        <w:b/>
        <w:i w:val="0"/>
        <w:noProof/>
        <w:position w:val="-10"/>
        <w:sz w:val="18"/>
        <w:bdr w:val="nil"/>
      </w:rPr>
      <w:drawing>
        <wp:inline distT="0" distB="0" distL="0" distR="0">
          <wp:extent cx="988695" cy="223520"/>
          <wp:effectExtent l="0" t="0" r="1905" b="5080"/>
          <wp:docPr id="1335935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34955"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D77B0" w:rsidRDefault="009E58DC" w:rsidP="001D003E">
    <w:pPr>
      <w:pStyle w:val="HeaderOdd3"/>
      <w:pBdr>
        <w:top w:val="nil"/>
        <w:left w:val="nil"/>
        <w:bottom w:val="nil"/>
        <w:right w:val="nil"/>
        <w:between w:val="nil"/>
        <w:bar w:val="nil"/>
      </w:pBdr>
      <w:spacing w:line="260" w:lineRule="exact"/>
      <w:jc w:val="left"/>
      <w:rPr>
        <w:bdr w:val="nil"/>
      </w:rPr>
    </w:pPr>
    <w:r>
      <w:rPr>
        <w:rFonts w:ascii="Arial Bold" w:hAnsi="Arial Bold"/>
        <w:b/>
        <w:noProof/>
        <w:position w:val="-10"/>
        <w:bdr w:val="nil"/>
      </w:rPr>
      <w:drawing>
        <wp:inline distT="0" distB="0" distL="0" distR="0">
          <wp:extent cx="988695" cy="223520"/>
          <wp:effectExtent l="0" t="0" r="1905" b="5080"/>
          <wp:docPr id="701481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34955"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rPr>
        <w:bdr w:val="nil"/>
      </w:rPr>
      <w:t xml:space="preserve"> | </w:t>
    </w:r>
    <w:r w:rsidRPr="00865138">
      <w:rPr>
        <w:bdr w:val="nil"/>
      </w:rPr>
      <w:t>Portfolio Additional</w:t>
    </w:r>
    <w:r>
      <w:rPr>
        <w:bdr w:val="nil"/>
      </w:rPr>
      <w:t xml:space="preserve"> Estimates Statements 2021-22</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D77B0" w:rsidRDefault="009E58DC" w:rsidP="001D003E">
    <w:pPr>
      <w:pStyle w:val="HeaderOdd3"/>
      <w:pBdr>
        <w:top w:val="nil"/>
        <w:left w:val="nil"/>
        <w:bottom w:val="nil"/>
        <w:right w:val="nil"/>
        <w:between w:val="nil"/>
        <w:bar w:val="nil"/>
      </w:pBdr>
      <w:spacing w:line="260" w:lineRule="exact"/>
      <w:rPr>
        <w:bdr w:val="nil"/>
      </w:rPr>
    </w:pPr>
    <w:r w:rsidRPr="00865138">
      <w:rPr>
        <w:bdr w:val="nil"/>
      </w:rPr>
      <w:t>Portfolio Additio</w:t>
    </w:r>
    <w:r>
      <w:rPr>
        <w:bdr w:val="nil"/>
      </w:rPr>
      <w:t>nal Estimates Statements 2021-22</w:t>
    </w:r>
    <w:r w:rsidRPr="00865138">
      <w:rPr>
        <w:bdr w:val="nil"/>
      </w:rPr>
      <w:t xml:space="preserve">  |</w:t>
    </w:r>
    <w:r>
      <w:rPr>
        <w:bdr w:val="nil"/>
      </w:rPr>
      <w:t xml:space="preserve">  </w:t>
    </w:r>
    <w:r>
      <w:rPr>
        <w:rFonts w:ascii="Arial Bold" w:hAnsi="Arial Bold"/>
        <w:b/>
        <w:noProof/>
        <w:position w:val="-10"/>
        <w:bdr w:val="nil"/>
      </w:rPr>
      <w:drawing>
        <wp:inline distT="0" distB="0" distL="0" distR="0">
          <wp:extent cx="988695" cy="223520"/>
          <wp:effectExtent l="0" t="0" r="1905" b="5080"/>
          <wp:docPr id="9873918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34955"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pStyle w:val="Normal4"/>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D77B0" w:rsidRDefault="009E58DC" w:rsidP="001D003E">
    <w:pPr>
      <w:pStyle w:val="HeaderOdd"/>
      <w:keepLines w:val="0"/>
      <w:pBdr>
        <w:top w:val="nil"/>
        <w:left w:val="nil"/>
        <w:bottom w:val="nil"/>
        <w:right w:val="nil"/>
        <w:between w:val="nil"/>
        <w:bar w:val="nil"/>
      </w:pBdr>
      <w:spacing w:line="260" w:lineRule="exact"/>
      <w:jc w:val="left"/>
      <w:rPr>
        <w:rFonts w:ascii="Arial" w:hAnsi="Arial"/>
        <w:i w:val="0"/>
        <w:sz w:val="18"/>
        <w:bdr w:val="nil"/>
      </w:rPr>
    </w:pPr>
    <w:r>
      <w:rPr>
        <w:rFonts w:ascii="Arial Bold" w:hAnsi="Arial Bold"/>
        <w:b/>
        <w:i w:val="0"/>
        <w:noProof/>
        <w:position w:val="-10"/>
        <w:sz w:val="18"/>
        <w:bdr w:val="nil"/>
      </w:rPr>
      <w:drawing>
        <wp:inline distT="0" distB="0" distL="0" distR="0">
          <wp:extent cx="988695" cy="223520"/>
          <wp:effectExtent l="0" t="0" r="1905" b="5080"/>
          <wp:docPr id="1863362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34955"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rPr>
        <w:rFonts w:ascii="Arial" w:hAnsi="Arial"/>
        <w:i w:val="0"/>
        <w:sz w:val="18"/>
        <w:bdr w:val="nil"/>
      </w:rPr>
      <w:t xml:space="preserve"> | </w:t>
    </w:r>
    <w:r w:rsidRPr="00865138">
      <w:rPr>
        <w:rFonts w:ascii="Arial" w:hAnsi="Arial"/>
        <w:i w:val="0"/>
        <w:sz w:val="18"/>
        <w:bdr w:val="nil"/>
      </w:rPr>
      <w:t>Portfolio Additional</w:t>
    </w:r>
    <w:r>
      <w:rPr>
        <w:rFonts w:ascii="Arial" w:hAnsi="Arial"/>
        <w:i w:val="0"/>
        <w:sz w:val="18"/>
        <w:bdr w:val="nil"/>
      </w:rPr>
      <w:t xml:space="preserve"> Estimates Statements 2021-22</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D77B0" w:rsidRDefault="009E58DC" w:rsidP="001D003E">
    <w:pPr>
      <w:pStyle w:val="HeaderOdd"/>
      <w:keepLines w:val="0"/>
      <w:pBdr>
        <w:top w:val="nil"/>
        <w:left w:val="nil"/>
        <w:bottom w:val="nil"/>
        <w:right w:val="nil"/>
        <w:between w:val="nil"/>
        <w:bar w:val="nil"/>
      </w:pBdr>
      <w:spacing w:line="260" w:lineRule="exact"/>
      <w:rPr>
        <w:rFonts w:ascii="Arial" w:hAnsi="Arial"/>
        <w:i w:val="0"/>
        <w:sz w:val="18"/>
        <w:bdr w:val="nil"/>
      </w:rPr>
    </w:pPr>
    <w:r w:rsidRPr="00865138">
      <w:rPr>
        <w:rFonts w:ascii="Arial" w:hAnsi="Arial"/>
        <w:i w:val="0"/>
        <w:sz w:val="18"/>
        <w:bdr w:val="nil"/>
      </w:rPr>
      <w:t>Portfolio Additio</w:t>
    </w:r>
    <w:r>
      <w:rPr>
        <w:rFonts w:ascii="Arial" w:hAnsi="Arial"/>
        <w:i w:val="0"/>
        <w:sz w:val="18"/>
        <w:bdr w:val="nil"/>
      </w:rPr>
      <w:t>nal Estimates Statements 2021-22</w:t>
    </w:r>
    <w:r w:rsidRPr="00865138">
      <w:rPr>
        <w:rFonts w:ascii="Arial" w:hAnsi="Arial"/>
        <w:i w:val="0"/>
        <w:sz w:val="18"/>
        <w:bdr w:val="nil"/>
      </w:rPr>
      <w:t xml:space="preserve">  |</w:t>
    </w:r>
    <w:r>
      <w:rPr>
        <w:rFonts w:ascii="Arial" w:hAnsi="Arial"/>
        <w:i w:val="0"/>
        <w:sz w:val="18"/>
        <w:bdr w:val="nil"/>
      </w:rPr>
      <w:t xml:space="preserve">  </w:t>
    </w:r>
    <w:r>
      <w:rPr>
        <w:rFonts w:ascii="Arial Bold" w:hAnsi="Arial Bold"/>
        <w:b/>
        <w:i w:val="0"/>
        <w:noProof/>
        <w:position w:val="-10"/>
        <w:sz w:val="18"/>
        <w:bdr w:val="nil"/>
      </w:rPr>
      <w:drawing>
        <wp:inline distT="0" distB="0" distL="0" distR="0">
          <wp:extent cx="988695" cy="223520"/>
          <wp:effectExtent l="0" t="0" r="1905" b="5080"/>
          <wp:docPr id="667913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34955"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022C96" w:rsidRDefault="009E58DC">
    <w:pPr>
      <w:pStyle w:val="Normal9"/>
      <w:pBdr>
        <w:top w:val="nil"/>
        <w:left w:val="nil"/>
        <w:bottom w:val="nil"/>
        <w:right w:val="nil"/>
        <w:between w:val="nil"/>
        <w:bar w:val="nil"/>
      </w:pBdr>
      <w:rPr>
        <w:color w:val="FFFFFF"/>
        <w:bdr w:val="nil"/>
      </w:rPr>
    </w:pPr>
    <w:r w:rsidRPr="00022C96">
      <w:rPr>
        <w:color w:val="FFFFFF"/>
        <w:bdr w:val="nil"/>
      </w:rPr>
      <w:t>Glossary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suppressLineNumbers/>
      <w:pBdr>
        <w:top w:val="nil"/>
        <w:left w:val="nil"/>
        <w:bottom w:val="nil"/>
        <w:right w:val="nil"/>
        <w:between w:val="nil"/>
        <w:bar w:val="nil"/>
      </w:pBdr>
      <w:spacing w:after="0" w:line="14" w:lineRule="exact"/>
      <w:contextualSpacing/>
      <w:jc w:val="left"/>
      <w:rPr>
        <w:rFonts w:ascii="Times New Roman" w:hAnsi="Times New Roman"/>
        <w:sz w:val="24"/>
        <w:szCs w:val="24"/>
        <w:bdr w:val="nil"/>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022C96" w:rsidRDefault="009E58DC">
    <w:pPr>
      <w:pStyle w:val="Normal9"/>
      <w:pBdr>
        <w:top w:val="nil"/>
        <w:left w:val="nil"/>
        <w:bottom w:val="nil"/>
        <w:right w:val="nil"/>
        <w:between w:val="nil"/>
        <w:bar w:val="nil"/>
      </w:pBdr>
      <w:rPr>
        <w:color w:val="FFFFFF"/>
        <w:bdr w:val="nil"/>
      </w:rPr>
    </w:pPr>
    <w:r w:rsidRPr="00022C96">
      <w:rPr>
        <w:color w:val="FFFFFF"/>
        <w:bdr w:val="nil"/>
      </w:rPr>
      <w:t>Glossary</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pStyle w:val="Normal9"/>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D77B0" w:rsidRDefault="009E58DC" w:rsidP="001D003E">
    <w:pPr>
      <w:pStyle w:val="HeaderOdd8"/>
      <w:pBdr>
        <w:top w:val="nil"/>
        <w:left w:val="nil"/>
        <w:bottom w:val="nil"/>
        <w:right w:val="nil"/>
        <w:between w:val="nil"/>
        <w:bar w:val="nil"/>
      </w:pBdr>
      <w:spacing w:line="260" w:lineRule="exact"/>
      <w:jc w:val="left"/>
      <w:rPr>
        <w:bdr w:val="nil"/>
      </w:rPr>
    </w:pPr>
    <w:r>
      <w:rPr>
        <w:rFonts w:ascii="Arial Bold" w:hAnsi="Arial Bold"/>
        <w:b/>
        <w:noProof/>
        <w:position w:val="-10"/>
        <w:bdr w:val="nil"/>
      </w:rPr>
      <w:drawing>
        <wp:inline distT="0" distB="0" distL="0" distR="0">
          <wp:extent cx="988695" cy="223520"/>
          <wp:effectExtent l="0" t="0" r="1905" b="5080"/>
          <wp:docPr id="1712094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34955"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r>
      <w:rPr>
        <w:bdr w:val="nil"/>
      </w:rPr>
      <w:t xml:space="preserve"> | </w:t>
    </w:r>
    <w:r w:rsidRPr="00865138">
      <w:rPr>
        <w:bdr w:val="nil"/>
      </w:rPr>
      <w:t>Portfolio Additional</w:t>
    </w:r>
    <w:r>
      <w:rPr>
        <w:bdr w:val="nil"/>
      </w:rPr>
      <w:t xml:space="preserve"> Estimates Statements 2021-22</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Pr="00BD77B0" w:rsidRDefault="009E58DC" w:rsidP="001D003E">
    <w:pPr>
      <w:pStyle w:val="HeaderOdd8"/>
      <w:pBdr>
        <w:top w:val="nil"/>
        <w:left w:val="nil"/>
        <w:bottom w:val="nil"/>
        <w:right w:val="nil"/>
        <w:between w:val="nil"/>
        <w:bar w:val="nil"/>
      </w:pBdr>
      <w:spacing w:line="260" w:lineRule="exact"/>
      <w:rPr>
        <w:bdr w:val="nil"/>
      </w:rPr>
    </w:pPr>
    <w:r w:rsidRPr="00865138">
      <w:rPr>
        <w:bdr w:val="nil"/>
      </w:rPr>
      <w:t>Portfolio Additio</w:t>
    </w:r>
    <w:r>
      <w:rPr>
        <w:bdr w:val="nil"/>
      </w:rPr>
      <w:t>nal Estimates Statements 2021-22</w:t>
    </w:r>
    <w:r w:rsidRPr="00865138">
      <w:rPr>
        <w:bdr w:val="nil"/>
      </w:rPr>
      <w:t xml:space="preserve">  |</w:t>
    </w:r>
    <w:r>
      <w:rPr>
        <w:bdr w:val="nil"/>
      </w:rPr>
      <w:t xml:space="preserve">  </w:t>
    </w:r>
    <w:r>
      <w:rPr>
        <w:rFonts w:ascii="Arial Bold" w:hAnsi="Arial Bold"/>
        <w:b/>
        <w:noProof/>
        <w:position w:val="-10"/>
        <w:bdr w:val="nil"/>
      </w:rPr>
      <w:drawing>
        <wp:inline distT="0" distB="0" distL="0" distR="0">
          <wp:extent cx="988695" cy="223520"/>
          <wp:effectExtent l="0" t="0" r="1905" b="5080"/>
          <wp:docPr id="3190568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34955"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8695" cy="223520"/>
                  </a:xfrm>
                  <a:prstGeom prst="rect">
                    <a:avLst/>
                  </a:prstGeom>
                  <a:noFill/>
                  <a:ln>
                    <a:noFill/>
                  </a:ln>
                </pic:spPr>
              </pic:pic>
            </a:graphicData>
          </a:graphic>
        </wp:inline>
      </w:drawing>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pStyle w:val="Normal10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suppressLineNumbers/>
      <w:pBdr>
        <w:top w:val="nil"/>
        <w:left w:val="nil"/>
        <w:bottom w:val="nil"/>
        <w:right w:val="nil"/>
        <w:between w:val="nil"/>
        <w:bar w:val="nil"/>
      </w:pBdr>
      <w:spacing w:after="0" w:line="14" w:lineRule="exact"/>
      <w:contextualSpacing/>
      <w:jc w:val="left"/>
      <w:rPr>
        <w:rFonts w:ascii="Times New Roman" w:hAnsi="Times New Roman"/>
        <w:sz w:val="24"/>
        <w:szCs w:val="24"/>
        <w:bdr w:val="ni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suppressLineNumbers/>
      <w:pBdr>
        <w:top w:val="nil"/>
        <w:left w:val="nil"/>
        <w:bottom w:val="nil"/>
        <w:right w:val="nil"/>
        <w:between w:val="nil"/>
        <w:bar w:val="nil"/>
      </w:pBdr>
      <w:spacing w:after="0" w:line="14" w:lineRule="exact"/>
      <w:contextualSpacing/>
      <w:jc w:val="left"/>
      <w:rPr>
        <w:rFonts w:ascii="Times New Roman" w:hAnsi="Times New Roman"/>
        <w:sz w:val="24"/>
        <w:szCs w:val="24"/>
        <w:bdr w:val="ni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DC" w:rsidRDefault="009E58DC">
    <w:pPr>
      <w:keepLines w:val="0"/>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7BEBCDC"/>
    <w:lvl w:ilvl="0" w:tplc="56B8492A">
      <w:start w:val="1"/>
      <w:numFmt w:val="lowerLetter"/>
      <w:lvlText w:val="(%1)"/>
      <w:lvlJc w:val="left"/>
      <w:pPr>
        <w:ind w:left="720" w:hanging="360"/>
      </w:pPr>
      <w:rPr>
        <w:rFonts w:hint="default"/>
        <w:i w:val="0"/>
      </w:rPr>
    </w:lvl>
    <w:lvl w:ilvl="1" w:tplc="491AB97C" w:tentative="1">
      <w:start w:val="1"/>
      <w:numFmt w:val="lowerLetter"/>
      <w:lvlText w:val="%2."/>
      <w:lvlJc w:val="left"/>
      <w:pPr>
        <w:ind w:left="1440" w:hanging="360"/>
      </w:pPr>
    </w:lvl>
    <w:lvl w:ilvl="2" w:tplc="5FF47648" w:tentative="1">
      <w:start w:val="1"/>
      <w:numFmt w:val="lowerRoman"/>
      <w:lvlText w:val="%3."/>
      <w:lvlJc w:val="right"/>
      <w:pPr>
        <w:ind w:left="2160" w:hanging="180"/>
      </w:pPr>
    </w:lvl>
    <w:lvl w:ilvl="3" w:tplc="1FE02FDE" w:tentative="1">
      <w:start w:val="1"/>
      <w:numFmt w:val="decimal"/>
      <w:lvlText w:val="%4."/>
      <w:lvlJc w:val="left"/>
      <w:pPr>
        <w:ind w:left="2880" w:hanging="360"/>
      </w:pPr>
    </w:lvl>
    <w:lvl w:ilvl="4" w:tplc="DB62D4D0" w:tentative="1">
      <w:start w:val="1"/>
      <w:numFmt w:val="lowerLetter"/>
      <w:lvlText w:val="%5."/>
      <w:lvlJc w:val="left"/>
      <w:pPr>
        <w:ind w:left="3600" w:hanging="360"/>
      </w:pPr>
    </w:lvl>
    <w:lvl w:ilvl="5" w:tplc="A7AA8F54" w:tentative="1">
      <w:start w:val="1"/>
      <w:numFmt w:val="lowerRoman"/>
      <w:lvlText w:val="%6."/>
      <w:lvlJc w:val="right"/>
      <w:pPr>
        <w:ind w:left="4320" w:hanging="180"/>
      </w:pPr>
    </w:lvl>
    <w:lvl w:ilvl="6" w:tplc="30B2ABB6" w:tentative="1">
      <w:start w:val="1"/>
      <w:numFmt w:val="decimal"/>
      <w:lvlText w:val="%7."/>
      <w:lvlJc w:val="left"/>
      <w:pPr>
        <w:ind w:left="5040" w:hanging="360"/>
      </w:pPr>
    </w:lvl>
    <w:lvl w:ilvl="7" w:tplc="1292A886" w:tentative="1">
      <w:start w:val="1"/>
      <w:numFmt w:val="lowerLetter"/>
      <w:lvlText w:val="%8."/>
      <w:lvlJc w:val="left"/>
      <w:pPr>
        <w:ind w:left="5760" w:hanging="360"/>
      </w:pPr>
    </w:lvl>
    <w:lvl w:ilvl="8" w:tplc="AC408F20" w:tentative="1">
      <w:start w:val="1"/>
      <w:numFmt w:val="lowerRoman"/>
      <w:lvlText w:val="%9."/>
      <w:lvlJc w:val="right"/>
      <w:pPr>
        <w:ind w:left="6480" w:hanging="180"/>
      </w:pPr>
    </w:lvl>
  </w:abstractNum>
  <w:abstractNum w:abstractNumId="1" w15:restartNumberingAfterBreak="0">
    <w:nsid w:val="00000002"/>
    <w:multiLevelType w:val="hybridMultilevel"/>
    <w:tmpl w:val="7FAC7378"/>
    <w:lvl w:ilvl="0" w:tplc="C1AC65B6">
      <w:start w:val="1"/>
      <w:numFmt w:val="lowerLetter"/>
      <w:lvlText w:val="(%1)"/>
      <w:lvlJc w:val="left"/>
      <w:pPr>
        <w:ind w:left="360" w:hanging="360"/>
      </w:pPr>
      <w:rPr>
        <w:rFonts w:hint="default"/>
      </w:rPr>
    </w:lvl>
    <w:lvl w:ilvl="1" w:tplc="51C4675C" w:tentative="1">
      <w:start w:val="1"/>
      <w:numFmt w:val="lowerLetter"/>
      <w:lvlText w:val="%2."/>
      <w:lvlJc w:val="left"/>
      <w:pPr>
        <w:ind w:left="1080" w:hanging="360"/>
      </w:pPr>
    </w:lvl>
    <w:lvl w:ilvl="2" w:tplc="AE4C0678" w:tentative="1">
      <w:start w:val="1"/>
      <w:numFmt w:val="lowerRoman"/>
      <w:lvlText w:val="%3."/>
      <w:lvlJc w:val="right"/>
      <w:pPr>
        <w:ind w:left="1800" w:hanging="180"/>
      </w:pPr>
    </w:lvl>
    <w:lvl w:ilvl="3" w:tplc="A290DC98" w:tentative="1">
      <w:start w:val="1"/>
      <w:numFmt w:val="decimal"/>
      <w:lvlText w:val="%4."/>
      <w:lvlJc w:val="left"/>
      <w:pPr>
        <w:ind w:left="2520" w:hanging="360"/>
      </w:pPr>
    </w:lvl>
    <w:lvl w:ilvl="4" w:tplc="73CCCEE6" w:tentative="1">
      <w:start w:val="1"/>
      <w:numFmt w:val="lowerLetter"/>
      <w:lvlText w:val="%5."/>
      <w:lvlJc w:val="left"/>
      <w:pPr>
        <w:ind w:left="3240" w:hanging="360"/>
      </w:pPr>
    </w:lvl>
    <w:lvl w:ilvl="5" w:tplc="F9B2AF80" w:tentative="1">
      <w:start w:val="1"/>
      <w:numFmt w:val="lowerRoman"/>
      <w:lvlText w:val="%6."/>
      <w:lvlJc w:val="right"/>
      <w:pPr>
        <w:ind w:left="3960" w:hanging="180"/>
      </w:pPr>
    </w:lvl>
    <w:lvl w:ilvl="6" w:tplc="2D6029AC" w:tentative="1">
      <w:start w:val="1"/>
      <w:numFmt w:val="decimal"/>
      <w:lvlText w:val="%7."/>
      <w:lvlJc w:val="left"/>
      <w:pPr>
        <w:ind w:left="4680" w:hanging="360"/>
      </w:pPr>
    </w:lvl>
    <w:lvl w:ilvl="7" w:tplc="34C252A4" w:tentative="1">
      <w:start w:val="1"/>
      <w:numFmt w:val="lowerLetter"/>
      <w:lvlText w:val="%8."/>
      <w:lvlJc w:val="left"/>
      <w:pPr>
        <w:ind w:left="5400" w:hanging="360"/>
      </w:pPr>
    </w:lvl>
    <w:lvl w:ilvl="8" w:tplc="F834867C" w:tentative="1">
      <w:start w:val="1"/>
      <w:numFmt w:val="lowerRoman"/>
      <w:lvlText w:val="%9."/>
      <w:lvlJc w:val="right"/>
      <w:pPr>
        <w:ind w:left="6120" w:hanging="180"/>
      </w:pPr>
    </w:lvl>
  </w:abstractNum>
  <w:abstractNum w:abstractNumId="2" w15:restartNumberingAfterBreak="0">
    <w:nsid w:val="00000003"/>
    <w:multiLevelType w:val="hybridMultilevel"/>
    <w:tmpl w:val="8CE80E0C"/>
    <w:lvl w:ilvl="0" w:tplc="94725A84">
      <w:start w:val="1"/>
      <w:numFmt w:val="lowerLetter"/>
      <w:lvlText w:val="(%1)"/>
      <w:lvlJc w:val="left"/>
      <w:pPr>
        <w:ind w:left="360" w:hanging="360"/>
      </w:pPr>
      <w:rPr>
        <w:rFonts w:hint="default"/>
      </w:rPr>
    </w:lvl>
    <w:lvl w:ilvl="1" w:tplc="CDC82F16" w:tentative="1">
      <w:start w:val="1"/>
      <w:numFmt w:val="lowerLetter"/>
      <w:lvlText w:val="%2."/>
      <w:lvlJc w:val="left"/>
      <w:pPr>
        <w:ind w:left="1080" w:hanging="360"/>
      </w:pPr>
    </w:lvl>
    <w:lvl w:ilvl="2" w:tplc="C772DCA6" w:tentative="1">
      <w:start w:val="1"/>
      <w:numFmt w:val="lowerRoman"/>
      <w:lvlText w:val="%3."/>
      <w:lvlJc w:val="right"/>
      <w:pPr>
        <w:ind w:left="1800" w:hanging="180"/>
      </w:pPr>
    </w:lvl>
    <w:lvl w:ilvl="3" w:tplc="61F0BD0C" w:tentative="1">
      <w:start w:val="1"/>
      <w:numFmt w:val="decimal"/>
      <w:lvlText w:val="%4."/>
      <w:lvlJc w:val="left"/>
      <w:pPr>
        <w:ind w:left="2520" w:hanging="360"/>
      </w:pPr>
    </w:lvl>
    <w:lvl w:ilvl="4" w:tplc="0DB65688" w:tentative="1">
      <w:start w:val="1"/>
      <w:numFmt w:val="lowerLetter"/>
      <w:lvlText w:val="%5."/>
      <w:lvlJc w:val="left"/>
      <w:pPr>
        <w:ind w:left="3240" w:hanging="360"/>
      </w:pPr>
    </w:lvl>
    <w:lvl w:ilvl="5" w:tplc="185AA1A8" w:tentative="1">
      <w:start w:val="1"/>
      <w:numFmt w:val="lowerRoman"/>
      <w:lvlText w:val="%6."/>
      <w:lvlJc w:val="right"/>
      <w:pPr>
        <w:ind w:left="3960" w:hanging="180"/>
      </w:pPr>
    </w:lvl>
    <w:lvl w:ilvl="6" w:tplc="1110F4DE" w:tentative="1">
      <w:start w:val="1"/>
      <w:numFmt w:val="decimal"/>
      <w:lvlText w:val="%7."/>
      <w:lvlJc w:val="left"/>
      <w:pPr>
        <w:ind w:left="4680" w:hanging="360"/>
      </w:pPr>
    </w:lvl>
    <w:lvl w:ilvl="7" w:tplc="8594E2E4" w:tentative="1">
      <w:start w:val="1"/>
      <w:numFmt w:val="lowerLetter"/>
      <w:lvlText w:val="%8."/>
      <w:lvlJc w:val="left"/>
      <w:pPr>
        <w:ind w:left="5400" w:hanging="360"/>
      </w:pPr>
    </w:lvl>
    <w:lvl w:ilvl="8" w:tplc="E67CE770" w:tentative="1">
      <w:start w:val="1"/>
      <w:numFmt w:val="lowerRoman"/>
      <w:lvlText w:val="%9."/>
      <w:lvlJc w:val="right"/>
      <w:pPr>
        <w:ind w:left="6120" w:hanging="180"/>
      </w:pPr>
    </w:lvl>
  </w:abstractNum>
  <w:abstractNum w:abstractNumId="3" w15:restartNumberingAfterBreak="0">
    <w:nsid w:val="00000004"/>
    <w:multiLevelType w:val="hybridMultilevel"/>
    <w:tmpl w:val="1152E264"/>
    <w:lvl w:ilvl="0" w:tplc="CE7ABAEE">
      <w:start w:val="1"/>
      <w:numFmt w:val="lowerLetter"/>
      <w:lvlText w:val="%1)"/>
      <w:lvlJc w:val="left"/>
      <w:pPr>
        <w:ind w:left="360" w:hanging="360"/>
      </w:pPr>
      <w:rPr>
        <w:rFonts w:hint="default"/>
      </w:rPr>
    </w:lvl>
    <w:lvl w:ilvl="1" w:tplc="D66ED638" w:tentative="1">
      <w:start w:val="1"/>
      <w:numFmt w:val="lowerLetter"/>
      <w:lvlText w:val="%2."/>
      <w:lvlJc w:val="left"/>
      <w:pPr>
        <w:ind w:left="1080" w:hanging="360"/>
      </w:pPr>
    </w:lvl>
    <w:lvl w:ilvl="2" w:tplc="BB88C186" w:tentative="1">
      <w:start w:val="1"/>
      <w:numFmt w:val="lowerRoman"/>
      <w:lvlText w:val="%3."/>
      <w:lvlJc w:val="right"/>
      <w:pPr>
        <w:ind w:left="1800" w:hanging="180"/>
      </w:pPr>
    </w:lvl>
    <w:lvl w:ilvl="3" w:tplc="D9D8D34E" w:tentative="1">
      <w:start w:val="1"/>
      <w:numFmt w:val="decimal"/>
      <w:lvlText w:val="%4."/>
      <w:lvlJc w:val="left"/>
      <w:pPr>
        <w:ind w:left="2520" w:hanging="360"/>
      </w:pPr>
    </w:lvl>
    <w:lvl w:ilvl="4" w:tplc="CCEE3B06" w:tentative="1">
      <w:start w:val="1"/>
      <w:numFmt w:val="lowerLetter"/>
      <w:lvlText w:val="%5."/>
      <w:lvlJc w:val="left"/>
      <w:pPr>
        <w:ind w:left="3240" w:hanging="360"/>
      </w:pPr>
    </w:lvl>
    <w:lvl w:ilvl="5" w:tplc="C82CD8B2" w:tentative="1">
      <w:start w:val="1"/>
      <w:numFmt w:val="lowerRoman"/>
      <w:lvlText w:val="%6."/>
      <w:lvlJc w:val="right"/>
      <w:pPr>
        <w:ind w:left="3960" w:hanging="180"/>
      </w:pPr>
    </w:lvl>
    <w:lvl w:ilvl="6" w:tplc="CCD6E318" w:tentative="1">
      <w:start w:val="1"/>
      <w:numFmt w:val="decimal"/>
      <w:lvlText w:val="%7."/>
      <w:lvlJc w:val="left"/>
      <w:pPr>
        <w:ind w:left="4680" w:hanging="360"/>
      </w:pPr>
    </w:lvl>
    <w:lvl w:ilvl="7" w:tplc="CB8670D6" w:tentative="1">
      <w:start w:val="1"/>
      <w:numFmt w:val="lowerLetter"/>
      <w:lvlText w:val="%8."/>
      <w:lvlJc w:val="left"/>
      <w:pPr>
        <w:ind w:left="5400" w:hanging="360"/>
      </w:pPr>
    </w:lvl>
    <w:lvl w:ilvl="8" w:tplc="437679EA" w:tentative="1">
      <w:start w:val="1"/>
      <w:numFmt w:val="lowerRoman"/>
      <w:lvlText w:val="%9."/>
      <w:lvlJc w:val="right"/>
      <w:pPr>
        <w:ind w:left="6120" w:hanging="180"/>
      </w:pPr>
    </w:lvl>
  </w:abstractNum>
  <w:abstractNum w:abstractNumId="4" w15:restartNumberingAfterBreak="0">
    <w:nsid w:val="00000005"/>
    <w:multiLevelType w:val="hybridMultilevel"/>
    <w:tmpl w:val="ACE8DCB2"/>
    <w:lvl w:ilvl="0" w:tplc="932A1698">
      <w:start w:val="1"/>
      <w:numFmt w:val="lowerLetter"/>
      <w:lvlText w:val="%1)"/>
      <w:lvlJc w:val="left"/>
      <w:pPr>
        <w:ind w:left="360" w:hanging="360"/>
      </w:pPr>
      <w:rPr>
        <w:rFonts w:hint="default"/>
      </w:rPr>
    </w:lvl>
    <w:lvl w:ilvl="1" w:tplc="0E44A2E0" w:tentative="1">
      <w:start w:val="1"/>
      <w:numFmt w:val="lowerLetter"/>
      <w:lvlText w:val="%2."/>
      <w:lvlJc w:val="left"/>
      <w:pPr>
        <w:ind w:left="1080" w:hanging="360"/>
      </w:pPr>
    </w:lvl>
    <w:lvl w:ilvl="2" w:tplc="1BAAAC0A" w:tentative="1">
      <w:start w:val="1"/>
      <w:numFmt w:val="lowerRoman"/>
      <w:lvlText w:val="%3."/>
      <w:lvlJc w:val="right"/>
      <w:pPr>
        <w:ind w:left="1800" w:hanging="180"/>
      </w:pPr>
    </w:lvl>
    <w:lvl w:ilvl="3" w:tplc="8A50C392" w:tentative="1">
      <w:start w:val="1"/>
      <w:numFmt w:val="decimal"/>
      <w:lvlText w:val="%4."/>
      <w:lvlJc w:val="left"/>
      <w:pPr>
        <w:ind w:left="2520" w:hanging="360"/>
      </w:pPr>
    </w:lvl>
    <w:lvl w:ilvl="4" w:tplc="6E32F464" w:tentative="1">
      <w:start w:val="1"/>
      <w:numFmt w:val="lowerLetter"/>
      <w:lvlText w:val="%5."/>
      <w:lvlJc w:val="left"/>
      <w:pPr>
        <w:ind w:left="3240" w:hanging="360"/>
      </w:pPr>
    </w:lvl>
    <w:lvl w:ilvl="5" w:tplc="5F106F20" w:tentative="1">
      <w:start w:val="1"/>
      <w:numFmt w:val="lowerRoman"/>
      <w:lvlText w:val="%6."/>
      <w:lvlJc w:val="right"/>
      <w:pPr>
        <w:ind w:left="3960" w:hanging="180"/>
      </w:pPr>
    </w:lvl>
    <w:lvl w:ilvl="6" w:tplc="B4B885E4" w:tentative="1">
      <w:start w:val="1"/>
      <w:numFmt w:val="decimal"/>
      <w:lvlText w:val="%7."/>
      <w:lvlJc w:val="left"/>
      <w:pPr>
        <w:ind w:left="4680" w:hanging="360"/>
      </w:pPr>
    </w:lvl>
    <w:lvl w:ilvl="7" w:tplc="1FD2390C" w:tentative="1">
      <w:start w:val="1"/>
      <w:numFmt w:val="lowerLetter"/>
      <w:lvlText w:val="%8."/>
      <w:lvlJc w:val="left"/>
      <w:pPr>
        <w:ind w:left="5400" w:hanging="360"/>
      </w:pPr>
    </w:lvl>
    <w:lvl w:ilvl="8" w:tplc="062663AA" w:tentative="1">
      <w:start w:val="1"/>
      <w:numFmt w:val="lowerRoman"/>
      <w:lvlText w:val="%9."/>
      <w:lvlJc w:val="right"/>
      <w:pPr>
        <w:ind w:left="6120" w:hanging="180"/>
      </w:pPr>
    </w:lvl>
  </w:abstractNum>
  <w:abstractNum w:abstractNumId="5" w15:restartNumberingAfterBreak="0">
    <w:nsid w:val="00000006"/>
    <w:multiLevelType w:val="hybridMultilevel"/>
    <w:tmpl w:val="00B22262"/>
    <w:lvl w:ilvl="0" w:tplc="FEC8C7F8">
      <w:start w:val="1"/>
      <w:numFmt w:val="lowerLetter"/>
      <w:lvlText w:val="%1)"/>
      <w:lvlJc w:val="left"/>
      <w:pPr>
        <w:ind w:left="360" w:hanging="360"/>
      </w:pPr>
      <w:rPr>
        <w:rFonts w:hint="default"/>
      </w:rPr>
    </w:lvl>
    <w:lvl w:ilvl="1" w:tplc="2256851C" w:tentative="1">
      <w:start w:val="1"/>
      <w:numFmt w:val="lowerLetter"/>
      <w:lvlText w:val="%2."/>
      <w:lvlJc w:val="left"/>
      <w:pPr>
        <w:ind w:left="1080" w:hanging="360"/>
      </w:pPr>
    </w:lvl>
    <w:lvl w:ilvl="2" w:tplc="F576306C" w:tentative="1">
      <w:start w:val="1"/>
      <w:numFmt w:val="lowerRoman"/>
      <w:lvlText w:val="%3."/>
      <w:lvlJc w:val="right"/>
      <w:pPr>
        <w:ind w:left="1800" w:hanging="180"/>
      </w:pPr>
    </w:lvl>
    <w:lvl w:ilvl="3" w:tplc="04E87C5E" w:tentative="1">
      <w:start w:val="1"/>
      <w:numFmt w:val="decimal"/>
      <w:lvlText w:val="%4."/>
      <w:lvlJc w:val="left"/>
      <w:pPr>
        <w:ind w:left="2520" w:hanging="360"/>
      </w:pPr>
    </w:lvl>
    <w:lvl w:ilvl="4" w:tplc="B54816AC" w:tentative="1">
      <w:start w:val="1"/>
      <w:numFmt w:val="lowerLetter"/>
      <w:lvlText w:val="%5."/>
      <w:lvlJc w:val="left"/>
      <w:pPr>
        <w:ind w:left="3240" w:hanging="360"/>
      </w:pPr>
    </w:lvl>
    <w:lvl w:ilvl="5" w:tplc="3E06B872" w:tentative="1">
      <w:start w:val="1"/>
      <w:numFmt w:val="lowerRoman"/>
      <w:lvlText w:val="%6."/>
      <w:lvlJc w:val="right"/>
      <w:pPr>
        <w:ind w:left="3960" w:hanging="180"/>
      </w:pPr>
    </w:lvl>
    <w:lvl w:ilvl="6" w:tplc="9292580E" w:tentative="1">
      <w:start w:val="1"/>
      <w:numFmt w:val="decimal"/>
      <w:lvlText w:val="%7."/>
      <w:lvlJc w:val="left"/>
      <w:pPr>
        <w:ind w:left="4680" w:hanging="360"/>
      </w:pPr>
    </w:lvl>
    <w:lvl w:ilvl="7" w:tplc="A5789386" w:tentative="1">
      <w:start w:val="1"/>
      <w:numFmt w:val="lowerLetter"/>
      <w:lvlText w:val="%8."/>
      <w:lvlJc w:val="left"/>
      <w:pPr>
        <w:ind w:left="5400" w:hanging="360"/>
      </w:pPr>
    </w:lvl>
    <w:lvl w:ilvl="8" w:tplc="1C483734" w:tentative="1">
      <w:start w:val="1"/>
      <w:numFmt w:val="lowerRoman"/>
      <w:lvlText w:val="%9."/>
      <w:lvlJc w:val="right"/>
      <w:pPr>
        <w:ind w:left="6120" w:hanging="180"/>
      </w:pPr>
    </w:lvl>
  </w:abstractNum>
  <w:abstractNum w:abstractNumId="6" w15:restartNumberingAfterBreak="0">
    <w:nsid w:val="00000007"/>
    <w:multiLevelType w:val="hybridMultilevel"/>
    <w:tmpl w:val="8F0EB4C2"/>
    <w:lvl w:ilvl="0" w:tplc="D638CF08">
      <w:start w:val="1"/>
      <w:numFmt w:val="lowerLetter"/>
      <w:lvlText w:val="%1)"/>
      <w:lvlJc w:val="left"/>
      <w:pPr>
        <w:ind w:left="360" w:hanging="360"/>
      </w:pPr>
      <w:rPr>
        <w:rFonts w:hint="default"/>
      </w:rPr>
    </w:lvl>
    <w:lvl w:ilvl="1" w:tplc="066813B8" w:tentative="1">
      <w:start w:val="1"/>
      <w:numFmt w:val="lowerLetter"/>
      <w:lvlText w:val="%2."/>
      <w:lvlJc w:val="left"/>
      <w:pPr>
        <w:ind w:left="1080" w:hanging="360"/>
      </w:pPr>
    </w:lvl>
    <w:lvl w:ilvl="2" w:tplc="BF640A54" w:tentative="1">
      <w:start w:val="1"/>
      <w:numFmt w:val="lowerRoman"/>
      <w:lvlText w:val="%3."/>
      <w:lvlJc w:val="right"/>
      <w:pPr>
        <w:ind w:left="1800" w:hanging="180"/>
      </w:pPr>
    </w:lvl>
    <w:lvl w:ilvl="3" w:tplc="BDA60508" w:tentative="1">
      <w:start w:val="1"/>
      <w:numFmt w:val="decimal"/>
      <w:lvlText w:val="%4."/>
      <w:lvlJc w:val="left"/>
      <w:pPr>
        <w:ind w:left="2520" w:hanging="360"/>
      </w:pPr>
    </w:lvl>
    <w:lvl w:ilvl="4" w:tplc="6098FDE2" w:tentative="1">
      <w:start w:val="1"/>
      <w:numFmt w:val="lowerLetter"/>
      <w:lvlText w:val="%5."/>
      <w:lvlJc w:val="left"/>
      <w:pPr>
        <w:ind w:left="3240" w:hanging="360"/>
      </w:pPr>
    </w:lvl>
    <w:lvl w:ilvl="5" w:tplc="753845FA" w:tentative="1">
      <w:start w:val="1"/>
      <w:numFmt w:val="lowerRoman"/>
      <w:lvlText w:val="%6."/>
      <w:lvlJc w:val="right"/>
      <w:pPr>
        <w:ind w:left="3960" w:hanging="180"/>
      </w:pPr>
    </w:lvl>
    <w:lvl w:ilvl="6" w:tplc="F10860FE" w:tentative="1">
      <w:start w:val="1"/>
      <w:numFmt w:val="decimal"/>
      <w:lvlText w:val="%7."/>
      <w:lvlJc w:val="left"/>
      <w:pPr>
        <w:ind w:left="4680" w:hanging="360"/>
      </w:pPr>
    </w:lvl>
    <w:lvl w:ilvl="7" w:tplc="55ECAF6A" w:tentative="1">
      <w:start w:val="1"/>
      <w:numFmt w:val="lowerLetter"/>
      <w:lvlText w:val="%8."/>
      <w:lvlJc w:val="left"/>
      <w:pPr>
        <w:ind w:left="5400" w:hanging="360"/>
      </w:pPr>
    </w:lvl>
    <w:lvl w:ilvl="8" w:tplc="160E8CE4" w:tentative="1">
      <w:start w:val="1"/>
      <w:numFmt w:val="lowerRoman"/>
      <w:lvlText w:val="%9."/>
      <w:lvlJc w:val="right"/>
      <w:pPr>
        <w:ind w:left="6120" w:hanging="180"/>
      </w:pPr>
    </w:lvl>
  </w:abstractNum>
  <w:abstractNum w:abstractNumId="7" w15:restartNumberingAfterBreak="0">
    <w:nsid w:val="00000008"/>
    <w:multiLevelType w:val="hybridMultilevel"/>
    <w:tmpl w:val="DE4A5C2E"/>
    <w:lvl w:ilvl="0" w:tplc="47CE0A10">
      <w:start w:val="1"/>
      <w:numFmt w:val="lowerLetter"/>
      <w:lvlText w:val="%1)"/>
      <w:lvlJc w:val="left"/>
      <w:pPr>
        <w:ind w:left="360" w:hanging="360"/>
      </w:pPr>
      <w:rPr>
        <w:rFonts w:hint="default"/>
      </w:rPr>
    </w:lvl>
    <w:lvl w:ilvl="1" w:tplc="79CAC2E2" w:tentative="1">
      <w:start w:val="1"/>
      <w:numFmt w:val="lowerLetter"/>
      <w:lvlText w:val="%2."/>
      <w:lvlJc w:val="left"/>
      <w:pPr>
        <w:ind w:left="1080" w:hanging="360"/>
      </w:pPr>
    </w:lvl>
    <w:lvl w:ilvl="2" w:tplc="ECA4FBE0" w:tentative="1">
      <w:start w:val="1"/>
      <w:numFmt w:val="lowerRoman"/>
      <w:lvlText w:val="%3."/>
      <w:lvlJc w:val="right"/>
      <w:pPr>
        <w:ind w:left="1800" w:hanging="180"/>
      </w:pPr>
    </w:lvl>
    <w:lvl w:ilvl="3" w:tplc="5FC68E26" w:tentative="1">
      <w:start w:val="1"/>
      <w:numFmt w:val="decimal"/>
      <w:lvlText w:val="%4."/>
      <w:lvlJc w:val="left"/>
      <w:pPr>
        <w:ind w:left="2520" w:hanging="360"/>
      </w:pPr>
    </w:lvl>
    <w:lvl w:ilvl="4" w:tplc="B5643C68" w:tentative="1">
      <w:start w:val="1"/>
      <w:numFmt w:val="lowerLetter"/>
      <w:lvlText w:val="%5."/>
      <w:lvlJc w:val="left"/>
      <w:pPr>
        <w:ind w:left="3240" w:hanging="360"/>
      </w:pPr>
    </w:lvl>
    <w:lvl w:ilvl="5" w:tplc="EA880B26" w:tentative="1">
      <w:start w:val="1"/>
      <w:numFmt w:val="lowerRoman"/>
      <w:lvlText w:val="%6."/>
      <w:lvlJc w:val="right"/>
      <w:pPr>
        <w:ind w:left="3960" w:hanging="180"/>
      </w:pPr>
    </w:lvl>
    <w:lvl w:ilvl="6" w:tplc="1702ED68" w:tentative="1">
      <w:start w:val="1"/>
      <w:numFmt w:val="decimal"/>
      <w:lvlText w:val="%7."/>
      <w:lvlJc w:val="left"/>
      <w:pPr>
        <w:ind w:left="4680" w:hanging="360"/>
      </w:pPr>
    </w:lvl>
    <w:lvl w:ilvl="7" w:tplc="6FAC9AD8" w:tentative="1">
      <w:start w:val="1"/>
      <w:numFmt w:val="lowerLetter"/>
      <w:lvlText w:val="%8."/>
      <w:lvlJc w:val="left"/>
      <w:pPr>
        <w:ind w:left="5400" w:hanging="360"/>
      </w:pPr>
    </w:lvl>
    <w:lvl w:ilvl="8" w:tplc="C8CCD88C"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oNotTrackMove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BF"/>
    <w:rsid w:val="001D003E"/>
    <w:rsid w:val="005802F4"/>
    <w:rsid w:val="00773EBE"/>
    <w:rsid w:val="00811FBF"/>
    <w:rsid w:val="008F0C2D"/>
    <w:rsid w:val="00933E9B"/>
    <w:rsid w:val="009E58DC"/>
    <w:rsid w:val="00D902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AF413DB6-F3C5-4B5D-846F-6941DB5E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qFormat/>
    <w:rsid w:val="00A569A3"/>
    <w:pPr>
      <w:keepNext/>
      <w:jc w:val="center"/>
      <w:outlineLvl w:val="0"/>
    </w:pPr>
    <w:rPr>
      <w:rFonts w:ascii="Arial" w:hAnsi="Arial"/>
      <w:b/>
      <w:smallCaps/>
      <w:kern w:val="28"/>
      <w:sz w:val="34"/>
    </w:rPr>
  </w:style>
  <w:style w:type="paragraph" w:styleId="Heading2">
    <w:name w:val="heading 2"/>
    <w:basedOn w:val="Normal0"/>
    <w:next w:val="Normal0"/>
    <w:link w:val="Heading2Char"/>
    <w:uiPriority w:val="99"/>
    <w:qFormat/>
    <w:rsid w:val="00A12EB2"/>
    <w:pPr>
      <w:keepNext/>
      <w:spacing w:before="360" w:after="360" w:line="240" w:lineRule="auto"/>
      <w:outlineLvl w:val="1"/>
    </w:pPr>
    <w:rPr>
      <w:rFonts w:ascii="Arial" w:hAnsi="Arial"/>
      <w:sz w:val="30"/>
    </w:rPr>
  </w:style>
  <w:style w:type="paragraph" w:styleId="Heading3">
    <w:name w:val="heading 3"/>
    <w:basedOn w:val="Normal"/>
    <w:next w:val="Normal"/>
    <w:link w:val="Heading3Char"/>
    <w:uiPriority w:val="99"/>
    <w:qFormat/>
    <w:rsid w:val="003C2250"/>
    <w:pPr>
      <w:keepNext/>
      <w:tabs>
        <w:tab w:val="left" w:pos="709"/>
      </w:tabs>
      <w:spacing w:before="240" w:line="240" w:lineRule="auto"/>
      <w:outlineLvl w:val="2"/>
    </w:pPr>
    <w:rPr>
      <w:rFonts w:ascii="Arial" w:hAnsi="Arial"/>
      <w:b/>
      <w:smallCaps/>
      <w:sz w:val="26"/>
    </w:rPr>
  </w:style>
  <w:style w:type="paragraph" w:styleId="Heading4">
    <w:name w:val="heading 4"/>
    <w:basedOn w:val="Normal"/>
    <w:next w:val="Normal"/>
    <w:link w:val="Heading4Char"/>
    <w:uiPriority w:val="99"/>
    <w:qFormat/>
    <w:rsid w:val="00BD7151"/>
    <w:pPr>
      <w:keepNext/>
      <w:tabs>
        <w:tab w:val="left" w:pos="709"/>
      </w:tabs>
      <w:spacing w:before="120" w:after="120" w:line="240" w:lineRule="auto"/>
      <w:jc w:val="left"/>
      <w:outlineLvl w:val="3"/>
    </w:pPr>
    <w:rPr>
      <w:rFonts w:ascii="Arial" w:hAnsi="Arial"/>
      <w:b/>
      <w:sz w:val="22"/>
    </w:rPr>
  </w:style>
  <w:style w:type="paragraph" w:styleId="Heading5">
    <w:name w:val="heading 5"/>
    <w:basedOn w:val="Normal"/>
    <w:next w:val="Normal"/>
    <w:link w:val="Heading5Char"/>
    <w:uiPriority w:val="9"/>
    <w:qFormat/>
    <w:rsid w:val="00E26CC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26CC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DMRange1">
    <w:name w:val="CDM Range 1"/>
    <w:basedOn w:val="TableNormal"/>
    <w:next w:val="TableNormal"/>
    <w:uiPriority w:val="99"/>
    <w:semiHidden/>
    <w:unhideWhenUsed/>
    <w:pPr>
      <w:spacing w:after="0" w:line="240" w:lineRule="auto"/>
    </w:pPr>
    <w:rPr>
      <w:rFonts w:ascii="Times New Roman" w:eastAsia="Times New Roman" w:hAnsi="Times New Roman" w:cs="Times New Roman"/>
      <w:sz w:val="20"/>
      <w:szCs w:val="20"/>
    </w:rPr>
    <w:tblPr/>
  </w:style>
  <w:style w:type="table" w:customStyle="1" w:styleId="CDMRange2">
    <w:name w:val="CDM Range 2"/>
    <w:basedOn w:val="TableNormal"/>
    <w:next w:val="TableNormal"/>
    <w:uiPriority w:val="99"/>
    <w:semiHidden/>
    <w:unhideWhenUsed/>
    <w:pPr>
      <w:spacing w:after="0" w:line="240" w:lineRule="auto"/>
    </w:pPr>
    <w:rPr>
      <w:rFonts w:ascii="Times New Roman" w:eastAsia="Times New Roman" w:hAnsi="Times New Roman" w:cs="Times New Roman"/>
      <w:sz w:val="20"/>
      <w:szCs w:val="20"/>
    </w:rPr>
    <w:tblPr/>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paragraph" w:customStyle="1" w:styleId="TPHeading3">
    <w:name w:val="TP Heading 3"/>
    <w:basedOn w:val="Normal"/>
    <w:rsid w:val="00594DE8"/>
    <w:pPr>
      <w:keepNext/>
      <w:spacing w:after="0" w:line="240" w:lineRule="auto"/>
      <w:jc w:val="left"/>
    </w:pPr>
    <w:rPr>
      <w:rFonts w:ascii="Georgia" w:hAnsi="Georgia" w:cs="Arial"/>
      <w:caps/>
      <w:sz w:val="24"/>
    </w:rPr>
  </w:style>
  <w:style w:type="character" w:styleId="Hyperlink">
    <w:name w:val="Hyperlink"/>
    <w:basedOn w:val="DefaultParagraphFont"/>
    <w:uiPriority w:val="99"/>
    <w:unhideWhenUsed/>
    <w:rsid w:val="00A05082"/>
    <w:rPr>
      <w:color w:val="0000FF" w:themeColor="hyperlink"/>
      <w:u w:val="single"/>
    </w:rPr>
  </w:style>
  <w:style w:type="character" w:customStyle="1" w:styleId="Heading4Char">
    <w:name w:val="Heading 4 Char"/>
    <w:basedOn w:val="DefaultParagraphFont"/>
    <w:link w:val="Heading4"/>
    <w:uiPriority w:val="99"/>
    <w:semiHidden/>
    <w:rsid w:val="00BD7151"/>
    <w:rPr>
      <w:rFonts w:ascii="Arial" w:eastAsia="Times New Roman" w:hAnsi="Arial" w:cs="Times New Roman"/>
      <w:b/>
      <w:szCs w:val="20"/>
      <w:lang w:eastAsia="en-AU"/>
    </w:rPr>
  </w:style>
  <w:style w:type="paragraph" w:customStyle="1" w:styleId="SingleParagraph">
    <w:name w:val="Single Paragraph"/>
    <w:basedOn w:val="Normal"/>
    <w:uiPriority w:val="99"/>
    <w:rsid w:val="00BD7151"/>
    <w:pPr>
      <w:spacing w:after="0"/>
    </w:pPr>
  </w:style>
  <w:style w:type="paragraph" w:styleId="Footer">
    <w:name w:val="footer"/>
    <w:basedOn w:val="Normal"/>
    <w:link w:val="FooterChar"/>
    <w:uiPriority w:val="99"/>
    <w:rsid w:val="00F53CB2"/>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F53CB2"/>
    <w:rPr>
      <w:rFonts w:ascii="Arial" w:eastAsia="Times New Roman" w:hAnsi="Arial" w:cs="Times New Roman"/>
      <w:sz w:val="20"/>
      <w:szCs w:val="20"/>
      <w:lang w:val="en-AU" w:eastAsia="en-AU"/>
    </w:rPr>
  </w:style>
  <w:style w:type="paragraph" w:customStyle="1" w:styleId="PartHeading">
    <w:name w:val="Part Heading"/>
    <w:basedOn w:val="Normal"/>
    <w:next w:val="Normal"/>
    <w:rsid w:val="00517A41"/>
    <w:pPr>
      <w:jc w:val="center"/>
      <w:outlineLvl w:val="0"/>
    </w:pPr>
    <w:rPr>
      <w:rFonts w:ascii="Arial" w:hAnsi="Arial" w:cs="Arial"/>
      <w:b/>
      <w:bCs/>
      <w:smallCaps/>
      <w:kern w:val="28"/>
      <w:sz w:val="52"/>
      <w:szCs w:val="32"/>
    </w:rPr>
  </w:style>
  <w:style w:type="paragraph" w:customStyle="1" w:styleId="PBSMainHeading">
    <w:name w:val="PBS Main Heading"/>
    <w:basedOn w:val="PartHeading"/>
    <w:rsid w:val="00517A41"/>
  </w:style>
  <w:style w:type="paragraph" w:customStyle="1" w:styleId="Normal0">
    <w:name w:val="Normal_0"/>
    <w:qFormat/>
    <w:rsid w:val="00D86095"/>
    <w:rPr>
      <w:rFonts w:ascii="Calibri" w:eastAsia="Calibri" w:hAnsi="Calibri" w:cs="Arial"/>
    </w:rPr>
  </w:style>
  <w:style w:type="paragraph" w:customStyle="1" w:styleId="TableHeading2ndLevelWord">
    <w:name w:val="Table Heading 2nd Level Word"/>
    <w:basedOn w:val="Normal0"/>
    <w:semiHidden/>
    <w:rsid w:val="001E210C"/>
    <w:pPr>
      <w:spacing w:before="120" w:after="120" w:line="240" w:lineRule="auto"/>
    </w:pPr>
    <w:rPr>
      <w:rFonts w:ascii="Arial" w:eastAsia="Times New Roman" w:hAnsi="Arial"/>
      <w:b/>
      <w:sz w:val="18"/>
      <w:szCs w:val="20"/>
      <w:lang w:val="en-AU" w:eastAsia="en-AU"/>
    </w:rPr>
  </w:style>
  <w:style w:type="paragraph" w:customStyle="1" w:styleId="Tabletextjustified">
    <w:name w:val="Table text justified"/>
    <w:basedOn w:val="Normal0"/>
    <w:semiHidden/>
    <w:rsid w:val="001E210C"/>
    <w:pPr>
      <w:spacing w:before="100" w:after="100" w:line="250" w:lineRule="exact"/>
      <w:jc w:val="both"/>
    </w:pPr>
    <w:rPr>
      <w:rFonts w:ascii="Arial" w:eastAsia="Times New Roman" w:hAnsi="Arial"/>
      <w:sz w:val="18"/>
      <w:szCs w:val="20"/>
      <w:lang w:val="en-AU" w:eastAsia="en-AU"/>
    </w:rPr>
  </w:style>
  <w:style w:type="paragraph" w:customStyle="1" w:styleId="TableSideHeading">
    <w:name w:val="Table Side Heading"/>
    <w:basedOn w:val="TableHeading2ndLevelWord"/>
    <w:semiHidden/>
    <w:rsid w:val="001E210C"/>
    <w:pPr>
      <w:spacing w:before="100" w:after="100" w:line="250" w:lineRule="exact"/>
    </w:pPr>
  </w:style>
  <w:style w:type="paragraph" w:customStyle="1" w:styleId="Footer0">
    <w:name w:val="Footer_0"/>
    <w:basedOn w:val="Normal0"/>
    <w:link w:val="FooterChar0"/>
    <w:uiPriority w:val="99"/>
    <w:unhideWhenUsed/>
    <w:rsid w:val="002872BB"/>
    <w:pPr>
      <w:tabs>
        <w:tab w:val="center" w:pos="4680"/>
        <w:tab w:val="right" w:pos="9360"/>
      </w:tabs>
      <w:spacing w:after="0" w:line="240" w:lineRule="auto"/>
    </w:pPr>
  </w:style>
  <w:style w:type="character" w:customStyle="1" w:styleId="FooterChar0">
    <w:name w:val="Footer Char_0"/>
    <w:basedOn w:val="DefaultParagraphFont"/>
    <w:link w:val="Footer0"/>
    <w:uiPriority w:val="99"/>
    <w:rsid w:val="002872BB"/>
  </w:style>
  <w:style w:type="paragraph" w:customStyle="1" w:styleId="ContentsHeading">
    <w:name w:val="Contents Heading"/>
    <w:basedOn w:val="Normal"/>
    <w:next w:val="Normal"/>
    <w:uiPriority w:val="99"/>
    <w:rsid w:val="00F052F0"/>
    <w:pPr>
      <w:keepNext/>
      <w:spacing w:after="360" w:line="240" w:lineRule="auto"/>
      <w:jc w:val="center"/>
    </w:pPr>
    <w:rPr>
      <w:rFonts w:ascii="Arial" w:hAnsi="Arial"/>
      <w:b/>
      <w:smallCaps/>
      <w:sz w:val="34"/>
    </w:rPr>
  </w:style>
  <w:style w:type="paragraph" w:styleId="TOC1">
    <w:name w:val="toc 1"/>
    <w:basedOn w:val="Normal"/>
    <w:next w:val="Normal"/>
    <w:autoRedefine/>
    <w:uiPriority w:val="99"/>
    <w:semiHidden/>
    <w:unhideWhenUsed/>
    <w:rsid w:val="00C11BE9"/>
    <w:pPr>
      <w:tabs>
        <w:tab w:val="right" w:leader="dot" w:pos="7380"/>
      </w:tabs>
      <w:spacing w:before="240" w:after="0" w:line="240" w:lineRule="auto"/>
      <w:ind w:right="330"/>
    </w:pPr>
    <w:rPr>
      <w:rFonts w:ascii="Arial" w:hAnsi="Arial"/>
      <w:b/>
    </w:rPr>
  </w:style>
  <w:style w:type="paragraph" w:styleId="TOC2">
    <w:name w:val="toc 2"/>
    <w:basedOn w:val="Normal"/>
    <w:next w:val="Normal"/>
    <w:autoRedefine/>
    <w:uiPriority w:val="99"/>
    <w:unhideWhenUsed/>
    <w:rsid w:val="00C11BE9"/>
    <w:pPr>
      <w:keepNext/>
      <w:tabs>
        <w:tab w:val="left" w:pos="540"/>
        <w:tab w:val="left" w:pos="567"/>
        <w:tab w:val="right" w:leader="dot" w:pos="7380"/>
      </w:tabs>
      <w:spacing w:before="80" w:after="0" w:line="240" w:lineRule="auto"/>
      <w:ind w:right="330"/>
    </w:pPr>
    <w:rPr>
      <w:rFonts w:ascii="Arial" w:hAnsi="Arial"/>
    </w:rPr>
  </w:style>
  <w:style w:type="paragraph" w:customStyle="1" w:styleId="HeaderOdd">
    <w:name w:val="Header Odd"/>
    <w:basedOn w:val="Normal"/>
    <w:uiPriority w:val="99"/>
    <w:rsid w:val="00391CDD"/>
    <w:pPr>
      <w:spacing w:after="0" w:line="240" w:lineRule="auto"/>
      <w:jc w:val="right"/>
    </w:pPr>
    <w:rPr>
      <w:i/>
    </w:rPr>
  </w:style>
  <w:style w:type="paragraph" w:customStyle="1" w:styleId="Part">
    <w:name w:val="Part"/>
    <w:basedOn w:val="Title"/>
    <w:next w:val="Normal"/>
    <w:uiPriority w:val="99"/>
    <w:rsid w:val="006F0A38"/>
    <w:pPr>
      <w:contextualSpacing w:val="0"/>
      <w:jc w:val="center"/>
      <w:outlineLvl w:val="0"/>
    </w:pPr>
    <w:rPr>
      <w:rFonts w:ascii="Arial" w:eastAsia="Times New Roman" w:hAnsi="Arial" w:cs="Arial"/>
      <w:b/>
      <w:bCs/>
      <w:smallCaps/>
      <w:spacing w:val="0"/>
      <w:sz w:val="52"/>
      <w:szCs w:val="32"/>
    </w:rPr>
  </w:style>
  <w:style w:type="paragraph" w:styleId="Title">
    <w:name w:val="Title"/>
    <w:basedOn w:val="Normal"/>
    <w:next w:val="Normal"/>
    <w:link w:val="TitleChar"/>
    <w:uiPriority w:val="10"/>
    <w:qFormat/>
    <w:rsid w:val="006F0A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A3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9"/>
    <w:semiHidden/>
    <w:rsid w:val="003C2250"/>
    <w:rPr>
      <w:rFonts w:ascii="Arial" w:eastAsia="Times New Roman" w:hAnsi="Arial" w:cs="Times New Roman"/>
      <w:b/>
      <w:smallCaps/>
      <w:sz w:val="26"/>
      <w:szCs w:val="20"/>
      <w:lang w:eastAsia="en-AU"/>
    </w:rPr>
  </w:style>
  <w:style w:type="paragraph" w:customStyle="1" w:styleId="FigureHeading">
    <w:name w:val="Figure Heading"/>
    <w:basedOn w:val="Normal"/>
    <w:next w:val="Normal"/>
    <w:uiPriority w:val="99"/>
    <w:rsid w:val="003C2250"/>
    <w:pPr>
      <w:keepNext/>
      <w:spacing w:after="120" w:line="240" w:lineRule="auto"/>
      <w:jc w:val="center"/>
    </w:pPr>
    <w:rPr>
      <w:rFonts w:ascii="Arial" w:hAnsi="Arial"/>
      <w:b/>
    </w:rPr>
  </w:style>
  <w:style w:type="character" w:customStyle="1" w:styleId="Heading2Char">
    <w:name w:val="Heading 2 Char"/>
    <w:basedOn w:val="DefaultParagraphFont"/>
    <w:link w:val="Heading2"/>
    <w:uiPriority w:val="99"/>
    <w:rsid w:val="00A12EB2"/>
    <w:rPr>
      <w:rFonts w:ascii="Arial" w:eastAsia="Times New Roman" w:hAnsi="Arial" w:cs="Times New Roman"/>
      <w:sz w:val="30"/>
      <w:szCs w:val="20"/>
      <w:lang w:eastAsia="en-AU"/>
    </w:rPr>
  </w:style>
  <w:style w:type="paragraph" w:customStyle="1" w:styleId="TableHeadingcontinued">
    <w:name w:val="Table Heading continued"/>
    <w:basedOn w:val="Normal"/>
    <w:next w:val="Normal"/>
    <w:link w:val="TableHeadingcontinuedChar"/>
    <w:uiPriority w:val="99"/>
    <w:rsid w:val="00B518C0"/>
    <w:pPr>
      <w:keepNext/>
      <w:spacing w:before="120" w:after="20" w:line="240" w:lineRule="auto"/>
    </w:pPr>
    <w:rPr>
      <w:rFonts w:ascii="Arial Bold" w:hAnsi="Arial Bold"/>
      <w:b/>
    </w:rPr>
  </w:style>
  <w:style w:type="character" w:customStyle="1" w:styleId="TableHeadingcontinuedChar">
    <w:name w:val="Table Heading continued Char"/>
    <w:basedOn w:val="DefaultParagraphFont"/>
    <w:link w:val="TableHeadingcontinued"/>
    <w:uiPriority w:val="99"/>
    <w:locked/>
    <w:rsid w:val="00B518C0"/>
    <w:rPr>
      <w:rFonts w:ascii="Arial Bold" w:hAnsi="Arial Bold"/>
      <w:b/>
    </w:rPr>
  </w:style>
  <w:style w:type="paragraph" w:customStyle="1" w:styleId="TableHeading">
    <w:name w:val="Table Heading"/>
    <w:basedOn w:val="Normal"/>
    <w:next w:val="Normal"/>
    <w:link w:val="TableHeadingChar"/>
    <w:uiPriority w:val="99"/>
    <w:rsid w:val="0086120A"/>
    <w:pPr>
      <w:keepNext/>
      <w:spacing w:before="120" w:after="20" w:line="240" w:lineRule="auto"/>
    </w:pPr>
    <w:rPr>
      <w:rFonts w:ascii="Arial" w:hAnsi="Arial" w:cs="Arial"/>
      <w:b/>
    </w:rPr>
  </w:style>
  <w:style w:type="character" w:customStyle="1" w:styleId="TableHeadingChar">
    <w:name w:val="Table Heading Char"/>
    <w:basedOn w:val="DefaultParagraphFont"/>
    <w:link w:val="TableHeading"/>
    <w:uiPriority w:val="99"/>
    <w:locked/>
    <w:rsid w:val="0086120A"/>
    <w:rPr>
      <w:rFonts w:ascii="Arial" w:hAnsi="Arial" w:cs="Arial"/>
      <w:b/>
      <w:sz w:val="20"/>
      <w:szCs w:val="20"/>
    </w:rPr>
  </w:style>
  <w:style w:type="paragraph" w:customStyle="1" w:styleId="Source">
    <w:name w:val="Source"/>
    <w:basedOn w:val="Normal1"/>
    <w:rsid w:val="0043641A"/>
    <w:pPr>
      <w:tabs>
        <w:tab w:val="left" w:pos="284"/>
      </w:tabs>
      <w:spacing w:after="0" w:line="240" w:lineRule="auto"/>
      <w:jc w:val="both"/>
    </w:pPr>
    <w:rPr>
      <w:rFonts w:ascii="Arial" w:eastAsia="Times New Roman" w:hAnsi="Arial"/>
      <w:sz w:val="16"/>
      <w:szCs w:val="20"/>
      <w:lang w:eastAsia="en-AU"/>
    </w:rPr>
  </w:style>
  <w:style w:type="paragraph" w:customStyle="1" w:styleId="Normal1">
    <w:name w:val="Normal_1"/>
    <w:qFormat/>
    <w:rsid w:val="007D0544"/>
    <w:rPr>
      <w:rFonts w:ascii="Calibri" w:eastAsia="Calibri" w:hAnsi="Calibri" w:cs="Times New Roman"/>
      <w:lang w:val="en-AU"/>
    </w:rPr>
  </w:style>
  <w:style w:type="paragraph" w:customStyle="1" w:styleId="ChartandTableFootnoteAlpha">
    <w:name w:val="Chart and Table Footnote Alpha"/>
    <w:basedOn w:val="Normal1"/>
    <w:next w:val="Normal1"/>
    <w:rsid w:val="00F3274F"/>
    <w:pPr>
      <w:keepNext/>
      <w:spacing w:after="0" w:line="260" w:lineRule="exact"/>
      <w:ind w:left="360" w:hanging="360"/>
      <w:jc w:val="both"/>
    </w:pPr>
    <w:rPr>
      <w:rFonts w:ascii="Arial" w:eastAsia="Times New Roman" w:hAnsi="Arial"/>
      <w:sz w:val="16"/>
      <w:szCs w:val="20"/>
      <w:lang w:eastAsia="en-AU"/>
    </w:rPr>
  </w:style>
  <w:style w:type="paragraph" w:customStyle="1" w:styleId="Normal10">
    <w:name w:val="Normal_1_0"/>
    <w:qFormat/>
    <w:rsid w:val="00D94A08"/>
    <w:rPr>
      <w:rFonts w:ascii="Calibri" w:eastAsia="Calibri" w:hAnsi="Calibri" w:cs="Times New Roman"/>
      <w:lang w:val="en-AU"/>
    </w:rPr>
  </w:style>
  <w:style w:type="paragraph" w:customStyle="1" w:styleId="Normal2">
    <w:name w:val="Normal_2"/>
    <w:qFormat/>
    <w:rsid w:val="007D0544"/>
    <w:rPr>
      <w:rFonts w:ascii="Calibri" w:eastAsia="Calibri" w:hAnsi="Calibri" w:cs="Times New Roman"/>
      <w:lang w:val="en-AU"/>
    </w:rPr>
  </w:style>
  <w:style w:type="paragraph" w:styleId="ListParagraph">
    <w:name w:val="List Paragraph"/>
    <w:basedOn w:val="Normal2"/>
    <w:qFormat/>
    <w:rsid w:val="007A046B"/>
    <w:pPr>
      <w:ind w:left="720"/>
      <w:contextualSpacing/>
    </w:pPr>
  </w:style>
  <w:style w:type="paragraph" w:customStyle="1" w:styleId="ExampleText">
    <w:name w:val="Example Text"/>
    <w:basedOn w:val="Normal"/>
    <w:uiPriority w:val="99"/>
    <w:rsid w:val="0001069F"/>
    <w:rPr>
      <w:i/>
      <w:color w:val="FF0000"/>
    </w:rPr>
  </w:style>
  <w:style w:type="paragraph" w:customStyle="1" w:styleId="ListParagraph0">
    <w:name w:val="List Paragraph_0"/>
    <w:basedOn w:val="Normal3"/>
    <w:uiPriority w:val="34"/>
    <w:qFormat/>
    <w:rsid w:val="00CA3E84"/>
    <w:pPr>
      <w:ind w:left="720"/>
      <w:contextualSpacing/>
    </w:pPr>
  </w:style>
  <w:style w:type="paragraph" w:customStyle="1" w:styleId="Normal3">
    <w:name w:val="Normal_3"/>
    <w:qFormat/>
    <w:rsid w:val="00303119"/>
    <w:rPr>
      <w:rFonts w:ascii="Calibri" w:eastAsia="Calibri" w:hAnsi="Calibri" w:cs="Times New Roman"/>
      <w:lang w:val="en-AU"/>
    </w:rPr>
  </w:style>
  <w:style w:type="paragraph" w:customStyle="1" w:styleId="ListParagraph1">
    <w:name w:val="List Paragraph_1"/>
    <w:basedOn w:val="Normal4"/>
    <w:uiPriority w:val="34"/>
    <w:qFormat/>
    <w:rsid w:val="00FC6F18"/>
    <w:pPr>
      <w:ind w:left="720"/>
      <w:contextualSpacing/>
    </w:pPr>
  </w:style>
  <w:style w:type="paragraph" w:customStyle="1" w:styleId="Normal4">
    <w:name w:val="Normal_4"/>
    <w:qFormat/>
    <w:rsid w:val="00303119"/>
    <w:rPr>
      <w:rFonts w:ascii="Calibri" w:eastAsia="Calibri" w:hAnsi="Calibri" w:cs="Times New Roman"/>
      <w:lang w:val="en-AU"/>
    </w:rPr>
  </w:style>
  <w:style w:type="paragraph" w:customStyle="1" w:styleId="HeaderOdd3">
    <w:name w:val="Header Odd_3"/>
    <w:basedOn w:val="Normal4"/>
    <w:rsid w:val="00BD77B0"/>
    <w:pPr>
      <w:spacing w:after="0" w:line="240" w:lineRule="auto"/>
      <w:jc w:val="right"/>
    </w:pPr>
    <w:rPr>
      <w:rFonts w:ascii="Arial" w:eastAsia="Times New Roman" w:hAnsi="Arial"/>
      <w:sz w:val="18"/>
      <w:szCs w:val="20"/>
      <w:lang w:eastAsia="en-AU"/>
    </w:rPr>
  </w:style>
  <w:style w:type="paragraph" w:customStyle="1" w:styleId="Footer4">
    <w:name w:val="Footer_4"/>
    <w:basedOn w:val="Normal4"/>
    <w:link w:val="FooterChar4"/>
    <w:uiPriority w:val="99"/>
    <w:rsid w:val="00520A8E"/>
    <w:pPr>
      <w:tabs>
        <w:tab w:val="center" w:pos="4153"/>
        <w:tab w:val="right" w:pos="8306"/>
      </w:tabs>
      <w:spacing w:after="0" w:line="240" w:lineRule="auto"/>
      <w:jc w:val="center"/>
    </w:pPr>
    <w:rPr>
      <w:rFonts w:ascii="Arial" w:hAnsi="Arial"/>
    </w:rPr>
  </w:style>
  <w:style w:type="character" w:customStyle="1" w:styleId="FooterChar4">
    <w:name w:val="Footer Char_4"/>
    <w:link w:val="Footer4"/>
    <w:uiPriority w:val="99"/>
    <w:rsid w:val="00520A8E"/>
    <w:rPr>
      <w:rFonts w:ascii="Arial" w:eastAsia="Times New Roman" w:hAnsi="Arial" w:cs="Times New Roman"/>
      <w:sz w:val="20"/>
      <w:szCs w:val="20"/>
      <w:lang w:val="en-AU" w:eastAsia="en-AU"/>
    </w:rPr>
  </w:style>
  <w:style w:type="paragraph" w:customStyle="1" w:styleId="ListParagraph2">
    <w:name w:val="List Paragraph_2"/>
    <w:basedOn w:val="Normal5"/>
    <w:uiPriority w:val="34"/>
    <w:qFormat/>
    <w:rsid w:val="00F0590C"/>
    <w:pPr>
      <w:ind w:left="720"/>
      <w:contextualSpacing/>
    </w:pPr>
  </w:style>
  <w:style w:type="paragraph" w:customStyle="1" w:styleId="Normal5">
    <w:name w:val="Normal_5"/>
    <w:qFormat/>
    <w:rsid w:val="00303119"/>
    <w:rPr>
      <w:rFonts w:ascii="Calibri" w:eastAsia="Calibri" w:hAnsi="Calibri" w:cs="Times New Roman"/>
      <w:lang w:val="en-AU"/>
    </w:rPr>
  </w:style>
  <w:style w:type="paragraph" w:customStyle="1" w:styleId="ChartandTableFootnote">
    <w:name w:val="Chart and Table Footnote"/>
    <w:basedOn w:val="Normal"/>
    <w:next w:val="Normal"/>
    <w:link w:val="ChartandTableFootnoteChar"/>
    <w:uiPriority w:val="99"/>
    <w:rsid w:val="00053C53"/>
    <w:pPr>
      <w:keepNext/>
      <w:tabs>
        <w:tab w:val="left" w:pos="454"/>
      </w:tabs>
      <w:spacing w:after="0" w:line="240" w:lineRule="auto"/>
      <w:ind w:left="454" w:hanging="454"/>
    </w:pPr>
    <w:rPr>
      <w:rFonts w:ascii="Arial" w:hAnsi="Arial" w:cs="Arial"/>
      <w:sz w:val="16"/>
    </w:rPr>
  </w:style>
  <w:style w:type="character" w:customStyle="1" w:styleId="ChartandTableFootnoteChar">
    <w:name w:val="Chart and Table Footnote Char"/>
    <w:basedOn w:val="DefaultParagraphFont"/>
    <w:link w:val="ChartandTableFootnote"/>
    <w:uiPriority w:val="99"/>
    <w:locked/>
    <w:rsid w:val="00053C53"/>
    <w:rPr>
      <w:rFonts w:ascii="Arial" w:hAnsi="Arial" w:cs="Arial"/>
      <w:sz w:val="16"/>
    </w:rPr>
  </w:style>
  <w:style w:type="character" w:customStyle="1" w:styleId="Heading5Char">
    <w:name w:val="Heading 5 Char"/>
    <w:basedOn w:val="DefaultParagraphFont"/>
    <w:link w:val="Heading5"/>
    <w:uiPriority w:val="9"/>
    <w:semiHidden/>
    <w:rsid w:val="00E26CC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E26CC2"/>
    <w:rPr>
      <w:rFonts w:ascii="Calibri" w:eastAsia="Times New Roman" w:hAnsi="Calibri" w:cs="Times New Roman"/>
      <w:b/>
      <w:bCs/>
      <w:sz w:val="22"/>
      <w:szCs w:val="22"/>
    </w:rPr>
  </w:style>
  <w:style w:type="paragraph" w:customStyle="1" w:styleId="Normal6">
    <w:name w:val="Normal_6"/>
    <w:qFormat/>
    <w:rsid w:val="00BD2DB5"/>
    <w:rPr>
      <w:rFonts w:ascii="Calibri" w:eastAsia="Calibri" w:hAnsi="Calibri" w:cs="Times New Roman"/>
      <w:lang w:val="en-AU"/>
    </w:rPr>
  </w:style>
  <w:style w:type="paragraph" w:customStyle="1" w:styleId="ListParagraph3">
    <w:name w:val="List Paragraph_3"/>
    <w:basedOn w:val="Normal6"/>
    <w:qFormat/>
    <w:rsid w:val="00656C4B"/>
    <w:pPr>
      <w:ind w:left="720"/>
      <w:contextualSpacing/>
    </w:pPr>
  </w:style>
  <w:style w:type="paragraph" w:customStyle="1" w:styleId="ListParagraph4">
    <w:name w:val="List Paragraph_4"/>
    <w:basedOn w:val="Normal7"/>
    <w:qFormat/>
    <w:rsid w:val="00656C4B"/>
    <w:pPr>
      <w:ind w:left="720"/>
      <w:contextualSpacing/>
    </w:pPr>
  </w:style>
  <w:style w:type="paragraph" w:customStyle="1" w:styleId="Normal7">
    <w:name w:val="Normal_7"/>
    <w:qFormat/>
    <w:rsid w:val="00BD2DB5"/>
    <w:rPr>
      <w:rFonts w:ascii="Calibri" w:eastAsia="Calibri" w:hAnsi="Calibri" w:cs="Times New Roman"/>
      <w:lang w:val="en-AU"/>
    </w:rPr>
  </w:style>
  <w:style w:type="paragraph" w:customStyle="1" w:styleId="ListParagraph5">
    <w:name w:val="List Paragraph_5"/>
    <w:basedOn w:val="Normal8"/>
    <w:qFormat/>
    <w:rsid w:val="00656C4B"/>
    <w:pPr>
      <w:ind w:left="720"/>
      <w:contextualSpacing/>
    </w:pPr>
  </w:style>
  <w:style w:type="paragraph" w:customStyle="1" w:styleId="Normal8">
    <w:name w:val="Normal_8"/>
    <w:qFormat/>
    <w:rsid w:val="00BD2DB5"/>
    <w:rPr>
      <w:rFonts w:ascii="Calibri" w:eastAsia="Calibri" w:hAnsi="Calibri" w:cs="Times New Roman"/>
      <w:lang w:val="en-AU"/>
    </w:rPr>
  </w:style>
  <w:style w:type="paragraph" w:customStyle="1" w:styleId="Heading10">
    <w:name w:val="Heading 1_0"/>
    <w:basedOn w:val="Normal9"/>
    <w:next w:val="Normal9"/>
    <w:link w:val="Heading1Char"/>
    <w:uiPriority w:val="99"/>
    <w:qFormat/>
    <w:rsid w:val="006415FE"/>
    <w:pPr>
      <w:keepNext/>
      <w:spacing w:after="240" w:line="240" w:lineRule="auto"/>
      <w:jc w:val="center"/>
      <w:outlineLvl w:val="0"/>
    </w:pPr>
    <w:rPr>
      <w:rFonts w:ascii="Arial" w:eastAsia="Times New Roman" w:hAnsi="Arial"/>
      <w:b/>
      <w:smallCaps/>
      <w:kern w:val="28"/>
      <w:sz w:val="34"/>
      <w:szCs w:val="20"/>
      <w:lang w:eastAsia="en-AU"/>
    </w:rPr>
  </w:style>
  <w:style w:type="paragraph" w:customStyle="1" w:styleId="Normal9">
    <w:name w:val="Normal_9"/>
    <w:qFormat/>
    <w:rsid w:val="004E6F50"/>
    <w:rPr>
      <w:rFonts w:ascii="Calibri" w:eastAsia="Calibri" w:hAnsi="Calibri" w:cs="Times New Roman"/>
      <w:lang w:val="en-AU"/>
    </w:rPr>
  </w:style>
  <w:style w:type="character" w:customStyle="1" w:styleId="Heading1Char">
    <w:name w:val="Heading 1 Char"/>
    <w:basedOn w:val="DefaultParagraphFont"/>
    <w:link w:val="Heading10"/>
    <w:uiPriority w:val="99"/>
    <w:rsid w:val="006415FE"/>
    <w:rPr>
      <w:rFonts w:ascii="Arial" w:eastAsia="Times New Roman" w:hAnsi="Arial" w:cs="Times New Roman"/>
      <w:b/>
      <w:smallCaps/>
      <w:kern w:val="28"/>
      <w:sz w:val="34"/>
      <w:szCs w:val="20"/>
      <w:lang w:eastAsia="en-AU"/>
    </w:rPr>
  </w:style>
  <w:style w:type="paragraph" w:customStyle="1" w:styleId="TableTextLeft">
    <w:name w:val="Table Text Left"/>
    <w:basedOn w:val="Normal9"/>
    <w:link w:val="TableTextLeftChar"/>
    <w:uiPriority w:val="99"/>
    <w:rsid w:val="006415FE"/>
    <w:pPr>
      <w:spacing w:before="60" w:after="60" w:line="240" w:lineRule="auto"/>
    </w:pPr>
    <w:rPr>
      <w:rFonts w:ascii="Arial" w:hAnsi="Arial" w:cs="Arial"/>
      <w:sz w:val="18"/>
      <w:szCs w:val="20"/>
    </w:rPr>
  </w:style>
  <w:style w:type="character" w:customStyle="1" w:styleId="TableTextLeftChar">
    <w:name w:val="Table Text Left Char"/>
    <w:basedOn w:val="DefaultParagraphFont"/>
    <w:link w:val="TableTextLeft"/>
    <w:uiPriority w:val="99"/>
    <w:locked/>
    <w:rsid w:val="006415FE"/>
    <w:rPr>
      <w:rFonts w:ascii="Arial" w:hAnsi="Arial" w:cs="Arial"/>
      <w:sz w:val="18"/>
      <w:szCs w:val="20"/>
    </w:rPr>
  </w:style>
  <w:style w:type="paragraph" w:customStyle="1" w:styleId="Footer9">
    <w:name w:val="Footer_9"/>
    <w:basedOn w:val="Normal9"/>
    <w:link w:val="FooterChar9"/>
    <w:uiPriority w:val="99"/>
    <w:rsid w:val="00520A8E"/>
    <w:pPr>
      <w:tabs>
        <w:tab w:val="center" w:pos="4153"/>
        <w:tab w:val="right" w:pos="8306"/>
      </w:tabs>
      <w:spacing w:after="0" w:line="240" w:lineRule="auto"/>
      <w:jc w:val="center"/>
    </w:pPr>
    <w:rPr>
      <w:rFonts w:ascii="Arial" w:hAnsi="Arial"/>
    </w:rPr>
  </w:style>
  <w:style w:type="character" w:customStyle="1" w:styleId="FooterChar9">
    <w:name w:val="Footer Char_9"/>
    <w:link w:val="Footer9"/>
    <w:uiPriority w:val="99"/>
    <w:rsid w:val="00520A8E"/>
    <w:rPr>
      <w:rFonts w:ascii="Arial" w:eastAsia="Times New Roman" w:hAnsi="Arial" w:cs="Times New Roman"/>
      <w:sz w:val="20"/>
      <w:szCs w:val="20"/>
      <w:lang w:val="en-AU" w:eastAsia="en-AU"/>
    </w:rPr>
  </w:style>
  <w:style w:type="paragraph" w:customStyle="1" w:styleId="TableTextLeft0">
    <w:name w:val="Table Text Left_0"/>
    <w:basedOn w:val="Normal100"/>
    <w:link w:val="TableTextLeftChar0"/>
    <w:uiPriority w:val="99"/>
    <w:rsid w:val="006415FE"/>
    <w:pPr>
      <w:spacing w:before="60" w:after="60" w:line="240" w:lineRule="auto"/>
    </w:pPr>
    <w:rPr>
      <w:rFonts w:ascii="Arial" w:hAnsi="Arial" w:cs="Arial"/>
      <w:sz w:val="18"/>
      <w:szCs w:val="20"/>
    </w:rPr>
  </w:style>
  <w:style w:type="paragraph" w:customStyle="1" w:styleId="Normal100">
    <w:name w:val="Normal_10"/>
    <w:qFormat/>
    <w:rsid w:val="004E6F50"/>
    <w:rPr>
      <w:rFonts w:ascii="Calibri" w:eastAsia="Calibri" w:hAnsi="Calibri" w:cs="Times New Roman"/>
      <w:lang w:val="en-AU"/>
    </w:rPr>
  </w:style>
  <w:style w:type="character" w:customStyle="1" w:styleId="TableTextLeftChar0">
    <w:name w:val="Table Text Left Char_0"/>
    <w:basedOn w:val="DefaultParagraphFont"/>
    <w:link w:val="TableTextLeft0"/>
    <w:uiPriority w:val="99"/>
    <w:locked/>
    <w:rsid w:val="006415FE"/>
    <w:rPr>
      <w:rFonts w:ascii="Arial" w:hAnsi="Arial" w:cs="Arial"/>
      <w:sz w:val="18"/>
      <w:szCs w:val="20"/>
    </w:rPr>
  </w:style>
  <w:style w:type="paragraph" w:customStyle="1" w:styleId="Default">
    <w:name w:val="Default"/>
    <w:rsid w:val="00621702"/>
    <w:pPr>
      <w:autoSpaceDE w:val="0"/>
      <w:autoSpaceDN w:val="0"/>
      <w:adjustRightInd w:val="0"/>
      <w:spacing w:after="0" w:line="240" w:lineRule="auto"/>
    </w:pPr>
    <w:rPr>
      <w:rFonts w:ascii="Book Antiqua" w:eastAsia="Calibri" w:hAnsi="Book Antiqua" w:cs="Book Antiqua"/>
      <w:color w:val="000000"/>
      <w:sz w:val="24"/>
      <w:szCs w:val="24"/>
      <w:lang w:val="en-AU"/>
    </w:rPr>
  </w:style>
  <w:style w:type="paragraph" w:customStyle="1" w:styleId="HeaderOdd8">
    <w:name w:val="Header Odd_8"/>
    <w:basedOn w:val="Normal100"/>
    <w:rsid w:val="00BD77B0"/>
    <w:pPr>
      <w:spacing w:after="0" w:line="240" w:lineRule="auto"/>
      <w:jc w:val="right"/>
    </w:pPr>
    <w:rPr>
      <w:rFonts w:ascii="Arial" w:eastAsia="Times New Roman" w:hAnsi="Arial"/>
      <w:sz w:val="18"/>
      <w:szCs w:val="20"/>
      <w:lang w:eastAsia="en-AU"/>
    </w:rPr>
  </w:style>
  <w:style w:type="paragraph" w:customStyle="1" w:styleId="Footer10">
    <w:name w:val="Footer_10"/>
    <w:basedOn w:val="Normal100"/>
    <w:link w:val="FooterChar10"/>
    <w:uiPriority w:val="99"/>
    <w:rsid w:val="00520A8E"/>
    <w:pPr>
      <w:tabs>
        <w:tab w:val="center" w:pos="4153"/>
        <w:tab w:val="right" w:pos="8306"/>
      </w:tabs>
      <w:spacing w:after="0" w:line="240" w:lineRule="auto"/>
      <w:jc w:val="center"/>
    </w:pPr>
    <w:rPr>
      <w:rFonts w:ascii="Arial" w:hAnsi="Arial"/>
    </w:rPr>
  </w:style>
  <w:style w:type="character" w:customStyle="1" w:styleId="FooterChar10">
    <w:name w:val="Footer Char_10"/>
    <w:link w:val="Footer10"/>
    <w:uiPriority w:val="99"/>
    <w:rsid w:val="00520A8E"/>
    <w:rPr>
      <w:rFonts w:ascii="Arial" w:eastAsia="Times New Roman" w:hAnsi="Arial"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footer" Target="footer52.xml"/><Relationship Id="rId21" Type="http://schemas.openxmlformats.org/officeDocument/2006/relationships/footer" Target="footer4.xml"/><Relationship Id="rId42" Type="http://schemas.openxmlformats.org/officeDocument/2006/relationships/footer" Target="footer15.xml"/><Relationship Id="rId47" Type="http://schemas.openxmlformats.org/officeDocument/2006/relationships/header" Target="header18.xml"/><Relationship Id="rId63" Type="http://schemas.openxmlformats.org/officeDocument/2006/relationships/footer" Target="footer25.xml"/><Relationship Id="rId68" Type="http://schemas.openxmlformats.org/officeDocument/2006/relationships/header" Target="header29.xml"/><Relationship Id="rId84" Type="http://schemas.openxmlformats.org/officeDocument/2006/relationships/footer" Target="footer36.xml"/><Relationship Id="rId89" Type="http://schemas.openxmlformats.org/officeDocument/2006/relationships/header" Target="header39.xml"/><Relationship Id="rId112" Type="http://schemas.openxmlformats.org/officeDocument/2006/relationships/footer" Target="footer50.xml"/><Relationship Id="rId16" Type="http://schemas.openxmlformats.org/officeDocument/2006/relationships/header" Target="header3.xml"/><Relationship Id="rId107" Type="http://schemas.openxmlformats.org/officeDocument/2006/relationships/header" Target="header48.xml"/><Relationship Id="rId11" Type="http://schemas.openxmlformats.org/officeDocument/2006/relationships/image" Target="media/image2.png"/><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header" Target="header21.xml"/><Relationship Id="rId58" Type="http://schemas.openxmlformats.org/officeDocument/2006/relationships/footer" Target="footer23.xml"/><Relationship Id="rId74" Type="http://schemas.openxmlformats.org/officeDocument/2006/relationships/header" Target="header32.xml"/><Relationship Id="rId79" Type="http://schemas.openxmlformats.org/officeDocument/2006/relationships/header" Target="header34.xml"/><Relationship Id="rId102" Type="http://schemas.openxmlformats.org/officeDocument/2006/relationships/footer" Target="footer45.xml"/><Relationship Id="rId5" Type="http://schemas.openxmlformats.org/officeDocument/2006/relationships/webSettings" Target="webSettings.xml"/><Relationship Id="rId61" Type="http://schemas.openxmlformats.org/officeDocument/2006/relationships/header" Target="header25.xml"/><Relationship Id="rId82" Type="http://schemas.openxmlformats.org/officeDocument/2006/relationships/footer" Target="footer35.xml"/><Relationship Id="rId90" Type="http://schemas.openxmlformats.org/officeDocument/2006/relationships/footer" Target="footer39.xml"/><Relationship Id="rId95" Type="http://schemas.openxmlformats.org/officeDocument/2006/relationships/header" Target="header42.xm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64" Type="http://schemas.openxmlformats.org/officeDocument/2006/relationships/footer" Target="footer26.xml"/><Relationship Id="rId69" Type="http://schemas.openxmlformats.org/officeDocument/2006/relationships/footer" Target="footer28.xml"/><Relationship Id="rId77" Type="http://schemas.openxmlformats.org/officeDocument/2006/relationships/header" Target="header33.xml"/><Relationship Id="rId100" Type="http://schemas.openxmlformats.org/officeDocument/2006/relationships/footer" Target="footer44.xml"/><Relationship Id="rId105" Type="http://schemas.openxmlformats.org/officeDocument/2006/relationships/footer" Target="footer46.xml"/><Relationship Id="rId113" Type="http://schemas.openxmlformats.org/officeDocument/2006/relationships/header" Target="header51.xml"/><Relationship Id="rId118" Type="http://schemas.openxmlformats.org/officeDocument/2006/relationships/footer" Target="footer53.xml"/><Relationship Id="rId8" Type="http://schemas.openxmlformats.org/officeDocument/2006/relationships/hyperlink" Target="http://creativecommons.org/licenses/by/3.0/au/legalcode" TargetMode="External"/><Relationship Id="rId51" Type="http://schemas.openxmlformats.org/officeDocument/2006/relationships/footer" Target="footer19.xml"/><Relationship Id="rId72" Type="http://schemas.openxmlformats.org/officeDocument/2006/relationships/footer" Target="footer30.xml"/><Relationship Id="rId80" Type="http://schemas.openxmlformats.org/officeDocument/2006/relationships/header" Target="header35.xml"/><Relationship Id="rId85" Type="http://schemas.openxmlformats.org/officeDocument/2006/relationships/header" Target="header37.xml"/><Relationship Id="rId93" Type="http://schemas.openxmlformats.org/officeDocument/2006/relationships/footer" Target="footer40.xml"/><Relationship Id="rId98" Type="http://schemas.openxmlformats.org/officeDocument/2006/relationships/header" Target="header44.xm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4.xml"/><Relationship Id="rId67" Type="http://schemas.openxmlformats.org/officeDocument/2006/relationships/header" Target="header28.xml"/><Relationship Id="rId103" Type="http://schemas.openxmlformats.org/officeDocument/2006/relationships/header" Target="header46.xml"/><Relationship Id="rId108" Type="http://schemas.openxmlformats.org/officeDocument/2006/relationships/footer" Target="footer48.xml"/><Relationship Id="rId116" Type="http://schemas.openxmlformats.org/officeDocument/2006/relationships/header" Target="header53.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header" Target="header26.xml"/><Relationship Id="rId70" Type="http://schemas.openxmlformats.org/officeDocument/2006/relationships/footer" Target="footer29.xml"/><Relationship Id="rId75" Type="http://schemas.openxmlformats.org/officeDocument/2006/relationships/footer" Target="footer31.xml"/><Relationship Id="rId83" Type="http://schemas.openxmlformats.org/officeDocument/2006/relationships/header" Target="header36.xml"/><Relationship Id="rId88" Type="http://schemas.openxmlformats.org/officeDocument/2006/relationships/footer" Target="footer38.xml"/><Relationship Id="rId91" Type="http://schemas.openxmlformats.org/officeDocument/2006/relationships/header" Target="header40.xml"/><Relationship Id="rId96" Type="http://schemas.openxmlformats.org/officeDocument/2006/relationships/footer" Target="footer42.xml"/><Relationship Id="rId111" Type="http://schemas.openxmlformats.org/officeDocument/2006/relationships/footer" Target="footer4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footer" Target="footer22.xml"/><Relationship Id="rId106" Type="http://schemas.openxmlformats.org/officeDocument/2006/relationships/footer" Target="footer47.xml"/><Relationship Id="rId114" Type="http://schemas.openxmlformats.org/officeDocument/2006/relationships/footer" Target="footer51.xml"/><Relationship Id="rId119" Type="http://schemas.openxmlformats.org/officeDocument/2006/relationships/header" Target="header54.xml"/><Relationship Id="rId10" Type="http://schemas.openxmlformats.org/officeDocument/2006/relationships/hyperlink" Target="http://www.pmc.gov.au/government/commonwealth-coat-arms" TargetMode="Externa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3.xml"/><Relationship Id="rId81" Type="http://schemas.openxmlformats.org/officeDocument/2006/relationships/footer" Target="footer34.xml"/><Relationship Id="rId86" Type="http://schemas.openxmlformats.org/officeDocument/2006/relationships/header" Target="header38.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budget.gov.au" TargetMode="External"/><Relationship Id="rId39" Type="http://schemas.openxmlformats.org/officeDocument/2006/relationships/footer" Target="footer13.xml"/><Relationship Id="rId109" Type="http://schemas.openxmlformats.org/officeDocument/2006/relationships/header" Target="header49.xml"/><Relationship Id="rId34" Type="http://schemas.openxmlformats.org/officeDocument/2006/relationships/footer" Target="footer11.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04" Type="http://schemas.openxmlformats.org/officeDocument/2006/relationships/header" Target="header47.xml"/><Relationship Id="rId120" Type="http://schemas.openxmlformats.org/officeDocument/2006/relationships/footer" Target="footer54.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header" Target="header41.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6.xm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15" Type="http://schemas.openxmlformats.org/officeDocument/2006/relationships/header" Target="header52.xml"/></Relationships>
</file>

<file path=word/_rels/header25.xml.rels><?xml version="1.0" encoding="UTF-8" standalone="yes"?>
<Relationships xmlns="http://schemas.openxmlformats.org/package/2006/relationships"><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1" Type="http://schemas.openxmlformats.org/officeDocument/2006/relationships/image" Target="media/image3.png"/></Relationships>
</file>

<file path=word/_rels/header40.xml.rels><?xml version="1.0" encoding="UTF-8" standalone="yes"?>
<Relationships xmlns="http://schemas.openxmlformats.org/package/2006/relationships"><Relationship Id="rId1" Type="http://schemas.openxmlformats.org/officeDocument/2006/relationships/image" Target="media/image3.png"/></Relationships>
</file>

<file path=word/_rels/header41.xml.rels><?xml version="1.0" encoding="UTF-8" standalone="yes"?>
<Relationships xmlns="http://schemas.openxmlformats.org/package/2006/relationships"><Relationship Id="rId1" Type="http://schemas.openxmlformats.org/officeDocument/2006/relationships/image" Target="media/image3.png"/></Relationships>
</file>

<file path=word/_rels/header43.xml.rels><?xml version="1.0" encoding="UTF-8" standalone="yes"?>
<Relationships xmlns="http://schemas.openxmlformats.org/package/2006/relationships"><Relationship Id="rId1" Type="http://schemas.openxmlformats.org/officeDocument/2006/relationships/image" Target="media/image3.png"/></Relationships>
</file>

<file path=word/_rels/header44.xml.rels><?xml version="1.0" encoding="UTF-8" standalone="yes"?>
<Relationships xmlns="http://schemas.openxmlformats.org/package/2006/relationships"><Relationship Id="rId1" Type="http://schemas.openxmlformats.org/officeDocument/2006/relationships/image" Target="media/image3.png"/></Relationships>
</file>

<file path=word/_rels/header46.xml.rels><?xml version="1.0" encoding="UTF-8" standalone="yes"?>
<Relationships xmlns="http://schemas.openxmlformats.org/package/2006/relationships"><Relationship Id="rId1" Type="http://schemas.openxmlformats.org/officeDocument/2006/relationships/image" Target="media/image3.png"/></Relationships>
</file>

<file path=word/_rels/header47.xml.rels><?xml version="1.0" encoding="UTF-8" standalone="yes"?>
<Relationships xmlns="http://schemas.openxmlformats.org/package/2006/relationships"><Relationship Id="rId1" Type="http://schemas.openxmlformats.org/officeDocument/2006/relationships/image" Target="media/image3.png"/></Relationships>
</file>

<file path=word/_rels/header52.xml.rels><?xml version="1.0" encoding="UTF-8" standalone="yes"?>
<Relationships xmlns="http://schemas.openxmlformats.org/package/2006/relationships"><Relationship Id="rId1" Type="http://schemas.openxmlformats.org/officeDocument/2006/relationships/image" Target="media/image3.png"/></Relationships>
</file>

<file path=word/_rels/header5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7FBC-FBB8-459C-A0C6-FB95A1DA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71</Pages>
  <Words>13494</Words>
  <Characters>76917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Emily</dc:creator>
  <cp:lastModifiedBy>Butler, Emily</cp:lastModifiedBy>
  <cp:revision>4</cp:revision>
  <dcterms:created xsi:type="dcterms:W3CDTF">2022-02-04T03:46:00Z</dcterms:created>
  <dcterms:modified xsi:type="dcterms:W3CDTF">2022-02-07T04:51:00Z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67488</vt:i4>
  </property>
</Properties>
</file>