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2EEB5" w14:textId="77777777" w:rsidR="00E7021A" w:rsidRDefault="00E7021A" w:rsidP="00E7021A"/>
    <w:p w14:paraId="1D1C4DE1" w14:textId="77777777" w:rsidR="007D3649" w:rsidRDefault="007D3649" w:rsidP="00E7021A"/>
    <w:p w14:paraId="61E46616" w14:textId="77777777" w:rsidR="007D3649" w:rsidRPr="00E7021A" w:rsidRDefault="007D3649" w:rsidP="00E7021A"/>
    <w:p w14:paraId="122D406C" w14:textId="454E8651" w:rsidR="007D3649" w:rsidRPr="0079539D" w:rsidRDefault="007D3649" w:rsidP="0079539D">
      <w:pPr>
        <w:pStyle w:val="Title"/>
        <w:spacing w:after="320"/>
        <w:jc w:val="center"/>
        <w:rPr>
          <w:color w:val="A5A5A5" w:themeColor="accent3"/>
          <w:sz w:val="72"/>
          <w:szCs w:val="72"/>
        </w:rPr>
      </w:pPr>
      <w:r w:rsidRPr="00217142">
        <w:rPr>
          <w:color w:val="223C71" w:themeColor="accent6"/>
          <w:sz w:val="144"/>
          <w:szCs w:val="144"/>
        </w:rPr>
        <w:br/>
      </w:r>
      <w:r w:rsidRPr="00217142">
        <w:rPr>
          <w:color w:val="223C71" w:themeColor="accent6"/>
          <w:sz w:val="144"/>
          <w:szCs w:val="144"/>
        </w:rPr>
        <w:br/>
      </w:r>
      <w:r w:rsidRPr="00217142">
        <w:rPr>
          <w:color w:val="223C71" w:themeColor="accent6"/>
          <w:sz w:val="144"/>
          <w:szCs w:val="144"/>
        </w:rPr>
        <w:br/>
      </w:r>
      <w:r w:rsidR="00BA7D7C">
        <w:rPr>
          <w:color w:val="223C71" w:themeColor="accent6"/>
          <w:sz w:val="72"/>
          <w:szCs w:val="72"/>
        </w:rPr>
        <w:t>202</w:t>
      </w:r>
      <w:r w:rsidR="00BA76E3">
        <w:rPr>
          <w:color w:val="223C71" w:themeColor="accent6"/>
          <w:sz w:val="72"/>
          <w:szCs w:val="72"/>
        </w:rPr>
        <w:t>2</w:t>
      </w:r>
      <w:r w:rsidR="002B2EFE">
        <w:rPr>
          <w:rFonts w:ascii="Times New Roman" w:hAnsi="Times New Roman" w:cs="Times New Roman"/>
          <w:color w:val="223C71" w:themeColor="accent6"/>
          <w:sz w:val="72"/>
          <w:szCs w:val="72"/>
        </w:rPr>
        <w:t>‒</w:t>
      </w:r>
      <w:r w:rsidR="00BA7D7C">
        <w:rPr>
          <w:color w:val="223C71" w:themeColor="accent6"/>
          <w:sz w:val="72"/>
          <w:szCs w:val="72"/>
        </w:rPr>
        <w:t>2</w:t>
      </w:r>
      <w:r w:rsidR="00617072">
        <w:rPr>
          <w:color w:val="223C71" w:themeColor="accent6"/>
          <w:sz w:val="72"/>
          <w:szCs w:val="72"/>
        </w:rPr>
        <w:t>3</w:t>
      </w:r>
      <w:r w:rsidR="00BA7D7C">
        <w:rPr>
          <w:color w:val="223C71" w:themeColor="accent6"/>
          <w:sz w:val="72"/>
          <w:szCs w:val="72"/>
        </w:rPr>
        <w:t xml:space="preserve"> </w:t>
      </w:r>
      <w:r w:rsidR="00C52925" w:rsidRPr="0079539D">
        <w:rPr>
          <w:color w:val="223C71" w:themeColor="accent6"/>
          <w:sz w:val="72"/>
          <w:szCs w:val="72"/>
        </w:rPr>
        <w:t xml:space="preserve">Word Anzac Regulator Framework Report </w:t>
      </w:r>
    </w:p>
    <w:p w14:paraId="6D0D2E52" w14:textId="77777777" w:rsidR="007D3649" w:rsidRDefault="007D3649" w:rsidP="007D3649">
      <w:pPr>
        <w:rPr>
          <w:lang w:val="en-AU"/>
        </w:rPr>
      </w:pPr>
    </w:p>
    <w:p w14:paraId="2DB6FDBF" w14:textId="77777777" w:rsidR="007D3649" w:rsidRDefault="007D3649" w:rsidP="007D3649">
      <w:pPr>
        <w:rPr>
          <w:lang w:val="en-AU"/>
        </w:rPr>
      </w:pPr>
    </w:p>
    <w:p w14:paraId="603148E6" w14:textId="7B91818D" w:rsidR="007D3649" w:rsidRPr="00F24843" w:rsidRDefault="009B6844" w:rsidP="007D3649">
      <w:pPr>
        <w:rPr>
          <w:color w:val="595959" w:themeColor="text1" w:themeTint="A6"/>
          <w:lang w:val="en-AU"/>
        </w:rPr>
      </w:pPr>
      <w:r w:rsidRPr="00F24843">
        <w:rPr>
          <w:color w:val="595959" w:themeColor="text1" w:themeTint="A6"/>
          <w:lang w:val="en-AU"/>
        </w:rPr>
        <w:t xml:space="preserve">  July 2024</w:t>
      </w:r>
    </w:p>
    <w:p w14:paraId="5DC68874" w14:textId="77777777" w:rsidR="007D3649" w:rsidRPr="00F24843" w:rsidRDefault="007D3649" w:rsidP="007D3649">
      <w:pPr>
        <w:rPr>
          <w:lang w:val="en-AU"/>
        </w:rPr>
      </w:pPr>
    </w:p>
    <w:p w14:paraId="246DAF5F" w14:textId="77777777" w:rsidR="007D3649" w:rsidRPr="00F24843" w:rsidRDefault="007D3649">
      <w:r w:rsidRPr="00F24843">
        <w:rPr>
          <w:lang w:val="en-AU"/>
        </w:rPr>
        <w:t xml:space="preserve"> </w:t>
      </w:r>
      <w:r w:rsidRPr="00F24843">
        <w:br w:type="page"/>
      </w:r>
    </w:p>
    <w:p w14:paraId="1EED9233" w14:textId="77777777" w:rsidR="003D6F49" w:rsidRPr="00CA3EAF" w:rsidRDefault="003D6F49" w:rsidP="003D6F49">
      <w:pPr>
        <w:rPr>
          <w:rFonts w:asciiTheme="majorHAnsi" w:eastAsiaTheme="majorEastAsia" w:hAnsiTheme="majorHAnsi" w:cstheme="majorBidi"/>
          <w:color w:val="2D416E" w:themeColor="accent1" w:themeShade="BF"/>
          <w:sz w:val="32"/>
          <w:szCs w:val="32"/>
        </w:rPr>
      </w:pPr>
      <w:bookmarkStart w:id="0" w:name="Approvals"/>
      <w:bookmarkStart w:id="1" w:name="OLE_LINK1"/>
      <w:r w:rsidRPr="00CA3EAF">
        <w:rPr>
          <w:rFonts w:asciiTheme="majorHAnsi" w:eastAsiaTheme="majorEastAsia" w:hAnsiTheme="majorHAnsi" w:cstheme="majorBidi"/>
          <w:color w:val="2D416E" w:themeColor="accent1" w:themeShade="BF"/>
          <w:sz w:val="32"/>
          <w:szCs w:val="32"/>
        </w:rPr>
        <w:lastRenderedPageBreak/>
        <w:t xml:space="preserve">Endorsement </w:t>
      </w:r>
    </w:p>
    <w:bookmarkEnd w:id="0"/>
    <w:bookmarkEnd w:id="1"/>
    <w:p w14:paraId="1B0E7B55" w14:textId="77777777" w:rsidR="003D6F49" w:rsidRPr="00BA7D7C" w:rsidRDefault="003D6F49" w:rsidP="003D6F49">
      <w:pPr>
        <w:pStyle w:val="BodyText"/>
        <w:rPr>
          <w:rFonts w:cs="Arial"/>
          <w:sz w:val="22"/>
          <w:szCs w:val="22"/>
        </w:rPr>
      </w:pPr>
      <w:r w:rsidRPr="00BA7D7C">
        <w:rPr>
          <w:rFonts w:cs="Arial"/>
          <w:sz w:val="22"/>
          <w:szCs w:val="22"/>
        </w:rPr>
        <w:t>This document been reviewed and approved by the people in this list. Evidence of the approvals is retained in TRIM.</w:t>
      </w:r>
    </w:p>
    <w:tbl>
      <w:tblPr>
        <w:tblW w:w="9072" w:type="dxa"/>
        <w:tblInd w:w="108" w:type="dxa"/>
        <w:tblBorders>
          <w:top w:val="single" w:sz="6" w:space="0" w:color="auto"/>
          <w:bottom w:val="single" w:sz="6" w:space="0" w:color="auto"/>
          <w:insideH w:val="single" w:sz="6" w:space="0" w:color="auto"/>
        </w:tblBorders>
        <w:tblLayout w:type="fixed"/>
        <w:tblLook w:val="04A0" w:firstRow="1" w:lastRow="0" w:firstColumn="1" w:lastColumn="0" w:noHBand="0" w:noVBand="1"/>
      </w:tblPr>
      <w:tblGrid>
        <w:gridCol w:w="1452"/>
        <w:gridCol w:w="4644"/>
        <w:gridCol w:w="1701"/>
        <w:gridCol w:w="1275"/>
      </w:tblGrid>
      <w:tr w:rsidR="003D6F49" w:rsidRPr="00BA7D7C" w14:paraId="6E5D820C" w14:textId="77777777" w:rsidTr="00BA7D7C">
        <w:tc>
          <w:tcPr>
            <w:tcW w:w="1452" w:type="dxa"/>
            <w:tcBorders>
              <w:top w:val="single" w:sz="6" w:space="0" w:color="auto"/>
              <w:left w:val="nil"/>
              <w:bottom w:val="single" w:sz="6" w:space="0" w:color="auto"/>
              <w:right w:val="nil"/>
            </w:tcBorders>
            <w:hideMark/>
          </w:tcPr>
          <w:p w14:paraId="159E2653" w14:textId="77777777" w:rsidR="003D6F49" w:rsidRPr="00BA7D7C" w:rsidRDefault="003D6F49" w:rsidP="007C2853">
            <w:pPr>
              <w:pStyle w:val="Tableheading0"/>
              <w:spacing w:line="256" w:lineRule="auto"/>
              <w:rPr>
                <w:rFonts w:asciiTheme="minorHAnsi" w:hAnsiTheme="minorHAnsi"/>
                <w:sz w:val="22"/>
                <w:szCs w:val="22"/>
              </w:rPr>
            </w:pPr>
            <w:r w:rsidRPr="00BA7D7C">
              <w:rPr>
                <w:rFonts w:asciiTheme="minorHAnsi" w:hAnsiTheme="minorHAnsi"/>
                <w:sz w:val="22"/>
                <w:szCs w:val="22"/>
              </w:rPr>
              <w:t xml:space="preserve">Name </w:t>
            </w:r>
          </w:p>
        </w:tc>
        <w:tc>
          <w:tcPr>
            <w:tcW w:w="4644" w:type="dxa"/>
            <w:tcBorders>
              <w:top w:val="single" w:sz="6" w:space="0" w:color="auto"/>
              <w:left w:val="nil"/>
              <w:bottom w:val="single" w:sz="6" w:space="0" w:color="auto"/>
              <w:right w:val="nil"/>
            </w:tcBorders>
            <w:hideMark/>
          </w:tcPr>
          <w:p w14:paraId="6F310BB3" w14:textId="77777777" w:rsidR="003D6F49" w:rsidRPr="00BA7D7C" w:rsidRDefault="003D6F49" w:rsidP="007C2853">
            <w:pPr>
              <w:pStyle w:val="Tableheading0"/>
              <w:spacing w:line="256" w:lineRule="auto"/>
              <w:rPr>
                <w:rFonts w:asciiTheme="minorHAnsi" w:hAnsiTheme="minorHAnsi"/>
                <w:sz w:val="22"/>
                <w:szCs w:val="22"/>
              </w:rPr>
            </w:pPr>
            <w:r w:rsidRPr="00BA7D7C">
              <w:rPr>
                <w:rFonts w:asciiTheme="minorHAnsi" w:hAnsiTheme="minorHAnsi"/>
                <w:sz w:val="22"/>
                <w:szCs w:val="22"/>
              </w:rPr>
              <w:t>Title</w:t>
            </w:r>
          </w:p>
        </w:tc>
        <w:tc>
          <w:tcPr>
            <w:tcW w:w="1701" w:type="dxa"/>
            <w:tcBorders>
              <w:top w:val="single" w:sz="6" w:space="0" w:color="auto"/>
              <w:left w:val="nil"/>
              <w:bottom w:val="single" w:sz="6" w:space="0" w:color="auto"/>
              <w:right w:val="nil"/>
            </w:tcBorders>
            <w:hideMark/>
          </w:tcPr>
          <w:p w14:paraId="479AD228" w14:textId="77777777" w:rsidR="003D6F49" w:rsidRPr="00BA7D7C" w:rsidRDefault="003D6F49" w:rsidP="007C2853">
            <w:pPr>
              <w:pStyle w:val="Tableheading0"/>
              <w:spacing w:line="256" w:lineRule="auto"/>
              <w:rPr>
                <w:rFonts w:asciiTheme="minorHAnsi" w:hAnsiTheme="minorHAnsi"/>
                <w:sz w:val="22"/>
                <w:szCs w:val="22"/>
              </w:rPr>
            </w:pPr>
            <w:r w:rsidRPr="00BA7D7C">
              <w:rPr>
                <w:rFonts w:asciiTheme="minorHAnsi" w:hAnsiTheme="minorHAnsi"/>
                <w:sz w:val="22"/>
                <w:szCs w:val="22"/>
              </w:rPr>
              <w:t>Date</w:t>
            </w:r>
          </w:p>
        </w:tc>
        <w:tc>
          <w:tcPr>
            <w:tcW w:w="1275" w:type="dxa"/>
            <w:tcBorders>
              <w:top w:val="single" w:sz="6" w:space="0" w:color="auto"/>
              <w:left w:val="nil"/>
              <w:bottom w:val="single" w:sz="6" w:space="0" w:color="auto"/>
              <w:right w:val="nil"/>
            </w:tcBorders>
            <w:hideMark/>
          </w:tcPr>
          <w:p w14:paraId="197D1363" w14:textId="77777777" w:rsidR="003D6F49" w:rsidRPr="00BA7D7C" w:rsidRDefault="003D6F49" w:rsidP="007C2853">
            <w:pPr>
              <w:pStyle w:val="Tableheading0"/>
              <w:spacing w:line="256" w:lineRule="auto"/>
              <w:rPr>
                <w:rFonts w:asciiTheme="minorHAnsi" w:hAnsiTheme="minorHAnsi"/>
                <w:sz w:val="22"/>
                <w:szCs w:val="22"/>
              </w:rPr>
            </w:pPr>
            <w:r w:rsidRPr="00BA7D7C">
              <w:rPr>
                <w:rFonts w:asciiTheme="minorHAnsi" w:hAnsiTheme="minorHAnsi"/>
                <w:sz w:val="22"/>
                <w:szCs w:val="22"/>
              </w:rPr>
              <w:t>Role</w:t>
            </w:r>
          </w:p>
        </w:tc>
      </w:tr>
      <w:tr w:rsidR="003D6F49" w:rsidRPr="00BA7D7C" w14:paraId="3F69C4E9" w14:textId="77777777" w:rsidTr="00BA7D7C">
        <w:tc>
          <w:tcPr>
            <w:tcW w:w="1452" w:type="dxa"/>
            <w:tcBorders>
              <w:top w:val="single" w:sz="6" w:space="0" w:color="auto"/>
              <w:left w:val="nil"/>
              <w:bottom w:val="single" w:sz="6" w:space="0" w:color="auto"/>
              <w:right w:val="nil"/>
            </w:tcBorders>
          </w:tcPr>
          <w:p w14:paraId="1452F256" w14:textId="7E15D0CC" w:rsidR="003D6F49" w:rsidRPr="00BA7D7C" w:rsidRDefault="00017E8F" w:rsidP="007C2853">
            <w:pPr>
              <w:pStyle w:val="Tabletext"/>
              <w:spacing w:line="256" w:lineRule="auto"/>
              <w:rPr>
                <w:rFonts w:asciiTheme="minorHAnsi" w:hAnsiTheme="minorHAnsi"/>
                <w:sz w:val="22"/>
                <w:szCs w:val="22"/>
              </w:rPr>
            </w:pPr>
            <w:r>
              <w:rPr>
                <w:rFonts w:asciiTheme="minorHAnsi" w:hAnsiTheme="minorHAnsi"/>
                <w:sz w:val="22"/>
                <w:szCs w:val="22"/>
              </w:rPr>
              <w:t xml:space="preserve">Rebecca Turner </w:t>
            </w:r>
          </w:p>
        </w:tc>
        <w:tc>
          <w:tcPr>
            <w:tcW w:w="4644" w:type="dxa"/>
            <w:tcBorders>
              <w:top w:val="single" w:sz="6" w:space="0" w:color="auto"/>
              <w:left w:val="nil"/>
              <w:bottom w:val="single" w:sz="6" w:space="0" w:color="auto"/>
              <w:right w:val="nil"/>
            </w:tcBorders>
          </w:tcPr>
          <w:p w14:paraId="4D2776FA" w14:textId="3A493057" w:rsidR="003D6F49" w:rsidRPr="00BA7D7C" w:rsidRDefault="00FB4F81" w:rsidP="002B2EFE">
            <w:pPr>
              <w:pStyle w:val="Tabletext"/>
              <w:spacing w:line="256" w:lineRule="auto"/>
              <w:rPr>
                <w:rFonts w:asciiTheme="minorHAnsi" w:hAnsiTheme="minorHAnsi"/>
                <w:sz w:val="22"/>
                <w:szCs w:val="22"/>
              </w:rPr>
            </w:pPr>
            <w:r>
              <w:rPr>
                <w:rFonts w:asciiTheme="minorHAnsi" w:hAnsiTheme="minorHAnsi"/>
                <w:sz w:val="22"/>
                <w:szCs w:val="22"/>
              </w:rPr>
              <w:t>A</w:t>
            </w:r>
            <w:r w:rsidR="002B2EFE">
              <w:rPr>
                <w:rFonts w:asciiTheme="minorHAnsi" w:hAnsiTheme="minorHAnsi"/>
                <w:sz w:val="22"/>
                <w:szCs w:val="22"/>
              </w:rPr>
              <w:t>/</w:t>
            </w:r>
            <w:r>
              <w:rPr>
                <w:rFonts w:asciiTheme="minorHAnsi" w:hAnsiTheme="minorHAnsi"/>
                <w:sz w:val="22"/>
                <w:szCs w:val="22"/>
              </w:rPr>
              <w:t xml:space="preserve">g Director, </w:t>
            </w:r>
            <w:r w:rsidR="002B2EFE">
              <w:rPr>
                <w:rFonts w:asciiTheme="minorHAnsi" w:hAnsiTheme="minorHAnsi"/>
                <w:sz w:val="22"/>
                <w:szCs w:val="22"/>
              </w:rPr>
              <w:t>Community Engagement Team</w:t>
            </w:r>
          </w:p>
        </w:tc>
        <w:tc>
          <w:tcPr>
            <w:tcW w:w="1701" w:type="dxa"/>
            <w:tcBorders>
              <w:top w:val="single" w:sz="6" w:space="0" w:color="auto"/>
              <w:left w:val="nil"/>
              <w:bottom w:val="single" w:sz="6" w:space="0" w:color="auto"/>
              <w:right w:val="nil"/>
            </w:tcBorders>
          </w:tcPr>
          <w:p w14:paraId="7E0C3553" w14:textId="1D3A9F95" w:rsidR="003D6F49" w:rsidRPr="00BA7D7C" w:rsidRDefault="00DD085F" w:rsidP="007C2853">
            <w:pPr>
              <w:pStyle w:val="Tabletext"/>
              <w:spacing w:line="256" w:lineRule="auto"/>
              <w:rPr>
                <w:rFonts w:asciiTheme="minorHAnsi" w:hAnsiTheme="minorHAnsi"/>
                <w:sz w:val="22"/>
                <w:szCs w:val="22"/>
              </w:rPr>
            </w:pPr>
            <w:r w:rsidRPr="00DD085F">
              <w:rPr>
                <w:rFonts w:asciiTheme="minorHAnsi" w:hAnsiTheme="minorHAnsi"/>
                <w:sz w:val="22"/>
                <w:szCs w:val="22"/>
              </w:rPr>
              <w:t>26</w:t>
            </w:r>
            <w:r w:rsidR="001459D3" w:rsidRPr="00DD085F">
              <w:rPr>
                <w:rFonts w:asciiTheme="minorHAnsi" w:hAnsiTheme="minorHAnsi"/>
                <w:sz w:val="22"/>
                <w:szCs w:val="22"/>
              </w:rPr>
              <w:t>/0</w:t>
            </w:r>
            <w:r w:rsidR="00F92F4B" w:rsidRPr="00DD085F">
              <w:rPr>
                <w:rFonts w:asciiTheme="minorHAnsi" w:hAnsiTheme="minorHAnsi"/>
                <w:sz w:val="22"/>
                <w:szCs w:val="22"/>
              </w:rPr>
              <w:t>6</w:t>
            </w:r>
            <w:r w:rsidR="001459D3" w:rsidRPr="00DD085F">
              <w:rPr>
                <w:rFonts w:asciiTheme="minorHAnsi" w:hAnsiTheme="minorHAnsi"/>
                <w:sz w:val="22"/>
                <w:szCs w:val="22"/>
              </w:rPr>
              <w:t>/2024</w:t>
            </w:r>
          </w:p>
        </w:tc>
        <w:tc>
          <w:tcPr>
            <w:tcW w:w="1275" w:type="dxa"/>
            <w:tcBorders>
              <w:top w:val="single" w:sz="6" w:space="0" w:color="auto"/>
              <w:left w:val="nil"/>
              <w:bottom w:val="single" w:sz="6" w:space="0" w:color="auto"/>
              <w:right w:val="nil"/>
            </w:tcBorders>
            <w:hideMark/>
          </w:tcPr>
          <w:p w14:paraId="3566AF8F" w14:textId="0AF2504D" w:rsidR="003D6F49" w:rsidRPr="00BA7D7C" w:rsidRDefault="00FB4F81" w:rsidP="007C2853">
            <w:pPr>
              <w:pStyle w:val="Tabletext"/>
              <w:spacing w:line="256" w:lineRule="auto"/>
              <w:rPr>
                <w:rFonts w:asciiTheme="minorHAnsi" w:hAnsiTheme="minorHAnsi"/>
                <w:sz w:val="22"/>
                <w:szCs w:val="22"/>
              </w:rPr>
            </w:pPr>
            <w:r>
              <w:rPr>
                <w:rFonts w:asciiTheme="minorHAnsi" w:hAnsiTheme="minorHAnsi"/>
                <w:sz w:val="22"/>
                <w:szCs w:val="22"/>
              </w:rPr>
              <w:t>Reviewer</w:t>
            </w:r>
          </w:p>
        </w:tc>
      </w:tr>
      <w:tr w:rsidR="003D6F49" w:rsidRPr="00BA7D7C" w14:paraId="39AF8955" w14:textId="77777777" w:rsidTr="00F344AC">
        <w:tc>
          <w:tcPr>
            <w:tcW w:w="1452" w:type="dxa"/>
            <w:tcBorders>
              <w:top w:val="single" w:sz="6" w:space="0" w:color="auto"/>
              <w:left w:val="nil"/>
              <w:bottom w:val="single" w:sz="6" w:space="0" w:color="auto"/>
              <w:right w:val="nil"/>
            </w:tcBorders>
          </w:tcPr>
          <w:p w14:paraId="57B3EED1" w14:textId="469F980F" w:rsidR="003D6F49" w:rsidRPr="00BA7D7C" w:rsidRDefault="00FB4F81" w:rsidP="007C2853">
            <w:pPr>
              <w:pStyle w:val="Tabletext"/>
              <w:spacing w:line="256" w:lineRule="auto"/>
              <w:rPr>
                <w:rFonts w:asciiTheme="minorHAnsi" w:hAnsiTheme="minorHAnsi"/>
                <w:sz w:val="22"/>
                <w:szCs w:val="22"/>
              </w:rPr>
            </w:pPr>
            <w:r>
              <w:rPr>
                <w:rFonts w:asciiTheme="minorHAnsi" w:hAnsiTheme="minorHAnsi"/>
                <w:sz w:val="22"/>
                <w:szCs w:val="22"/>
              </w:rPr>
              <w:t>Donna Thomas</w:t>
            </w:r>
          </w:p>
        </w:tc>
        <w:tc>
          <w:tcPr>
            <w:tcW w:w="4644" w:type="dxa"/>
            <w:tcBorders>
              <w:top w:val="single" w:sz="6" w:space="0" w:color="auto"/>
              <w:left w:val="nil"/>
              <w:bottom w:val="single" w:sz="6" w:space="0" w:color="auto"/>
              <w:right w:val="nil"/>
            </w:tcBorders>
          </w:tcPr>
          <w:p w14:paraId="2CDDAF67" w14:textId="091D3F63" w:rsidR="003D6F49" w:rsidRPr="00BA7D7C" w:rsidRDefault="00FB4F81" w:rsidP="00FB4F81">
            <w:pPr>
              <w:pStyle w:val="Tabletext"/>
              <w:spacing w:line="256" w:lineRule="auto"/>
              <w:rPr>
                <w:rFonts w:asciiTheme="minorHAnsi" w:hAnsiTheme="minorHAnsi"/>
                <w:sz w:val="22"/>
                <w:szCs w:val="22"/>
              </w:rPr>
            </w:pPr>
            <w:r>
              <w:rPr>
                <w:rFonts w:asciiTheme="minorHAnsi" w:hAnsiTheme="minorHAnsi"/>
                <w:sz w:val="22"/>
                <w:szCs w:val="22"/>
              </w:rPr>
              <w:t>Assistant Secretary, Commemorations Branch</w:t>
            </w:r>
          </w:p>
        </w:tc>
        <w:tc>
          <w:tcPr>
            <w:tcW w:w="1701" w:type="dxa"/>
            <w:tcBorders>
              <w:top w:val="single" w:sz="6" w:space="0" w:color="auto"/>
              <w:left w:val="nil"/>
              <w:bottom w:val="single" w:sz="6" w:space="0" w:color="auto"/>
              <w:right w:val="nil"/>
            </w:tcBorders>
          </w:tcPr>
          <w:p w14:paraId="4F9ED656" w14:textId="20BDE421" w:rsidR="003D6F49" w:rsidRPr="00315E86" w:rsidRDefault="00315E86" w:rsidP="00154377">
            <w:pPr>
              <w:pStyle w:val="Tabletext"/>
              <w:spacing w:line="256" w:lineRule="auto"/>
              <w:rPr>
                <w:rFonts w:asciiTheme="minorHAnsi" w:hAnsiTheme="minorHAnsi"/>
                <w:sz w:val="22"/>
                <w:szCs w:val="22"/>
              </w:rPr>
            </w:pPr>
            <w:r>
              <w:rPr>
                <w:rFonts w:asciiTheme="minorHAnsi" w:hAnsiTheme="minorHAnsi"/>
                <w:sz w:val="22"/>
                <w:szCs w:val="22"/>
              </w:rPr>
              <w:t>27</w:t>
            </w:r>
            <w:r w:rsidR="00154377" w:rsidRPr="00315E86">
              <w:rPr>
                <w:rFonts w:asciiTheme="minorHAnsi" w:hAnsiTheme="minorHAnsi"/>
                <w:sz w:val="22"/>
                <w:szCs w:val="22"/>
              </w:rPr>
              <w:t>/0</w:t>
            </w:r>
            <w:r w:rsidR="005F64CE" w:rsidRPr="00315E86">
              <w:rPr>
                <w:rFonts w:asciiTheme="minorHAnsi" w:hAnsiTheme="minorHAnsi"/>
                <w:sz w:val="22"/>
                <w:szCs w:val="22"/>
              </w:rPr>
              <w:t>6</w:t>
            </w:r>
            <w:r w:rsidR="00154377" w:rsidRPr="00315E86">
              <w:rPr>
                <w:rFonts w:asciiTheme="minorHAnsi" w:hAnsiTheme="minorHAnsi"/>
                <w:sz w:val="22"/>
                <w:szCs w:val="22"/>
              </w:rPr>
              <w:t>/2024</w:t>
            </w:r>
          </w:p>
        </w:tc>
        <w:tc>
          <w:tcPr>
            <w:tcW w:w="1275" w:type="dxa"/>
            <w:tcBorders>
              <w:top w:val="single" w:sz="6" w:space="0" w:color="auto"/>
              <w:left w:val="nil"/>
              <w:bottom w:val="single" w:sz="6" w:space="0" w:color="auto"/>
              <w:right w:val="nil"/>
            </w:tcBorders>
          </w:tcPr>
          <w:p w14:paraId="1B918BDE" w14:textId="193681F9" w:rsidR="003D6F49" w:rsidRPr="00BA7D7C" w:rsidRDefault="00154377" w:rsidP="007C2853">
            <w:pPr>
              <w:pStyle w:val="Tabletext"/>
              <w:spacing w:line="256" w:lineRule="auto"/>
              <w:rPr>
                <w:rFonts w:asciiTheme="minorHAnsi" w:hAnsiTheme="minorHAnsi"/>
                <w:sz w:val="22"/>
                <w:szCs w:val="22"/>
              </w:rPr>
            </w:pPr>
            <w:r>
              <w:rPr>
                <w:rFonts w:asciiTheme="minorHAnsi" w:hAnsiTheme="minorHAnsi"/>
                <w:sz w:val="22"/>
                <w:szCs w:val="22"/>
              </w:rPr>
              <w:t>Approve</w:t>
            </w:r>
            <w:r w:rsidR="00BB3865">
              <w:rPr>
                <w:rFonts w:asciiTheme="minorHAnsi" w:hAnsiTheme="minorHAnsi"/>
                <w:sz w:val="22"/>
                <w:szCs w:val="22"/>
              </w:rPr>
              <w:t>r</w:t>
            </w:r>
          </w:p>
        </w:tc>
      </w:tr>
    </w:tbl>
    <w:p w14:paraId="1E3458DF" w14:textId="77777777" w:rsidR="003D6F49" w:rsidRDefault="003D6F49" w:rsidP="003D6F49">
      <w:pPr>
        <w:pStyle w:val="Heading5"/>
        <w:rPr>
          <w:rFonts w:ascii="Arial" w:hAnsi="Arial" w:cs="Arial"/>
          <w:sz w:val="24"/>
          <w:szCs w:val="22"/>
        </w:rPr>
      </w:pPr>
    </w:p>
    <w:p w14:paraId="5942386E" w14:textId="77777777" w:rsidR="003D6F49" w:rsidRDefault="003D6F49" w:rsidP="003D6F49">
      <w:pPr>
        <w:rPr>
          <w:rFonts w:ascii="Arial" w:hAnsi="Arial" w:cs="Arial"/>
        </w:rPr>
      </w:pPr>
      <w:r>
        <w:rPr>
          <w:rFonts w:ascii="Arial" w:hAnsi="Arial" w:cs="Arial"/>
        </w:rPr>
        <w:t xml:space="preserve"> </w:t>
      </w:r>
    </w:p>
    <w:sdt>
      <w:sdtPr>
        <w:rPr>
          <w:rFonts w:asciiTheme="minorHAnsi" w:eastAsiaTheme="minorHAnsi" w:hAnsiTheme="minorHAnsi" w:cstheme="minorBidi"/>
          <w:color w:val="auto"/>
          <w:spacing w:val="-10"/>
          <w:kern w:val="28"/>
          <w:sz w:val="22"/>
          <w:szCs w:val="24"/>
          <w:lang w:val="en-AU"/>
        </w:rPr>
        <w:id w:val="454067989"/>
        <w:docPartObj>
          <w:docPartGallery w:val="Table of Contents"/>
          <w:docPartUnique/>
        </w:docPartObj>
      </w:sdtPr>
      <w:sdtEndPr>
        <w:rPr>
          <w:rFonts w:eastAsiaTheme="majorEastAsia" w:cstheme="minorHAnsi"/>
          <w:b/>
          <w:bCs/>
          <w:noProof/>
          <w:color w:val="2D416E" w:themeColor="accent1" w:themeShade="BF"/>
          <w:szCs w:val="22"/>
        </w:rPr>
      </w:sdtEndPr>
      <w:sdtContent>
        <w:p w14:paraId="5C7BB07F" w14:textId="77777777" w:rsidR="003D6F49" w:rsidRDefault="003D6F49" w:rsidP="003D6F49">
          <w:pPr>
            <w:pStyle w:val="TOCHeading"/>
          </w:pPr>
          <w:r>
            <w:t>Contents</w:t>
          </w:r>
        </w:p>
        <w:p w14:paraId="37F9BBD8" w14:textId="41361D36" w:rsidR="00CD2DBD" w:rsidRPr="00CD2DBD" w:rsidRDefault="003D6F49">
          <w:pPr>
            <w:pStyle w:val="TOC1"/>
            <w:tabs>
              <w:tab w:val="left" w:pos="720"/>
              <w:tab w:val="right" w:leader="dot" w:pos="9629"/>
            </w:tabs>
            <w:rPr>
              <w:rFonts w:eastAsiaTheme="minorEastAsia" w:cstheme="minorHAnsi"/>
              <w:noProof/>
              <w:kern w:val="2"/>
              <w:szCs w:val="22"/>
              <w:lang w:val="en-AU" w:eastAsia="en-AU"/>
              <w14:ligatures w14:val="standardContextual"/>
            </w:rPr>
          </w:pPr>
          <w:r w:rsidRPr="00CD2DBD">
            <w:rPr>
              <w:rFonts w:cstheme="minorHAnsi"/>
              <w:szCs w:val="22"/>
            </w:rPr>
            <w:fldChar w:fldCharType="begin"/>
          </w:r>
          <w:r w:rsidRPr="00CD2DBD">
            <w:rPr>
              <w:rFonts w:cstheme="minorHAnsi"/>
              <w:szCs w:val="22"/>
            </w:rPr>
            <w:instrText xml:space="preserve"> TOC \o "1-3" \h \z \u </w:instrText>
          </w:r>
          <w:r w:rsidRPr="00CD2DBD">
            <w:rPr>
              <w:rFonts w:cstheme="minorHAnsi"/>
              <w:szCs w:val="22"/>
            </w:rPr>
            <w:fldChar w:fldCharType="separate"/>
          </w:r>
          <w:hyperlink w:anchor="_Toc169516853" w:history="1">
            <w:r w:rsidR="00CD2DBD" w:rsidRPr="00CD2DBD">
              <w:rPr>
                <w:rStyle w:val="Hyperlink"/>
                <w:rFonts w:cstheme="minorHAnsi"/>
                <w:noProof/>
                <w:szCs w:val="22"/>
              </w:rPr>
              <w:t>1.</w:t>
            </w:r>
            <w:r w:rsidR="00CD2DBD" w:rsidRPr="00CD2DBD">
              <w:rPr>
                <w:rFonts w:eastAsiaTheme="minorEastAsia" w:cstheme="minorHAnsi"/>
                <w:noProof/>
                <w:kern w:val="2"/>
                <w:szCs w:val="22"/>
                <w:lang w:val="en-AU" w:eastAsia="en-AU"/>
                <w14:ligatures w14:val="standardContextual"/>
              </w:rPr>
              <w:tab/>
            </w:r>
            <w:r w:rsidR="00CD2DBD" w:rsidRPr="00CD2DBD">
              <w:rPr>
                <w:rStyle w:val="Hyperlink"/>
                <w:rFonts w:cstheme="minorHAnsi"/>
                <w:noProof/>
                <w:szCs w:val="22"/>
              </w:rPr>
              <w:t>Introduction</w:t>
            </w:r>
            <w:r w:rsidR="00CD2DBD" w:rsidRPr="00CD2DBD">
              <w:rPr>
                <w:rFonts w:cstheme="minorHAnsi"/>
                <w:noProof/>
                <w:webHidden/>
                <w:szCs w:val="22"/>
              </w:rPr>
              <w:tab/>
            </w:r>
            <w:r w:rsidR="00CD2DBD" w:rsidRPr="00CD2DBD">
              <w:rPr>
                <w:rFonts w:cstheme="minorHAnsi"/>
                <w:noProof/>
                <w:webHidden/>
                <w:szCs w:val="22"/>
              </w:rPr>
              <w:fldChar w:fldCharType="begin"/>
            </w:r>
            <w:r w:rsidR="00CD2DBD" w:rsidRPr="00CD2DBD">
              <w:rPr>
                <w:rFonts w:cstheme="minorHAnsi"/>
                <w:noProof/>
                <w:webHidden/>
                <w:szCs w:val="22"/>
              </w:rPr>
              <w:instrText xml:space="preserve"> PAGEREF _Toc169516853 \h </w:instrText>
            </w:r>
            <w:r w:rsidR="00CD2DBD" w:rsidRPr="00CD2DBD">
              <w:rPr>
                <w:rFonts w:cstheme="minorHAnsi"/>
                <w:noProof/>
                <w:webHidden/>
                <w:szCs w:val="22"/>
              </w:rPr>
            </w:r>
            <w:r w:rsidR="00CD2DBD" w:rsidRPr="00CD2DBD">
              <w:rPr>
                <w:rFonts w:cstheme="minorHAnsi"/>
                <w:noProof/>
                <w:webHidden/>
                <w:szCs w:val="22"/>
              </w:rPr>
              <w:fldChar w:fldCharType="separate"/>
            </w:r>
            <w:r w:rsidR="00E304A1">
              <w:rPr>
                <w:rFonts w:cstheme="minorHAnsi"/>
                <w:noProof/>
                <w:webHidden/>
                <w:szCs w:val="22"/>
              </w:rPr>
              <w:t>3</w:t>
            </w:r>
            <w:r w:rsidR="00CD2DBD" w:rsidRPr="00CD2DBD">
              <w:rPr>
                <w:rFonts w:cstheme="minorHAnsi"/>
                <w:noProof/>
                <w:webHidden/>
                <w:szCs w:val="22"/>
              </w:rPr>
              <w:fldChar w:fldCharType="end"/>
            </w:r>
          </w:hyperlink>
        </w:p>
        <w:p w14:paraId="02A81421" w14:textId="6E0946AE" w:rsidR="00CD2DBD" w:rsidRPr="00CD2DBD" w:rsidRDefault="00000000">
          <w:pPr>
            <w:pStyle w:val="TOC1"/>
            <w:tabs>
              <w:tab w:val="left" w:pos="720"/>
              <w:tab w:val="right" w:leader="dot" w:pos="9629"/>
            </w:tabs>
            <w:rPr>
              <w:rFonts w:eastAsiaTheme="minorEastAsia" w:cstheme="minorHAnsi"/>
              <w:noProof/>
              <w:kern w:val="2"/>
              <w:szCs w:val="22"/>
              <w:lang w:val="en-AU" w:eastAsia="en-AU"/>
              <w14:ligatures w14:val="standardContextual"/>
            </w:rPr>
          </w:pPr>
          <w:hyperlink w:anchor="_Toc169516854" w:history="1">
            <w:r w:rsidR="00CD2DBD" w:rsidRPr="00CD2DBD">
              <w:rPr>
                <w:rStyle w:val="Hyperlink"/>
                <w:rFonts w:cstheme="minorHAnsi"/>
                <w:noProof/>
                <w:szCs w:val="22"/>
              </w:rPr>
              <w:t>2.</w:t>
            </w:r>
            <w:r w:rsidR="00CD2DBD" w:rsidRPr="00CD2DBD">
              <w:rPr>
                <w:rFonts w:eastAsiaTheme="minorEastAsia" w:cstheme="minorHAnsi"/>
                <w:noProof/>
                <w:kern w:val="2"/>
                <w:szCs w:val="22"/>
                <w:lang w:val="en-AU" w:eastAsia="en-AU"/>
                <w14:ligatures w14:val="standardContextual"/>
              </w:rPr>
              <w:tab/>
            </w:r>
            <w:r w:rsidR="00CD2DBD" w:rsidRPr="00CD2DBD">
              <w:rPr>
                <w:rStyle w:val="Hyperlink"/>
                <w:rFonts w:cstheme="minorHAnsi"/>
                <w:noProof/>
                <w:szCs w:val="22"/>
              </w:rPr>
              <w:t>Process</w:t>
            </w:r>
            <w:r w:rsidR="00CD2DBD" w:rsidRPr="00CD2DBD">
              <w:rPr>
                <w:rFonts w:cstheme="minorHAnsi"/>
                <w:noProof/>
                <w:webHidden/>
                <w:szCs w:val="22"/>
              </w:rPr>
              <w:tab/>
            </w:r>
            <w:r w:rsidR="00CD2DBD" w:rsidRPr="00CD2DBD">
              <w:rPr>
                <w:rFonts w:cstheme="minorHAnsi"/>
                <w:noProof/>
                <w:webHidden/>
                <w:szCs w:val="22"/>
              </w:rPr>
              <w:fldChar w:fldCharType="begin"/>
            </w:r>
            <w:r w:rsidR="00CD2DBD" w:rsidRPr="00CD2DBD">
              <w:rPr>
                <w:rFonts w:cstheme="minorHAnsi"/>
                <w:noProof/>
                <w:webHidden/>
                <w:szCs w:val="22"/>
              </w:rPr>
              <w:instrText xml:space="preserve"> PAGEREF _Toc169516854 \h </w:instrText>
            </w:r>
            <w:r w:rsidR="00CD2DBD" w:rsidRPr="00CD2DBD">
              <w:rPr>
                <w:rFonts w:cstheme="minorHAnsi"/>
                <w:noProof/>
                <w:webHidden/>
                <w:szCs w:val="22"/>
              </w:rPr>
            </w:r>
            <w:r w:rsidR="00CD2DBD" w:rsidRPr="00CD2DBD">
              <w:rPr>
                <w:rFonts w:cstheme="minorHAnsi"/>
                <w:noProof/>
                <w:webHidden/>
                <w:szCs w:val="22"/>
              </w:rPr>
              <w:fldChar w:fldCharType="separate"/>
            </w:r>
            <w:r w:rsidR="00E304A1">
              <w:rPr>
                <w:rFonts w:cstheme="minorHAnsi"/>
                <w:noProof/>
                <w:webHidden/>
                <w:szCs w:val="22"/>
              </w:rPr>
              <w:t>3</w:t>
            </w:r>
            <w:r w:rsidR="00CD2DBD" w:rsidRPr="00CD2DBD">
              <w:rPr>
                <w:rFonts w:cstheme="minorHAnsi"/>
                <w:noProof/>
                <w:webHidden/>
                <w:szCs w:val="22"/>
              </w:rPr>
              <w:fldChar w:fldCharType="end"/>
            </w:r>
          </w:hyperlink>
        </w:p>
        <w:p w14:paraId="0518F47B" w14:textId="3A285316" w:rsidR="00CD2DBD" w:rsidRPr="00CD2DBD" w:rsidRDefault="00000000">
          <w:pPr>
            <w:pStyle w:val="TOC1"/>
            <w:tabs>
              <w:tab w:val="left" w:pos="720"/>
              <w:tab w:val="right" w:leader="dot" w:pos="9629"/>
            </w:tabs>
            <w:rPr>
              <w:rFonts w:eastAsiaTheme="minorEastAsia" w:cstheme="minorHAnsi"/>
              <w:noProof/>
              <w:kern w:val="2"/>
              <w:szCs w:val="22"/>
              <w:lang w:val="en-AU" w:eastAsia="en-AU"/>
              <w14:ligatures w14:val="standardContextual"/>
            </w:rPr>
          </w:pPr>
          <w:hyperlink w:anchor="_Toc169516855" w:history="1">
            <w:r w:rsidR="00CD2DBD" w:rsidRPr="00CD2DBD">
              <w:rPr>
                <w:rStyle w:val="Hyperlink"/>
                <w:rFonts w:cstheme="minorHAnsi"/>
                <w:noProof/>
                <w:szCs w:val="22"/>
              </w:rPr>
              <w:t>3.</w:t>
            </w:r>
            <w:r w:rsidR="00CD2DBD" w:rsidRPr="00CD2DBD">
              <w:rPr>
                <w:rFonts w:eastAsiaTheme="minorEastAsia" w:cstheme="minorHAnsi"/>
                <w:noProof/>
                <w:kern w:val="2"/>
                <w:szCs w:val="22"/>
                <w:lang w:val="en-AU" w:eastAsia="en-AU"/>
                <w14:ligatures w14:val="standardContextual"/>
              </w:rPr>
              <w:tab/>
            </w:r>
            <w:r w:rsidR="00CD2DBD" w:rsidRPr="00CD2DBD">
              <w:rPr>
                <w:rStyle w:val="Hyperlink"/>
                <w:rFonts w:cstheme="minorHAnsi"/>
                <w:noProof/>
                <w:szCs w:val="22"/>
              </w:rPr>
              <w:t>2022‒23 Summary</w:t>
            </w:r>
            <w:r w:rsidR="00CD2DBD" w:rsidRPr="00CD2DBD">
              <w:rPr>
                <w:rFonts w:cstheme="minorHAnsi"/>
                <w:noProof/>
                <w:webHidden/>
                <w:szCs w:val="22"/>
              </w:rPr>
              <w:tab/>
            </w:r>
            <w:r w:rsidR="00CD2DBD" w:rsidRPr="00CD2DBD">
              <w:rPr>
                <w:rFonts w:cstheme="minorHAnsi"/>
                <w:noProof/>
                <w:webHidden/>
                <w:szCs w:val="22"/>
              </w:rPr>
              <w:fldChar w:fldCharType="begin"/>
            </w:r>
            <w:r w:rsidR="00CD2DBD" w:rsidRPr="00CD2DBD">
              <w:rPr>
                <w:rFonts w:cstheme="minorHAnsi"/>
                <w:noProof/>
                <w:webHidden/>
                <w:szCs w:val="22"/>
              </w:rPr>
              <w:instrText xml:space="preserve"> PAGEREF _Toc169516855 \h </w:instrText>
            </w:r>
            <w:r w:rsidR="00CD2DBD" w:rsidRPr="00CD2DBD">
              <w:rPr>
                <w:rFonts w:cstheme="minorHAnsi"/>
                <w:noProof/>
                <w:webHidden/>
                <w:szCs w:val="22"/>
              </w:rPr>
            </w:r>
            <w:r w:rsidR="00CD2DBD" w:rsidRPr="00CD2DBD">
              <w:rPr>
                <w:rFonts w:cstheme="minorHAnsi"/>
                <w:noProof/>
                <w:webHidden/>
                <w:szCs w:val="22"/>
              </w:rPr>
              <w:fldChar w:fldCharType="separate"/>
            </w:r>
            <w:r w:rsidR="00E304A1">
              <w:rPr>
                <w:rFonts w:cstheme="minorHAnsi"/>
                <w:noProof/>
                <w:webHidden/>
                <w:szCs w:val="22"/>
              </w:rPr>
              <w:t>3</w:t>
            </w:r>
            <w:r w:rsidR="00CD2DBD" w:rsidRPr="00CD2DBD">
              <w:rPr>
                <w:rFonts w:cstheme="minorHAnsi"/>
                <w:noProof/>
                <w:webHidden/>
                <w:szCs w:val="22"/>
              </w:rPr>
              <w:fldChar w:fldCharType="end"/>
            </w:r>
          </w:hyperlink>
        </w:p>
        <w:p w14:paraId="2967D8E5" w14:textId="2DF78167" w:rsidR="00CD2DBD" w:rsidRPr="00CD2DBD" w:rsidRDefault="00000000">
          <w:pPr>
            <w:pStyle w:val="TOC1"/>
            <w:tabs>
              <w:tab w:val="left" w:pos="720"/>
              <w:tab w:val="right" w:leader="dot" w:pos="9629"/>
            </w:tabs>
            <w:rPr>
              <w:rFonts w:eastAsiaTheme="minorEastAsia" w:cstheme="minorHAnsi"/>
              <w:noProof/>
              <w:kern w:val="2"/>
              <w:szCs w:val="22"/>
              <w:lang w:val="en-AU" w:eastAsia="en-AU"/>
              <w14:ligatures w14:val="standardContextual"/>
            </w:rPr>
          </w:pPr>
          <w:hyperlink w:anchor="_Toc169516856" w:history="1">
            <w:r w:rsidR="00CD2DBD" w:rsidRPr="00CD2DBD">
              <w:rPr>
                <w:rStyle w:val="Hyperlink"/>
                <w:rFonts w:cstheme="minorHAnsi"/>
                <w:noProof/>
                <w:szCs w:val="22"/>
              </w:rPr>
              <w:t>4.</w:t>
            </w:r>
            <w:r w:rsidR="00CD2DBD" w:rsidRPr="00CD2DBD">
              <w:rPr>
                <w:rFonts w:eastAsiaTheme="minorEastAsia" w:cstheme="minorHAnsi"/>
                <w:noProof/>
                <w:kern w:val="2"/>
                <w:szCs w:val="22"/>
                <w:lang w:val="en-AU" w:eastAsia="en-AU"/>
                <w14:ligatures w14:val="standardContextual"/>
              </w:rPr>
              <w:tab/>
            </w:r>
            <w:r w:rsidR="00CD2DBD" w:rsidRPr="00CD2DBD">
              <w:rPr>
                <w:rStyle w:val="Hyperlink"/>
                <w:rFonts w:cstheme="minorHAnsi"/>
                <w:noProof/>
                <w:szCs w:val="22"/>
              </w:rPr>
              <w:t>Key Performance Indicator</w:t>
            </w:r>
            <w:r w:rsidR="00CD2DBD" w:rsidRPr="00CD2DBD">
              <w:rPr>
                <w:rFonts w:cstheme="minorHAnsi"/>
                <w:noProof/>
                <w:webHidden/>
                <w:szCs w:val="22"/>
              </w:rPr>
              <w:tab/>
            </w:r>
            <w:r w:rsidR="00CD2DBD" w:rsidRPr="00CD2DBD">
              <w:rPr>
                <w:rFonts w:cstheme="minorHAnsi"/>
                <w:noProof/>
                <w:webHidden/>
                <w:szCs w:val="22"/>
              </w:rPr>
              <w:fldChar w:fldCharType="begin"/>
            </w:r>
            <w:r w:rsidR="00CD2DBD" w:rsidRPr="00CD2DBD">
              <w:rPr>
                <w:rFonts w:cstheme="minorHAnsi"/>
                <w:noProof/>
                <w:webHidden/>
                <w:szCs w:val="22"/>
              </w:rPr>
              <w:instrText xml:space="preserve"> PAGEREF _Toc169516856 \h </w:instrText>
            </w:r>
            <w:r w:rsidR="00CD2DBD" w:rsidRPr="00CD2DBD">
              <w:rPr>
                <w:rFonts w:cstheme="minorHAnsi"/>
                <w:noProof/>
                <w:webHidden/>
                <w:szCs w:val="22"/>
              </w:rPr>
            </w:r>
            <w:r w:rsidR="00CD2DBD" w:rsidRPr="00CD2DBD">
              <w:rPr>
                <w:rFonts w:cstheme="minorHAnsi"/>
                <w:noProof/>
                <w:webHidden/>
                <w:szCs w:val="22"/>
              </w:rPr>
              <w:fldChar w:fldCharType="separate"/>
            </w:r>
            <w:r w:rsidR="00E304A1">
              <w:rPr>
                <w:rFonts w:cstheme="minorHAnsi"/>
                <w:noProof/>
                <w:webHidden/>
                <w:szCs w:val="22"/>
              </w:rPr>
              <w:t>4</w:t>
            </w:r>
            <w:r w:rsidR="00CD2DBD" w:rsidRPr="00CD2DBD">
              <w:rPr>
                <w:rFonts w:cstheme="minorHAnsi"/>
                <w:noProof/>
                <w:webHidden/>
                <w:szCs w:val="22"/>
              </w:rPr>
              <w:fldChar w:fldCharType="end"/>
            </w:r>
          </w:hyperlink>
        </w:p>
        <w:p w14:paraId="0FF89B3B" w14:textId="34EA6480" w:rsidR="00CD2DBD" w:rsidRPr="00CD2DBD" w:rsidRDefault="00000000">
          <w:pPr>
            <w:pStyle w:val="TOC2"/>
            <w:tabs>
              <w:tab w:val="left" w:pos="960"/>
              <w:tab w:val="right" w:leader="dot" w:pos="9629"/>
            </w:tabs>
            <w:rPr>
              <w:rFonts w:eastAsiaTheme="minorEastAsia" w:cstheme="minorHAnsi"/>
              <w:noProof/>
              <w:kern w:val="2"/>
              <w:szCs w:val="22"/>
              <w:lang w:val="en-AU" w:eastAsia="en-AU"/>
              <w14:ligatures w14:val="standardContextual"/>
            </w:rPr>
          </w:pPr>
          <w:hyperlink w:anchor="_Toc169516857" w:history="1">
            <w:r w:rsidR="00CD2DBD" w:rsidRPr="00CD2DBD">
              <w:rPr>
                <w:rStyle w:val="Hyperlink"/>
                <w:rFonts w:cstheme="minorHAnsi"/>
                <w:noProof/>
                <w:szCs w:val="22"/>
              </w:rPr>
              <w:t>4.1.</w:t>
            </w:r>
            <w:r w:rsidR="00CD2DBD" w:rsidRPr="00CD2DBD">
              <w:rPr>
                <w:rFonts w:eastAsiaTheme="minorEastAsia" w:cstheme="minorHAnsi"/>
                <w:noProof/>
                <w:kern w:val="2"/>
                <w:szCs w:val="22"/>
                <w:lang w:val="en-AU" w:eastAsia="en-AU"/>
                <w14:ligatures w14:val="standardContextual"/>
              </w:rPr>
              <w:tab/>
            </w:r>
            <w:r w:rsidR="00CD2DBD" w:rsidRPr="00CD2DBD">
              <w:rPr>
                <w:rStyle w:val="Hyperlink"/>
                <w:rFonts w:cstheme="minorHAnsi"/>
                <w:noProof/>
                <w:szCs w:val="22"/>
              </w:rPr>
              <w:t>Measured By:</w:t>
            </w:r>
            <w:r w:rsidR="00CD2DBD" w:rsidRPr="00CD2DBD">
              <w:rPr>
                <w:rFonts w:cstheme="minorHAnsi"/>
                <w:noProof/>
                <w:webHidden/>
                <w:szCs w:val="22"/>
              </w:rPr>
              <w:tab/>
            </w:r>
            <w:r w:rsidR="00CD2DBD" w:rsidRPr="00CD2DBD">
              <w:rPr>
                <w:rFonts w:cstheme="minorHAnsi"/>
                <w:noProof/>
                <w:webHidden/>
                <w:szCs w:val="22"/>
              </w:rPr>
              <w:fldChar w:fldCharType="begin"/>
            </w:r>
            <w:r w:rsidR="00CD2DBD" w:rsidRPr="00CD2DBD">
              <w:rPr>
                <w:rFonts w:cstheme="minorHAnsi"/>
                <w:noProof/>
                <w:webHidden/>
                <w:szCs w:val="22"/>
              </w:rPr>
              <w:instrText xml:space="preserve"> PAGEREF _Toc169516857 \h </w:instrText>
            </w:r>
            <w:r w:rsidR="00CD2DBD" w:rsidRPr="00CD2DBD">
              <w:rPr>
                <w:rFonts w:cstheme="minorHAnsi"/>
                <w:noProof/>
                <w:webHidden/>
                <w:szCs w:val="22"/>
              </w:rPr>
            </w:r>
            <w:r w:rsidR="00CD2DBD" w:rsidRPr="00CD2DBD">
              <w:rPr>
                <w:rFonts w:cstheme="minorHAnsi"/>
                <w:noProof/>
                <w:webHidden/>
                <w:szCs w:val="22"/>
              </w:rPr>
              <w:fldChar w:fldCharType="separate"/>
            </w:r>
            <w:r w:rsidR="00E304A1">
              <w:rPr>
                <w:rFonts w:cstheme="minorHAnsi"/>
                <w:noProof/>
                <w:webHidden/>
                <w:szCs w:val="22"/>
              </w:rPr>
              <w:t>4</w:t>
            </w:r>
            <w:r w:rsidR="00CD2DBD" w:rsidRPr="00CD2DBD">
              <w:rPr>
                <w:rFonts w:cstheme="minorHAnsi"/>
                <w:noProof/>
                <w:webHidden/>
                <w:szCs w:val="22"/>
              </w:rPr>
              <w:fldChar w:fldCharType="end"/>
            </w:r>
          </w:hyperlink>
        </w:p>
        <w:p w14:paraId="4F67ED0E" w14:textId="669BF762" w:rsidR="00CD2DBD" w:rsidRPr="00CD2DBD" w:rsidRDefault="00000000">
          <w:pPr>
            <w:pStyle w:val="TOC2"/>
            <w:tabs>
              <w:tab w:val="left" w:pos="960"/>
              <w:tab w:val="right" w:leader="dot" w:pos="9629"/>
            </w:tabs>
            <w:rPr>
              <w:rFonts w:eastAsiaTheme="minorEastAsia" w:cstheme="minorHAnsi"/>
              <w:noProof/>
              <w:kern w:val="2"/>
              <w:szCs w:val="22"/>
              <w:lang w:val="en-AU" w:eastAsia="en-AU"/>
              <w14:ligatures w14:val="standardContextual"/>
            </w:rPr>
          </w:pPr>
          <w:hyperlink w:anchor="_Toc169516858" w:history="1">
            <w:r w:rsidR="00CD2DBD" w:rsidRPr="00CD2DBD">
              <w:rPr>
                <w:rStyle w:val="Hyperlink"/>
                <w:rFonts w:cstheme="minorHAnsi"/>
                <w:noProof/>
                <w:szCs w:val="22"/>
              </w:rPr>
              <w:t>4.2.</w:t>
            </w:r>
            <w:r w:rsidR="00CD2DBD" w:rsidRPr="00CD2DBD">
              <w:rPr>
                <w:rFonts w:eastAsiaTheme="minorEastAsia" w:cstheme="minorHAnsi"/>
                <w:noProof/>
                <w:kern w:val="2"/>
                <w:szCs w:val="22"/>
                <w:lang w:val="en-AU" w:eastAsia="en-AU"/>
                <w14:ligatures w14:val="standardContextual"/>
              </w:rPr>
              <w:tab/>
            </w:r>
            <w:r w:rsidR="00CD2DBD" w:rsidRPr="00CD2DBD">
              <w:rPr>
                <w:rStyle w:val="Hyperlink"/>
                <w:rFonts w:cstheme="minorHAnsi"/>
                <w:noProof/>
                <w:szCs w:val="22"/>
              </w:rPr>
              <w:t>Evidenced By:</w:t>
            </w:r>
            <w:r w:rsidR="00CD2DBD" w:rsidRPr="00CD2DBD">
              <w:rPr>
                <w:rFonts w:cstheme="minorHAnsi"/>
                <w:noProof/>
                <w:webHidden/>
                <w:szCs w:val="22"/>
              </w:rPr>
              <w:tab/>
            </w:r>
            <w:r w:rsidR="00CD2DBD" w:rsidRPr="00CD2DBD">
              <w:rPr>
                <w:rFonts w:cstheme="minorHAnsi"/>
                <w:noProof/>
                <w:webHidden/>
                <w:szCs w:val="22"/>
              </w:rPr>
              <w:fldChar w:fldCharType="begin"/>
            </w:r>
            <w:r w:rsidR="00CD2DBD" w:rsidRPr="00CD2DBD">
              <w:rPr>
                <w:rFonts w:cstheme="minorHAnsi"/>
                <w:noProof/>
                <w:webHidden/>
                <w:szCs w:val="22"/>
              </w:rPr>
              <w:instrText xml:space="preserve"> PAGEREF _Toc169516858 \h </w:instrText>
            </w:r>
            <w:r w:rsidR="00CD2DBD" w:rsidRPr="00CD2DBD">
              <w:rPr>
                <w:rFonts w:cstheme="minorHAnsi"/>
                <w:noProof/>
                <w:webHidden/>
                <w:szCs w:val="22"/>
              </w:rPr>
            </w:r>
            <w:r w:rsidR="00CD2DBD" w:rsidRPr="00CD2DBD">
              <w:rPr>
                <w:rFonts w:cstheme="minorHAnsi"/>
                <w:noProof/>
                <w:webHidden/>
                <w:szCs w:val="22"/>
              </w:rPr>
              <w:fldChar w:fldCharType="separate"/>
            </w:r>
            <w:r w:rsidR="00E304A1">
              <w:rPr>
                <w:rFonts w:cstheme="minorHAnsi"/>
                <w:noProof/>
                <w:webHidden/>
                <w:szCs w:val="22"/>
              </w:rPr>
              <w:t>5</w:t>
            </w:r>
            <w:r w:rsidR="00CD2DBD" w:rsidRPr="00CD2DBD">
              <w:rPr>
                <w:rFonts w:cstheme="minorHAnsi"/>
                <w:noProof/>
                <w:webHidden/>
                <w:szCs w:val="22"/>
              </w:rPr>
              <w:fldChar w:fldCharType="end"/>
            </w:r>
          </w:hyperlink>
        </w:p>
        <w:p w14:paraId="60FE0046" w14:textId="0EB975E0" w:rsidR="00CD2DBD" w:rsidRPr="00CD2DBD" w:rsidRDefault="00000000">
          <w:pPr>
            <w:pStyle w:val="TOC1"/>
            <w:tabs>
              <w:tab w:val="left" w:pos="720"/>
              <w:tab w:val="right" w:leader="dot" w:pos="9629"/>
            </w:tabs>
            <w:rPr>
              <w:rFonts w:eastAsiaTheme="minorEastAsia" w:cstheme="minorHAnsi"/>
              <w:noProof/>
              <w:kern w:val="2"/>
              <w:szCs w:val="22"/>
              <w:lang w:val="en-AU" w:eastAsia="en-AU"/>
              <w14:ligatures w14:val="standardContextual"/>
            </w:rPr>
          </w:pPr>
          <w:hyperlink w:anchor="_Toc169516859" w:history="1">
            <w:r w:rsidR="00CD2DBD" w:rsidRPr="00CD2DBD">
              <w:rPr>
                <w:rStyle w:val="Hyperlink"/>
                <w:rFonts w:cstheme="minorHAnsi"/>
                <w:noProof/>
                <w:szCs w:val="22"/>
              </w:rPr>
              <w:t>5.</w:t>
            </w:r>
            <w:r w:rsidR="00CD2DBD" w:rsidRPr="00CD2DBD">
              <w:rPr>
                <w:rFonts w:eastAsiaTheme="minorEastAsia" w:cstheme="minorHAnsi"/>
                <w:noProof/>
                <w:kern w:val="2"/>
                <w:szCs w:val="22"/>
                <w:lang w:val="en-AU" w:eastAsia="en-AU"/>
                <w14:ligatures w14:val="standardContextual"/>
              </w:rPr>
              <w:tab/>
            </w:r>
            <w:r w:rsidR="00CD2DBD" w:rsidRPr="00CD2DBD">
              <w:rPr>
                <w:rStyle w:val="Hyperlink"/>
                <w:rFonts w:cstheme="minorHAnsi"/>
                <w:noProof/>
                <w:szCs w:val="22"/>
              </w:rPr>
              <w:t>Case Study – Declined Application.</w:t>
            </w:r>
            <w:r w:rsidR="00CD2DBD" w:rsidRPr="00CD2DBD">
              <w:rPr>
                <w:rFonts w:cstheme="minorHAnsi"/>
                <w:noProof/>
                <w:webHidden/>
                <w:szCs w:val="22"/>
              </w:rPr>
              <w:tab/>
            </w:r>
            <w:r w:rsidR="00CD2DBD" w:rsidRPr="00CD2DBD">
              <w:rPr>
                <w:rFonts w:cstheme="minorHAnsi"/>
                <w:noProof/>
                <w:webHidden/>
                <w:szCs w:val="22"/>
              </w:rPr>
              <w:fldChar w:fldCharType="begin"/>
            </w:r>
            <w:r w:rsidR="00CD2DBD" w:rsidRPr="00CD2DBD">
              <w:rPr>
                <w:rFonts w:cstheme="minorHAnsi"/>
                <w:noProof/>
                <w:webHidden/>
                <w:szCs w:val="22"/>
              </w:rPr>
              <w:instrText xml:space="preserve"> PAGEREF _Toc169516859 \h </w:instrText>
            </w:r>
            <w:r w:rsidR="00CD2DBD" w:rsidRPr="00CD2DBD">
              <w:rPr>
                <w:rFonts w:cstheme="minorHAnsi"/>
                <w:noProof/>
                <w:webHidden/>
                <w:szCs w:val="22"/>
              </w:rPr>
            </w:r>
            <w:r w:rsidR="00CD2DBD" w:rsidRPr="00CD2DBD">
              <w:rPr>
                <w:rFonts w:cstheme="minorHAnsi"/>
                <w:noProof/>
                <w:webHidden/>
                <w:szCs w:val="22"/>
              </w:rPr>
              <w:fldChar w:fldCharType="separate"/>
            </w:r>
            <w:r w:rsidR="00E304A1">
              <w:rPr>
                <w:rFonts w:cstheme="minorHAnsi"/>
                <w:noProof/>
                <w:webHidden/>
                <w:szCs w:val="22"/>
              </w:rPr>
              <w:t>8</w:t>
            </w:r>
            <w:r w:rsidR="00CD2DBD" w:rsidRPr="00CD2DBD">
              <w:rPr>
                <w:rFonts w:cstheme="minorHAnsi"/>
                <w:noProof/>
                <w:webHidden/>
                <w:szCs w:val="22"/>
              </w:rPr>
              <w:fldChar w:fldCharType="end"/>
            </w:r>
          </w:hyperlink>
        </w:p>
        <w:p w14:paraId="0B5D58D9" w14:textId="1DD01C5B" w:rsidR="00CD2DBD" w:rsidRPr="00CD2DBD" w:rsidRDefault="00000000">
          <w:pPr>
            <w:pStyle w:val="TOC1"/>
            <w:tabs>
              <w:tab w:val="right" w:leader="dot" w:pos="9629"/>
            </w:tabs>
            <w:rPr>
              <w:rFonts w:eastAsiaTheme="minorEastAsia" w:cstheme="minorHAnsi"/>
              <w:noProof/>
              <w:kern w:val="2"/>
              <w:szCs w:val="22"/>
              <w:lang w:val="en-AU" w:eastAsia="en-AU"/>
              <w14:ligatures w14:val="standardContextual"/>
            </w:rPr>
          </w:pPr>
          <w:hyperlink w:anchor="_Toc169516860" w:history="1">
            <w:r w:rsidR="00CD2DBD" w:rsidRPr="00CD2DBD">
              <w:rPr>
                <w:rStyle w:val="Hyperlink"/>
                <w:rFonts w:eastAsia="Times New Roman" w:cstheme="minorHAnsi"/>
                <w:noProof/>
                <w:szCs w:val="22"/>
                <w:lang w:val="en-AU"/>
              </w:rPr>
              <w:t>Appendix A: Summary of feedback from consultation</w:t>
            </w:r>
            <w:r w:rsidR="00CD2DBD" w:rsidRPr="00CD2DBD">
              <w:rPr>
                <w:rFonts w:cstheme="minorHAnsi"/>
                <w:noProof/>
                <w:webHidden/>
                <w:szCs w:val="22"/>
              </w:rPr>
              <w:tab/>
            </w:r>
            <w:r w:rsidR="00CD2DBD" w:rsidRPr="00CD2DBD">
              <w:rPr>
                <w:rFonts w:cstheme="minorHAnsi"/>
                <w:noProof/>
                <w:webHidden/>
                <w:szCs w:val="22"/>
              </w:rPr>
              <w:fldChar w:fldCharType="begin"/>
            </w:r>
            <w:r w:rsidR="00CD2DBD" w:rsidRPr="00CD2DBD">
              <w:rPr>
                <w:rFonts w:cstheme="minorHAnsi"/>
                <w:noProof/>
                <w:webHidden/>
                <w:szCs w:val="22"/>
              </w:rPr>
              <w:instrText xml:space="preserve"> PAGEREF _Toc169516860 \h </w:instrText>
            </w:r>
            <w:r w:rsidR="00CD2DBD" w:rsidRPr="00CD2DBD">
              <w:rPr>
                <w:rFonts w:cstheme="minorHAnsi"/>
                <w:noProof/>
                <w:webHidden/>
                <w:szCs w:val="22"/>
              </w:rPr>
            </w:r>
            <w:r w:rsidR="00CD2DBD" w:rsidRPr="00CD2DBD">
              <w:rPr>
                <w:rFonts w:cstheme="minorHAnsi"/>
                <w:noProof/>
                <w:webHidden/>
                <w:szCs w:val="22"/>
              </w:rPr>
              <w:fldChar w:fldCharType="separate"/>
            </w:r>
            <w:r w:rsidR="00E304A1">
              <w:rPr>
                <w:rFonts w:cstheme="minorHAnsi"/>
                <w:noProof/>
                <w:webHidden/>
                <w:szCs w:val="22"/>
              </w:rPr>
              <w:t>10</w:t>
            </w:r>
            <w:r w:rsidR="00CD2DBD" w:rsidRPr="00CD2DBD">
              <w:rPr>
                <w:rFonts w:cstheme="minorHAnsi"/>
                <w:noProof/>
                <w:webHidden/>
                <w:szCs w:val="22"/>
              </w:rPr>
              <w:fldChar w:fldCharType="end"/>
            </w:r>
          </w:hyperlink>
        </w:p>
        <w:p w14:paraId="646C0374" w14:textId="17262106" w:rsidR="003D6F49" w:rsidRPr="00CD2DBD" w:rsidRDefault="003D6F49" w:rsidP="003D6F49">
          <w:pPr>
            <w:pStyle w:val="Title"/>
            <w:rPr>
              <w:rFonts w:asciiTheme="minorHAnsi" w:hAnsiTheme="minorHAnsi" w:cstheme="minorHAnsi"/>
              <w:sz w:val="22"/>
              <w:szCs w:val="22"/>
            </w:rPr>
          </w:pPr>
          <w:r w:rsidRPr="00CD2DBD">
            <w:rPr>
              <w:rFonts w:asciiTheme="minorHAnsi" w:hAnsiTheme="minorHAnsi" w:cstheme="minorHAnsi"/>
              <w:b/>
              <w:bCs/>
              <w:noProof/>
              <w:sz w:val="22"/>
              <w:szCs w:val="22"/>
            </w:rPr>
            <w:fldChar w:fldCharType="end"/>
          </w:r>
        </w:p>
      </w:sdtContent>
    </w:sdt>
    <w:p w14:paraId="1ECD5B13" w14:textId="77777777" w:rsidR="003D6F49" w:rsidRDefault="003D6F49" w:rsidP="007D3649">
      <w:pPr>
        <w:pStyle w:val="Title"/>
      </w:pPr>
    </w:p>
    <w:p w14:paraId="472BAAE3" w14:textId="77777777" w:rsidR="003D6F49" w:rsidRDefault="003D6F49" w:rsidP="007D3649">
      <w:pPr>
        <w:pStyle w:val="Title"/>
      </w:pPr>
    </w:p>
    <w:p w14:paraId="7147AF23" w14:textId="77777777" w:rsidR="003D6F49" w:rsidRDefault="003D6F49" w:rsidP="007D3649">
      <w:pPr>
        <w:pStyle w:val="Title"/>
      </w:pPr>
    </w:p>
    <w:p w14:paraId="6616C866" w14:textId="77777777" w:rsidR="003D6F49" w:rsidRDefault="003D6F49" w:rsidP="007D3649">
      <w:pPr>
        <w:pStyle w:val="Title"/>
      </w:pPr>
    </w:p>
    <w:p w14:paraId="1312E678" w14:textId="77777777" w:rsidR="003D6F49" w:rsidRDefault="003D6F49">
      <w:pPr>
        <w:rPr>
          <w:rFonts w:ascii="Rockwell" w:eastAsiaTheme="majorEastAsia" w:hAnsi="Rockwell" w:cstheme="majorBidi"/>
          <w:color w:val="2D416E" w:themeColor="accent1" w:themeShade="BF"/>
          <w:spacing w:val="-10"/>
          <w:kern w:val="28"/>
          <w:sz w:val="48"/>
          <w:szCs w:val="48"/>
          <w:lang w:val="en-AU"/>
        </w:rPr>
      </w:pPr>
      <w:r>
        <w:br w:type="page"/>
      </w:r>
    </w:p>
    <w:p w14:paraId="57205545" w14:textId="77777777" w:rsidR="007D3649" w:rsidRPr="00BA7D7C" w:rsidRDefault="009E0121" w:rsidP="00BA7D7C">
      <w:pPr>
        <w:pStyle w:val="Heading1numbered"/>
        <w:rPr>
          <w:rFonts w:ascii="Rockwell" w:hAnsi="Rockwell"/>
        </w:rPr>
      </w:pPr>
      <w:bookmarkStart w:id="2" w:name="_Toc169516853"/>
      <w:r w:rsidRPr="00BA7D7C">
        <w:rPr>
          <w:rFonts w:ascii="Rockwell" w:hAnsi="Rockwell"/>
        </w:rPr>
        <w:lastRenderedPageBreak/>
        <w:t>Introduction</w:t>
      </w:r>
      <w:bookmarkEnd w:id="2"/>
    </w:p>
    <w:p w14:paraId="0E742371" w14:textId="4C64767B" w:rsidR="009E0121" w:rsidRPr="00D63131" w:rsidRDefault="009E0121" w:rsidP="009E0121">
      <w:pPr>
        <w:rPr>
          <w:sz w:val="24"/>
        </w:rPr>
      </w:pPr>
      <w:r w:rsidRPr="00D63131">
        <w:rPr>
          <w:sz w:val="24"/>
        </w:rPr>
        <w:t xml:space="preserve">The </w:t>
      </w:r>
      <w:r w:rsidRPr="00D63131">
        <w:rPr>
          <w:i/>
          <w:sz w:val="24"/>
        </w:rPr>
        <w:t>Protection of Word ‘Anzac’ Regulations</w:t>
      </w:r>
      <w:r w:rsidRPr="00D63131">
        <w:rPr>
          <w:sz w:val="24"/>
        </w:rPr>
        <w:t xml:space="preserve"> </w:t>
      </w:r>
      <w:r w:rsidRPr="00D63131">
        <w:rPr>
          <w:i/>
          <w:sz w:val="24"/>
        </w:rPr>
        <w:t>1921</w:t>
      </w:r>
      <w:r w:rsidRPr="00D63131">
        <w:rPr>
          <w:sz w:val="24"/>
        </w:rPr>
        <w:t xml:space="preserve"> (the Regulations) broadly state that to use the word ‘Anzac’ or any word resembling ‘Anzac’ in an official or corporate manner, permission from the Minister for Veterans’ Affairs (Minister) is required.  The Regulations are the responsibility of the Department of Veterans’ Affairs (DVA) and are DVA’s only regulatory activity</w:t>
      </w:r>
      <w:r w:rsidR="00FA20C7">
        <w:rPr>
          <w:sz w:val="24"/>
        </w:rPr>
        <w:t>.  T</w:t>
      </w:r>
      <w:r w:rsidRPr="00D63131">
        <w:rPr>
          <w:sz w:val="24"/>
        </w:rPr>
        <w:t xml:space="preserve">he Regulations affect a small number of </w:t>
      </w:r>
      <w:r w:rsidR="00473E18" w:rsidRPr="00D63131">
        <w:rPr>
          <w:sz w:val="24"/>
        </w:rPr>
        <w:t>organi</w:t>
      </w:r>
      <w:r w:rsidR="002B2EFE">
        <w:rPr>
          <w:sz w:val="24"/>
        </w:rPr>
        <w:t>s</w:t>
      </w:r>
      <w:r w:rsidR="00473E18" w:rsidRPr="00D63131">
        <w:rPr>
          <w:sz w:val="24"/>
        </w:rPr>
        <w:t>ations</w:t>
      </w:r>
      <w:r w:rsidRPr="00D63131">
        <w:rPr>
          <w:sz w:val="24"/>
        </w:rPr>
        <w:t xml:space="preserve"> and individuals each year.</w:t>
      </w:r>
    </w:p>
    <w:p w14:paraId="20502174" w14:textId="5E7B6C1A" w:rsidR="009E0121" w:rsidRDefault="00944742" w:rsidP="00161052">
      <w:pPr>
        <w:rPr>
          <w:rFonts w:cstheme="minorHAnsi"/>
          <w:sz w:val="24"/>
        </w:rPr>
      </w:pPr>
      <w:r>
        <w:rPr>
          <w:sz w:val="24"/>
        </w:rPr>
        <w:t xml:space="preserve">Between 2016 and 2020, </w:t>
      </w:r>
      <w:r w:rsidR="00AA4879">
        <w:rPr>
          <w:sz w:val="24"/>
        </w:rPr>
        <w:t>DVA</w:t>
      </w:r>
      <w:r w:rsidR="009E0121" w:rsidRPr="00D63131">
        <w:rPr>
          <w:sz w:val="24"/>
        </w:rPr>
        <w:t xml:space="preserve"> published </w:t>
      </w:r>
      <w:r w:rsidR="00161052">
        <w:rPr>
          <w:sz w:val="24"/>
        </w:rPr>
        <w:t xml:space="preserve">an annual </w:t>
      </w:r>
      <w:r>
        <w:rPr>
          <w:sz w:val="24"/>
        </w:rPr>
        <w:t xml:space="preserve">Regulator Performance Framework </w:t>
      </w:r>
      <w:r w:rsidR="00161052">
        <w:rPr>
          <w:sz w:val="24"/>
        </w:rPr>
        <w:t xml:space="preserve">(RPF) </w:t>
      </w:r>
      <w:r>
        <w:rPr>
          <w:sz w:val="24"/>
        </w:rPr>
        <w:t>externally validated self-assessment report</w:t>
      </w:r>
      <w:r w:rsidR="00161052">
        <w:rPr>
          <w:sz w:val="24"/>
        </w:rPr>
        <w:t xml:space="preserve">, with the last report published </w:t>
      </w:r>
      <w:r w:rsidR="00AA4879">
        <w:rPr>
          <w:sz w:val="24"/>
        </w:rPr>
        <w:t xml:space="preserve">in December 2021 </w:t>
      </w:r>
      <w:r w:rsidR="00161052">
        <w:rPr>
          <w:sz w:val="24"/>
        </w:rPr>
        <w:t>for the 2020</w:t>
      </w:r>
      <w:r w:rsidR="002B2EFE">
        <w:rPr>
          <w:sz w:val="24"/>
        </w:rPr>
        <w:t>‒</w:t>
      </w:r>
      <w:r w:rsidR="00161052">
        <w:rPr>
          <w:sz w:val="24"/>
        </w:rPr>
        <w:t>21 reporting year</w:t>
      </w:r>
      <w:r w:rsidR="00AA4879">
        <w:rPr>
          <w:sz w:val="24"/>
        </w:rPr>
        <w:t>.</w:t>
      </w:r>
      <w:r w:rsidR="00161052">
        <w:rPr>
          <w:sz w:val="24"/>
        </w:rPr>
        <w:t xml:space="preserve">  A new reporting f</w:t>
      </w:r>
      <w:r w:rsidR="004F3DF7">
        <w:rPr>
          <w:sz w:val="24"/>
        </w:rPr>
        <w:t xml:space="preserve">ramework was introduced in </w:t>
      </w:r>
      <w:r w:rsidR="00161052">
        <w:rPr>
          <w:sz w:val="24"/>
        </w:rPr>
        <w:t xml:space="preserve">2021, </w:t>
      </w:r>
      <w:r w:rsidR="00161052" w:rsidRPr="00D63131">
        <w:rPr>
          <w:rFonts w:cstheme="minorHAnsi"/>
          <w:sz w:val="24"/>
        </w:rPr>
        <w:t>the Word Anzac Regulator Framework (WARF)</w:t>
      </w:r>
      <w:r w:rsidR="00161052">
        <w:rPr>
          <w:rFonts w:cstheme="minorHAnsi"/>
          <w:sz w:val="24"/>
        </w:rPr>
        <w:t xml:space="preserve">, </w:t>
      </w:r>
      <w:r w:rsidR="004F3DF7">
        <w:rPr>
          <w:rFonts w:cstheme="minorHAnsi"/>
          <w:sz w:val="24"/>
        </w:rPr>
        <w:t xml:space="preserve">which is also an </w:t>
      </w:r>
      <w:r w:rsidR="00161052">
        <w:rPr>
          <w:rFonts w:cstheme="minorHAnsi"/>
          <w:sz w:val="24"/>
        </w:rPr>
        <w:t>externally validated self-assessment report adopting best</w:t>
      </w:r>
      <w:r w:rsidR="002B2EFE">
        <w:rPr>
          <w:rFonts w:cstheme="minorHAnsi"/>
          <w:sz w:val="24"/>
        </w:rPr>
        <w:t>-</w:t>
      </w:r>
      <w:r w:rsidR="00161052">
        <w:rPr>
          <w:rFonts w:cstheme="minorHAnsi"/>
          <w:sz w:val="24"/>
        </w:rPr>
        <w:t xml:space="preserve">practice principles of: </w:t>
      </w:r>
    </w:p>
    <w:p w14:paraId="3D2010F8" w14:textId="18E4354B" w:rsidR="009E0121" w:rsidRPr="00161052" w:rsidRDefault="009E0121" w:rsidP="00AA4879">
      <w:pPr>
        <w:pStyle w:val="ListParagraph0"/>
        <w:numPr>
          <w:ilvl w:val="0"/>
          <w:numId w:val="14"/>
        </w:numPr>
        <w:spacing w:after="0" w:line="240" w:lineRule="auto"/>
        <w:contextualSpacing/>
        <w:rPr>
          <w:rFonts w:cstheme="minorHAnsi"/>
          <w:sz w:val="24"/>
        </w:rPr>
      </w:pPr>
      <w:r w:rsidRPr="00161052">
        <w:rPr>
          <w:rFonts w:cstheme="minorHAnsi"/>
          <w:sz w:val="24"/>
        </w:rPr>
        <w:t>Continuous improvement and building trust;</w:t>
      </w:r>
    </w:p>
    <w:p w14:paraId="1237CBEB" w14:textId="77777777" w:rsidR="009E0121" w:rsidRPr="00D63131" w:rsidRDefault="009E0121" w:rsidP="009E0121">
      <w:pPr>
        <w:pStyle w:val="ListParagraph0"/>
        <w:numPr>
          <w:ilvl w:val="0"/>
          <w:numId w:val="14"/>
        </w:numPr>
        <w:spacing w:after="0" w:line="240" w:lineRule="auto"/>
        <w:contextualSpacing/>
        <w:rPr>
          <w:rFonts w:cstheme="minorHAnsi"/>
          <w:sz w:val="24"/>
        </w:rPr>
      </w:pPr>
      <w:r w:rsidRPr="00D63131">
        <w:rPr>
          <w:rFonts w:cstheme="minorHAnsi"/>
          <w:sz w:val="24"/>
        </w:rPr>
        <w:t>Risk based and data driven; and</w:t>
      </w:r>
    </w:p>
    <w:p w14:paraId="0196B757" w14:textId="77777777" w:rsidR="009E0121" w:rsidRPr="00D63131" w:rsidRDefault="009E0121" w:rsidP="009E0121">
      <w:pPr>
        <w:pStyle w:val="ListParagraph0"/>
        <w:numPr>
          <w:ilvl w:val="0"/>
          <w:numId w:val="14"/>
        </w:numPr>
        <w:spacing w:after="0" w:line="240" w:lineRule="auto"/>
        <w:contextualSpacing/>
        <w:rPr>
          <w:rFonts w:cstheme="minorHAnsi"/>
          <w:sz w:val="24"/>
        </w:rPr>
      </w:pPr>
      <w:r w:rsidRPr="00D63131">
        <w:rPr>
          <w:rFonts w:cstheme="minorHAnsi"/>
          <w:sz w:val="24"/>
        </w:rPr>
        <w:t>Collaboration and engagement.</w:t>
      </w:r>
    </w:p>
    <w:p w14:paraId="0E04243B" w14:textId="77777777" w:rsidR="009E0121" w:rsidRPr="00D63131" w:rsidRDefault="009E0121" w:rsidP="009E0121">
      <w:pPr>
        <w:spacing w:after="0" w:line="240" w:lineRule="auto"/>
        <w:rPr>
          <w:rFonts w:cstheme="minorHAnsi"/>
          <w:sz w:val="24"/>
        </w:rPr>
      </w:pPr>
    </w:p>
    <w:p w14:paraId="0E5384D7" w14:textId="11295E90" w:rsidR="009E0121" w:rsidRDefault="009E0121" w:rsidP="00727077">
      <w:pPr>
        <w:rPr>
          <w:sz w:val="24"/>
        </w:rPr>
      </w:pPr>
      <w:r w:rsidRPr="00D63131">
        <w:rPr>
          <w:sz w:val="24"/>
        </w:rPr>
        <w:t>DVA use</w:t>
      </w:r>
      <w:r w:rsidR="00FA20C7">
        <w:rPr>
          <w:sz w:val="24"/>
        </w:rPr>
        <w:t>d</w:t>
      </w:r>
      <w:r w:rsidRPr="00D63131">
        <w:rPr>
          <w:sz w:val="24"/>
        </w:rPr>
        <w:t xml:space="preserve"> 2021</w:t>
      </w:r>
      <w:r w:rsidR="002B2EFE">
        <w:rPr>
          <w:sz w:val="24"/>
        </w:rPr>
        <w:t>‒</w:t>
      </w:r>
      <w:r w:rsidRPr="00D63131">
        <w:rPr>
          <w:sz w:val="24"/>
        </w:rPr>
        <w:t>22 as a transition year to refine the WARF</w:t>
      </w:r>
      <w:r w:rsidR="002B2EFE">
        <w:rPr>
          <w:sz w:val="24"/>
        </w:rPr>
        <w:t>,</w:t>
      </w:r>
      <w:r w:rsidR="00617072">
        <w:rPr>
          <w:sz w:val="24"/>
        </w:rPr>
        <w:t xml:space="preserve"> and the first WARF report was </w:t>
      </w:r>
      <w:r w:rsidR="00727077">
        <w:rPr>
          <w:sz w:val="24"/>
        </w:rPr>
        <w:t xml:space="preserve">published </w:t>
      </w:r>
      <w:r w:rsidR="002B2EFE">
        <w:rPr>
          <w:sz w:val="24"/>
        </w:rPr>
        <w:t xml:space="preserve">in November 2023 </w:t>
      </w:r>
      <w:r w:rsidR="00727077">
        <w:rPr>
          <w:sz w:val="24"/>
        </w:rPr>
        <w:t xml:space="preserve">on the DVA website. </w:t>
      </w:r>
    </w:p>
    <w:p w14:paraId="351BF264" w14:textId="1FA1A0A8" w:rsidR="009E0121" w:rsidRPr="00D63131" w:rsidRDefault="009E0121" w:rsidP="00CE12EE">
      <w:pPr>
        <w:spacing w:after="0" w:line="240" w:lineRule="auto"/>
        <w:rPr>
          <w:rFonts w:cstheme="minorHAnsi"/>
          <w:sz w:val="24"/>
        </w:rPr>
      </w:pPr>
      <w:r w:rsidRPr="00D63131">
        <w:rPr>
          <w:rFonts w:cstheme="minorHAnsi"/>
          <w:sz w:val="24"/>
        </w:rPr>
        <w:t>The outcomes of our efforts to manage the Regulations are measured against an overarching Key Performance Indicator (KPI)</w:t>
      </w:r>
      <w:r w:rsidR="003A586D">
        <w:rPr>
          <w:rFonts w:cstheme="minorHAnsi"/>
          <w:sz w:val="24"/>
        </w:rPr>
        <w:t xml:space="preserve"> </w:t>
      </w:r>
      <w:r w:rsidRPr="00D63131">
        <w:rPr>
          <w:rFonts w:cstheme="minorHAnsi"/>
          <w:sz w:val="24"/>
        </w:rPr>
        <w:t>and several individual measurements, underpinned by the best</w:t>
      </w:r>
      <w:r w:rsidR="002B2EFE">
        <w:rPr>
          <w:rFonts w:cstheme="minorHAnsi"/>
          <w:sz w:val="24"/>
        </w:rPr>
        <w:t>-</w:t>
      </w:r>
      <w:r w:rsidRPr="00D63131">
        <w:rPr>
          <w:rFonts w:cstheme="minorHAnsi"/>
          <w:sz w:val="24"/>
        </w:rPr>
        <w:t xml:space="preserve">practice principles.  Requests to use the word </w:t>
      </w:r>
      <w:r>
        <w:rPr>
          <w:rFonts w:cstheme="minorHAnsi"/>
          <w:sz w:val="24"/>
        </w:rPr>
        <w:t>‘</w:t>
      </w:r>
      <w:r w:rsidRPr="00D63131">
        <w:rPr>
          <w:rFonts w:cstheme="minorHAnsi"/>
          <w:sz w:val="24"/>
        </w:rPr>
        <w:t>Anzac</w:t>
      </w:r>
      <w:r>
        <w:rPr>
          <w:rFonts w:cstheme="minorHAnsi"/>
          <w:sz w:val="24"/>
        </w:rPr>
        <w:t>’</w:t>
      </w:r>
      <w:r w:rsidRPr="00D63131">
        <w:rPr>
          <w:rFonts w:cstheme="minorHAnsi"/>
          <w:sz w:val="24"/>
        </w:rPr>
        <w:t xml:space="preserve"> is demand driven and it is not reliably possible to measure this demand.  High</w:t>
      </w:r>
      <w:r w:rsidR="002B2EFE">
        <w:rPr>
          <w:rFonts w:cstheme="minorHAnsi"/>
          <w:sz w:val="24"/>
        </w:rPr>
        <w:t>-</w:t>
      </w:r>
      <w:r w:rsidRPr="00D63131">
        <w:rPr>
          <w:rFonts w:cstheme="minorHAnsi"/>
          <w:sz w:val="24"/>
        </w:rPr>
        <w:t>level statistics are included elsewhere in the WARF report for the current reporting period</w:t>
      </w:r>
      <w:r w:rsidR="002B2EFE">
        <w:rPr>
          <w:rFonts w:cstheme="minorHAnsi"/>
          <w:sz w:val="24"/>
        </w:rPr>
        <w:t>,</w:t>
      </w:r>
      <w:r w:rsidRPr="00D63131">
        <w:rPr>
          <w:rFonts w:cstheme="minorHAnsi"/>
          <w:sz w:val="24"/>
        </w:rPr>
        <w:t xml:space="preserve"> compared to previous years.</w:t>
      </w:r>
    </w:p>
    <w:p w14:paraId="74FCEC6A" w14:textId="77777777" w:rsidR="007D3649" w:rsidRPr="00BA7D7C" w:rsidRDefault="009E0121" w:rsidP="00BA7D7C">
      <w:pPr>
        <w:pStyle w:val="Heading1numbered"/>
        <w:rPr>
          <w:rFonts w:ascii="Rockwell" w:hAnsi="Rockwell"/>
        </w:rPr>
      </w:pPr>
      <w:bookmarkStart w:id="3" w:name="_Toc169516854"/>
      <w:r w:rsidRPr="00BA7D7C">
        <w:rPr>
          <w:rFonts w:ascii="Rockwell" w:hAnsi="Rockwell"/>
        </w:rPr>
        <w:t>Process</w:t>
      </w:r>
      <w:bookmarkEnd w:id="3"/>
    </w:p>
    <w:p w14:paraId="2606A468" w14:textId="169D14D1" w:rsidR="009E0121" w:rsidRDefault="009E0121" w:rsidP="009E0121">
      <w:pPr>
        <w:rPr>
          <w:sz w:val="24"/>
        </w:rPr>
      </w:pPr>
      <w:r w:rsidRPr="00D63131">
        <w:rPr>
          <w:sz w:val="24"/>
        </w:rPr>
        <w:t>The self-assessment report process contain</w:t>
      </w:r>
      <w:r w:rsidR="00FA20C7">
        <w:rPr>
          <w:sz w:val="24"/>
        </w:rPr>
        <w:t>s</w:t>
      </w:r>
      <w:r w:rsidRPr="00D63131">
        <w:rPr>
          <w:sz w:val="24"/>
        </w:rPr>
        <w:t xml:space="preserve"> the KPI, performance measures and the evidence used to identify the extent to which DVA is achieving good regulatory performance.  </w:t>
      </w:r>
      <w:r w:rsidR="00FA20C7">
        <w:rPr>
          <w:sz w:val="24"/>
        </w:rPr>
        <w:t xml:space="preserve">Once </w:t>
      </w:r>
      <w:r w:rsidR="004F3DF7">
        <w:rPr>
          <w:sz w:val="24"/>
        </w:rPr>
        <w:t xml:space="preserve">a </w:t>
      </w:r>
      <w:r w:rsidR="00FA20C7">
        <w:rPr>
          <w:sz w:val="24"/>
        </w:rPr>
        <w:t>draft report is prepared</w:t>
      </w:r>
      <w:r w:rsidR="002B2EFE">
        <w:rPr>
          <w:sz w:val="24"/>
        </w:rPr>
        <w:t>,</w:t>
      </w:r>
      <w:r w:rsidR="00FA20C7">
        <w:rPr>
          <w:sz w:val="24"/>
        </w:rPr>
        <w:t xml:space="preserve"> it is</w:t>
      </w:r>
      <w:r w:rsidRPr="00D63131">
        <w:rPr>
          <w:sz w:val="24"/>
        </w:rPr>
        <w:t xml:space="preserve"> circulated to the Ex</w:t>
      </w:r>
      <w:r>
        <w:rPr>
          <w:sz w:val="24"/>
        </w:rPr>
        <w:t>-</w:t>
      </w:r>
      <w:r w:rsidRPr="00D63131">
        <w:rPr>
          <w:sz w:val="24"/>
        </w:rPr>
        <w:t xml:space="preserve">Service </w:t>
      </w:r>
      <w:r w:rsidR="00473E18" w:rsidRPr="00D63131">
        <w:rPr>
          <w:sz w:val="24"/>
        </w:rPr>
        <w:t>Organization</w:t>
      </w:r>
      <w:r w:rsidRPr="00D63131">
        <w:rPr>
          <w:sz w:val="24"/>
        </w:rPr>
        <w:t xml:space="preserve"> Round Table</w:t>
      </w:r>
      <w:r w:rsidR="00FA20C7">
        <w:rPr>
          <w:sz w:val="24"/>
        </w:rPr>
        <w:t xml:space="preserve"> (ESORT)</w:t>
      </w:r>
      <w:r w:rsidRPr="00D63131">
        <w:rPr>
          <w:sz w:val="24"/>
        </w:rPr>
        <w:t xml:space="preserve"> for external validation, with their comments included in the final report.  </w:t>
      </w:r>
      <w:r w:rsidR="00FA20C7">
        <w:rPr>
          <w:sz w:val="24"/>
        </w:rPr>
        <w:t>T</w:t>
      </w:r>
      <w:r w:rsidRPr="00D63131">
        <w:rPr>
          <w:sz w:val="24"/>
        </w:rPr>
        <w:t xml:space="preserve">he </w:t>
      </w:r>
      <w:r>
        <w:rPr>
          <w:sz w:val="24"/>
        </w:rPr>
        <w:t xml:space="preserve">final </w:t>
      </w:r>
      <w:r w:rsidRPr="00D63131">
        <w:rPr>
          <w:sz w:val="24"/>
        </w:rPr>
        <w:t xml:space="preserve">report </w:t>
      </w:r>
      <w:r w:rsidR="00FA20C7">
        <w:rPr>
          <w:sz w:val="24"/>
        </w:rPr>
        <w:t>is then</w:t>
      </w:r>
      <w:r w:rsidRPr="00D63131">
        <w:rPr>
          <w:sz w:val="24"/>
        </w:rPr>
        <w:t xml:space="preserve"> published on the DVA website</w:t>
      </w:r>
      <w:r>
        <w:rPr>
          <w:sz w:val="24"/>
        </w:rPr>
        <w:t>.</w:t>
      </w:r>
    </w:p>
    <w:p w14:paraId="67DDF408" w14:textId="1818DE8B" w:rsidR="009E0121" w:rsidRPr="00BA7D7C" w:rsidRDefault="009E0121" w:rsidP="00BA7D7C">
      <w:pPr>
        <w:pStyle w:val="Heading1numbered"/>
        <w:rPr>
          <w:rFonts w:ascii="Rockwell" w:hAnsi="Rockwell"/>
        </w:rPr>
      </w:pPr>
      <w:bookmarkStart w:id="4" w:name="_Toc169516855"/>
      <w:r w:rsidRPr="00BA7D7C">
        <w:rPr>
          <w:rFonts w:ascii="Rockwell" w:hAnsi="Rockwell"/>
        </w:rPr>
        <w:t>202</w:t>
      </w:r>
      <w:r w:rsidR="00617072">
        <w:rPr>
          <w:rFonts w:ascii="Rockwell" w:hAnsi="Rockwell"/>
        </w:rPr>
        <w:t>2</w:t>
      </w:r>
      <w:r w:rsidR="002B2EFE">
        <w:rPr>
          <w:rFonts w:ascii="Times New Roman" w:hAnsi="Times New Roman" w:cs="Times New Roman"/>
        </w:rPr>
        <w:t>‒</w:t>
      </w:r>
      <w:r w:rsidRPr="00BA7D7C">
        <w:rPr>
          <w:rFonts w:ascii="Rockwell" w:hAnsi="Rockwell"/>
        </w:rPr>
        <w:t>2</w:t>
      </w:r>
      <w:r w:rsidR="00617072">
        <w:rPr>
          <w:rFonts w:ascii="Rockwell" w:hAnsi="Rockwell"/>
        </w:rPr>
        <w:t>3</w:t>
      </w:r>
      <w:r w:rsidRPr="00BA7D7C">
        <w:rPr>
          <w:rFonts w:ascii="Rockwell" w:hAnsi="Rockwell"/>
        </w:rPr>
        <w:t xml:space="preserve"> Summary</w:t>
      </w:r>
      <w:bookmarkEnd w:id="4"/>
    </w:p>
    <w:p w14:paraId="48E7D755" w14:textId="036590E7" w:rsidR="009E0121" w:rsidRPr="00D63131" w:rsidRDefault="00AF6660" w:rsidP="009E0121">
      <w:pPr>
        <w:rPr>
          <w:sz w:val="24"/>
        </w:rPr>
      </w:pPr>
      <w:r>
        <w:rPr>
          <w:sz w:val="24"/>
        </w:rPr>
        <w:t xml:space="preserve">Specific </w:t>
      </w:r>
      <w:r w:rsidR="009E0121" w:rsidRPr="00D63131">
        <w:rPr>
          <w:sz w:val="24"/>
        </w:rPr>
        <w:t>DVA</w:t>
      </w:r>
      <w:r>
        <w:rPr>
          <w:sz w:val="24"/>
        </w:rPr>
        <w:t xml:space="preserve"> executives</w:t>
      </w:r>
      <w:r w:rsidR="009E0121" w:rsidRPr="00D63131">
        <w:rPr>
          <w:sz w:val="24"/>
        </w:rPr>
        <w:t>, as delegate</w:t>
      </w:r>
      <w:r>
        <w:rPr>
          <w:sz w:val="24"/>
        </w:rPr>
        <w:t>s</w:t>
      </w:r>
      <w:r w:rsidR="009E0121" w:rsidRPr="00D63131">
        <w:rPr>
          <w:sz w:val="24"/>
        </w:rPr>
        <w:t xml:space="preserve"> for the Minister for Veterans’ Affairs (the Minister), assess applications and issue permits to use the word ‘Anzac’.  </w:t>
      </w:r>
      <w:r w:rsidR="009E0121">
        <w:rPr>
          <w:sz w:val="24"/>
        </w:rPr>
        <w:t>The a</w:t>
      </w:r>
      <w:r w:rsidR="009E0121" w:rsidRPr="00D63131">
        <w:rPr>
          <w:sz w:val="24"/>
        </w:rPr>
        <w:t xml:space="preserve">pplication process is </w:t>
      </w:r>
      <w:r w:rsidR="00CB6756" w:rsidRPr="00D63131">
        <w:rPr>
          <w:sz w:val="24"/>
        </w:rPr>
        <w:t>simple,</w:t>
      </w:r>
      <w:r w:rsidR="009E0121" w:rsidRPr="00D63131">
        <w:rPr>
          <w:sz w:val="24"/>
        </w:rPr>
        <w:t xml:space="preserve"> and it is free to apply for a permit.  Permits last for varying lengths of time, depending on the purpose of the permitted activity/product, but can be made to last a number of years, reducing the burden on </w:t>
      </w:r>
      <w:r w:rsidR="009E0121" w:rsidRPr="00D63131">
        <w:rPr>
          <w:sz w:val="24"/>
        </w:rPr>
        <w:lastRenderedPageBreak/>
        <w:t>regulated entities to re</w:t>
      </w:r>
      <w:r w:rsidR="009E0121">
        <w:rPr>
          <w:sz w:val="24"/>
        </w:rPr>
        <w:t>-</w:t>
      </w:r>
      <w:r w:rsidR="009E0121" w:rsidRPr="00D63131">
        <w:rPr>
          <w:sz w:val="24"/>
        </w:rPr>
        <w:t>apply.  Once a permit has been issued, DVA does not</w:t>
      </w:r>
      <w:r w:rsidR="009E0121">
        <w:rPr>
          <w:sz w:val="24"/>
        </w:rPr>
        <w:t xml:space="preserve"> usually</w:t>
      </w:r>
      <w:r w:rsidR="009E0121" w:rsidRPr="00D63131">
        <w:rPr>
          <w:sz w:val="24"/>
        </w:rPr>
        <w:t xml:space="preserve"> require any regular follow-up reporting from regulated entities.  </w:t>
      </w:r>
    </w:p>
    <w:p w14:paraId="013CBE76" w14:textId="77777777" w:rsidR="009E0121" w:rsidRPr="00D63131" w:rsidRDefault="009E0121" w:rsidP="009E0121">
      <w:pPr>
        <w:rPr>
          <w:sz w:val="24"/>
        </w:rPr>
      </w:pPr>
      <w:r w:rsidRPr="00D63131">
        <w:rPr>
          <w:sz w:val="24"/>
        </w:rPr>
        <w:t xml:space="preserve">Permission is also required </w:t>
      </w:r>
      <w:r w:rsidR="00AF6660">
        <w:rPr>
          <w:sz w:val="24"/>
        </w:rPr>
        <w:t>from</w:t>
      </w:r>
      <w:r w:rsidR="00AF6660" w:rsidRPr="00D63131">
        <w:rPr>
          <w:sz w:val="24"/>
        </w:rPr>
        <w:t xml:space="preserve"> </w:t>
      </w:r>
      <w:r w:rsidRPr="00D63131">
        <w:rPr>
          <w:sz w:val="24"/>
        </w:rPr>
        <w:t xml:space="preserve">the Minister or delegate to import goods into Australia that bear the word ‘Anzac’, under the </w:t>
      </w:r>
      <w:r w:rsidRPr="00D63131">
        <w:rPr>
          <w:i/>
          <w:sz w:val="24"/>
        </w:rPr>
        <w:t xml:space="preserve">Customs (Prohibited Imports) Regulations 1956 (Cth).  </w:t>
      </w:r>
      <w:r w:rsidRPr="00D63131">
        <w:rPr>
          <w:sz w:val="24"/>
        </w:rPr>
        <w:t xml:space="preserve">If an applicant requests permission to import ‘Anzac’ goods, it is considered on the same basis as any other application to use the word ‘Anzac’.  </w:t>
      </w:r>
    </w:p>
    <w:p w14:paraId="12635B89" w14:textId="77777777" w:rsidR="009E0121" w:rsidRPr="00BA7D7C" w:rsidRDefault="00C52925" w:rsidP="00BA7D7C">
      <w:pPr>
        <w:pStyle w:val="Heading1numbered"/>
        <w:rPr>
          <w:rFonts w:ascii="Rockwell" w:hAnsi="Rockwell"/>
        </w:rPr>
      </w:pPr>
      <w:bookmarkStart w:id="5" w:name="_Toc169516856"/>
      <w:r w:rsidRPr="00BA7D7C">
        <w:rPr>
          <w:rFonts w:ascii="Rockwell" w:hAnsi="Rockwell"/>
        </w:rPr>
        <w:t>Key Performance Indicator</w:t>
      </w:r>
      <w:bookmarkEnd w:id="5"/>
      <w:r w:rsidRPr="00BA7D7C">
        <w:rPr>
          <w:rFonts w:ascii="Rockwell" w:hAnsi="Rockwell"/>
        </w:rPr>
        <w:t xml:space="preserve"> </w:t>
      </w:r>
    </w:p>
    <w:p w14:paraId="08BB3FC3" w14:textId="77777777" w:rsidR="009E0121" w:rsidRPr="00BA7D7C" w:rsidRDefault="009E0121" w:rsidP="009E0121">
      <w:pPr>
        <w:rPr>
          <w:sz w:val="24"/>
        </w:rPr>
      </w:pPr>
      <w:r w:rsidRPr="00C355D7">
        <w:rPr>
          <w:rFonts w:eastAsia="Times New Roman" w:cs="Times New Roman"/>
          <w:sz w:val="24"/>
          <w:lang w:val="en-AU" w:eastAsia="en-AU"/>
        </w:rPr>
        <w:t>The Regulations do not unnecessarily impede the efficient operation of regulated entities, building</w:t>
      </w:r>
      <w:r w:rsidRPr="00BA7D7C">
        <w:rPr>
          <w:sz w:val="24"/>
        </w:rPr>
        <w:t xml:space="preserve"> trust and confidence in Australia’s regulatory settings</w:t>
      </w:r>
      <w:r w:rsidR="00BA7D7C">
        <w:rPr>
          <w:sz w:val="24"/>
        </w:rPr>
        <w:t>.</w:t>
      </w:r>
    </w:p>
    <w:p w14:paraId="1289C22B" w14:textId="20BA2433" w:rsidR="009E0121" w:rsidRPr="00BA7D7C" w:rsidRDefault="009E0121" w:rsidP="00BA7D7C">
      <w:pPr>
        <w:pStyle w:val="Heading2numbered"/>
        <w:rPr>
          <w:rFonts w:ascii="Rockwell" w:hAnsi="Rockwell"/>
          <w:szCs w:val="24"/>
        </w:rPr>
      </w:pPr>
      <w:bookmarkStart w:id="6" w:name="_Toc169516857"/>
      <w:r w:rsidRPr="00BA7D7C">
        <w:rPr>
          <w:rFonts w:ascii="Rockwell" w:hAnsi="Rockwell"/>
        </w:rPr>
        <w:t>Measured By</w:t>
      </w:r>
      <w:r w:rsidR="001C1D2C">
        <w:rPr>
          <w:rFonts w:ascii="Rockwell" w:hAnsi="Rockwell"/>
        </w:rPr>
        <w:t>:</w:t>
      </w:r>
      <w:bookmarkEnd w:id="6"/>
    </w:p>
    <w:p w14:paraId="49EAAECB" w14:textId="09D46611" w:rsidR="009E0121" w:rsidRPr="00D63131" w:rsidRDefault="009E0121" w:rsidP="00C355D7">
      <w:pPr>
        <w:pStyle w:val="ListParagraph0"/>
        <w:numPr>
          <w:ilvl w:val="0"/>
          <w:numId w:val="15"/>
        </w:numPr>
        <w:spacing w:after="160" w:line="240" w:lineRule="auto"/>
        <w:ind w:left="408" w:hanging="357"/>
        <w:rPr>
          <w:sz w:val="24"/>
        </w:rPr>
      </w:pPr>
      <w:r w:rsidRPr="00D63131">
        <w:rPr>
          <w:sz w:val="24"/>
        </w:rPr>
        <w:t>Actions taken to minimise the potential for unintended negative impacts of regulatory activities on regulated entities or affected supplier industries and supply chains.</w:t>
      </w:r>
      <w:r w:rsidR="006C6934">
        <w:rPr>
          <w:sz w:val="24"/>
        </w:rPr>
        <w:t xml:space="preserve">  This includes </w:t>
      </w:r>
      <w:r w:rsidR="006C6934" w:rsidRPr="00762621">
        <w:rPr>
          <w:sz w:val="24"/>
        </w:rPr>
        <w:t>regularly examin</w:t>
      </w:r>
      <w:r w:rsidR="006C6934">
        <w:rPr>
          <w:sz w:val="24"/>
        </w:rPr>
        <w:t>ing</w:t>
      </w:r>
      <w:r w:rsidR="006C6934" w:rsidRPr="00762621">
        <w:rPr>
          <w:sz w:val="24"/>
        </w:rPr>
        <w:t xml:space="preserve"> the end</w:t>
      </w:r>
      <w:r w:rsidR="002B2EFE">
        <w:rPr>
          <w:sz w:val="24"/>
        </w:rPr>
        <w:t>-</w:t>
      </w:r>
      <w:r w:rsidR="006C6934" w:rsidRPr="00762621">
        <w:rPr>
          <w:sz w:val="24"/>
        </w:rPr>
        <w:t>to</w:t>
      </w:r>
      <w:r w:rsidR="002B2EFE">
        <w:rPr>
          <w:sz w:val="24"/>
        </w:rPr>
        <w:t>-</w:t>
      </w:r>
      <w:r w:rsidR="006C6934" w:rsidRPr="00762621">
        <w:rPr>
          <w:sz w:val="24"/>
        </w:rPr>
        <w:t xml:space="preserve">end process for regulated entities to see where enhancements can be made.  </w:t>
      </w:r>
    </w:p>
    <w:p w14:paraId="4B4088A9" w14:textId="77777777" w:rsidR="009E0121" w:rsidRPr="00D63131" w:rsidRDefault="009E0121" w:rsidP="00C355D7">
      <w:pPr>
        <w:pStyle w:val="ListParagraph0"/>
        <w:numPr>
          <w:ilvl w:val="0"/>
          <w:numId w:val="15"/>
        </w:numPr>
        <w:spacing w:after="160" w:line="240" w:lineRule="auto"/>
        <w:ind w:left="408" w:hanging="357"/>
        <w:rPr>
          <w:sz w:val="24"/>
        </w:rPr>
      </w:pPr>
      <w:r w:rsidRPr="00D63131">
        <w:rPr>
          <w:sz w:val="24"/>
        </w:rPr>
        <w:t xml:space="preserve">Evidence of procedural fairness, being responsive and accessible by providing guidance and information that is clear, up-to-date and accessible. </w:t>
      </w:r>
    </w:p>
    <w:p w14:paraId="05C79490" w14:textId="0BAB577B" w:rsidR="009E0121" w:rsidRPr="00D63131" w:rsidRDefault="009E0121" w:rsidP="00C355D7">
      <w:pPr>
        <w:pStyle w:val="ListParagraph0"/>
        <w:numPr>
          <w:ilvl w:val="0"/>
          <w:numId w:val="20"/>
        </w:numPr>
        <w:spacing w:after="160" w:line="259" w:lineRule="auto"/>
        <w:contextualSpacing/>
        <w:rPr>
          <w:sz w:val="24"/>
        </w:rPr>
      </w:pPr>
      <w:r w:rsidRPr="00D63131">
        <w:rPr>
          <w:sz w:val="24"/>
        </w:rPr>
        <w:t xml:space="preserve">90% of applications receive an outcome within the published </w:t>
      </w:r>
      <w:r w:rsidR="00CB6756" w:rsidRPr="00D63131">
        <w:rPr>
          <w:sz w:val="24"/>
        </w:rPr>
        <w:t>time</w:t>
      </w:r>
      <w:r w:rsidR="00CB6756">
        <w:rPr>
          <w:sz w:val="24"/>
        </w:rPr>
        <w:t>frame</w:t>
      </w:r>
      <w:r w:rsidRPr="00D63131">
        <w:rPr>
          <w:sz w:val="24"/>
        </w:rPr>
        <w:t xml:space="preserve"> of four weeks.</w:t>
      </w:r>
    </w:p>
    <w:p w14:paraId="549B11A2" w14:textId="77777777" w:rsidR="009E0121" w:rsidRPr="00D63131" w:rsidRDefault="009E0121" w:rsidP="00C355D7">
      <w:pPr>
        <w:pStyle w:val="ListParagraph0"/>
        <w:numPr>
          <w:ilvl w:val="0"/>
          <w:numId w:val="20"/>
        </w:numPr>
        <w:spacing w:after="160" w:line="259" w:lineRule="auto"/>
        <w:contextualSpacing/>
        <w:rPr>
          <w:sz w:val="24"/>
        </w:rPr>
      </w:pPr>
      <w:r w:rsidRPr="00D63131">
        <w:rPr>
          <w:sz w:val="24"/>
        </w:rPr>
        <w:t>100% of incoming correspondence is responded to within 7 days of receipt.</w:t>
      </w:r>
    </w:p>
    <w:p w14:paraId="5C004BF7" w14:textId="77777777" w:rsidR="009E0121" w:rsidRPr="00D63131" w:rsidRDefault="009E0121" w:rsidP="00C355D7">
      <w:pPr>
        <w:pStyle w:val="ListParagraph0"/>
        <w:numPr>
          <w:ilvl w:val="0"/>
          <w:numId w:val="20"/>
        </w:numPr>
        <w:spacing w:after="160" w:line="259" w:lineRule="auto"/>
        <w:contextualSpacing/>
        <w:rPr>
          <w:sz w:val="24"/>
        </w:rPr>
      </w:pPr>
      <w:r w:rsidRPr="00D63131">
        <w:rPr>
          <w:sz w:val="24"/>
        </w:rPr>
        <w:t>100% of potentially adverse application recommendations are given the opportunity to provide more information to support their case before the recommendation is given to the delegate</w:t>
      </w:r>
      <w:r w:rsidR="00AF6660">
        <w:rPr>
          <w:sz w:val="24"/>
        </w:rPr>
        <w:t xml:space="preserve"> (procedural fairness)</w:t>
      </w:r>
      <w:r w:rsidRPr="00D63131">
        <w:rPr>
          <w:sz w:val="24"/>
        </w:rPr>
        <w:t xml:space="preserve">. </w:t>
      </w:r>
      <w:r w:rsidR="00AF6660">
        <w:rPr>
          <w:sz w:val="24"/>
        </w:rPr>
        <w:t xml:space="preserve"> </w:t>
      </w:r>
    </w:p>
    <w:p w14:paraId="126F33F3" w14:textId="6C1B3596" w:rsidR="009E0121" w:rsidRPr="00D63131" w:rsidRDefault="009E0121" w:rsidP="00C355D7">
      <w:pPr>
        <w:pStyle w:val="ListParagraph0"/>
        <w:numPr>
          <w:ilvl w:val="0"/>
          <w:numId w:val="15"/>
        </w:numPr>
        <w:spacing w:after="160" w:line="240" w:lineRule="auto"/>
        <w:ind w:left="408" w:hanging="357"/>
        <w:rPr>
          <w:sz w:val="24"/>
        </w:rPr>
      </w:pPr>
      <w:r w:rsidRPr="00D63131">
        <w:rPr>
          <w:sz w:val="24"/>
        </w:rPr>
        <w:t>Adopting</w:t>
      </w:r>
      <w:r w:rsidRPr="00C355D7">
        <w:rPr>
          <w:sz w:val="24"/>
        </w:rPr>
        <w:t xml:space="preserve"> </w:t>
      </w:r>
      <w:r w:rsidRPr="00D63131">
        <w:rPr>
          <w:sz w:val="24"/>
        </w:rPr>
        <w:t>a whole-of-system perspective and continuously analysing and improving performance, capability and culture</w:t>
      </w:r>
      <w:r w:rsidR="002B2EFE">
        <w:rPr>
          <w:sz w:val="24"/>
        </w:rPr>
        <w:t>,</w:t>
      </w:r>
      <w:r w:rsidRPr="00D63131">
        <w:rPr>
          <w:sz w:val="24"/>
        </w:rPr>
        <w:t xml:space="preserve"> where possible</w:t>
      </w:r>
      <w:r w:rsidR="002B2EFE">
        <w:rPr>
          <w:sz w:val="24"/>
        </w:rPr>
        <w:t>,</w:t>
      </w:r>
      <w:r w:rsidRPr="00D63131">
        <w:rPr>
          <w:sz w:val="24"/>
        </w:rPr>
        <w:t xml:space="preserve"> to reduce the costs of compliance for those it regulates.</w:t>
      </w:r>
      <w:r w:rsidR="006C6934" w:rsidRPr="006C6934">
        <w:rPr>
          <w:sz w:val="24"/>
        </w:rPr>
        <w:t xml:space="preserve"> </w:t>
      </w:r>
    </w:p>
    <w:p w14:paraId="4F28B65C" w14:textId="0308987B" w:rsidR="009E0121" w:rsidRPr="00D63131" w:rsidRDefault="009E0121" w:rsidP="00C355D7">
      <w:pPr>
        <w:pStyle w:val="ListParagraph0"/>
        <w:numPr>
          <w:ilvl w:val="0"/>
          <w:numId w:val="15"/>
        </w:numPr>
        <w:spacing w:after="160" w:line="240" w:lineRule="auto"/>
        <w:ind w:left="408" w:hanging="357"/>
        <w:rPr>
          <w:sz w:val="24"/>
        </w:rPr>
      </w:pPr>
      <w:r w:rsidRPr="00D63131">
        <w:rPr>
          <w:sz w:val="24"/>
        </w:rPr>
        <w:t>Conducting environmental scanning, sharing intelligence t</w:t>
      </w:r>
      <w:r w:rsidR="002B2EFE">
        <w:rPr>
          <w:sz w:val="24"/>
        </w:rPr>
        <w:t>hrough cross-</w:t>
      </w:r>
      <w:r w:rsidRPr="00D63131">
        <w:rPr>
          <w:sz w:val="24"/>
        </w:rPr>
        <w:t>agency regulatory activity and cross</w:t>
      </w:r>
      <w:r w:rsidR="002B2EFE">
        <w:rPr>
          <w:sz w:val="24"/>
        </w:rPr>
        <w:t>-</w:t>
      </w:r>
      <w:r w:rsidRPr="00D63131">
        <w:rPr>
          <w:sz w:val="24"/>
        </w:rPr>
        <w:t>border regulatory activity (interactions with the .au</w:t>
      </w:r>
      <w:r>
        <w:rPr>
          <w:sz w:val="24"/>
        </w:rPr>
        <w:t xml:space="preserve"> </w:t>
      </w:r>
      <w:r w:rsidRPr="00D63131">
        <w:rPr>
          <w:sz w:val="24"/>
        </w:rPr>
        <w:t>D</w:t>
      </w:r>
      <w:r>
        <w:rPr>
          <w:sz w:val="24"/>
        </w:rPr>
        <w:t xml:space="preserve">omain </w:t>
      </w:r>
      <w:r w:rsidRPr="00D63131">
        <w:rPr>
          <w:sz w:val="24"/>
        </w:rPr>
        <w:t>A</w:t>
      </w:r>
      <w:r>
        <w:rPr>
          <w:sz w:val="24"/>
        </w:rPr>
        <w:t xml:space="preserve">dministration </w:t>
      </w:r>
      <w:r w:rsidR="002B2EFE">
        <w:rPr>
          <w:sz w:val="24"/>
        </w:rPr>
        <w:t>[</w:t>
      </w:r>
      <w:r>
        <w:rPr>
          <w:sz w:val="24"/>
        </w:rPr>
        <w:t>au</w:t>
      </w:r>
      <w:r w:rsidR="002B2EFE">
        <w:rPr>
          <w:sz w:val="24"/>
        </w:rPr>
        <w:t>DA]</w:t>
      </w:r>
      <w:r w:rsidR="00DD5A49">
        <w:rPr>
          <w:sz w:val="24"/>
        </w:rPr>
        <w:t xml:space="preserve">, </w:t>
      </w:r>
      <w:r w:rsidRPr="00D63131">
        <w:rPr>
          <w:sz w:val="24"/>
        </w:rPr>
        <w:t>Australian Border Force and the Department of Defence).</w:t>
      </w:r>
    </w:p>
    <w:p w14:paraId="67E8D364" w14:textId="2E7C7E54" w:rsidR="009E0121" w:rsidRPr="00C355D7" w:rsidRDefault="009E0121" w:rsidP="00C355D7">
      <w:pPr>
        <w:pStyle w:val="ListParagraph0"/>
        <w:numPr>
          <w:ilvl w:val="0"/>
          <w:numId w:val="15"/>
        </w:numPr>
        <w:spacing w:after="160" w:line="240" w:lineRule="auto"/>
        <w:ind w:left="408" w:hanging="357"/>
        <w:rPr>
          <w:sz w:val="24"/>
        </w:rPr>
      </w:pPr>
      <w:r w:rsidRPr="00D63131">
        <w:rPr>
          <w:sz w:val="24"/>
        </w:rPr>
        <w:t>Proactive interactions with peak bodies</w:t>
      </w:r>
      <w:r w:rsidR="002B2EFE">
        <w:rPr>
          <w:sz w:val="24"/>
        </w:rPr>
        <w:t>,</w:t>
      </w:r>
      <w:r w:rsidRPr="00D63131">
        <w:rPr>
          <w:sz w:val="24"/>
        </w:rPr>
        <w:t xml:space="preserve"> seeking their assistance to ensure regulated entities understand their obligations under legislation</w:t>
      </w:r>
      <w:r w:rsidRPr="00C355D7">
        <w:rPr>
          <w:sz w:val="24"/>
        </w:rPr>
        <w:t>.</w:t>
      </w:r>
    </w:p>
    <w:p w14:paraId="6A0299B6" w14:textId="13B554A2" w:rsidR="009E0121" w:rsidRPr="00D63131" w:rsidRDefault="009E0121" w:rsidP="00C355D7">
      <w:pPr>
        <w:pStyle w:val="ListParagraph0"/>
        <w:numPr>
          <w:ilvl w:val="0"/>
          <w:numId w:val="20"/>
        </w:numPr>
        <w:spacing w:after="160" w:line="259" w:lineRule="auto"/>
        <w:contextualSpacing/>
        <w:rPr>
          <w:sz w:val="24"/>
        </w:rPr>
      </w:pPr>
      <w:r w:rsidRPr="00D63131">
        <w:rPr>
          <w:sz w:val="24"/>
        </w:rPr>
        <w:t>Conduct</w:t>
      </w:r>
      <w:r w:rsidR="00EC3C5A">
        <w:rPr>
          <w:sz w:val="24"/>
        </w:rPr>
        <w:t>ing</w:t>
      </w:r>
      <w:r w:rsidRPr="00D63131">
        <w:rPr>
          <w:sz w:val="24"/>
        </w:rPr>
        <w:t xml:space="preserve"> an annual mail</w:t>
      </w:r>
      <w:r w:rsidR="002B2EFE">
        <w:rPr>
          <w:sz w:val="24"/>
        </w:rPr>
        <w:t>-</w:t>
      </w:r>
      <w:r w:rsidRPr="00D63131">
        <w:rPr>
          <w:sz w:val="24"/>
        </w:rPr>
        <w:t xml:space="preserve">out to peak bodies of relevant industries in advance of Anzac Day each year to draw attention to protections around the use of the word ‘Anzac’. </w:t>
      </w:r>
    </w:p>
    <w:p w14:paraId="00CFDB06" w14:textId="77777777" w:rsidR="009E0121" w:rsidRPr="00D63131" w:rsidRDefault="009E0121" w:rsidP="00C355D7">
      <w:pPr>
        <w:pStyle w:val="ListParagraph0"/>
        <w:numPr>
          <w:ilvl w:val="0"/>
          <w:numId w:val="15"/>
        </w:numPr>
        <w:spacing w:after="160" w:line="259" w:lineRule="auto"/>
        <w:ind w:left="408" w:hanging="357"/>
        <w:rPr>
          <w:sz w:val="24"/>
        </w:rPr>
      </w:pPr>
      <w:r w:rsidRPr="00D63131">
        <w:rPr>
          <w:sz w:val="24"/>
        </w:rPr>
        <w:t>Proactive communication with the community about the Regulations:</w:t>
      </w:r>
    </w:p>
    <w:p w14:paraId="41122AFA" w14:textId="72C102A8" w:rsidR="009E0121" w:rsidRDefault="009E0121" w:rsidP="009E0121">
      <w:pPr>
        <w:pStyle w:val="ListParagraph0"/>
        <w:numPr>
          <w:ilvl w:val="0"/>
          <w:numId w:val="16"/>
        </w:numPr>
        <w:spacing w:after="160" w:line="259" w:lineRule="auto"/>
        <w:contextualSpacing/>
        <w:rPr>
          <w:sz w:val="24"/>
        </w:rPr>
      </w:pPr>
      <w:r w:rsidRPr="00D63131">
        <w:rPr>
          <w:sz w:val="24"/>
        </w:rPr>
        <w:lastRenderedPageBreak/>
        <w:t>In the lead</w:t>
      </w:r>
      <w:r w:rsidR="002B2EFE">
        <w:rPr>
          <w:sz w:val="24"/>
        </w:rPr>
        <w:t>-</w:t>
      </w:r>
      <w:r w:rsidRPr="00D63131">
        <w:rPr>
          <w:sz w:val="24"/>
        </w:rPr>
        <w:t>up to Anzac Day each year, us</w:t>
      </w:r>
      <w:r w:rsidR="00EC3C5A">
        <w:rPr>
          <w:sz w:val="24"/>
        </w:rPr>
        <w:t>ing</w:t>
      </w:r>
      <w:r w:rsidRPr="00D63131">
        <w:rPr>
          <w:sz w:val="24"/>
        </w:rPr>
        <w:t xml:space="preserve"> a range of DVA communication platforms</w:t>
      </w:r>
      <w:r w:rsidR="002B2EFE">
        <w:rPr>
          <w:sz w:val="24"/>
        </w:rPr>
        <w:t>,</w:t>
      </w:r>
      <w:r w:rsidRPr="00D63131">
        <w:rPr>
          <w:sz w:val="24"/>
        </w:rPr>
        <w:t xml:space="preserve"> including social media, to raise broader community awareness regarding the protections around using the word ‘Anzac’.</w:t>
      </w:r>
    </w:p>
    <w:p w14:paraId="7107A2B1" w14:textId="77777777" w:rsidR="009E0121" w:rsidRPr="00BA7D7C" w:rsidRDefault="009E0121" w:rsidP="00BA7D7C">
      <w:pPr>
        <w:pStyle w:val="Heading2numbered"/>
        <w:rPr>
          <w:rFonts w:ascii="Rockwell" w:hAnsi="Rockwell"/>
        </w:rPr>
      </w:pPr>
      <w:bookmarkStart w:id="7" w:name="_Toc169516858"/>
      <w:r w:rsidRPr="00BA7D7C">
        <w:rPr>
          <w:rFonts w:ascii="Rockwell" w:hAnsi="Rockwell"/>
        </w:rPr>
        <w:t>Evidenced By:</w:t>
      </w:r>
      <w:bookmarkEnd w:id="7"/>
    </w:p>
    <w:p w14:paraId="4CF95EDB" w14:textId="718FEEB9" w:rsidR="009E0121" w:rsidRPr="00762621" w:rsidRDefault="009E0121" w:rsidP="00EF67F0">
      <w:pPr>
        <w:pStyle w:val="ListParagraph0"/>
        <w:numPr>
          <w:ilvl w:val="0"/>
          <w:numId w:val="22"/>
        </w:numPr>
        <w:spacing w:after="160" w:line="259" w:lineRule="auto"/>
        <w:ind w:left="408" w:hanging="357"/>
        <w:rPr>
          <w:sz w:val="24"/>
        </w:rPr>
      </w:pPr>
      <w:r w:rsidRPr="00762621">
        <w:rPr>
          <w:sz w:val="24"/>
        </w:rPr>
        <w:t xml:space="preserve">A combination of quantitative and qualitative forms of evidence, as relevant to different measures. </w:t>
      </w:r>
      <w:r>
        <w:rPr>
          <w:sz w:val="24"/>
        </w:rPr>
        <w:t xml:space="preserve"> </w:t>
      </w:r>
      <w:r w:rsidRPr="00762621">
        <w:rPr>
          <w:sz w:val="24"/>
        </w:rPr>
        <w:t xml:space="preserve">Measures and evidence </w:t>
      </w:r>
      <w:r w:rsidR="00EC3C5A">
        <w:rPr>
          <w:sz w:val="24"/>
        </w:rPr>
        <w:t>are</w:t>
      </w:r>
      <w:r w:rsidRPr="00762621">
        <w:rPr>
          <w:sz w:val="24"/>
        </w:rPr>
        <w:t xml:space="preserve"> reviewed each year and adjusted as necessary.</w:t>
      </w:r>
    </w:p>
    <w:p w14:paraId="15B8C975" w14:textId="77777777" w:rsidR="00AF6660" w:rsidRPr="00EF67F0" w:rsidRDefault="00AF6660" w:rsidP="00EF67F0">
      <w:pPr>
        <w:ind w:left="53"/>
        <w:contextualSpacing/>
        <w:rPr>
          <w:sz w:val="24"/>
        </w:rPr>
      </w:pPr>
      <w:r w:rsidRPr="00EF67F0">
        <w:rPr>
          <w:b/>
          <w:sz w:val="24"/>
        </w:rPr>
        <w:t xml:space="preserve">Guidance and information: </w:t>
      </w:r>
    </w:p>
    <w:p w14:paraId="6346BF6D" w14:textId="4FC63E44" w:rsidR="00D73B1A" w:rsidRPr="00762621" w:rsidRDefault="009E0121" w:rsidP="00EF67F0">
      <w:pPr>
        <w:pStyle w:val="ListParagraph0"/>
        <w:numPr>
          <w:ilvl w:val="0"/>
          <w:numId w:val="23"/>
        </w:numPr>
        <w:spacing w:after="160" w:line="259" w:lineRule="auto"/>
        <w:ind w:left="408" w:hanging="357"/>
        <w:rPr>
          <w:sz w:val="24"/>
        </w:rPr>
      </w:pPr>
      <w:r w:rsidRPr="00762621">
        <w:rPr>
          <w:sz w:val="24"/>
        </w:rPr>
        <w:t>The Use of the word Anzac Guidelines (Guidelines) associated with the Regulations are published on the DVA website.  The Guidelines provide upfront information to applicants about using the word ‘Anzac’ and eliminate a significant workload associated with answering general enquiries.  They are written in plain English, and help applicants interpret the Regulations.  The Guidelines have codified several procedures associated with use of the word ‘Anzac’</w:t>
      </w:r>
      <w:r w:rsidR="002B2EFE">
        <w:rPr>
          <w:sz w:val="24"/>
        </w:rPr>
        <w:t>,</w:t>
      </w:r>
      <w:r w:rsidRPr="00762621">
        <w:rPr>
          <w:sz w:val="24"/>
        </w:rPr>
        <w:t xml:space="preserve"> including </w:t>
      </w:r>
      <w:r w:rsidR="00EA0D90">
        <w:rPr>
          <w:sz w:val="24"/>
        </w:rPr>
        <w:t xml:space="preserve">determining </w:t>
      </w:r>
      <w:r w:rsidR="00EA0D90" w:rsidRPr="00762621">
        <w:rPr>
          <w:sz w:val="24"/>
        </w:rPr>
        <w:t>when permission to use the word is required</w:t>
      </w:r>
      <w:r w:rsidR="00EA0D90">
        <w:rPr>
          <w:sz w:val="24"/>
        </w:rPr>
        <w:t xml:space="preserve"> and</w:t>
      </w:r>
      <w:r w:rsidR="00EA0D90" w:rsidRPr="00762621">
        <w:rPr>
          <w:sz w:val="24"/>
        </w:rPr>
        <w:t xml:space="preserve"> </w:t>
      </w:r>
      <w:r w:rsidRPr="00762621">
        <w:rPr>
          <w:sz w:val="24"/>
        </w:rPr>
        <w:t>how to apply, and clarify</w:t>
      </w:r>
      <w:r w:rsidR="00EA0D90">
        <w:rPr>
          <w:sz w:val="24"/>
        </w:rPr>
        <w:t>ing</w:t>
      </w:r>
      <w:r w:rsidRPr="00762621">
        <w:rPr>
          <w:sz w:val="24"/>
        </w:rPr>
        <w:t xml:space="preserve"> various exemptions from Ministerial approval under the Regulations.  They also outline where to obtain further information.</w:t>
      </w:r>
    </w:p>
    <w:p w14:paraId="667B6B8C" w14:textId="5A912AFA" w:rsidR="009E0121" w:rsidRPr="00C355D7" w:rsidRDefault="009E0121" w:rsidP="00EF67F0">
      <w:pPr>
        <w:pStyle w:val="ListParagraph0"/>
        <w:numPr>
          <w:ilvl w:val="0"/>
          <w:numId w:val="23"/>
        </w:numPr>
        <w:spacing w:after="160" w:line="259" w:lineRule="auto"/>
        <w:ind w:left="408" w:hanging="357"/>
        <w:rPr>
          <w:sz w:val="24"/>
        </w:rPr>
      </w:pPr>
      <w:r w:rsidRPr="00C355D7">
        <w:rPr>
          <w:sz w:val="24"/>
        </w:rPr>
        <w:t>DVA has a dedicated mailbox that handles all client inquiries.  The mailbox is constantly monitored to ensure client inquiries and applications are acknowledged as soon as possib</w:t>
      </w:r>
      <w:r w:rsidR="00DE3596">
        <w:rPr>
          <w:sz w:val="24"/>
        </w:rPr>
        <w:t>le, with most actioned within 7‒</w:t>
      </w:r>
      <w:r w:rsidRPr="00C355D7">
        <w:rPr>
          <w:sz w:val="24"/>
        </w:rPr>
        <w:t>10 days.</w:t>
      </w:r>
    </w:p>
    <w:p w14:paraId="7DCFFC0D" w14:textId="77777777" w:rsidR="00D73B1A" w:rsidRPr="00EF67F0" w:rsidRDefault="00AF6660" w:rsidP="00A60C93">
      <w:pPr>
        <w:ind w:left="51"/>
        <w:rPr>
          <w:sz w:val="24"/>
        </w:rPr>
      </w:pPr>
      <w:r w:rsidRPr="00EF67F0">
        <w:rPr>
          <w:b/>
          <w:sz w:val="24"/>
        </w:rPr>
        <w:t>Analysing and improving performance</w:t>
      </w:r>
    </w:p>
    <w:p w14:paraId="739E41CF" w14:textId="4BD0628B" w:rsidR="00D73B1A" w:rsidRPr="00A60C93" w:rsidRDefault="00D73B1A" w:rsidP="00A60C93">
      <w:pPr>
        <w:spacing w:before="240"/>
        <w:contextualSpacing/>
        <w:rPr>
          <w:sz w:val="24"/>
          <w:u w:val="single"/>
        </w:rPr>
      </w:pPr>
      <w:r w:rsidRPr="00A60C93">
        <w:rPr>
          <w:sz w:val="24"/>
          <w:u w:val="single"/>
        </w:rPr>
        <w:t>Outcome for</w:t>
      </w:r>
      <w:r w:rsidR="009E0121" w:rsidRPr="00A60C93">
        <w:rPr>
          <w:sz w:val="24"/>
          <w:u w:val="single"/>
        </w:rPr>
        <w:t xml:space="preserve"> the</w:t>
      </w:r>
      <w:r w:rsidRPr="00A60C93">
        <w:rPr>
          <w:sz w:val="24"/>
          <w:u w:val="single"/>
        </w:rPr>
        <w:t xml:space="preserve"> 202</w:t>
      </w:r>
      <w:r w:rsidR="00646272">
        <w:rPr>
          <w:sz w:val="24"/>
          <w:u w:val="single"/>
        </w:rPr>
        <w:t>2</w:t>
      </w:r>
      <w:r w:rsidR="00DE3596">
        <w:rPr>
          <w:sz w:val="24"/>
          <w:u w:val="single"/>
        </w:rPr>
        <w:t>‒</w:t>
      </w:r>
      <w:r w:rsidR="00646272">
        <w:rPr>
          <w:sz w:val="24"/>
          <w:u w:val="single"/>
        </w:rPr>
        <w:t xml:space="preserve">23 </w:t>
      </w:r>
      <w:r w:rsidR="009E0121" w:rsidRPr="00A60C93">
        <w:rPr>
          <w:sz w:val="24"/>
          <w:u w:val="single"/>
        </w:rPr>
        <w:t>reporting period</w:t>
      </w:r>
    </w:p>
    <w:p w14:paraId="64FC41CA" w14:textId="2B8F4457" w:rsidR="00D73B1A" w:rsidRDefault="004D678A" w:rsidP="00FB25AF">
      <w:pPr>
        <w:pStyle w:val="ListParagraph0"/>
        <w:numPr>
          <w:ilvl w:val="0"/>
          <w:numId w:val="23"/>
        </w:numPr>
        <w:spacing w:after="160" w:line="259" w:lineRule="auto"/>
        <w:ind w:left="408" w:hanging="357"/>
        <w:rPr>
          <w:sz w:val="24"/>
        </w:rPr>
      </w:pPr>
      <w:r>
        <w:rPr>
          <w:sz w:val="24"/>
        </w:rPr>
        <w:t>N</w:t>
      </w:r>
      <w:r w:rsidR="009E0121" w:rsidRPr="00762621">
        <w:rPr>
          <w:sz w:val="24"/>
        </w:rPr>
        <w:t xml:space="preserve">o feedback was received from regulated entities about the </w:t>
      </w:r>
      <w:r w:rsidR="004F3DF7">
        <w:rPr>
          <w:sz w:val="24"/>
        </w:rPr>
        <w:t>R</w:t>
      </w:r>
      <w:r w:rsidR="009E0121" w:rsidRPr="00762621">
        <w:rPr>
          <w:sz w:val="24"/>
        </w:rPr>
        <w:t xml:space="preserve">egulations.  </w:t>
      </w:r>
    </w:p>
    <w:p w14:paraId="1EFC0865" w14:textId="53D2AC35" w:rsidR="003F457A" w:rsidRPr="003F457A" w:rsidRDefault="00F53133" w:rsidP="004F3DF7">
      <w:pPr>
        <w:pStyle w:val="ListParagraph0"/>
        <w:numPr>
          <w:ilvl w:val="0"/>
          <w:numId w:val="23"/>
        </w:numPr>
        <w:spacing w:after="160" w:line="259" w:lineRule="auto"/>
        <w:ind w:left="408" w:hanging="357"/>
        <w:rPr>
          <w:sz w:val="24"/>
        </w:rPr>
      </w:pPr>
      <w:r w:rsidRPr="00F53133">
        <w:rPr>
          <w:sz w:val="24"/>
        </w:rPr>
        <w:t xml:space="preserve">DVA received </w:t>
      </w:r>
      <w:r w:rsidR="00C2711B">
        <w:rPr>
          <w:sz w:val="24"/>
        </w:rPr>
        <w:t>59</w:t>
      </w:r>
      <w:r w:rsidR="00C2711B" w:rsidRPr="00F53133">
        <w:rPr>
          <w:sz w:val="24"/>
        </w:rPr>
        <w:t xml:space="preserve"> </w:t>
      </w:r>
      <w:r w:rsidRPr="00F53133">
        <w:rPr>
          <w:sz w:val="24"/>
        </w:rPr>
        <w:t xml:space="preserve">complaints </w:t>
      </w:r>
      <w:r>
        <w:rPr>
          <w:sz w:val="24"/>
        </w:rPr>
        <w:t xml:space="preserve">about potential misuse of ‘Anzac’ </w:t>
      </w:r>
      <w:r w:rsidRPr="00F53133">
        <w:rPr>
          <w:sz w:val="24"/>
        </w:rPr>
        <w:t xml:space="preserve">over this reporting period, from a range of different parties; note that not all of the complaints actually </w:t>
      </w:r>
      <w:r w:rsidR="000317DF">
        <w:rPr>
          <w:sz w:val="24"/>
        </w:rPr>
        <w:t>regarded</w:t>
      </w:r>
      <w:r w:rsidRPr="00F53133">
        <w:rPr>
          <w:sz w:val="24"/>
        </w:rPr>
        <w:t xml:space="preserve"> a product or servi</w:t>
      </w:r>
      <w:r>
        <w:rPr>
          <w:sz w:val="24"/>
        </w:rPr>
        <w:t>ce</w:t>
      </w:r>
      <w:r w:rsidR="003F457A">
        <w:rPr>
          <w:sz w:val="24"/>
        </w:rPr>
        <w:t xml:space="preserve"> using ‘Anzac’.  T</w:t>
      </w:r>
      <w:r w:rsidR="003F457A" w:rsidRPr="003F457A">
        <w:rPr>
          <w:sz w:val="24"/>
        </w:rPr>
        <w:t>he majority of the complaints were f</w:t>
      </w:r>
      <w:r w:rsidR="004F3DF7">
        <w:rPr>
          <w:sz w:val="24"/>
        </w:rPr>
        <w:t>ound not to be a breach of the R</w:t>
      </w:r>
      <w:r w:rsidR="003F457A" w:rsidRPr="003F457A">
        <w:rPr>
          <w:sz w:val="24"/>
        </w:rPr>
        <w:t>egulations and required no further action.</w:t>
      </w:r>
      <w:r w:rsidR="0072533C">
        <w:rPr>
          <w:sz w:val="24"/>
        </w:rPr>
        <w:t xml:space="preserve">  Twelve</w:t>
      </w:r>
      <w:r w:rsidR="003F457A" w:rsidRPr="003F457A">
        <w:rPr>
          <w:sz w:val="24"/>
        </w:rPr>
        <w:t xml:space="preserve"> compliance actions were undertaken, involving the contacting of offending parties to explain the rules around using the word ‘Anzac’.</w:t>
      </w:r>
      <w:r w:rsidR="00646272">
        <w:rPr>
          <w:sz w:val="24"/>
        </w:rPr>
        <w:t xml:space="preserve"> </w:t>
      </w:r>
      <w:r w:rsidR="003F457A" w:rsidRPr="003F457A">
        <w:rPr>
          <w:sz w:val="24"/>
        </w:rPr>
        <w:t>No legal action was required during the reporting period.</w:t>
      </w:r>
      <w:r w:rsidR="003F457A" w:rsidRPr="003F457A">
        <w:rPr>
          <w:rFonts w:ascii="Arial" w:hAnsi="Arial" w:cs="Arial"/>
        </w:rPr>
        <w:t xml:space="preserve"> </w:t>
      </w:r>
    </w:p>
    <w:p w14:paraId="5D002E7C" w14:textId="2BAE7B69" w:rsidR="00D73B1A" w:rsidRDefault="009E0121" w:rsidP="00FB25AF">
      <w:pPr>
        <w:pStyle w:val="ListParagraph0"/>
        <w:numPr>
          <w:ilvl w:val="0"/>
          <w:numId w:val="23"/>
        </w:numPr>
        <w:spacing w:after="160" w:line="259" w:lineRule="auto"/>
        <w:ind w:left="408" w:hanging="357"/>
        <w:rPr>
          <w:sz w:val="24"/>
        </w:rPr>
      </w:pPr>
      <w:r w:rsidRPr="00762621">
        <w:rPr>
          <w:sz w:val="24"/>
        </w:rPr>
        <w:t xml:space="preserve">Applications, complaints and </w:t>
      </w:r>
      <w:r>
        <w:rPr>
          <w:sz w:val="24"/>
        </w:rPr>
        <w:t>e</w:t>
      </w:r>
      <w:r w:rsidRPr="00762621">
        <w:rPr>
          <w:sz w:val="24"/>
        </w:rPr>
        <w:t>nquiries regarding the protection of the word ‘Anzac’ were logged over the reporting period (1 July 202</w:t>
      </w:r>
      <w:r w:rsidR="00646272">
        <w:rPr>
          <w:sz w:val="24"/>
        </w:rPr>
        <w:t>2</w:t>
      </w:r>
      <w:r w:rsidRPr="00762621">
        <w:rPr>
          <w:sz w:val="24"/>
        </w:rPr>
        <w:t xml:space="preserve"> to 30 June 202</w:t>
      </w:r>
      <w:r w:rsidR="00646272">
        <w:rPr>
          <w:sz w:val="24"/>
        </w:rPr>
        <w:t>3</w:t>
      </w:r>
      <w:r w:rsidRPr="00762621">
        <w:rPr>
          <w:sz w:val="24"/>
        </w:rPr>
        <w:t xml:space="preserve">).  </w:t>
      </w:r>
    </w:p>
    <w:p w14:paraId="58C72CA3" w14:textId="41D5FB37" w:rsidR="00D73B1A" w:rsidRDefault="004C5694" w:rsidP="00A60C93">
      <w:pPr>
        <w:pStyle w:val="ListParagraph0"/>
        <w:numPr>
          <w:ilvl w:val="0"/>
          <w:numId w:val="31"/>
        </w:numPr>
        <w:spacing w:after="160" w:line="259" w:lineRule="auto"/>
        <w:contextualSpacing/>
        <w:rPr>
          <w:sz w:val="24"/>
        </w:rPr>
      </w:pPr>
      <w:r>
        <w:rPr>
          <w:sz w:val="24"/>
        </w:rPr>
        <w:t xml:space="preserve">63 </w:t>
      </w:r>
      <w:r w:rsidR="009E0121" w:rsidRPr="00762621">
        <w:rPr>
          <w:sz w:val="24"/>
        </w:rPr>
        <w:t>applications were received (</w:t>
      </w:r>
      <w:r>
        <w:rPr>
          <w:sz w:val="24"/>
        </w:rPr>
        <w:t>11 fewer than 2021</w:t>
      </w:r>
      <w:r w:rsidR="00DE3596">
        <w:rPr>
          <w:sz w:val="24"/>
        </w:rPr>
        <w:t>‒</w:t>
      </w:r>
      <w:r>
        <w:rPr>
          <w:sz w:val="24"/>
        </w:rPr>
        <w:t>22</w:t>
      </w:r>
      <w:r w:rsidR="009E0121" w:rsidRPr="00762621">
        <w:rPr>
          <w:sz w:val="24"/>
        </w:rPr>
        <w:t xml:space="preserve">), of which </w:t>
      </w:r>
      <w:r>
        <w:rPr>
          <w:sz w:val="24"/>
        </w:rPr>
        <w:t>41</w:t>
      </w:r>
      <w:r w:rsidRPr="00762621">
        <w:rPr>
          <w:sz w:val="24"/>
        </w:rPr>
        <w:t xml:space="preserve"> </w:t>
      </w:r>
      <w:r w:rsidR="009E0121" w:rsidRPr="00762621">
        <w:rPr>
          <w:sz w:val="24"/>
        </w:rPr>
        <w:t xml:space="preserve">were approved, </w:t>
      </w:r>
      <w:r w:rsidR="008D5628">
        <w:rPr>
          <w:sz w:val="24"/>
        </w:rPr>
        <w:t>2</w:t>
      </w:r>
      <w:r>
        <w:rPr>
          <w:sz w:val="24"/>
        </w:rPr>
        <w:t xml:space="preserve"> were</w:t>
      </w:r>
      <w:r w:rsidR="009E0121" w:rsidRPr="00762621">
        <w:rPr>
          <w:sz w:val="24"/>
        </w:rPr>
        <w:t xml:space="preserve"> declined,</w:t>
      </w:r>
      <w:r>
        <w:rPr>
          <w:sz w:val="24"/>
        </w:rPr>
        <w:t xml:space="preserve"> </w:t>
      </w:r>
      <w:r w:rsidR="006A1E0F">
        <w:rPr>
          <w:sz w:val="24"/>
        </w:rPr>
        <w:t>3</w:t>
      </w:r>
      <w:r w:rsidR="009E0121" w:rsidRPr="00762621">
        <w:rPr>
          <w:sz w:val="24"/>
        </w:rPr>
        <w:t xml:space="preserve"> were withdrawn</w:t>
      </w:r>
      <w:r w:rsidR="0011718B">
        <w:rPr>
          <w:sz w:val="24"/>
        </w:rPr>
        <w:t>,</w:t>
      </w:r>
      <w:r w:rsidR="008D5628">
        <w:rPr>
          <w:sz w:val="24"/>
        </w:rPr>
        <w:t xml:space="preserve"> </w:t>
      </w:r>
      <w:r w:rsidR="00F643DA">
        <w:rPr>
          <w:sz w:val="24"/>
        </w:rPr>
        <w:t>1</w:t>
      </w:r>
      <w:r w:rsidR="008D5628">
        <w:rPr>
          <w:sz w:val="24"/>
        </w:rPr>
        <w:t xml:space="preserve"> was still under consideration,</w:t>
      </w:r>
      <w:r w:rsidR="0011718B">
        <w:rPr>
          <w:sz w:val="24"/>
        </w:rPr>
        <w:t xml:space="preserve"> 3 closed administratively (due to nil response from applicants)</w:t>
      </w:r>
      <w:r w:rsidR="009E0121" w:rsidRPr="00762621">
        <w:rPr>
          <w:sz w:val="24"/>
        </w:rPr>
        <w:t xml:space="preserve"> and </w:t>
      </w:r>
      <w:r>
        <w:rPr>
          <w:sz w:val="24"/>
        </w:rPr>
        <w:t>1</w:t>
      </w:r>
      <w:r w:rsidR="0011718B">
        <w:rPr>
          <w:sz w:val="24"/>
        </w:rPr>
        <w:t>3</w:t>
      </w:r>
      <w:r w:rsidR="009E0121" w:rsidRPr="00762621">
        <w:rPr>
          <w:sz w:val="24"/>
        </w:rPr>
        <w:t xml:space="preserve"> did not require approval under the Regulations (</w:t>
      </w:r>
      <w:r w:rsidR="0011718B">
        <w:rPr>
          <w:sz w:val="24"/>
        </w:rPr>
        <w:t xml:space="preserve">eight </w:t>
      </w:r>
      <w:r w:rsidR="009E0121" w:rsidRPr="00762621">
        <w:rPr>
          <w:sz w:val="24"/>
        </w:rPr>
        <w:t>less than 202</w:t>
      </w:r>
      <w:r w:rsidR="0011718B">
        <w:rPr>
          <w:sz w:val="24"/>
        </w:rPr>
        <w:t>2</w:t>
      </w:r>
      <w:r w:rsidR="00DE3596">
        <w:rPr>
          <w:sz w:val="24"/>
        </w:rPr>
        <w:t>‒</w:t>
      </w:r>
      <w:r w:rsidR="009E0121" w:rsidRPr="00762621">
        <w:rPr>
          <w:sz w:val="24"/>
        </w:rPr>
        <w:t>2</w:t>
      </w:r>
      <w:r w:rsidR="0011718B">
        <w:rPr>
          <w:sz w:val="24"/>
        </w:rPr>
        <w:t>3</w:t>
      </w:r>
      <w:r w:rsidR="009E0121" w:rsidRPr="00762621">
        <w:rPr>
          <w:sz w:val="24"/>
        </w:rPr>
        <w:t xml:space="preserve">).  </w:t>
      </w:r>
    </w:p>
    <w:p w14:paraId="607F6E3E" w14:textId="0570C25E" w:rsidR="00B52CF9" w:rsidRPr="00B52CF9" w:rsidRDefault="009E0121" w:rsidP="00EF67F0">
      <w:pPr>
        <w:pStyle w:val="ListParagraph0"/>
        <w:numPr>
          <w:ilvl w:val="0"/>
          <w:numId w:val="20"/>
        </w:numPr>
        <w:spacing w:after="160" w:line="259" w:lineRule="auto"/>
        <w:contextualSpacing/>
        <w:rPr>
          <w:sz w:val="24"/>
        </w:rPr>
      </w:pPr>
      <w:r w:rsidRPr="00762621">
        <w:rPr>
          <w:sz w:val="24"/>
        </w:rPr>
        <w:lastRenderedPageBreak/>
        <w:t xml:space="preserve">Of the </w:t>
      </w:r>
      <w:r w:rsidR="0011718B">
        <w:rPr>
          <w:sz w:val="24"/>
        </w:rPr>
        <w:t>41</w:t>
      </w:r>
      <w:r w:rsidR="0011718B" w:rsidRPr="00762621">
        <w:rPr>
          <w:sz w:val="24"/>
        </w:rPr>
        <w:t xml:space="preserve"> </w:t>
      </w:r>
      <w:r w:rsidRPr="00762621">
        <w:rPr>
          <w:sz w:val="24"/>
        </w:rPr>
        <w:t xml:space="preserve">approved applications during this reporting period, </w:t>
      </w:r>
      <w:r w:rsidR="00DE3596">
        <w:rPr>
          <w:sz w:val="24"/>
        </w:rPr>
        <w:t>6</w:t>
      </w:r>
      <w:r w:rsidRPr="00762621">
        <w:rPr>
          <w:sz w:val="24"/>
        </w:rPr>
        <w:t xml:space="preserve"> included permission to import ‘Anzac’ goods.</w:t>
      </w:r>
      <w:r w:rsidRPr="00762621">
        <w:rPr>
          <w:i/>
          <w:sz w:val="24"/>
        </w:rPr>
        <w:t xml:space="preserve">  </w:t>
      </w:r>
      <w:r w:rsidR="00B52CF9">
        <w:rPr>
          <w:i/>
          <w:sz w:val="24"/>
        </w:rPr>
        <w:tab/>
      </w:r>
    </w:p>
    <w:p w14:paraId="13B51B0A" w14:textId="5298989D" w:rsidR="009E0121" w:rsidRPr="00A60C93" w:rsidRDefault="006C6934">
      <w:pPr>
        <w:pStyle w:val="ListParagraph0"/>
        <w:numPr>
          <w:ilvl w:val="0"/>
          <w:numId w:val="20"/>
        </w:numPr>
        <w:spacing w:after="160" w:line="259" w:lineRule="auto"/>
        <w:contextualSpacing/>
        <w:rPr>
          <w:sz w:val="24"/>
        </w:rPr>
      </w:pPr>
      <w:r>
        <w:rPr>
          <w:sz w:val="24"/>
        </w:rPr>
        <w:t>T</w:t>
      </w:r>
      <w:r w:rsidRPr="00762621">
        <w:rPr>
          <w:sz w:val="24"/>
        </w:rPr>
        <w:t xml:space="preserve">he system for managing the use of the word </w:t>
      </w:r>
      <w:r w:rsidR="00DE3596">
        <w:rPr>
          <w:sz w:val="24"/>
        </w:rPr>
        <w:t>‘</w:t>
      </w:r>
      <w:r w:rsidRPr="00762621">
        <w:rPr>
          <w:sz w:val="24"/>
        </w:rPr>
        <w:t>Anzac</w:t>
      </w:r>
      <w:r w:rsidR="00DE3596">
        <w:rPr>
          <w:sz w:val="24"/>
        </w:rPr>
        <w:t>’</w:t>
      </w:r>
      <w:r w:rsidRPr="00762621">
        <w:rPr>
          <w:sz w:val="24"/>
        </w:rPr>
        <w:t xml:space="preserve"> is</w:t>
      </w:r>
      <w:r>
        <w:rPr>
          <w:sz w:val="24"/>
        </w:rPr>
        <w:t xml:space="preserve"> considered</w:t>
      </w:r>
      <w:r w:rsidRPr="00762621">
        <w:rPr>
          <w:sz w:val="24"/>
        </w:rPr>
        <w:t xml:space="preserve"> </w:t>
      </w:r>
      <w:r>
        <w:rPr>
          <w:sz w:val="24"/>
        </w:rPr>
        <w:t>appropriate and the resourcing adequate</w:t>
      </w:r>
      <w:r w:rsidR="00DE3596">
        <w:rPr>
          <w:sz w:val="24"/>
        </w:rPr>
        <w:t>,</w:t>
      </w:r>
      <w:r>
        <w:rPr>
          <w:sz w:val="24"/>
        </w:rPr>
        <w:t xml:space="preserve"> given </w:t>
      </w:r>
      <w:r w:rsidRPr="00762621">
        <w:rPr>
          <w:sz w:val="24"/>
        </w:rPr>
        <w:t>the</w:t>
      </w:r>
      <w:r w:rsidR="001C1D2C">
        <w:rPr>
          <w:sz w:val="24"/>
        </w:rPr>
        <w:t xml:space="preserve"> low</w:t>
      </w:r>
      <w:r w:rsidRPr="00762621">
        <w:rPr>
          <w:sz w:val="24"/>
        </w:rPr>
        <w:t xml:space="preserve"> caseload</w:t>
      </w:r>
      <w:r w:rsidR="001C1D2C">
        <w:rPr>
          <w:sz w:val="24"/>
        </w:rPr>
        <w:t>.</w:t>
      </w:r>
      <w:r w:rsidRPr="00762621">
        <w:rPr>
          <w:sz w:val="24"/>
        </w:rPr>
        <w:t xml:space="preserve">  </w:t>
      </w:r>
    </w:p>
    <w:p w14:paraId="583E1D41" w14:textId="2C7DDF0F" w:rsidR="006C6934" w:rsidRPr="00A60C93" w:rsidRDefault="004D678A" w:rsidP="00A60C93">
      <w:pPr>
        <w:spacing w:before="240"/>
        <w:contextualSpacing/>
        <w:rPr>
          <w:i/>
          <w:sz w:val="24"/>
        </w:rPr>
      </w:pPr>
      <w:r w:rsidRPr="00A60C93">
        <w:rPr>
          <w:i/>
          <w:sz w:val="24"/>
        </w:rPr>
        <w:t xml:space="preserve">Assessment against key </w:t>
      </w:r>
      <w:r w:rsidR="00AB29BD">
        <w:rPr>
          <w:i/>
          <w:sz w:val="24"/>
        </w:rPr>
        <w:t>metrics</w:t>
      </w:r>
      <w:r w:rsidR="006C6934">
        <w:rPr>
          <w:i/>
          <w:sz w:val="24"/>
        </w:rPr>
        <w:t xml:space="preserve"> for</w:t>
      </w:r>
      <w:r w:rsidR="006C6934" w:rsidRPr="00D63131">
        <w:rPr>
          <w:sz w:val="24"/>
        </w:rPr>
        <w:t xml:space="preserve"> </w:t>
      </w:r>
      <w:r w:rsidR="006C6934" w:rsidRPr="003A586D">
        <w:rPr>
          <w:i/>
          <w:sz w:val="24"/>
        </w:rPr>
        <w:t>procedural fairness, being responsive and accessible</w:t>
      </w:r>
      <w:r w:rsidR="006C6934" w:rsidRPr="00D63131">
        <w:rPr>
          <w:sz w:val="24"/>
        </w:rPr>
        <w:t xml:space="preserve"> </w:t>
      </w:r>
    </w:p>
    <w:p w14:paraId="25DB124C" w14:textId="0086C0FC" w:rsidR="00AF6660" w:rsidRPr="00F936ED" w:rsidRDefault="00AF6660" w:rsidP="009E0121">
      <w:pPr>
        <w:pStyle w:val="ListParagraph0"/>
        <w:numPr>
          <w:ilvl w:val="0"/>
          <w:numId w:val="17"/>
        </w:numPr>
        <w:spacing w:after="160" w:line="259" w:lineRule="auto"/>
        <w:contextualSpacing/>
        <w:rPr>
          <w:sz w:val="24"/>
        </w:rPr>
      </w:pPr>
      <w:r>
        <w:rPr>
          <w:b/>
          <w:sz w:val="24"/>
        </w:rPr>
        <w:t xml:space="preserve">90% of applications meeting the published timeframe: </w:t>
      </w:r>
    </w:p>
    <w:p w14:paraId="6059A1E8" w14:textId="4A4D3CC9" w:rsidR="009E0121" w:rsidRDefault="009E0121" w:rsidP="00A60C93">
      <w:pPr>
        <w:pStyle w:val="ListParagraph0"/>
        <w:numPr>
          <w:ilvl w:val="0"/>
          <w:numId w:val="20"/>
        </w:numPr>
        <w:spacing w:after="160" w:line="259" w:lineRule="auto"/>
        <w:ind w:left="771" w:hanging="357"/>
        <w:rPr>
          <w:sz w:val="24"/>
        </w:rPr>
      </w:pPr>
      <w:r w:rsidRPr="00762621">
        <w:rPr>
          <w:sz w:val="24"/>
        </w:rPr>
        <w:t xml:space="preserve">DVA </w:t>
      </w:r>
      <w:r w:rsidR="00A231CE">
        <w:rPr>
          <w:sz w:val="24"/>
        </w:rPr>
        <w:t>met</w:t>
      </w:r>
      <w:r w:rsidRPr="00762621">
        <w:rPr>
          <w:sz w:val="24"/>
        </w:rPr>
        <w:t xml:space="preserve"> the 90% benchmark of applications receiving an outcome within </w:t>
      </w:r>
      <w:r w:rsidR="00DE3596">
        <w:rPr>
          <w:sz w:val="24"/>
        </w:rPr>
        <w:t>4</w:t>
      </w:r>
      <w:r w:rsidRPr="00762621">
        <w:rPr>
          <w:sz w:val="24"/>
        </w:rPr>
        <w:t xml:space="preserve"> weeks of receipt, with </w:t>
      </w:r>
      <w:r w:rsidR="00A231CE">
        <w:rPr>
          <w:sz w:val="24"/>
        </w:rPr>
        <w:t>9</w:t>
      </w:r>
      <w:r w:rsidRPr="00762621">
        <w:rPr>
          <w:sz w:val="24"/>
        </w:rPr>
        <w:t>% of applications f</w:t>
      </w:r>
      <w:r w:rsidR="002C25AA">
        <w:rPr>
          <w:sz w:val="24"/>
        </w:rPr>
        <w:t xml:space="preserve">alling </w:t>
      </w:r>
      <w:r w:rsidRPr="00762621">
        <w:rPr>
          <w:sz w:val="24"/>
        </w:rPr>
        <w:t>outside th</w:t>
      </w:r>
      <w:r w:rsidR="002C25AA">
        <w:rPr>
          <w:sz w:val="24"/>
        </w:rPr>
        <w:t>e</w:t>
      </w:r>
      <w:r w:rsidRPr="00762621">
        <w:rPr>
          <w:sz w:val="24"/>
        </w:rPr>
        <w:t xml:space="preserve"> </w:t>
      </w:r>
      <w:r w:rsidR="002C25AA">
        <w:rPr>
          <w:sz w:val="24"/>
        </w:rPr>
        <w:t>timeframe</w:t>
      </w:r>
      <w:r w:rsidRPr="00762621">
        <w:rPr>
          <w:sz w:val="24"/>
        </w:rPr>
        <w:t xml:space="preserve">.  </w:t>
      </w:r>
    </w:p>
    <w:p w14:paraId="69A5393D" w14:textId="77777777" w:rsidR="00B52CF9" w:rsidRPr="00762621" w:rsidRDefault="00B52CF9" w:rsidP="00B52CF9">
      <w:pPr>
        <w:pStyle w:val="ListParagraph0"/>
        <w:numPr>
          <w:ilvl w:val="0"/>
          <w:numId w:val="17"/>
        </w:numPr>
        <w:spacing w:after="160" w:line="259" w:lineRule="auto"/>
        <w:contextualSpacing/>
        <w:rPr>
          <w:sz w:val="24"/>
        </w:rPr>
      </w:pPr>
      <w:r>
        <w:rPr>
          <w:b/>
          <w:sz w:val="24"/>
        </w:rPr>
        <w:t xml:space="preserve">100% of correspondence responded to within 7 days: </w:t>
      </w:r>
    </w:p>
    <w:p w14:paraId="0291D1F3" w14:textId="32A351AE" w:rsidR="009E0121" w:rsidRPr="00762621" w:rsidRDefault="009E0121" w:rsidP="00A60C93">
      <w:pPr>
        <w:pStyle w:val="ListParagraph0"/>
        <w:numPr>
          <w:ilvl w:val="0"/>
          <w:numId w:val="20"/>
        </w:numPr>
        <w:spacing w:after="160" w:line="259" w:lineRule="auto"/>
        <w:ind w:left="771" w:hanging="357"/>
        <w:rPr>
          <w:sz w:val="24"/>
        </w:rPr>
      </w:pPr>
      <w:r w:rsidRPr="00762621">
        <w:rPr>
          <w:sz w:val="24"/>
        </w:rPr>
        <w:t>DVA met the seven</w:t>
      </w:r>
      <w:r w:rsidR="00DE3596">
        <w:rPr>
          <w:sz w:val="24"/>
        </w:rPr>
        <w:t>-</w:t>
      </w:r>
      <w:r w:rsidRPr="00762621">
        <w:rPr>
          <w:sz w:val="24"/>
        </w:rPr>
        <w:t xml:space="preserve">day benchmark for responding to incoming correspondence in all instances.  </w:t>
      </w:r>
    </w:p>
    <w:p w14:paraId="2F300343" w14:textId="77777777" w:rsidR="00B52CF9" w:rsidRPr="00F936ED" w:rsidRDefault="00B52CF9" w:rsidP="009E0121">
      <w:pPr>
        <w:pStyle w:val="ListParagraph0"/>
        <w:numPr>
          <w:ilvl w:val="0"/>
          <w:numId w:val="17"/>
        </w:numPr>
        <w:spacing w:after="160" w:line="259" w:lineRule="auto"/>
        <w:contextualSpacing/>
        <w:rPr>
          <w:sz w:val="24"/>
        </w:rPr>
      </w:pPr>
      <w:r>
        <w:rPr>
          <w:b/>
          <w:sz w:val="24"/>
        </w:rPr>
        <w:t xml:space="preserve">100% of potentially adverse findings engage procedural fairness processes: </w:t>
      </w:r>
    </w:p>
    <w:p w14:paraId="5FF9ECB8" w14:textId="282ABEB7" w:rsidR="009E0121" w:rsidRPr="00762621" w:rsidRDefault="009E0121" w:rsidP="00FB25AF">
      <w:pPr>
        <w:pStyle w:val="ListParagraph0"/>
        <w:numPr>
          <w:ilvl w:val="0"/>
          <w:numId w:val="20"/>
        </w:numPr>
        <w:spacing w:after="160" w:line="259" w:lineRule="auto"/>
        <w:ind w:left="771" w:hanging="357"/>
        <w:rPr>
          <w:sz w:val="24"/>
        </w:rPr>
      </w:pPr>
      <w:r w:rsidRPr="00762621">
        <w:rPr>
          <w:sz w:val="24"/>
        </w:rPr>
        <w:t>In all cases where an application is most likely to not be recommended for approval, DVA contact</w:t>
      </w:r>
      <w:r w:rsidR="002C25AA">
        <w:rPr>
          <w:sz w:val="24"/>
        </w:rPr>
        <w:t>ed</w:t>
      </w:r>
      <w:r w:rsidRPr="00762621">
        <w:rPr>
          <w:sz w:val="24"/>
        </w:rPr>
        <w:t xml:space="preserve"> the applicant, refer</w:t>
      </w:r>
      <w:r w:rsidR="002C25AA">
        <w:rPr>
          <w:sz w:val="24"/>
        </w:rPr>
        <w:t>red</w:t>
      </w:r>
      <w:r w:rsidRPr="00762621">
        <w:rPr>
          <w:sz w:val="24"/>
        </w:rPr>
        <w:t xml:space="preserve"> them to the relevant section in the Guidelines</w:t>
      </w:r>
      <w:r w:rsidR="00DE3596">
        <w:rPr>
          <w:sz w:val="24"/>
        </w:rPr>
        <w:t>,</w:t>
      </w:r>
      <w:r w:rsidRPr="00762621">
        <w:rPr>
          <w:sz w:val="24"/>
        </w:rPr>
        <w:t xml:space="preserve"> and outline</w:t>
      </w:r>
      <w:r w:rsidR="002C25AA">
        <w:rPr>
          <w:sz w:val="24"/>
        </w:rPr>
        <w:t>d</w:t>
      </w:r>
      <w:r w:rsidRPr="00762621">
        <w:rPr>
          <w:sz w:val="24"/>
        </w:rPr>
        <w:t xml:space="preserve"> why the application </w:t>
      </w:r>
      <w:r w:rsidR="00DE3596">
        <w:rPr>
          <w:sz w:val="24"/>
        </w:rPr>
        <w:t>wa</w:t>
      </w:r>
      <w:r w:rsidRPr="00762621">
        <w:rPr>
          <w:sz w:val="24"/>
        </w:rPr>
        <w:t>s likely to be unsuccessful.  At this point</w:t>
      </w:r>
      <w:r>
        <w:rPr>
          <w:sz w:val="24"/>
        </w:rPr>
        <w:t>,</w:t>
      </w:r>
      <w:r w:rsidRPr="00762621">
        <w:rPr>
          <w:sz w:val="24"/>
        </w:rPr>
        <w:t xml:space="preserve"> the applicant </w:t>
      </w:r>
      <w:r w:rsidR="002C25AA">
        <w:rPr>
          <w:sz w:val="24"/>
        </w:rPr>
        <w:t xml:space="preserve">was able to </w:t>
      </w:r>
      <w:r w:rsidRPr="00762621">
        <w:rPr>
          <w:sz w:val="24"/>
        </w:rPr>
        <w:t xml:space="preserve">choose </w:t>
      </w:r>
      <w:r w:rsidR="00DE3596">
        <w:rPr>
          <w:sz w:val="24"/>
        </w:rPr>
        <w:t xml:space="preserve">whether </w:t>
      </w:r>
      <w:r w:rsidRPr="00762621">
        <w:rPr>
          <w:sz w:val="24"/>
        </w:rPr>
        <w:t>to continue with the application and provide further information in writing (DVA provide</w:t>
      </w:r>
      <w:r w:rsidR="002C25AA">
        <w:rPr>
          <w:sz w:val="24"/>
        </w:rPr>
        <w:t>d</w:t>
      </w:r>
      <w:r w:rsidRPr="00762621">
        <w:rPr>
          <w:sz w:val="24"/>
        </w:rPr>
        <w:t xml:space="preserve"> written advice to the applicant</w:t>
      </w:r>
      <w:r w:rsidR="00DE3596">
        <w:rPr>
          <w:sz w:val="24"/>
        </w:rPr>
        <w:t>,</w:t>
      </w:r>
      <w:r w:rsidRPr="00762621">
        <w:rPr>
          <w:sz w:val="24"/>
        </w:rPr>
        <w:t xml:space="preserve"> exercising procedural fairness) or withdraw their application.</w:t>
      </w:r>
    </w:p>
    <w:p w14:paraId="745A41C9" w14:textId="3C7793BD" w:rsidR="0018052A" w:rsidRDefault="001B1ED9" w:rsidP="00A60C93">
      <w:pPr>
        <w:pStyle w:val="ListParagraph0"/>
        <w:numPr>
          <w:ilvl w:val="0"/>
          <w:numId w:val="20"/>
        </w:numPr>
        <w:spacing w:after="160" w:line="259" w:lineRule="auto"/>
        <w:ind w:left="771" w:hanging="357"/>
        <w:rPr>
          <w:sz w:val="24"/>
        </w:rPr>
      </w:pPr>
      <w:r>
        <w:rPr>
          <w:sz w:val="24"/>
        </w:rPr>
        <w:t>Two</w:t>
      </w:r>
      <w:r w:rsidR="009E0121" w:rsidRPr="00762621">
        <w:rPr>
          <w:sz w:val="24"/>
        </w:rPr>
        <w:t xml:space="preserve"> </w:t>
      </w:r>
      <w:r w:rsidR="00EF2F1A">
        <w:rPr>
          <w:sz w:val="24"/>
        </w:rPr>
        <w:t>de</w:t>
      </w:r>
      <w:r w:rsidR="00B237B1">
        <w:rPr>
          <w:sz w:val="24"/>
        </w:rPr>
        <w:t xml:space="preserve">cisions to decline </w:t>
      </w:r>
      <w:r w:rsidR="00EF2F1A">
        <w:rPr>
          <w:sz w:val="24"/>
        </w:rPr>
        <w:t xml:space="preserve">applications </w:t>
      </w:r>
      <w:r w:rsidR="00B237B1">
        <w:rPr>
          <w:sz w:val="24"/>
        </w:rPr>
        <w:t xml:space="preserve">were made in the following </w:t>
      </w:r>
      <w:r w:rsidR="00DD5A49">
        <w:rPr>
          <w:sz w:val="24"/>
        </w:rPr>
        <w:t xml:space="preserve">reporting </w:t>
      </w:r>
      <w:r w:rsidR="00DE3596">
        <w:rPr>
          <w:sz w:val="24"/>
        </w:rPr>
        <w:t>year (2023‒</w:t>
      </w:r>
      <w:r w:rsidR="00B237B1">
        <w:rPr>
          <w:sz w:val="24"/>
        </w:rPr>
        <w:t>24) but will be counted in th</w:t>
      </w:r>
      <w:r w:rsidR="00EF2F1A">
        <w:rPr>
          <w:sz w:val="24"/>
        </w:rPr>
        <w:t xml:space="preserve">is </w:t>
      </w:r>
      <w:r w:rsidR="00B237B1">
        <w:rPr>
          <w:sz w:val="24"/>
        </w:rPr>
        <w:t xml:space="preserve">reporting year </w:t>
      </w:r>
      <w:r w:rsidR="00C466DF">
        <w:rPr>
          <w:sz w:val="24"/>
        </w:rPr>
        <w:t>(2022</w:t>
      </w:r>
      <w:r w:rsidR="00DE3596">
        <w:rPr>
          <w:sz w:val="24"/>
        </w:rPr>
        <w:t>‒</w:t>
      </w:r>
      <w:r w:rsidR="00C466DF">
        <w:rPr>
          <w:sz w:val="24"/>
        </w:rPr>
        <w:t>23)</w:t>
      </w:r>
      <w:r w:rsidR="008D5628">
        <w:rPr>
          <w:sz w:val="24"/>
        </w:rPr>
        <w:t>, the year in which the</w:t>
      </w:r>
      <w:r w:rsidR="00B237B1">
        <w:rPr>
          <w:sz w:val="24"/>
        </w:rPr>
        <w:t xml:space="preserve"> </w:t>
      </w:r>
      <w:r w:rsidR="009E0121" w:rsidRPr="00762621">
        <w:rPr>
          <w:sz w:val="24"/>
        </w:rPr>
        <w:t>application</w:t>
      </w:r>
      <w:r>
        <w:rPr>
          <w:sz w:val="24"/>
        </w:rPr>
        <w:t>s</w:t>
      </w:r>
      <w:r w:rsidR="009E0121" w:rsidRPr="00762621">
        <w:rPr>
          <w:sz w:val="24"/>
        </w:rPr>
        <w:t xml:space="preserve"> to use the word ‘Anzac’ w</w:t>
      </w:r>
      <w:r>
        <w:rPr>
          <w:sz w:val="24"/>
        </w:rPr>
        <w:t>ere</w:t>
      </w:r>
      <w:r w:rsidR="009E0121" w:rsidRPr="00762621">
        <w:rPr>
          <w:sz w:val="24"/>
        </w:rPr>
        <w:t xml:space="preserve"> </w:t>
      </w:r>
      <w:r w:rsidR="00916BEE">
        <w:rPr>
          <w:sz w:val="24"/>
        </w:rPr>
        <w:t>made.</w:t>
      </w:r>
      <w:r w:rsidR="00B25AEC">
        <w:rPr>
          <w:sz w:val="24"/>
        </w:rPr>
        <w:t xml:space="preserve">  </w:t>
      </w:r>
      <w:r w:rsidR="00727077">
        <w:rPr>
          <w:sz w:val="24"/>
        </w:rPr>
        <w:t xml:space="preserve">One </w:t>
      </w:r>
      <w:r w:rsidR="00672CF5">
        <w:rPr>
          <w:sz w:val="24"/>
        </w:rPr>
        <w:t xml:space="preserve">application requesting permission to use the word ‘Anzac’ was declined </w:t>
      </w:r>
      <w:r w:rsidR="00900DED">
        <w:rPr>
          <w:sz w:val="24"/>
        </w:rPr>
        <w:t xml:space="preserve">due to its commercial nature and </w:t>
      </w:r>
      <w:r w:rsidR="00DE3596">
        <w:rPr>
          <w:sz w:val="24"/>
        </w:rPr>
        <w:t xml:space="preserve">its being </w:t>
      </w:r>
      <w:r w:rsidR="00900DED">
        <w:rPr>
          <w:sz w:val="24"/>
        </w:rPr>
        <w:t xml:space="preserve">unlikely to meet broader community expectations.  The applicant was seeking to use the word ‘Anzac’ </w:t>
      </w:r>
      <w:r w:rsidR="00727077">
        <w:rPr>
          <w:sz w:val="24"/>
        </w:rPr>
        <w:t xml:space="preserve">to name a sporting venue </w:t>
      </w:r>
      <w:r w:rsidR="00900DED">
        <w:rPr>
          <w:sz w:val="24"/>
        </w:rPr>
        <w:t>without a geographical reason for that name.  The reference in the Guidelines to a geographical reason for use of the word ‘Anzac’ is generally related to the name of the location, for example a business located on ‘Anzac Highway’ or in close proximity to ‘Anzac Park’.</w:t>
      </w:r>
      <w:r w:rsidR="00727077">
        <w:rPr>
          <w:sz w:val="24"/>
        </w:rPr>
        <w:t xml:space="preserve"> </w:t>
      </w:r>
      <w:r w:rsidR="00900DED">
        <w:rPr>
          <w:sz w:val="24"/>
        </w:rPr>
        <w:t xml:space="preserve"> The second </w:t>
      </w:r>
      <w:r w:rsidR="003A586D">
        <w:rPr>
          <w:sz w:val="24"/>
        </w:rPr>
        <w:t xml:space="preserve">declined application </w:t>
      </w:r>
      <w:r w:rsidR="00C466DF">
        <w:rPr>
          <w:sz w:val="24"/>
        </w:rPr>
        <w:t xml:space="preserve">was a complex, resource intensive case and is </w:t>
      </w:r>
      <w:r w:rsidR="00900DED">
        <w:rPr>
          <w:sz w:val="24"/>
        </w:rPr>
        <w:t xml:space="preserve">outlined in the case study </w:t>
      </w:r>
      <w:r w:rsidR="00C466DF">
        <w:rPr>
          <w:sz w:val="24"/>
        </w:rPr>
        <w:t>in paragraph 5 of this report.</w:t>
      </w:r>
      <w:r w:rsidR="0018052A">
        <w:rPr>
          <w:sz w:val="24"/>
        </w:rPr>
        <w:t xml:space="preserve"> </w:t>
      </w:r>
    </w:p>
    <w:p w14:paraId="6D3A5D63" w14:textId="5B61DC3A" w:rsidR="00B52CF9" w:rsidRPr="00F936ED" w:rsidRDefault="00B52CF9" w:rsidP="009E0121">
      <w:pPr>
        <w:pStyle w:val="ListParagraph0"/>
        <w:numPr>
          <w:ilvl w:val="0"/>
          <w:numId w:val="17"/>
        </w:numPr>
        <w:spacing w:after="160" w:line="259" w:lineRule="auto"/>
        <w:contextualSpacing/>
      </w:pPr>
      <w:r>
        <w:rPr>
          <w:b/>
          <w:sz w:val="24"/>
        </w:rPr>
        <w:t>Engagement with peak bodies and proactive communication:</w:t>
      </w:r>
    </w:p>
    <w:p w14:paraId="5AE40D00" w14:textId="2B920092" w:rsidR="002C25AA" w:rsidRDefault="009E0121" w:rsidP="000B51E9">
      <w:pPr>
        <w:pStyle w:val="ListParagraph0"/>
        <w:numPr>
          <w:ilvl w:val="0"/>
          <w:numId w:val="20"/>
        </w:numPr>
        <w:spacing w:after="160" w:line="259" w:lineRule="auto"/>
        <w:contextualSpacing/>
        <w:rPr>
          <w:sz w:val="24"/>
        </w:rPr>
      </w:pPr>
      <w:r w:rsidRPr="00762621">
        <w:rPr>
          <w:sz w:val="24"/>
        </w:rPr>
        <w:t xml:space="preserve">DVA continued to engage with the auDA extensively during the reporting </w:t>
      </w:r>
      <w:r w:rsidR="002C25AA">
        <w:rPr>
          <w:sz w:val="24"/>
        </w:rPr>
        <w:t>period</w:t>
      </w:r>
      <w:r w:rsidRPr="00762621">
        <w:rPr>
          <w:sz w:val="24"/>
        </w:rPr>
        <w:t xml:space="preserve">.  This was due mainly to </w:t>
      </w:r>
      <w:r w:rsidR="00473E18">
        <w:rPr>
          <w:sz w:val="24"/>
        </w:rPr>
        <w:t xml:space="preserve">bedding down the </w:t>
      </w:r>
      <w:r w:rsidRPr="00762621">
        <w:rPr>
          <w:sz w:val="24"/>
        </w:rPr>
        <w:t>introduction of Top Level Domains</w:t>
      </w:r>
      <w:r w:rsidR="00473E18">
        <w:rPr>
          <w:sz w:val="24"/>
        </w:rPr>
        <w:t xml:space="preserve"> by the auDA</w:t>
      </w:r>
      <w:r w:rsidRPr="00762621">
        <w:rPr>
          <w:sz w:val="24"/>
        </w:rPr>
        <w:t xml:space="preserve"> (.au - as opposed </w:t>
      </w:r>
      <w:r w:rsidR="00EE0759">
        <w:rPr>
          <w:sz w:val="24"/>
        </w:rPr>
        <w:t xml:space="preserve">to </w:t>
      </w:r>
      <w:r w:rsidRPr="00762621">
        <w:rPr>
          <w:sz w:val="24"/>
        </w:rPr>
        <w:t xml:space="preserve">.com.au, .net.au,) and additional registrations of domain names that use the word </w:t>
      </w:r>
      <w:r w:rsidR="00DE3596">
        <w:rPr>
          <w:sz w:val="24"/>
        </w:rPr>
        <w:t>‘</w:t>
      </w:r>
      <w:r w:rsidRPr="00762621">
        <w:rPr>
          <w:sz w:val="24"/>
        </w:rPr>
        <w:t>Anzac</w:t>
      </w:r>
      <w:r w:rsidR="00DE3596">
        <w:rPr>
          <w:sz w:val="24"/>
        </w:rPr>
        <w:t>’</w:t>
      </w:r>
      <w:r w:rsidRPr="00762621">
        <w:rPr>
          <w:sz w:val="24"/>
        </w:rPr>
        <w:t xml:space="preserve">. </w:t>
      </w:r>
    </w:p>
    <w:p w14:paraId="2D3D9EB3" w14:textId="75C472F7" w:rsidR="002C25AA" w:rsidRDefault="009E0121" w:rsidP="00A60C93">
      <w:pPr>
        <w:pStyle w:val="ListParagraph0"/>
        <w:numPr>
          <w:ilvl w:val="0"/>
          <w:numId w:val="20"/>
        </w:numPr>
        <w:spacing w:after="160" w:line="259" w:lineRule="auto"/>
        <w:contextualSpacing/>
        <w:rPr>
          <w:sz w:val="24"/>
        </w:rPr>
      </w:pPr>
      <w:r w:rsidRPr="00762621">
        <w:rPr>
          <w:sz w:val="24"/>
        </w:rPr>
        <w:t xml:space="preserve">DVA requested auDA </w:t>
      </w:r>
      <w:r w:rsidR="002C25AA">
        <w:rPr>
          <w:sz w:val="24"/>
        </w:rPr>
        <w:t>to</w:t>
      </w:r>
      <w:r w:rsidR="00D4786E">
        <w:rPr>
          <w:sz w:val="24"/>
        </w:rPr>
        <w:t xml:space="preserve"> </w:t>
      </w:r>
      <w:r w:rsidRPr="00762621">
        <w:rPr>
          <w:sz w:val="24"/>
        </w:rPr>
        <w:t xml:space="preserve">intervene on </w:t>
      </w:r>
      <w:r w:rsidR="00504364">
        <w:rPr>
          <w:sz w:val="24"/>
        </w:rPr>
        <w:t>one</w:t>
      </w:r>
      <w:r w:rsidR="00504364" w:rsidRPr="00762621">
        <w:rPr>
          <w:sz w:val="24"/>
        </w:rPr>
        <w:t xml:space="preserve"> </w:t>
      </w:r>
      <w:r w:rsidRPr="00762621">
        <w:rPr>
          <w:sz w:val="24"/>
        </w:rPr>
        <w:t xml:space="preserve">occasion to ensure that domain names of regulated entities were not de-registered, thus not </w:t>
      </w:r>
      <w:r w:rsidR="00DE3596">
        <w:rPr>
          <w:sz w:val="24"/>
        </w:rPr>
        <w:t>a</w:t>
      </w:r>
      <w:r w:rsidRPr="00762621">
        <w:rPr>
          <w:sz w:val="24"/>
        </w:rPr>
        <w:t>ffecting their business operations.</w:t>
      </w:r>
    </w:p>
    <w:p w14:paraId="6F9AD8F0" w14:textId="45A87626" w:rsidR="002C25AA" w:rsidRPr="00A60C93" w:rsidRDefault="009E0121" w:rsidP="00A60C93">
      <w:pPr>
        <w:pStyle w:val="ListParagraph0"/>
        <w:numPr>
          <w:ilvl w:val="0"/>
          <w:numId w:val="20"/>
        </w:numPr>
        <w:spacing w:after="160" w:line="259" w:lineRule="auto"/>
        <w:contextualSpacing/>
        <w:rPr>
          <w:sz w:val="24"/>
        </w:rPr>
      </w:pPr>
      <w:r w:rsidRPr="00A60C93">
        <w:rPr>
          <w:sz w:val="24"/>
        </w:rPr>
        <w:lastRenderedPageBreak/>
        <w:t xml:space="preserve">DVA </w:t>
      </w:r>
      <w:r w:rsidR="003B6841">
        <w:rPr>
          <w:sz w:val="24"/>
        </w:rPr>
        <w:t xml:space="preserve">continues to </w:t>
      </w:r>
      <w:r w:rsidRPr="00A60C93">
        <w:rPr>
          <w:sz w:val="24"/>
        </w:rPr>
        <w:t>engage with Defence regarding the use of protected Defence emblems</w:t>
      </w:r>
      <w:r w:rsidR="003B6841">
        <w:rPr>
          <w:sz w:val="24"/>
        </w:rPr>
        <w:t xml:space="preserve">.  DVA also regularly provides regulated entities the contact details for Defence Brand Managers who control the use of Defence official emblems, including the Rising Sun badge and service insignia. </w:t>
      </w:r>
    </w:p>
    <w:p w14:paraId="0F610681" w14:textId="6854B076" w:rsidR="002C25AA" w:rsidRPr="00A60C93" w:rsidRDefault="009E0121" w:rsidP="00A60C93">
      <w:pPr>
        <w:pStyle w:val="ListParagraph0"/>
        <w:numPr>
          <w:ilvl w:val="0"/>
          <w:numId w:val="20"/>
        </w:numPr>
        <w:spacing w:after="160" w:line="259" w:lineRule="auto"/>
        <w:contextualSpacing/>
        <w:rPr>
          <w:sz w:val="24"/>
        </w:rPr>
      </w:pPr>
      <w:r w:rsidRPr="00A60C93">
        <w:rPr>
          <w:sz w:val="24"/>
        </w:rPr>
        <w:t xml:space="preserve">In </w:t>
      </w:r>
      <w:r w:rsidR="00931224">
        <w:rPr>
          <w:sz w:val="24"/>
        </w:rPr>
        <w:t>February 2023</w:t>
      </w:r>
      <w:r w:rsidRPr="00A60C93">
        <w:rPr>
          <w:sz w:val="24"/>
        </w:rPr>
        <w:t>, DVA conducted its annual mail</w:t>
      </w:r>
      <w:r w:rsidR="00DE3596">
        <w:rPr>
          <w:sz w:val="24"/>
        </w:rPr>
        <w:t>-</w:t>
      </w:r>
      <w:r w:rsidRPr="00A60C93">
        <w:rPr>
          <w:sz w:val="24"/>
        </w:rPr>
        <w:t>out to peak bodies of relevant industries and major sporting codes to draw attention to protections around the use of the word ‘Anzac’.</w:t>
      </w:r>
    </w:p>
    <w:p w14:paraId="32C501DC" w14:textId="0A7CCA82" w:rsidR="009E0121" w:rsidRPr="00762621" w:rsidRDefault="009E0121" w:rsidP="00A60C93">
      <w:pPr>
        <w:pStyle w:val="ListParagraph0"/>
        <w:numPr>
          <w:ilvl w:val="0"/>
          <w:numId w:val="20"/>
        </w:numPr>
        <w:spacing w:after="160" w:line="259" w:lineRule="auto"/>
        <w:contextualSpacing/>
      </w:pPr>
      <w:r w:rsidRPr="00A60C93">
        <w:rPr>
          <w:sz w:val="24"/>
        </w:rPr>
        <w:t>In the lead</w:t>
      </w:r>
      <w:r w:rsidR="00DE3596">
        <w:rPr>
          <w:sz w:val="24"/>
        </w:rPr>
        <w:t>-</w:t>
      </w:r>
      <w:r w:rsidRPr="00A60C93">
        <w:rPr>
          <w:sz w:val="24"/>
        </w:rPr>
        <w:t xml:space="preserve">up to Anzac </w:t>
      </w:r>
      <w:r w:rsidR="00F936ED" w:rsidRPr="00A60C93">
        <w:rPr>
          <w:sz w:val="24"/>
        </w:rPr>
        <w:t>D</w:t>
      </w:r>
      <w:r w:rsidRPr="00A60C93">
        <w:rPr>
          <w:sz w:val="24"/>
        </w:rPr>
        <w:t>ay 202</w:t>
      </w:r>
      <w:r w:rsidR="00504364">
        <w:rPr>
          <w:sz w:val="24"/>
        </w:rPr>
        <w:t>3</w:t>
      </w:r>
      <w:r w:rsidRPr="00A60C93">
        <w:rPr>
          <w:sz w:val="24"/>
        </w:rPr>
        <w:t xml:space="preserve">, DVA used different media platforms to raise awareness amongst the community about using the word </w:t>
      </w:r>
      <w:r w:rsidR="00DE3596">
        <w:rPr>
          <w:sz w:val="24"/>
        </w:rPr>
        <w:t>‘</w:t>
      </w:r>
      <w:r w:rsidRPr="00A60C93">
        <w:rPr>
          <w:sz w:val="24"/>
        </w:rPr>
        <w:t>Anzac</w:t>
      </w:r>
      <w:r w:rsidR="00DE3596">
        <w:rPr>
          <w:sz w:val="24"/>
        </w:rPr>
        <w:t>’,</w:t>
      </w:r>
      <w:r w:rsidRPr="00A60C93">
        <w:rPr>
          <w:sz w:val="24"/>
        </w:rPr>
        <w:t xml:space="preserve"> including social media posts on the DVA socials, including a flyer in the annual Anzac Day mail</w:t>
      </w:r>
      <w:r w:rsidR="00DE3596">
        <w:rPr>
          <w:sz w:val="24"/>
        </w:rPr>
        <w:t>-</w:t>
      </w:r>
      <w:r w:rsidRPr="00A60C93">
        <w:rPr>
          <w:sz w:val="24"/>
        </w:rPr>
        <w:t>out to schools.</w:t>
      </w:r>
    </w:p>
    <w:p w14:paraId="3B1962AC" w14:textId="77777777" w:rsidR="005F2491" w:rsidRDefault="005F2491">
      <w:r>
        <w:br w:type="page"/>
      </w:r>
    </w:p>
    <w:p w14:paraId="4AE515BC" w14:textId="3297B725" w:rsidR="009E0121" w:rsidRPr="00A25E4D" w:rsidRDefault="005F2491" w:rsidP="00A25E4D">
      <w:pPr>
        <w:pStyle w:val="Heading1numbered"/>
        <w:rPr>
          <w:rFonts w:ascii="Rockwell" w:hAnsi="Rockwell"/>
        </w:rPr>
      </w:pPr>
      <w:bookmarkStart w:id="8" w:name="_Toc169516859"/>
      <w:r w:rsidRPr="00A25E4D">
        <w:rPr>
          <w:rFonts w:ascii="Rockwell" w:hAnsi="Rockwell"/>
        </w:rPr>
        <w:lastRenderedPageBreak/>
        <w:t>C</w:t>
      </w:r>
      <w:r w:rsidR="00A25E4D">
        <w:rPr>
          <w:rFonts w:ascii="Rockwell" w:hAnsi="Rockwell"/>
        </w:rPr>
        <w:t xml:space="preserve">ase Study </w:t>
      </w:r>
      <w:r w:rsidRPr="00A25E4D">
        <w:rPr>
          <w:rFonts w:ascii="Rockwell" w:hAnsi="Rockwell"/>
        </w:rPr>
        <w:t xml:space="preserve">– </w:t>
      </w:r>
      <w:r w:rsidR="00A25E4D">
        <w:rPr>
          <w:rFonts w:ascii="Rockwell" w:hAnsi="Rockwell"/>
        </w:rPr>
        <w:t>Declined Application</w:t>
      </w:r>
      <w:r w:rsidRPr="00A25E4D">
        <w:rPr>
          <w:rFonts w:ascii="Rockwell" w:hAnsi="Rockwell"/>
        </w:rPr>
        <w:t>.</w:t>
      </w:r>
      <w:bookmarkEnd w:id="8"/>
    </w:p>
    <w:p w14:paraId="11B379D2" w14:textId="3841222C" w:rsidR="005F2491" w:rsidRPr="009C26C1" w:rsidRDefault="005F2491" w:rsidP="005F2491">
      <w:pPr>
        <w:rPr>
          <w:szCs w:val="22"/>
        </w:rPr>
      </w:pPr>
      <w:r w:rsidRPr="00063130">
        <w:rPr>
          <w:i/>
          <w:szCs w:val="22"/>
        </w:rPr>
        <w:t>Details have been anonymi</w:t>
      </w:r>
      <w:r w:rsidR="00DE3596">
        <w:rPr>
          <w:i/>
          <w:szCs w:val="22"/>
        </w:rPr>
        <w:t>s</w:t>
      </w:r>
      <w:r w:rsidRPr="00063130">
        <w:rPr>
          <w:i/>
          <w:szCs w:val="22"/>
        </w:rPr>
        <w:t>ed to retain privacy</w:t>
      </w:r>
      <w:r w:rsidRPr="009C26C1">
        <w:rPr>
          <w:szCs w:val="22"/>
        </w:rPr>
        <w:t>.</w:t>
      </w:r>
    </w:p>
    <w:p w14:paraId="3507DA30" w14:textId="24D7AF16" w:rsidR="005F2491" w:rsidRDefault="00FD18D6" w:rsidP="005F2491">
      <w:pPr>
        <w:tabs>
          <w:tab w:val="left" w:pos="567"/>
          <w:tab w:val="center" w:pos="4153"/>
          <w:tab w:val="right" w:pos="8306"/>
        </w:tabs>
        <w:spacing w:line="240" w:lineRule="auto"/>
        <w:rPr>
          <w:szCs w:val="22"/>
        </w:rPr>
      </w:pPr>
      <w:r>
        <w:rPr>
          <w:szCs w:val="22"/>
        </w:rPr>
        <w:t xml:space="preserve">In August 2022, </w:t>
      </w:r>
      <w:r w:rsidR="005F2491" w:rsidRPr="00E907A1">
        <w:rPr>
          <w:szCs w:val="22"/>
        </w:rPr>
        <w:t xml:space="preserve">DVA received a referral from an ESO regarding a harness </w:t>
      </w:r>
      <w:r w:rsidR="00CB6756" w:rsidRPr="00E907A1">
        <w:rPr>
          <w:szCs w:val="22"/>
        </w:rPr>
        <w:t>racehorse</w:t>
      </w:r>
      <w:r w:rsidR="005F2491" w:rsidRPr="00E907A1">
        <w:rPr>
          <w:szCs w:val="22"/>
        </w:rPr>
        <w:t xml:space="preserve"> whose name included the word ‘Anzac’.  The horse was bred in New Zealand, had raced there for several years and </w:t>
      </w:r>
      <w:r w:rsidR="005F2491">
        <w:rPr>
          <w:szCs w:val="22"/>
        </w:rPr>
        <w:t>had been</w:t>
      </w:r>
      <w:r w:rsidR="005F2491" w:rsidRPr="00E907A1">
        <w:rPr>
          <w:szCs w:val="22"/>
        </w:rPr>
        <w:t xml:space="preserve"> registered with New Zealand harness racing authorities under the name that included ‘Anzac’. </w:t>
      </w:r>
      <w:r w:rsidR="005F2491">
        <w:rPr>
          <w:szCs w:val="22"/>
        </w:rPr>
        <w:t xml:space="preserve"> </w:t>
      </w:r>
      <w:r w:rsidR="005F2491" w:rsidRPr="00E907A1">
        <w:rPr>
          <w:szCs w:val="22"/>
        </w:rPr>
        <w:t xml:space="preserve">In 2019 </w:t>
      </w:r>
      <w:r w:rsidR="005F2491">
        <w:rPr>
          <w:szCs w:val="22"/>
        </w:rPr>
        <w:t>the horse</w:t>
      </w:r>
      <w:r w:rsidR="005F2491" w:rsidRPr="00E907A1">
        <w:rPr>
          <w:szCs w:val="22"/>
        </w:rPr>
        <w:t xml:space="preserve"> was imported into Australia</w:t>
      </w:r>
      <w:r w:rsidR="005F2491">
        <w:rPr>
          <w:szCs w:val="22"/>
        </w:rPr>
        <w:t xml:space="preserve">, </w:t>
      </w:r>
      <w:r w:rsidR="005F2491" w:rsidRPr="00E907A1">
        <w:rPr>
          <w:szCs w:val="22"/>
        </w:rPr>
        <w:t xml:space="preserve">registered </w:t>
      </w:r>
      <w:r w:rsidR="005F2491">
        <w:rPr>
          <w:szCs w:val="22"/>
        </w:rPr>
        <w:t xml:space="preserve">with Australian harness </w:t>
      </w:r>
      <w:r w:rsidR="005F2491" w:rsidRPr="00E907A1">
        <w:rPr>
          <w:szCs w:val="22"/>
        </w:rPr>
        <w:t>racing authorities</w:t>
      </w:r>
      <w:r w:rsidR="005F2491">
        <w:rPr>
          <w:szCs w:val="22"/>
        </w:rPr>
        <w:t>, and retained its n</w:t>
      </w:r>
      <w:r w:rsidR="005F2491" w:rsidRPr="00E907A1">
        <w:rPr>
          <w:szCs w:val="22"/>
        </w:rPr>
        <w:t xml:space="preserve">ame </w:t>
      </w:r>
      <w:r w:rsidR="005F2491">
        <w:rPr>
          <w:szCs w:val="22"/>
        </w:rPr>
        <w:t>that included the word ‘Anzac’.</w:t>
      </w:r>
      <w:r w:rsidR="005F2491">
        <w:rPr>
          <w:color w:val="1F497D"/>
        </w:rPr>
        <w:t xml:space="preserve"> </w:t>
      </w:r>
      <w:r w:rsidR="005F2491" w:rsidRPr="00E907A1">
        <w:rPr>
          <w:szCs w:val="22"/>
        </w:rPr>
        <w:t xml:space="preserve">The horse was part of a </w:t>
      </w:r>
      <w:r w:rsidR="005F2491">
        <w:rPr>
          <w:szCs w:val="22"/>
        </w:rPr>
        <w:t xml:space="preserve">harness </w:t>
      </w:r>
      <w:r w:rsidR="005F2491" w:rsidRPr="00E907A1">
        <w:rPr>
          <w:szCs w:val="22"/>
        </w:rPr>
        <w:t>racing stable</w:t>
      </w:r>
      <w:r w:rsidR="005F2491">
        <w:rPr>
          <w:szCs w:val="22"/>
        </w:rPr>
        <w:t xml:space="preserve"> (racing stable) and managed b</w:t>
      </w:r>
      <w:r w:rsidR="005F2491" w:rsidRPr="00E907A1">
        <w:rPr>
          <w:szCs w:val="22"/>
        </w:rPr>
        <w:t xml:space="preserve">y one of the </w:t>
      </w:r>
      <w:r w:rsidR="005F2491">
        <w:rPr>
          <w:szCs w:val="22"/>
        </w:rPr>
        <w:t>stable’s Directors</w:t>
      </w:r>
      <w:r w:rsidR="005F2491" w:rsidRPr="00E907A1">
        <w:rPr>
          <w:szCs w:val="22"/>
        </w:rPr>
        <w:t xml:space="preserve">, </w:t>
      </w:r>
      <w:r w:rsidR="005F2491">
        <w:rPr>
          <w:szCs w:val="22"/>
        </w:rPr>
        <w:t>also a part owner</w:t>
      </w:r>
      <w:r w:rsidR="004C5128">
        <w:rPr>
          <w:szCs w:val="22"/>
        </w:rPr>
        <w:t>,</w:t>
      </w:r>
      <w:r w:rsidR="005F2491">
        <w:rPr>
          <w:szCs w:val="22"/>
        </w:rPr>
        <w:t xml:space="preserve"> </w:t>
      </w:r>
      <w:r w:rsidR="005F2491" w:rsidRPr="00E907A1">
        <w:rPr>
          <w:szCs w:val="22"/>
        </w:rPr>
        <w:t>along with a number of other parties</w:t>
      </w:r>
      <w:r w:rsidR="005F2491">
        <w:rPr>
          <w:szCs w:val="22"/>
        </w:rPr>
        <w:t xml:space="preserve">, forming a racing </w:t>
      </w:r>
      <w:r w:rsidR="005F2491" w:rsidRPr="00E907A1">
        <w:rPr>
          <w:szCs w:val="22"/>
        </w:rPr>
        <w:t>syndicate</w:t>
      </w:r>
      <w:r w:rsidR="005F2491">
        <w:rPr>
          <w:szCs w:val="22"/>
        </w:rPr>
        <w:t>.</w:t>
      </w:r>
      <w:r w:rsidR="005F2491" w:rsidRPr="00E907A1">
        <w:rPr>
          <w:szCs w:val="22"/>
        </w:rPr>
        <w:t xml:space="preserve">  </w:t>
      </w:r>
    </w:p>
    <w:p w14:paraId="094A32A4" w14:textId="4DD1BDAD" w:rsidR="005F2491" w:rsidRDefault="005F2491" w:rsidP="005F2491">
      <w:pPr>
        <w:tabs>
          <w:tab w:val="left" w:pos="567"/>
          <w:tab w:val="center" w:pos="4153"/>
          <w:tab w:val="right" w:pos="8306"/>
        </w:tabs>
        <w:spacing w:line="240" w:lineRule="auto"/>
        <w:rPr>
          <w:szCs w:val="22"/>
        </w:rPr>
      </w:pPr>
      <w:r w:rsidRPr="00E907A1">
        <w:rPr>
          <w:szCs w:val="22"/>
        </w:rPr>
        <w:t>The horse had not previously come to the attention of DVA, and there was no record of permission to use the word ‘Anzac’.</w:t>
      </w:r>
      <w:r>
        <w:rPr>
          <w:szCs w:val="22"/>
        </w:rPr>
        <w:t xml:space="preserve"> </w:t>
      </w:r>
      <w:r w:rsidRPr="00E907A1">
        <w:rPr>
          <w:szCs w:val="22"/>
        </w:rPr>
        <w:t xml:space="preserve"> </w:t>
      </w:r>
      <w:r w:rsidRPr="001065B1">
        <w:rPr>
          <w:szCs w:val="22"/>
        </w:rPr>
        <w:t xml:space="preserve">DVA </w:t>
      </w:r>
      <w:r>
        <w:rPr>
          <w:szCs w:val="22"/>
        </w:rPr>
        <w:t xml:space="preserve">alerted the racing stable to the rules around using the word </w:t>
      </w:r>
      <w:r w:rsidR="004E15BF">
        <w:rPr>
          <w:szCs w:val="22"/>
        </w:rPr>
        <w:t>‘</w:t>
      </w:r>
      <w:r>
        <w:rPr>
          <w:szCs w:val="22"/>
        </w:rPr>
        <w:t>Anzac</w:t>
      </w:r>
      <w:r w:rsidR="004E15BF">
        <w:rPr>
          <w:szCs w:val="22"/>
        </w:rPr>
        <w:t>’</w:t>
      </w:r>
      <w:r>
        <w:rPr>
          <w:szCs w:val="22"/>
        </w:rPr>
        <w:t xml:space="preserve">.  The manager, on behalf of the racing stable, subsequently submitted </w:t>
      </w:r>
      <w:r w:rsidRPr="001065B1">
        <w:rPr>
          <w:szCs w:val="22"/>
        </w:rPr>
        <w:t>an application</w:t>
      </w:r>
      <w:r>
        <w:rPr>
          <w:szCs w:val="22"/>
        </w:rPr>
        <w:t xml:space="preserve"> to continue using the word ‘Anzac’ as part of the horse’s </w:t>
      </w:r>
      <w:r w:rsidR="008420B3">
        <w:rPr>
          <w:szCs w:val="22"/>
        </w:rPr>
        <w:t xml:space="preserve">racing </w:t>
      </w:r>
      <w:r>
        <w:rPr>
          <w:szCs w:val="22"/>
        </w:rPr>
        <w:t xml:space="preserve">name.  Following an initial assessment of the application, DVA advised the manager that it was likely that a recommendation to </w:t>
      </w:r>
      <w:r w:rsidRPr="000060F1">
        <w:rPr>
          <w:szCs w:val="22"/>
          <w:u w:val="single"/>
        </w:rPr>
        <w:t>not</w:t>
      </w:r>
      <w:r>
        <w:rPr>
          <w:szCs w:val="22"/>
        </w:rPr>
        <w:t xml:space="preserve"> approve the application would be made, due to the commercial nature of harness racing and its association with gambling.  DVA accorded the racing stable procedural fairness and invited it to provide further </w:t>
      </w:r>
      <w:r w:rsidR="004C5128">
        <w:rPr>
          <w:szCs w:val="22"/>
        </w:rPr>
        <w:t xml:space="preserve">information </w:t>
      </w:r>
      <w:r>
        <w:rPr>
          <w:szCs w:val="22"/>
        </w:rPr>
        <w:t>in support of the application, including any impact that non-approval would have on business operations and why it believed the application should be approved.</w:t>
      </w:r>
    </w:p>
    <w:p w14:paraId="5BC35022" w14:textId="6515801F" w:rsidR="005F2491" w:rsidRPr="00253155" w:rsidRDefault="008420B3" w:rsidP="005F2491">
      <w:pPr>
        <w:tabs>
          <w:tab w:val="left" w:pos="567"/>
          <w:tab w:val="center" w:pos="4153"/>
          <w:tab w:val="right" w:pos="8306"/>
        </w:tabs>
        <w:spacing w:line="240" w:lineRule="auto"/>
      </w:pPr>
      <w:r>
        <w:rPr>
          <w:szCs w:val="22"/>
        </w:rPr>
        <w:t xml:space="preserve">DVA </w:t>
      </w:r>
      <w:r w:rsidR="005F2491" w:rsidRPr="00CA0F50">
        <w:rPr>
          <w:szCs w:val="22"/>
        </w:rPr>
        <w:t>consulted horse racing industry peak bodies</w:t>
      </w:r>
      <w:r w:rsidR="004E15BF">
        <w:rPr>
          <w:szCs w:val="22"/>
        </w:rPr>
        <w:t>,</w:t>
      </w:r>
      <w:r>
        <w:rPr>
          <w:szCs w:val="22"/>
        </w:rPr>
        <w:t xml:space="preserve"> including Harness Racing Australia (HRA)</w:t>
      </w:r>
      <w:r w:rsidR="004E15BF">
        <w:rPr>
          <w:szCs w:val="22"/>
        </w:rPr>
        <w:t>,</w:t>
      </w:r>
      <w:r w:rsidR="005F2491" w:rsidRPr="00CA0F50">
        <w:rPr>
          <w:szCs w:val="22"/>
        </w:rPr>
        <w:t xml:space="preserve"> regarding harness racing rules</w:t>
      </w:r>
      <w:r w:rsidR="005F2491">
        <w:rPr>
          <w:szCs w:val="22"/>
        </w:rPr>
        <w:t xml:space="preserve">, which have been adopted </w:t>
      </w:r>
      <w:r>
        <w:rPr>
          <w:szCs w:val="22"/>
        </w:rPr>
        <w:t xml:space="preserve">and implemented </w:t>
      </w:r>
      <w:r w:rsidR="005F2491">
        <w:rPr>
          <w:szCs w:val="22"/>
        </w:rPr>
        <w:t>by the various State</w:t>
      </w:r>
      <w:r>
        <w:rPr>
          <w:szCs w:val="22"/>
        </w:rPr>
        <w:t>s’</w:t>
      </w:r>
      <w:r w:rsidR="005F2491">
        <w:rPr>
          <w:szCs w:val="22"/>
        </w:rPr>
        <w:t xml:space="preserve"> harness racing bodies</w:t>
      </w:r>
      <w:r>
        <w:rPr>
          <w:szCs w:val="22"/>
        </w:rPr>
        <w:t>.</w:t>
      </w:r>
      <w:r w:rsidR="00C569BF">
        <w:rPr>
          <w:szCs w:val="22"/>
        </w:rPr>
        <w:t xml:space="preserve"> </w:t>
      </w:r>
      <w:r w:rsidR="005F2491" w:rsidRPr="00CA0F50">
        <w:rPr>
          <w:szCs w:val="22"/>
        </w:rPr>
        <w:t xml:space="preserve"> </w:t>
      </w:r>
      <w:r w:rsidR="005F2491" w:rsidRPr="001B7388">
        <w:rPr>
          <w:szCs w:val="22"/>
        </w:rPr>
        <w:t xml:space="preserve">Under </w:t>
      </w:r>
      <w:r w:rsidR="00C569BF">
        <w:rPr>
          <w:szCs w:val="22"/>
        </w:rPr>
        <w:t xml:space="preserve">State rules, </w:t>
      </w:r>
      <w:r w:rsidR="005F2491" w:rsidRPr="00253155">
        <w:rPr>
          <w:szCs w:val="22"/>
        </w:rPr>
        <w:t>an imported racing horse must bear the name of the country it was imported from, for example USA or NZ, in parenthesis after the horse’s name.</w:t>
      </w:r>
      <w:r w:rsidR="005F2491">
        <w:rPr>
          <w:szCs w:val="22"/>
        </w:rPr>
        <w:t xml:space="preserve">  Additionally</w:t>
      </w:r>
      <w:r w:rsidR="004E15BF">
        <w:rPr>
          <w:szCs w:val="22"/>
        </w:rPr>
        <w:t>,</w:t>
      </w:r>
      <w:r w:rsidR="005F2491">
        <w:rPr>
          <w:szCs w:val="22"/>
        </w:rPr>
        <w:t xml:space="preserve"> w</w:t>
      </w:r>
      <w:r w:rsidR="005F2491" w:rsidRPr="00253155">
        <w:rPr>
          <w:szCs w:val="22"/>
        </w:rPr>
        <w:t>here a horse’s name has been changed</w:t>
      </w:r>
      <w:r w:rsidR="00C466DF">
        <w:rPr>
          <w:szCs w:val="22"/>
        </w:rPr>
        <w:t>,</w:t>
      </w:r>
      <w:r w:rsidR="005F2491" w:rsidRPr="00253155">
        <w:rPr>
          <w:szCs w:val="22"/>
        </w:rPr>
        <w:t xml:space="preserve"> the old name (in parenthesis)</w:t>
      </w:r>
      <w:r w:rsidR="004E15BF">
        <w:rPr>
          <w:szCs w:val="22"/>
        </w:rPr>
        <w:t>,</w:t>
      </w:r>
      <w:r w:rsidR="005F2491" w:rsidRPr="00253155">
        <w:rPr>
          <w:szCs w:val="22"/>
        </w:rPr>
        <w:t xml:space="preserve"> as well as the new, shall be shown in every program for a meeting or race in which the horse participates for a period of 3 months or until the horse has competed under the new name on at least 6 occasions, whichever shall be longer.  </w:t>
      </w:r>
      <w:r w:rsidR="005F2491" w:rsidRPr="00253155">
        <w:rPr>
          <w:rFonts w:cstheme="minorHAnsi"/>
        </w:rPr>
        <w:t>The rules are there to ensure the public is aware of the racing history of the horse</w:t>
      </w:r>
      <w:r w:rsidR="005F2491" w:rsidRPr="00253155">
        <w:t xml:space="preserve">. </w:t>
      </w:r>
    </w:p>
    <w:p w14:paraId="2A3EDF9D" w14:textId="36C726EF" w:rsidR="00C569BF" w:rsidRDefault="008420B3" w:rsidP="00C569BF">
      <w:pPr>
        <w:tabs>
          <w:tab w:val="left" w:pos="567"/>
          <w:tab w:val="center" w:pos="4153"/>
          <w:tab w:val="right" w:pos="8306"/>
        </w:tabs>
        <w:spacing w:line="240" w:lineRule="auto"/>
        <w:rPr>
          <w:szCs w:val="22"/>
        </w:rPr>
      </w:pPr>
      <w:r>
        <w:rPr>
          <w:szCs w:val="22"/>
        </w:rPr>
        <w:t>In</w:t>
      </w:r>
      <w:r w:rsidR="005F2491">
        <w:rPr>
          <w:szCs w:val="22"/>
        </w:rPr>
        <w:t xml:space="preserve"> response to procedural fairness, the </w:t>
      </w:r>
      <w:r w:rsidR="00D231AC">
        <w:rPr>
          <w:szCs w:val="22"/>
        </w:rPr>
        <w:t xml:space="preserve">racing stable </w:t>
      </w:r>
      <w:r w:rsidR="005F2491">
        <w:rPr>
          <w:szCs w:val="22"/>
        </w:rPr>
        <w:t xml:space="preserve">responded that </w:t>
      </w:r>
      <w:r w:rsidR="00D231AC">
        <w:rPr>
          <w:szCs w:val="22"/>
        </w:rPr>
        <w:t>it</w:t>
      </w:r>
      <w:r w:rsidR="005F2491">
        <w:rPr>
          <w:szCs w:val="22"/>
        </w:rPr>
        <w:t xml:space="preserve"> did not </w:t>
      </w:r>
      <w:r w:rsidR="00A25E4D">
        <w:rPr>
          <w:szCs w:val="22"/>
        </w:rPr>
        <w:t>accept any liability for the horse</w:t>
      </w:r>
      <w:r w:rsidR="004E15BF">
        <w:rPr>
          <w:szCs w:val="22"/>
        </w:rPr>
        <w:t>’</w:t>
      </w:r>
      <w:r w:rsidR="00A25E4D">
        <w:rPr>
          <w:szCs w:val="22"/>
        </w:rPr>
        <w:t>s name</w:t>
      </w:r>
      <w:r w:rsidR="004E15BF">
        <w:rPr>
          <w:szCs w:val="22"/>
        </w:rPr>
        <w:t xml:space="preserve"> ‒</w:t>
      </w:r>
      <w:r w:rsidR="00A25E4D">
        <w:rPr>
          <w:szCs w:val="22"/>
        </w:rPr>
        <w:t xml:space="preserve"> </w:t>
      </w:r>
      <w:r w:rsidR="00D231AC">
        <w:rPr>
          <w:szCs w:val="22"/>
        </w:rPr>
        <w:t xml:space="preserve">it simply managed the racing and stabling of </w:t>
      </w:r>
      <w:r w:rsidR="004C5128">
        <w:rPr>
          <w:szCs w:val="22"/>
        </w:rPr>
        <w:t>the horse</w:t>
      </w:r>
      <w:r w:rsidR="00D231AC">
        <w:rPr>
          <w:szCs w:val="22"/>
        </w:rPr>
        <w:t xml:space="preserve"> on behalf of the </w:t>
      </w:r>
      <w:r w:rsidR="00A25E4D">
        <w:rPr>
          <w:szCs w:val="22"/>
        </w:rPr>
        <w:t>syndicate;</w:t>
      </w:r>
      <w:r w:rsidR="00D231AC">
        <w:rPr>
          <w:szCs w:val="22"/>
        </w:rPr>
        <w:t xml:space="preserve"> </w:t>
      </w:r>
      <w:r w:rsidR="005F2491">
        <w:rPr>
          <w:szCs w:val="22"/>
        </w:rPr>
        <w:t xml:space="preserve">that </w:t>
      </w:r>
      <w:r w:rsidR="00D231AC">
        <w:rPr>
          <w:szCs w:val="22"/>
        </w:rPr>
        <w:t xml:space="preserve">when </w:t>
      </w:r>
      <w:r w:rsidR="005F2491">
        <w:rPr>
          <w:szCs w:val="22"/>
        </w:rPr>
        <w:t xml:space="preserve">the horse was purchased </w:t>
      </w:r>
      <w:r w:rsidR="004C5128">
        <w:rPr>
          <w:szCs w:val="22"/>
        </w:rPr>
        <w:t xml:space="preserve">from New Zealand </w:t>
      </w:r>
      <w:r w:rsidR="005F2491">
        <w:rPr>
          <w:szCs w:val="22"/>
        </w:rPr>
        <w:t>on behalf of the syndicate, it</w:t>
      </w:r>
      <w:r w:rsidR="00A25E4D">
        <w:rPr>
          <w:szCs w:val="22"/>
        </w:rPr>
        <w:t>s name already included the word</w:t>
      </w:r>
      <w:r w:rsidR="00D231AC">
        <w:rPr>
          <w:szCs w:val="22"/>
        </w:rPr>
        <w:t xml:space="preserve"> ‘Anzac’</w:t>
      </w:r>
      <w:r w:rsidR="004C5128">
        <w:rPr>
          <w:szCs w:val="22"/>
        </w:rPr>
        <w:t>,</w:t>
      </w:r>
      <w:r w:rsidR="005F2491">
        <w:rPr>
          <w:szCs w:val="22"/>
        </w:rPr>
        <w:t xml:space="preserve"> and </w:t>
      </w:r>
      <w:r w:rsidR="004E15BF">
        <w:rPr>
          <w:szCs w:val="22"/>
        </w:rPr>
        <w:t xml:space="preserve">it </w:t>
      </w:r>
      <w:r w:rsidR="005F2491">
        <w:rPr>
          <w:szCs w:val="22"/>
        </w:rPr>
        <w:t xml:space="preserve">was imported </w:t>
      </w:r>
      <w:r w:rsidR="00A25E4D">
        <w:rPr>
          <w:szCs w:val="22"/>
        </w:rPr>
        <w:t xml:space="preserve">into Australia </w:t>
      </w:r>
      <w:r w:rsidR="005F2491">
        <w:rPr>
          <w:szCs w:val="22"/>
        </w:rPr>
        <w:t>bearing the name.</w:t>
      </w:r>
      <w:r w:rsidR="00E913C3">
        <w:rPr>
          <w:szCs w:val="22"/>
        </w:rPr>
        <w:t xml:space="preserve"> </w:t>
      </w:r>
      <w:r w:rsidR="005F2491">
        <w:rPr>
          <w:szCs w:val="22"/>
        </w:rPr>
        <w:t xml:space="preserve"> The manager also advised that </w:t>
      </w:r>
      <w:r w:rsidR="00C569BF">
        <w:rPr>
          <w:szCs w:val="22"/>
        </w:rPr>
        <w:t>in 2021</w:t>
      </w:r>
      <w:r w:rsidR="00FD18D6">
        <w:rPr>
          <w:szCs w:val="22"/>
        </w:rPr>
        <w:t xml:space="preserve"> </w:t>
      </w:r>
      <w:r w:rsidR="005F2491">
        <w:rPr>
          <w:szCs w:val="22"/>
        </w:rPr>
        <w:t>he</w:t>
      </w:r>
      <w:r w:rsidR="004E15BF">
        <w:rPr>
          <w:szCs w:val="22"/>
        </w:rPr>
        <w:t xml:space="preserve"> had reached out to several ESO</w:t>
      </w:r>
      <w:r w:rsidR="005F2491">
        <w:rPr>
          <w:szCs w:val="22"/>
        </w:rPr>
        <w:t xml:space="preserve">s to </w:t>
      </w:r>
      <w:r w:rsidR="00FD18D6">
        <w:rPr>
          <w:szCs w:val="22"/>
        </w:rPr>
        <w:t xml:space="preserve">encourage </w:t>
      </w:r>
      <w:r w:rsidR="005F2491">
        <w:rPr>
          <w:szCs w:val="22"/>
        </w:rPr>
        <w:t>service</w:t>
      </w:r>
      <w:r w:rsidR="004C5128">
        <w:rPr>
          <w:szCs w:val="22"/>
        </w:rPr>
        <w:t xml:space="preserve"> men and women to </w:t>
      </w:r>
      <w:r w:rsidR="00FD18D6">
        <w:rPr>
          <w:szCs w:val="22"/>
        </w:rPr>
        <w:t>connect with the horse because of its racing name that included the word ‘Anzac’, during the tough times of Covid</w:t>
      </w:r>
      <w:r w:rsidR="004E15BF">
        <w:rPr>
          <w:szCs w:val="22"/>
        </w:rPr>
        <w:t>-</w:t>
      </w:r>
      <w:r w:rsidR="00FD18D6">
        <w:rPr>
          <w:szCs w:val="22"/>
        </w:rPr>
        <w:t>19</w:t>
      </w:r>
      <w:r w:rsidR="00F1733D">
        <w:rPr>
          <w:szCs w:val="22"/>
        </w:rPr>
        <w:t>, however D</w:t>
      </w:r>
      <w:r w:rsidR="00FD18D6">
        <w:rPr>
          <w:szCs w:val="22"/>
        </w:rPr>
        <w:t>VA could not verify th</w:t>
      </w:r>
      <w:r w:rsidR="00F1733D">
        <w:rPr>
          <w:szCs w:val="22"/>
        </w:rPr>
        <w:t xml:space="preserve">is. </w:t>
      </w:r>
    </w:p>
    <w:p w14:paraId="6C5F0984" w14:textId="28773E3C" w:rsidR="005F2491" w:rsidRDefault="00F1733D" w:rsidP="00C569BF">
      <w:pPr>
        <w:tabs>
          <w:tab w:val="left" w:pos="567"/>
          <w:tab w:val="center" w:pos="4153"/>
          <w:tab w:val="right" w:pos="8306"/>
        </w:tabs>
        <w:spacing w:line="240" w:lineRule="auto"/>
        <w:rPr>
          <w:szCs w:val="22"/>
        </w:rPr>
      </w:pPr>
      <w:r w:rsidRPr="00C569BF">
        <w:rPr>
          <w:rFonts w:cstheme="minorHAnsi"/>
        </w:rPr>
        <w:t>In terms of business impacts</w:t>
      </w:r>
      <w:r w:rsidR="004E15BF">
        <w:rPr>
          <w:rFonts w:cstheme="minorHAnsi"/>
        </w:rPr>
        <w:t>,</w:t>
      </w:r>
      <w:r w:rsidRPr="00C569BF">
        <w:rPr>
          <w:rFonts w:cstheme="minorHAnsi"/>
        </w:rPr>
        <w:t xml:space="preserve"> the manager advised that non</w:t>
      </w:r>
      <w:r w:rsidR="004E15BF">
        <w:rPr>
          <w:rFonts w:cstheme="minorHAnsi"/>
        </w:rPr>
        <w:t>-</w:t>
      </w:r>
      <w:r w:rsidRPr="00C569BF">
        <w:rPr>
          <w:rFonts w:cstheme="minorHAnsi"/>
        </w:rPr>
        <w:t xml:space="preserve">approval of the horse’s name would impact the potential to resell the horse, that </w:t>
      </w:r>
      <w:r w:rsidR="00C466DF" w:rsidRPr="00C569BF">
        <w:rPr>
          <w:rFonts w:cstheme="minorHAnsi"/>
        </w:rPr>
        <w:t xml:space="preserve">the horse was currently on the market </w:t>
      </w:r>
      <w:r w:rsidR="00C466DF">
        <w:rPr>
          <w:rFonts w:cstheme="minorHAnsi"/>
        </w:rPr>
        <w:t xml:space="preserve">and </w:t>
      </w:r>
      <w:r w:rsidRPr="00C569BF">
        <w:rPr>
          <w:rFonts w:cstheme="minorHAnsi"/>
        </w:rPr>
        <w:t xml:space="preserve">the racing stable was in the process of </w:t>
      </w:r>
      <w:r w:rsidR="00C466DF">
        <w:rPr>
          <w:rFonts w:cstheme="minorHAnsi"/>
        </w:rPr>
        <w:t xml:space="preserve">potentially </w:t>
      </w:r>
      <w:r w:rsidRPr="00C569BF">
        <w:rPr>
          <w:rFonts w:cstheme="minorHAnsi"/>
        </w:rPr>
        <w:t xml:space="preserve">selling the horse </w:t>
      </w:r>
      <w:r w:rsidR="00C466DF">
        <w:rPr>
          <w:rFonts w:cstheme="minorHAnsi"/>
        </w:rPr>
        <w:t>on the USA market.</w:t>
      </w:r>
      <w:r w:rsidR="00C569BF">
        <w:rPr>
          <w:rFonts w:cstheme="minorHAnsi"/>
        </w:rPr>
        <w:t xml:space="preserve"> </w:t>
      </w:r>
      <w:r w:rsidRPr="00C569BF">
        <w:rPr>
          <w:rFonts w:cstheme="minorHAnsi"/>
        </w:rPr>
        <w:t xml:space="preserve"> </w:t>
      </w:r>
      <w:r w:rsidR="00E913C3">
        <w:rPr>
          <w:rFonts w:cstheme="minorHAnsi"/>
        </w:rPr>
        <w:t>A</w:t>
      </w:r>
      <w:r w:rsidRPr="00C569BF">
        <w:rPr>
          <w:rFonts w:cstheme="minorHAnsi"/>
        </w:rPr>
        <w:t xml:space="preserve"> name change ha</w:t>
      </w:r>
      <w:r w:rsidR="00C569BF" w:rsidRPr="00C569BF">
        <w:rPr>
          <w:rFonts w:cstheme="minorHAnsi"/>
        </w:rPr>
        <w:t>d</w:t>
      </w:r>
      <w:r w:rsidRPr="00C569BF">
        <w:rPr>
          <w:rFonts w:cstheme="minorHAnsi"/>
        </w:rPr>
        <w:t xml:space="preserve"> the potential to harm the chance of reselling </w:t>
      </w:r>
      <w:r w:rsidR="00C569BF" w:rsidRPr="00C569BF">
        <w:rPr>
          <w:rFonts w:cstheme="minorHAnsi"/>
        </w:rPr>
        <w:t>it,</w:t>
      </w:r>
      <w:r w:rsidRPr="00C569BF">
        <w:rPr>
          <w:rFonts w:cstheme="minorHAnsi"/>
        </w:rPr>
        <w:t xml:space="preserve"> which could then impact the return </w:t>
      </w:r>
      <w:r w:rsidR="00C569BF" w:rsidRPr="00C569BF">
        <w:rPr>
          <w:rFonts w:cstheme="minorHAnsi"/>
        </w:rPr>
        <w:t>for the syndicate.</w:t>
      </w:r>
      <w:r w:rsidR="00C569BF">
        <w:rPr>
          <w:rFonts w:cstheme="minorHAnsi"/>
        </w:rPr>
        <w:t xml:space="preserve">  </w:t>
      </w:r>
      <w:r>
        <w:rPr>
          <w:szCs w:val="22"/>
        </w:rPr>
        <w:t xml:space="preserve">The manager indicated that it would work with DVA to prevent any further compliance action against the racing stable.  </w:t>
      </w:r>
      <w:r w:rsidR="005F2491">
        <w:rPr>
          <w:szCs w:val="22"/>
        </w:rPr>
        <w:t xml:space="preserve"> </w:t>
      </w:r>
    </w:p>
    <w:p w14:paraId="4C24B539" w14:textId="00ADEC07" w:rsidR="00D231AC" w:rsidRPr="00E913C3" w:rsidRDefault="00C569BF" w:rsidP="00D231AC">
      <w:r w:rsidRPr="00E913C3">
        <w:t>In considering the additional information provided in response to procedural fairness</w:t>
      </w:r>
      <w:r w:rsidR="00E913C3" w:rsidRPr="00E913C3">
        <w:t>,</w:t>
      </w:r>
      <w:r w:rsidRPr="00E913C3">
        <w:t xml:space="preserve"> and </w:t>
      </w:r>
      <w:r w:rsidR="00E913C3" w:rsidRPr="00E913C3">
        <w:t xml:space="preserve">possible </w:t>
      </w:r>
      <w:r w:rsidRPr="00E913C3">
        <w:t xml:space="preserve">next steps, DVA had to consider the conflict between State and Commonwealth laws.  </w:t>
      </w:r>
      <w:r w:rsidR="00D231AC" w:rsidRPr="00E913C3">
        <w:t xml:space="preserve">Under s 109 of the </w:t>
      </w:r>
      <w:r w:rsidR="00D231AC" w:rsidRPr="00E913C3">
        <w:rPr>
          <w:i/>
          <w:iCs/>
        </w:rPr>
        <w:t>Australian Constitution,</w:t>
      </w:r>
      <w:r w:rsidR="00D231AC" w:rsidRPr="00E913C3">
        <w:t xml:space="preserve"> where a law of a State is inconsistent with a law of the Commonwealth, the </w:t>
      </w:r>
      <w:r w:rsidR="00D231AC" w:rsidRPr="00E913C3">
        <w:lastRenderedPageBreak/>
        <w:t xml:space="preserve">Commonwealth law will prevail and the State law will, to the extent of the inconsistency, be invalid. </w:t>
      </w:r>
      <w:r w:rsidR="00E913C3" w:rsidRPr="00E913C3">
        <w:t xml:space="preserve"> Based on this conclusion, the racing stable</w:t>
      </w:r>
      <w:r w:rsidR="004E15BF">
        <w:t>’</w:t>
      </w:r>
      <w:r w:rsidR="00E913C3" w:rsidRPr="00E913C3">
        <w:t>s application to use the word ‘Anzac’ in the naming of the horse was declined</w:t>
      </w:r>
      <w:r w:rsidR="004E15BF">
        <w:t>,</w:t>
      </w:r>
      <w:r w:rsidR="00E913C3">
        <w:t xml:space="preserve"> with the following 3 options provided to the racing stables:</w:t>
      </w:r>
    </w:p>
    <w:p w14:paraId="265E307A" w14:textId="5245CC47" w:rsidR="00E913C3" w:rsidRPr="00E913C3" w:rsidRDefault="00E913C3" w:rsidP="00E913C3">
      <w:pPr>
        <w:pStyle w:val="ListParagraph0"/>
        <w:numPr>
          <w:ilvl w:val="1"/>
          <w:numId w:val="39"/>
        </w:numPr>
        <w:tabs>
          <w:tab w:val="center" w:pos="4513"/>
          <w:tab w:val="right" w:pos="9026"/>
        </w:tabs>
        <w:spacing w:line="240" w:lineRule="auto"/>
        <w:contextualSpacing/>
        <w:rPr>
          <w:sz w:val="22"/>
          <w:szCs w:val="22"/>
        </w:rPr>
      </w:pPr>
      <w:r w:rsidRPr="00E913C3">
        <w:rPr>
          <w:sz w:val="22"/>
          <w:szCs w:val="22"/>
        </w:rPr>
        <w:t>Retire the horse from racing within 30 days of receipt of the correspondence; or</w:t>
      </w:r>
    </w:p>
    <w:p w14:paraId="06768DF8" w14:textId="19743A05" w:rsidR="00E913C3" w:rsidRPr="00E913C3" w:rsidRDefault="00E913C3" w:rsidP="00E913C3">
      <w:pPr>
        <w:pStyle w:val="ListParagraph0"/>
        <w:numPr>
          <w:ilvl w:val="1"/>
          <w:numId w:val="39"/>
        </w:numPr>
        <w:tabs>
          <w:tab w:val="center" w:pos="4513"/>
          <w:tab w:val="right" w:pos="9026"/>
        </w:tabs>
        <w:spacing w:line="240" w:lineRule="auto"/>
        <w:contextualSpacing/>
        <w:rPr>
          <w:sz w:val="22"/>
          <w:szCs w:val="22"/>
        </w:rPr>
      </w:pPr>
      <w:r w:rsidRPr="00E913C3">
        <w:rPr>
          <w:sz w:val="22"/>
          <w:szCs w:val="22"/>
        </w:rPr>
        <w:t xml:space="preserve">If the horse is continued to be raced, it must be re-named to remove the word ‘Anzac’, and confirmation of this change </w:t>
      </w:r>
      <w:r w:rsidR="004E15BF">
        <w:rPr>
          <w:sz w:val="22"/>
          <w:szCs w:val="22"/>
        </w:rPr>
        <w:t xml:space="preserve">must be </w:t>
      </w:r>
      <w:r w:rsidRPr="00E913C3">
        <w:rPr>
          <w:sz w:val="22"/>
          <w:szCs w:val="22"/>
        </w:rPr>
        <w:t>provided to DVA within 60 days of receipt of the correspondence; or</w:t>
      </w:r>
    </w:p>
    <w:p w14:paraId="0D3107D0" w14:textId="77777777" w:rsidR="00E913C3" w:rsidRPr="00E913C3" w:rsidRDefault="00E913C3" w:rsidP="00E913C3">
      <w:pPr>
        <w:pStyle w:val="ListParagraph0"/>
        <w:numPr>
          <w:ilvl w:val="1"/>
          <w:numId w:val="39"/>
        </w:numPr>
        <w:tabs>
          <w:tab w:val="center" w:pos="4513"/>
          <w:tab w:val="right" w:pos="9026"/>
        </w:tabs>
        <w:spacing w:line="240" w:lineRule="auto"/>
        <w:rPr>
          <w:sz w:val="22"/>
          <w:szCs w:val="22"/>
        </w:rPr>
      </w:pPr>
      <w:r w:rsidRPr="00E913C3">
        <w:rPr>
          <w:sz w:val="22"/>
          <w:szCs w:val="22"/>
        </w:rPr>
        <w:t>Sell the horse internationally within 90 days (noting that the horse cannot be sold on the domestic market with its current name).</w:t>
      </w:r>
    </w:p>
    <w:p w14:paraId="748EC74B" w14:textId="1AE29661" w:rsidR="00E61237" w:rsidRDefault="00E913C3" w:rsidP="00E61237">
      <w:pPr>
        <w:rPr>
          <w:szCs w:val="22"/>
        </w:rPr>
      </w:pPr>
      <w:r w:rsidRPr="00374AF2">
        <w:rPr>
          <w:szCs w:val="22"/>
        </w:rPr>
        <w:t xml:space="preserve">In February 2023, the racing stables </w:t>
      </w:r>
      <w:r w:rsidR="00374AF2" w:rsidRPr="00374AF2">
        <w:rPr>
          <w:szCs w:val="22"/>
        </w:rPr>
        <w:t>confirmed with DVA that the horse’s racing name had been changed to no longer include the word ‘Anzac’</w:t>
      </w:r>
      <w:r w:rsidR="004E15BF">
        <w:rPr>
          <w:szCs w:val="22"/>
        </w:rPr>
        <w:t>,</w:t>
      </w:r>
      <w:r w:rsidR="00374AF2" w:rsidRPr="00374AF2">
        <w:rPr>
          <w:szCs w:val="22"/>
        </w:rPr>
        <w:t xml:space="preserve"> as the sa</w:t>
      </w:r>
      <w:r w:rsidR="00C466DF">
        <w:rPr>
          <w:szCs w:val="22"/>
        </w:rPr>
        <w:t>le to the USA had not proceeded</w:t>
      </w:r>
      <w:r w:rsidR="00374AF2" w:rsidRPr="00374AF2">
        <w:rPr>
          <w:szCs w:val="22"/>
        </w:rPr>
        <w:t xml:space="preserve">.  </w:t>
      </w:r>
      <w:r w:rsidR="00E61237">
        <w:rPr>
          <w:szCs w:val="22"/>
        </w:rPr>
        <w:t xml:space="preserve">DVA considers that the racing stable had </w:t>
      </w:r>
      <w:r w:rsidR="00C466DF">
        <w:rPr>
          <w:szCs w:val="22"/>
        </w:rPr>
        <w:t xml:space="preserve">shown good faith and </w:t>
      </w:r>
      <w:r w:rsidR="00E61237">
        <w:rPr>
          <w:szCs w:val="22"/>
        </w:rPr>
        <w:t xml:space="preserve">complied with DVA’s request to remedy the situation and </w:t>
      </w:r>
      <w:r w:rsidR="00C466DF">
        <w:rPr>
          <w:szCs w:val="22"/>
        </w:rPr>
        <w:t xml:space="preserve">it </w:t>
      </w:r>
      <w:r w:rsidR="00E61237">
        <w:rPr>
          <w:szCs w:val="22"/>
        </w:rPr>
        <w:t xml:space="preserve">was no longer in breach of the Regulations. </w:t>
      </w:r>
    </w:p>
    <w:p w14:paraId="2698F0BA" w14:textId="79079B3E" w:rsidR="00374AF2" w:rsidRDefault="00374AF2" w:rsidP="00E61237">
      <w:pPr>
        <w:rPr>
          <w:szCs w:val="22"/>
        </w:rPr>
      </w:pPr>
      <w:r w:rsidRPr="00374AF2">
        <w:rPr>
          <w:szCs w:val="22"/>
        </w:rPr>
        <w:t xml:space="preserve">DVA monitored the horse’s racing career for a period of six months to confirm the former name </w:t>
      </w:r>
      <w:r>
        <w:rPr>
          <w:szCs w:val="22"/>
        </w:rPr>
        <w:t>was</w:t>
      </w:r>
      <w:r w:rsidRPr="00374AF2">
        <w:rPr>
          <w:szCs w:val="22"/>
        </w:rPr>
        <w:t xml:space="preserve"> no longer displayed in racing programs or on gambling websites</w:t>
      </w:r>
      <w:r>
        <w:rPr>
          <w:szCs w:val="22"/>
        </w:rPr>
        <w:t xml:space="preserve">.   </w:t>
      </w:r>
      <w:r w:rsidR="00E61237" w:rsidRPr="00E61237">
        <w:rPr>
          <w:szCs w:val="22"/>
        </w:rPr>
        <w:t xml:space="preserve">DVA </w:t>
      </w:r>
      <w:r w:rsidR="00EF2F1A">
        <w:rPr>
          <w:szCs w:val="22"/>
        </w:rPr>
        <w:t>continues to monitor any residual use of the horse</w:t>
      </w:r>
      <w:r w:rsidR="0080757D">
        <w:rPr>
          <w:szCs w:val="22"/>
        </w:rPr>
        <w:t xml:space="preserve">’s </w:t>
      </w:r>
      <w:r w:rsidR="00EF2F1A">
        <w:rPr>
          <w:szCs w:val="22"/>
        </w:rPr>
        <w:t>previou</w:t>
      </w:r>
      <w:r w:rsidR="0080757D">
        <w:rPr>
          <w:szCs w:val="22"/>
        </w:rPr>
        <w:t>s name</w:t>
      </w:r>
      <w:r w:rsidR="00BC6E3C">
        <w:rPr>
          <w:szCs w:val="22"/>
        </w:rPr>
        <w:t xml:space="preserve"> and </w:t>
      </w:r>
      <w:r w:rsidR="0080757D">
        <w:rPr>
          <w:szCs w:val="22"/>
        </w:rPr>
        <w:t>will as</w:t>
      </w:r>
      <w:r w:rsidR="004E15BF">
        <w:rPr>
          <w:szCs w:val="22"/>
        </w:rPr>
        <w:t>sess any residual use on a case-</w:t>
      </w:r>
      <w:r w:rsidR="0080757D">
        <w:rPr>
          <w:szCs w:val="22"/>
        </w:rPr>
        <w:t>by</w:t>
      </w:r>
      <w:r w:rsidR="004E15BF">
        <w:rPr>
          <w:szCs w:val="22"/>
        </w:rPr>
        <w:t>-</w:t>
      </w:r>
      <w:r w:rsidR="0080757D">
        <w:rPr>
          <w:szCs w:val="22"/>
        </w:rPr>
        <w:t>case basis, and takes steps where necessary and within resourcing, however it is anticipated that residual use will be minor in nature</w:t>
      </w:r>
      <w:r w:rsidR="00BC6E3C">
        <w:rPr>
          <w:szCs w:val="22"/>
        </w:rPr>
        <w:t>.</w:t>
      </w:r>
      <w:r w:rsidRPr="00E61237">
        <w:rPr>
          <w:szCs w:val="22"/>
        </w:rPr>
        <w:t xml:space="preserve">  </w:t>
      </w:r>
    </w:p>
    <w:p w14:paraId="41C9FC23" w14:textId="3B66C5BC" w:rsidR="00E61237" w:rsidRPr="008420B3" w:rsidRDefault="00E61237" w:rsidP="00E61237">
      <w:pPr>
        <w:rPr>
          <w:szCs w:val="22"/>
        </w:rPr>
      </w:pPr>
      <w:r w:rsidRPr="008420B3">
        <w:rPr>
          <w:szCs w:val="22"/>
        </w:rPr>
        <w:t>DVA continue</w:t>
      </w:r>
      <w:r w:rsidR="004E15BF">
        <w:rPr>
          <w:szCs w:val="22"/>
        </w:rPr>
        <w:t>s</w:t>
      </w:r>
      <w:r w:rsidRPr="008420B3">
        <w:rPr>
          <w:szCs w:val="22"/>
        </w:rPr>
        <w:t xml:space="preserve"> to engage with </w:t>
      </w:r>
      <w:r w:rsidR="008420B3" w:rsidRPr="008420B3">
        <w:rPr>
          <w:szCs w:val="22"/>
        </w:rPr>
        <w:t xml:space="preserve">the </w:t>
      </w:r>
      <w:r w:rsidRPr="008420B3">
        <w:rPr>
          <w:szCs w:val="22"/>
        </w:rPr>
        <w:t xml:space="preserve">HRA, Australian Turf Club, and Racing Australia as part of the annual peak body mail-out advising of the significance of the word </w:t>
      </w:r>
      <w:r w:rsidR="004E15BF">
        <w:rPr>
          <w:szCs w:val="22"/>
        </w:rPr>
        <w:t>‘</w:t>
      </w:r>
      <w:r w:rsidRPr="008420B3">
        <w:rPr>
          <w:szCs w:val="22"/>
        </w:rPr>
        <w:t>Anzac</w:t>
      </w:r>
      <w:r w:rsidR="004E15BF">
        <w:rPr>
          <w:szCs w:val="22"/>
        </w:rPr>
        <w:t>’</w:t>
      </w:r>
      <w:r w:rsidRPr="008420B3">
        <w:rPr>
          <w:szCs w:val="22"/>
        </w:rPr>
        <w:t xml:space="preserve"> in Australian culture, clarifying when permission to use the word is required</w:t>
      </w:r>
      <w:r w:rsidR="004E15BF">
        <w:rPr>
          <w:szCs w:val="22"/>
        </w:rPr>
        <w:t>,</w:t>
      </w:r>
      <w:r w:rsidRPr="008420B3">
        <w:rPr>
          <w:szCs w:val="22"/>
        </w:rPr>
        <w:t xml:space="preserve"> and advising where additional information and instructions on how to apply to use the word </w:t>
      </w:r>
      <w:r w:rsidR="004E15BF">
        <w:rPr>
          <w:szCs w:val="22"/>
        </w:rPr>
        <w:t>‘</w:t>
      </w:r>
      <w:r w:rsidRPr="008420B3">
        <w:rPr>
          <w:szCs w:val="22"/>
        </w:rPr>
        <w:t>Anzac</w:t>
      </w:r>
      <w:r w:rsidR="004E15BF">
        <w:rPr>
          <w:szCs w:val="22"/>
        </w:rPr>
        <w:t>’</w:t>
      </w:r>
      <w:r w:rsidRPr="008420B3">
        <w:rPr>
          <w:szCs w:val="22"/>
        </w:rPr>
        <w:t xml:space="preserve"> can be found</w:t>
      </w:r>
      <w:r w:rsidR="008420B3" w:rsidRPr="008420B3">
        <w:rPr>
          <w:szCs w:val="22"/>
        </w:rPr>
        <w:t>.</w:t>
      </w:r>
    </w:p>
    <w:p w14:paraId="489A15BC" w14:textId="1FB8EB29" w:rsidR="00374AF2" w:rsidRDefault="00374AF2" w:rsidP="005F2491">
      <w:pPr>
        <w:rPr>
          <w:szCs w:val="22"/>
        </w:rPr>
      </w:pPr>
    </w:p>
    <w:p w14:paraId="14224D54" w14:textId="02FD434C" w:rsidR="00184E63" w:rsidRDefault="00184E63" w:rsidP="005F2491">
      <w:pPr>
        <w:rPr>
          <w:szCs w:val="22"/>
        </w:rPr>
      </w:pPr>
    </w:p>
    <w:p w14:paraId="490B5B6E" w14:textId="53BF53DE" w:rsidR="00184E63" w:rsidRDefault="00184E63" w:rsidP="005F2491">
      <w:pPr>
        <w:rPr>
          <w:szCs w:val="22"/>
        </w:rPr>
      </w:pPr>
    </w:p>
    <w:p w14:paraId="6E01525F" w14:textId="43C207D7" w:rsidR="00184E63" w:rsidRDefault="00184E63" w:rsidP="005F2491">
      <w:pPr>
        <w:rPr>
          <w:szCs w:val="22"/>
        </w:rPr>
      </w:pPr>
    </w:p>
    <w:p w14:paraId="05B38A5E" w14:textId="53CFE1A8" w:rsidR="00184E63" w:rsidRDefault="00184E63" w:rsidP="005F2491">
      <w:pPr>
        <w:rPr>
          <w:szCs w:val="22"/>
        </w:rPr>
      </w:pPr>
    </w:p>
    <w:p w14:paraId="6910DBFF" w14:textId="46D4AA0A" w:rsidR="00184E63" w:rsidRDefault="00184E63" w:rsidP="005F2491">
      <w:pPr>
        <w:rPr>
          <w:szCs w:val="22"/>
        </w:rPr>
      </w:pPr>
    </w:p>
    <w:p w14:paraId="678C2AC1" w14:textId="07512840" w:rsidR="00184E63" w:rsidRDefault="00184E63" w:rsidP="005F2491">
      <w:pPr>
        <w:rPr>
          <w:szCs w:val="22"/>
        </w:rPr>
      </w:pPr>
    </w:p>
    <w:p w14:paraId="4F81D593" w14:textId="42EB3654" w:rsidR="00184E63" w:rsidRDefault="00184E63" w:rsidP="005F2491">
      <w:pPr>
        <w:rPr>
          <w:szCs w:val="22"/>
        </w:rPr>
      </w:pPr>
    </w:p>
    <w:p w14:paraId="54900AC2" w14:textId="34F990F0" w:rsidR="00184E63" w:rsidRDefault="00184E63" w:rsidP="005F2491">
      <w:pPr>
        <w:rPr>
          <w:szCs w:val="22"/>
        </w:rPr>
      </w:pPr>
    </w:p>
    <w:p w14:paraId="653A2692" w14:textId="02E691A6" w:rsidR="00184E63" w:rsidRDefault="00184E63" w:rsidP="005F2491">
      <w:pPr>
        <w:rPr>
          <w:szCs w:val="22"/>
        </w:rPr>
      </w:pPr>
    </w:p>
    <w:p w14:paraId="626E4247" w14:textId="3AF187BF" w:rsidR="00184E63" w:rsidRDefault="00184E63" w:rsidP="005F2491">
      <w:pPr>
        <w:rPr>
          <w:szCs w:val="22"/>
        </w:rPr>
      </w:pPr>
    </w:p>
    <w:p w14:paraId="5EF16EB8" w14:textId="6F317BDB" w:rsidR="00184E63" w:rsidRDefault="00184E63" w:rsidP="005F2491">
      <w:pPr>
        <w:rPr>
          <w:szCs w:val="22"/>
        </w:rPr>
      </w:pPr>
    </w:p>
    <w:p w14:paraId="586979CB" w14:textId="617236B0" w:rsidR="00184E63" w:rsidRDefault="00184E63" w:rsidP="005F2491">
      <w:pPr>
        <w:rPr>
          <w:szCs w:val="22"/>
        </w:rPr>
      </w:pPr>
    </w:p>
    <w:p w14:paraId="038E5F76" w14:textId="77777777" w:rsidR="00CD2DBD" w:rsidRPr="00CD2DBD" w:rsidRDefault="00CD2DBD" w:rsidP="00CD2DBD">
      <w:pPr>
        <w:keepNext/>
        <w:keepLines/>
        <w:spacing w:before="240" w:after="0"/>
        <w:outlineLvl w:val="0"/>
        <w:rPr>
          <w:rFonts w:ascii="Calibri Light" w:eastAsia="Times New Roman" w:hAnsi="Calibri Light" w:cs="Times New Roman"/>
          <w:color w:val="2E74B5"/>
          <w:sz w:val="32"/>
          <w:szCs w:val="32"/>
          <w:lang w:val="en-AU"/>
        </w:rPr>
      </w:pPr>
      <w:bookmarkStart w:id="9" w:name="_Toc464043330"/>
      <w:bookmarkStart w:id="10" w:name="_Toc464043470"/>
      <w:bookmarkStart w:id="11" w:name="_Toc465262930"/>
      <w:bookmarkStart w:id="12" w:name="_Toc19696331"/>
      <w:bookmarkStart w:id="13" w:name="_Toc169516860"/>
      <w:r w:rsidRPr="00CD2DBD">
        <w:rPr>
          <w:rFonts w:ascii="Calibri Light" w:eastAsia="Times New Roman" w:hAnsi="Calibri Light" w:cs="Times New Roman"/>
          <w:color w:val="2E74B5"/>
          <w:sz w:val="32"/>
          <w:szCs w:val="32"/>
          <w:lang w:val="en-AU"/>
        </w:rPr>
        <w:lastRenderedPageBreak/>
        <w:t xml:space="preserve">Appendix </w:t>
      </w:r>
      <w:bookmarkEnd w:id="9"/>
      <w:bookmarkEnd w:id="10"/>
      <w:r w:rsidRPr="00CD2DBD">
        <w:rPr>
          <w:rFonts w:ascii="Calibri Light" w:eastAsia="Times New Roman" w:hAnsi="Calibri Light" w:cs="Times New Roman"/>
          <w:color w:val="2E74B5"/>
          <w:sz w:val="32"/>
          <w:szCs w:val="32"/>
          <w:lang w:val="en-AU"/>
        </w:rPr>
        <w:t>A: Summary of feedback from consultation</w:t>
      </w:r>
      <w:bookmarkEnd w:id="11"/>
      <w:bookmarkEnd w:id="12"/>
      <w:bookmarkEnd w:id="13"/>
    </w:p>
    <w:tbl>
      <w:tblPr>
        <w:tblStyle w:val="TableGrid2"/>
        <w:tblW w:w="9209" w:type="dxa"/>
        <w:tblInd w:w="0" w:type="dxa"/>
        <w:tblLook w:val="04A0" w:firstRow="1" w:lastRow="0" w:firstColumn="1" w:lastColumn="0" w:noHBand="0" w:noVBand="1"/>
      </w:tblPr>
      <w:tblGrid>
        <w:gridCol w:w="3256"/>
        <w:gridCol w:w="5953"/>
      </w:tblGrid>
      <w:tr w:rsidR="00CD2DBD" w:rsidRPr="00CD2DBD" w14:paraId="647FF806" w14:textId="77777777" w:rsidTr="00CD2DBD">
        <w:tc>
          <w:tcPr>
            <w:tcW w:w="3256" w:type="dxa"/>
            <w:shd w:val="clear" w:color="auto" w:fill="BFBFBF"/>
            <w:hideMark/>
          </w:tcPr>
          <w:p w14:paraId="07F0ED5D" w14:textId="77777777" w:rsidR="00CD2DBD" w:rsidRPr="00CD2DBD" w:rsidRDefault="00CD2DBD" w:rsidP="00CD2DBD">
            <w:pPr>
              <w:spacing w:before="120" w:after="120"/>
              <w:rPr>
                <w:rFonts w:ascii="Calibri" w:hAnsi="Calibri"/>
                <w:b/>
                <w:sz w:val="20"/>
                <w:szCs w:val="20"/>
              </w:rPr>
            </w:pPr>
          </w:p>
          <w:p w14:paraId="40CEC4CE" w14:textId="77777777" w:rsidR="00CD2DBD" w:rsidRPr="00CD2DBD" w:rsidRDefault="00CD2DBD" w:rsidP="00CD2DBD">
            <w:pPr>
              <w:spacing w:before="120" w:after="120"/>
              <w:rPr>
                <w:rFonts w:ascii="Calibri" w:hAnsi="Calibri"/>
                <w:b/>
                <w:sz w:val="20"/>
                <w:szCs w:val="20"/>
              </w:rPr>
            </w:pPr>
            <w:r w:rsidRPr="00CD2DBD">
              <w:rPr>
                <w:rFonts w:ascii="Calibri" w:hAnsi="Calibri"/>
                <w:b/>
                <w:sz w:val="20"/>
                <w:szCs w:val="20"/>
              </w:rPr>
              <w:t>Organisation</w:t>
            </w:r>
          </w:p>
        </w:tc>
        <w:tc>
          <w:tcPr>
            <w:tcW w:w="5953" w:type="dxa"/>
            <w:shd w:val="clear" w:color="auto" w:fill="BFBFBF"/>
            <w:hideMark/>
          </w:tcPr>
          <w:p w14:paraId="5760D944" w14:textId="77777777" w:rsidR="00CD2DBD" w:rsidRPr="00CD2DBD" w:rsidRDefault="00CD2DBD" w:rsidP="00CD2DBD">
            <w:pPr>
              <w:spacing w:before="120" w:after="120"/>
              <w:rPr>
                <w:rFonts w:ascii="Calibri" w:hAnsi="Calibri"/>
                <w:b/>
                <w:sz w:val="20"/>
                <w:szCs w:val="20"/>
              </w:rPr>
            </w:pPr>
          </w:p>
          <w:p w14:paraId="397BFC04" w14:textId="77777777" w:rsidR="00CD2DBD" w:rsidRPr="00CD2DBD" w:rsidRDefault="00CD2DBD" w:rsidP="00CD2DBD">
            <w:pPr>
              <w:spacing w:before="120" w:after="120"/>
              <w:rPr>
                <w:rFonts w:ascii="Calibri" w:hAnsi="Calibri"/>
                <w:b/>
                <w:sz w:val="20"/>
                <w:szCs w:val="20"/>
              </w:rPr>
            </w:pPr>
            <w:r w:rsidRPr="00CD2DBD">
              <w:rPr>
                <w:rFonts w:ascii="Calibri" w:hAnsi="Calibri"/>
                <w:b/>
                <w:sz w:val="20"/>
                <w:szCs w:val="20"/>
              </w:rPr>
              <w:t>Feedback</w:t>
            </w:r>
          </w:p>
        </w:tc>
      </w:tr>
      <w:tr w:rsidR="00CD2DBD" w:rsidRPr="00CD2DBD" w14:paraId="7B066C65" w14:textId="77777777" w:rsidTr="00EA4423">
        <w:tc>
          <w:tcPr>
            <w:tcW w:w="3256" w:type="dxa"/>
            <w:hideMark/>
          </w:tcPr>
          <w:p w14:paraId="1C5ADE77" w14:textId="77777777" w:rsidR="00CD2DBD" w:rsidRPr="00CD2DBD" w:rsidRDefault="00CD2DBD" w:rsidP="00CD2DBD">
            <w:pPr>
              <w:spacing w:before="120" w:after="120"/>
              <w:rPr>
                <w:rFonts w:ascii="Calibri" w:hAnsi="Calibri"/>
                <w:sz w:val="20"/>
                <w:szCs w:val="20"/>
              </w:rPr>
            </w:pPr>
            <w:r w:rsidRPr="00CD2DBD">
              <w:rPr>
                <w:rFonts w:ascii="Calibri" w:hAnsi="Calibri"/>
                <w:sz w:val="20"/>
                <w:szCs w:val="20"/>
              </w:rPr>
              <w:t>Partners of Veterans Association of Australia Inc</w:t>
            </w:r>
          </w:p>
        </w:tc>
        <w:tc>
          <w:tcPr>
            <w:tcW w:w="5953" w:type="dxa"/>
            <w:vAlign w:val="center"/>
          </w:tcPr>
          <w:p w14:paraId="65153E5D" w14:textId="77777777" w:rsidR="00CD2DBD" w:rsidRPr="00CD2DBD" w:rsidRDefault="00CD2DBD" w:rsidP="00CD2DBD">
            <w:pPr>
              <w:spacing w:before="120" w:after="120"/>
              <w:rPr>
                <w:rFonts w:ascii="Calibri" w:hAnsi="Calibri"/>
                <w:sz w:val="20"/>
                <w:szCs w:val="20"/>
              </w:rPr>
            </w:pPr>
            <w:r w:rsidRPr="00CD2DBD">
              <w:rPr>
                <w:rFonts w:ascii="Calibri" w:hAnsi="Calibri"/>
                <w:sz w:val="20"/>
                <w:szCs w:val="20"/>
              </w:rPr>
              <w:t>Nil comment.</w:t>
            </w:r>
          </w:p>
        </w:tc>
      </w:tr>
      <w:tr w:rsidR="00CD2DBD" w:rsidRPr="00CD2DBD" w14:paraId="3EDFD754" w14:textId="77777777" w:rsidTr="00EA4423">
        <w:tc>
          <w:tcPr>
            <w:tcW w:w="3256" w:type="dxa"/>
          </w:tcPr>
          <w:p w14:paraId="40794D23" w14:textId="77777777" w:rsidR="00CD2DBD" w:rsidRPr="00CD2DBD" w:rsidRDefault="00CD2DBD" w:rsidP="00CD2DBD">
            <w:pPr>
              <w:spacing w:before="120" w:after="120"/>
              <w:rPr>
                <w:rFonts w:ascii="Calibri" w:hAnsi="Calibri"/>
                <w:sz w:val="20"/>
                <w:szCs w:val="20"/>
              </w:rPr>
            </w:pPr>
            <w:r w:rsidRPr="00CD2DBD">
              <w:rPr>
                <w:rFonts w:ascii="Calibri" w:hAnsi="Calibri"/>
                <w:sz w:val="20"/>
                <w:szCs w:val="20"/>
              </w:rPr>
              <w:t xml:space="preserve">Returned Services League of Australia </w:t>
            </w:r>
          </w:p>
        </w:tc>
        <w:tc>
          <w:tcPr>
            <w:tcW w:w="5953" w:type="dxa"/>
            <w:vAlign w:val="center"/>
          </w:tcPr>
          <w:p w14:paraId="089107AB" w14:textId="77777777" w:rsidR="00CD2DBD" w:rsidRPr="00CD2DBD" w:rsidRDefault="00CD2DBD" w:rsidP="00CD2DBD">
            <w:pPr>
              <w:spacing w:before="120" w:after="120"/>
              <w:rPr>
                <w:rFonts w:ascii="Calibri" w:hAnsi="Calibri"/>
                <w:sz w:val="20"/>
                <w:szCs w:val="20"/>
              </w:rPr>
            </w:pPr>
            <w:r w:rsidRPr="00CD2DBD">
              <w:rPr>
                <w:rFonts w:ascii="Calibri" w:hAnsi="Calibri"/>
                <w:sz w:val="20"/>
                <w:szCs w:val="20"/>
              </w:rPr>
              <w:t>Nil comment.</w:t>
            </w:r>
          </w:p>
        </w:tc>
      </w:tr>
      <w:tr w:rsidR="00CD2DBD" w:rsidRPr="00CD2DBD" w14:paraId="5AA4B8EB" w14:textId="77777777" w:rsidTr="00EA4423">
        <w:tc>
          <w:tcPr>
            <w:tcW w:w="3256" w:type="dxa"/>
          </w:tcPr>
          <w:p w14:paraId="2C5491CD" w14:textId="77777777" w:rsidR="00CD2DBD" w:rsidRPr="00CD2DBD" w:rsidRDefault="00CD2DBD" w:rsidP="00CD2DBD">
            <w:pPr>
              <w:spacing w:before="120" w:after="120"/>
              <w:rPr>
                <w:rFonts w:ascii="Calibri" w:hAnsi="Calibri"/>
                <w:sz w:val="20"/>
                <w:szCs w:val="20"/>
              </w:rPr>
            </w:pPr>
            <w:r w:rsidRPr="00CD2DBD">
              <w:rPr>
                <w:rFonts w:ascii="Calibri" w:hAnsi="Calibri"/>
                <w:sz w:val="20"/>
                <w:szCs w:val="20"/>
              </w:rPr>
              <w:t>Vietnam Veterans’ Association of Australia</w:t>
            </w:r>
          </w:p>
        </w:tc>
        <w:tc>
          <w:tcPr>
            <w:tcW w:w="5953" w:type="dxa"/>
            <w:vAlign w:val="center"/>
          </w:tcPr>
          <w:p w14:paraId="436A289C" w14:textId="77777777" w:rsidR="00CD2DBD" w:rsidRPr="00CD2DBD" w:rsidRDefault="00CD2DBD" w:rsidP="00CD2DBD">
            <w:pPr>
              <w:spacing w:before="120" w:after="120"/>
              <w:rPr>
                <w:rFonts w:ascii="Calibri" w:hAnsi="Calibri"/>
                <w:sz w:val="20"/>
                <w:szCs w:val="20"/>
              </w:rPr>
            </w:pPr>
            <w:r w:rsidRPr="00CD2DBD">
              <w:rPr>
                <w:rFonts w:ascii="Calibri" w:hAnsi="Calibri"/>
                <w:sz w:val="20"/>
                <w:szCs w:val="20"/>
              </w:rPr>
              <w:t>Nil comment.</w:t>
            </w:r>
          </w:p>
        </w:tc>
      </w:tr>
      <w:tr w:rsidR="00CD2DBD" w:rsidRPr="00CD2DBD" w14:paraId="232C4648" w14:textId="77777777" w:rsidTr="00EA4423">
        <w:tc>
          <w:tcPr>
            <w:tcW w:w="3256" w:type="dxa"/>
          </w:tcPr>
          <w:p w14:paraId="7C56FDD0" w14:textId="77777777" w:rsidR="00CD2DBD" w:rsidRPr="00CD2DBD" w:rsidRDefault="00CD2DBD" w:rsidP="00CD2DBD">
            <w:pPr>
              <w:spacing w:before="120" w:after="120"/>
              <w:rPr>
                <w:rFonts w:ascii="Calibri" w:hAnsi="Calibri"/>
                <w:sz w:val="20"/>
                <w:szCs w:val="20"/>
              </w:rPr>
            </w:pPr>
            <w:r w:rsidRPr="00CD2DBD">
              <w:rPr>
                <w:rFonts w:ascii="Calibri" w:hAnsi="Calibri"/>
                <w:sz w:val="20"/>
                <w:szCs w:val="20"/>
              </w:rPr>
              <w:t xml:space="preserve">Legacy Australia Inc </w:t>
            </w:r>
          </w:p>
        </w:tc>
        <w:tc>
          <w:tcPr>
            <w:tcW w:w="5953" w:type="dxa"/>
            <w:vAlign w:val="center"/>
          </w:tcPr>
          <w:p w14:paraId="30540ABA" w14:textId="77777777" w:rsidR="00CD2DBD" w:rsidRPr="00CD2DBD" w:rsidRDefault="00CD2DBD" w:rsidP="00CD2DBD">
            <w:pPr>
              <w:spacing w:before="120" w:after="120"/>
              <w:rPr>
                <w:rFonts w:ascii="Calibri" w:hAnsi="Calibri"/>
                <w:sz w:val="20"/>
                <w:szCs w:val="20"/>
              </w:rPr>
            </w:pPr>
            <w:r w:rsidRPr="00CD2DBD">
              <w:rPr>
                <w:rFonts w:ascii="Calibri" w:hAnsi="Calibri"/>
                <w:sz w:val="20"/>
                <w:szCs w:val="20"/>
              </w:rPr>
              <w:t>Nil comment.</w:t>
            </w:r>
          </w:p>
        </w:tc>
      </w:tr>
      <w:tr w:rsidR="00CD2DBD" w:rsidRPr="00CD2DBD" w14:paraId="4EEFB38C" w14:textId="77777777" w:rsidTr="00EA4423">
        <w:tc>
          <w:tcPr>
            <w:tcW w:w="3256" w:type="dxa"/>
            <w:hideMark/>
          </w:tcPr>
          <w:p w14:paraId="74910149" w14:textId="77777777" w:rsidR="00CD2DBD" w:rsidRPr="00CD2DBD" w:rsidRDefault="00CD2DBD" w:rsidP="00CD2DBD">
            <w:pPr>
              <w:spacing w:before="120" w:after="120"/>
              <w:rPr>
                <w:rFonts w:ascii="Calibri" w:hAnsi="Calibri"/>
                <w:sz w:val="20"/>
                <w:szCs w:val="20"/>
              </w:rPr>
            </w:pPr>
            <w:r w:rsidRPr="00CD2DBD">
              <w:rPr>
                <w:rFonts w:ascii="Calibri" w:hAnsi="Calibri"/>
                <w:sz w:val="20"/>
                <w:szCs w:val="20"/>
              </w:rPr>
              <w:t>Australian War Widows Inc</w:t>
            </w:r>
          </w:p>
        </w:tc>
        <w:tc>
          <w:tcPr>
            <w:tcW w:w="5953" w:type="dxa"/>
            <w:vAlign w:val="center"/>
          </w:tcPr>
          <w:p w14:paraId="79EB3225" w14:textId="77777777" w:rsidR="00CD2DBD" w:rsidRPr="00CD2DBD" w:rsidRDefault="00CD2DBD" w:rsidP="00CD2DBD">
            <w:pPr>
              <w:spacing w:before="120" w:after="120"/>
              <w:rPr>
                <w:rFonts w:ascii="Calibri" w:hAnsi="Calibri"/>
                <w:sz w:val="20"/>
                <w:szCs w:val="20"/>
              </w:rPr>
            </w:pPr>
            <w:r w:rsidRPr="00CD2DBD">
              <w:rPr>
                <w:rFonts w:ascii="Calibri" w:hAnsi="Calibri"/>
                <w:sz w:val="20"/>
                <w:szCs w:val="20"/>
              </w:rPr>
              <w:t>Nil comment.</w:t>
            </w:r>
          </w:p>
        </w:tc>
      </w:tr>
      <w:tr w:rsidR="00CD2DBD" w:rsidRPr="00CD2DBD" w14:paraId="2BB1540A" w14:textId="77777777" w:rsidTr="00EA4423">
        <w:tc>
          <w:tcPr>
            <w:tcW w:w="3256" w:type="dxa"/>
          </w:tcPr>
          <w:p w14:paraId="5CC7D04F" w14:textId="77777777" w:rsidR="00CD2DBD" w:rsidRPr="00CD2DBD" w:rsidRDefault="00CD2DBD" w:rsidP="00CD2DBD">
            <w:pPr>
              <w:spacing w:before="120" w:after="120"/>
              <w:rPr>
                <w:rFonts w:ascii="Calibri" w:hAnsi="Calibri"/>
                <w:sz w:val="20"/>
                <w:szCs w:val="20"/>
              </w:rPr>
            </w:pPr>
            <w:r w:rsidRPr="00CD2DBD">
              <w:rPr>
                <w:rFonts w:ascii="Calibri" w:hAnsi="Calibri"/>
                <w:sz w:val="20"/>
                <w:szCs w:val="20"/>
              </w:rPr>
              <w:t>Defence Force Welfare Association</w:t>
            </w:r>
          </w:p>
        </w:tc>
        <w:tc>
          <w:tcPr>
            <w:tcW w:w="5953" w:type="dxa"/>
            <w:vAlign w:val="center"/>
          </w:tcPr>
          <w:p w14:paraId="788F475B" w14:textId="77777777" w:rsidR="00CD2DBD" w:rsidRPr="00CD2DBD" w:rsidRDefault="00CD2DBD" w:rsidP="00CD2DBD">
            <w:pPr>
              <w:spacing w:before="120" w:after="120"/>
              <w:rPr>
                <w:rFonts w:ascii="Calibri" w:hAnsi="Calibri"/>
                <w:sz w:val="20"/>
                <w:szCs w:val="20"/>
              </w:rPr>
            </w:pPr>
            <w:r w:rsidRPr="00CD2DBD">
              <w:rPr>
                <w:rFonts w:ascii="Calibri" w:hAnsi="Calibri"/>
                <w:sz w:val="20"/>
                <w:szCs w:val="20"/>
              </w:rPr>
              <w:t>Nil Comment</w:t>
            </w:r>
          </w:p>
        </w:tc>
      </w:tr>
      <w:tr w:rsidR="00CD2DBD" w:rsidRPr="00CD2DBD" w14:paraId="54D22586" w14:textId="77777777" w:rsidTr="00EA4423">
        <w:tc>
          <w:tcPr>
            <w:tcW w:w="3256" w:type="dxa"/>
          </w:tcPr>
          <w:p w14:paraId="4CF1BF5A" w14:textId="77777777" w:rsidR="00CD2DBD" w:rsidRPr="00CD2DBD" w:rsidRDefault="00CD2DBD" w:rsidP="00CD2DBD">
            <w:pPr>
              <w:spacing w:before="120" w:after="120"/>
              <w:rPr>
                <w:rFonts w:ascii="Calibri" w:hAnsi="Calibri"/>
                <w:sz w:val="20"/>
                <w:szCs w:val="20"/>
              </w:rPr>
            </w:pPr>
            <w:r w:rsidRPr="00CD2DBD">
              <w:rPr>
                <w:rFonts w:ascii="Calibri" w:hAnsi="Calibri"/>
                <w:sz w:val="20"/>
                <w:szCs w:val="20"/>
              </w:rPr>
              <w:t>TPI Federation Australia</w:t>
            </w:r>
          </w:p>
        </w:tc>
        <w:tc>
          <w:tcPr>
            <w:tcW w:w="5953" w:type="dxa"/>
            <w:vAlign w:val="center"/>
          </w:tcPr>
          <w:p w14:paraId="7146B09D" w14:textId="77777777" w:rsidR="00CD2DBD" w:rsidRPr="00CD2DBD" w:rsidRDefault="00CD2DBD" w:rsidP="00CD2DBD">
            <w:pPr>
              <w:spacing w:before="120" w:after="120"/>
              <w:rPr>
                <w:rFonts w:ascii="Calibri" w:hAnsi="Calibri"/>
                <w:sz w:val="20"/>
                <w:szCs w:val="20"/>
              </w:rPr>
            </w:pPr>
            <w:r w:rsidRPr="00CD2DBD">
              <w:rPr>
                <w:rFonts w:ascii="Calibri" w:hAnsi="Calibri"/>
                <w:sz w:val="20"/>
                <w:szCs w:val="20"/>
              </w:rPr>
              <w:t>Nil Comment</w:t>
            </w:r>
          </w:p>
          <w:p w14:paraId="3FF27DD5" w14:textId="77777777" w:rsidR="00CD2DBD" w:rsidRPr="00CD2DBD" w:rsidRDefault="00CD2DBD" w:rsidP="00CD2DBD">
            <w:pPr>
              <w:rPr>
                <w:rFonts w:ascii="Calibri" w:hAnsi="Calibri"/>
                <w:sz w:val="20"/>
                <w:szCs w:val="20"/>
              </w:rPr>
            </w:pPr>
          </w:p>
        </w:tc>
      </w:tr>
      <w:tr w:rsidR="00CD2DBD" w:rsidRPr="00CD2DBD" w14:paraId="6BF78B2C" w14:textId="77777777" w:rsidTr="00EA4423">
        <w:tc>
          <w:tcPr>
            <w:tcW w:w="3256" w:type="dxa"/>
          </w:tcPr>
          <w:p w14:paraId="1CF67B05" w14:textId="77777777" w:rsidR="00CD2DBD" w:rsidRPr="00CD2DBD" w:rsidRDefault="00CD2DBD" w:rsidP="00CD2DBD">
            <w:pPr>
              <w:spacing w:before="120" w:after="120"/>
              <w:rPr>
                <w:rFonts w:ascii="Calibri" w:hAnsi="Calibri"/>
                <w:sz w:val="20"/>
                <w:szCs w:val="20"/>
              </w:rPr>
            </w:pPr>
            <w:r w:rsidRPr="00CD2DBD">
              <w:rPr>
                <w:rFonts w:ascii="Calibri" w:hAnsi="Calibri"/>
                <w:sz w:val="20"/>
                <w:szCs w:val="20"/>
              </w:rPr>
              <w:t>Australian Special Air Service Association</w:t>
            </w:r>
          </w:p>
        </w:tc>
        <w:tc>
          <w:tcPr>
            <w:tcW w:w="5953" w:type="dxa"/>
            <w:vAlign w:val="center"/>
          </w:tcPr>
          <w:p w14:paraId="36DA3387" w14:textId="77777777" w:rsidR="00CD2DBD" w:rsidRPr="00CD2DBD" w:rsidRDefault="00CD2DBD" w:rsidP="00CD2DBD">
            <w:pPr>
              <w:spacing w:before="120" w:after="120"/>
              <w:rPr>
                <w:rFonts w:ascii="Calibri" w:hAnsi="Calibri"/>
                <w:sz w:val="20"/>
                <w:szCs w:val="20"/>
              </w:rPr>
            </w:pPr>
            <w:r w:rsidRPr="00CD2DBD">
              <w:rPr>
                <w:rFonts w:ascii="Calibri" w:hAnsi="Calibri"/>
                <w:sz w:val="20"/>
                <w:szCs w:val="20"/>
              </w:rPr>
              <w:t>Nil comment</w:t>
            </w:r>
          </w:p>
        </w:tc>
      </w:tr>
      <w:tr w:rsidR="00CD2DBD" w:rsidRPr="00CD2DBD" w14:paraId="179AD9AC" w14:textId="77777777" w:rsidTr="00EA4423">
        <w:tc>
          <w:tcPr>
            <w:tcW w:w="3256" w:type="dxa"/>
          </w:tcPr>
          <w:p w14:paraId="12A2FB9E" w14:textId="77777777" w:rsidR="00CD2DBD" w:rsidRPr="00CD2DBD" w:rsidRDefault="00CD2DBD" w:rsidP="00CD2DBD">
            <w:pPr>
              <w:spacing w:before="120" w:after="120"/>
              <w:rPr>
                <w:rFonts w:ascii="Calibri" w:hAnsi="Calibri"/>
                <w:sz w:val="20"/>
                <w:szCs w:val="20"/>
              </w:rPr>
            </w:pPr>
            <w:r w:rsidRPr="00CD2DBD">
              <w:rPr>
                <w:rFonts w:ascii="Calibri" w:hAnsi="Calibri"/>
                <w:sz w:val="20"/>
                <w:szCs w:val="20"/>
              </w:rPr>
              <w:t>Naval Association of Australia</w:t>
            </w:r>
          </w:p>
        </w:tc>
        <w:tc>
          <w:tcPr>
            <w:tcW w:w="5953" w:type="dxa"/>
            <w:vAlign w:val="center"/>
          </w:tcPr>
          <w:p w14:paraId="119B8DC8" w14:textId="77777777" w:rsidR="00CD2DBD" w:rsidRPr="00CD2DBD" w:rsidRDefault="00CD2DBD" w:rsidP="00CD2DBD">
            <w:pPr>
              <w:spacing w:before="120" w:after="120"/>
              <w:rPr>
                <w:rFonts w:ascii="Calibri" w:hAnsi="Calibri"/>
                <w:sz w:val="20"/>
                <w:szCs w:val="20"/>
              </w:rPr>
            </w:pPr>
            <w:r w:rsidRPr="00CD2DBD">
              <w:rPr>
                <w:rFonts w:ascii="Calibri" w:hAnsi="Calibri"/>
                <w:sz w:val="20"/>
                <w:szCs w:val="20"/>
              </w:rPr>
              <w:t>Nil comment</w:t>
            </w:r>
          </w:p>
        </w:tc>
      </w:tr>
      <w:tr w:rsidR="00CD2DBD" w:rsidRPr="00CD2DBD" w14:paraId="49A0563E" w14:textId="77777777" w:rsidTr="00EA4423">
        <w:tc>
          <w:tcPr>
            <w:tcW w:w="3256" w:type="dxa"/>
          </w:tcPr>
          <w:p w14:paraId="2A9D4ED0" w14:textId="77777777" w:rsidR="00CD2DBD" w:rsidRPr="00CD2DBD" w:rsidRDefault="00CD2DBD" w:rsidP="00CD2DBD">
            <w:pPr>
              <w:spacing w:before="120" w:after="120"/>
              <w:rPr>
                <w:rFonts w:ascii="Calibri" w:hAnsi="Calibri"/>
                <w:sz w:val="20"/>
                <w:szCs w:val="20"/>
              </w:rPr>
            </w:pPr>
            <w:r w:rsidRPr="00CD2DBD">
              <w:rPr>
                <w:rFonts w:ascii="Calibri" w:hAnsi="Calibri"/>
                <w:sz w:val="20"/>
                <w:szCs w:val="20"/>
              </w:rPr>
              <w:t>Defence Families of Australia</w:t>
            </w:r>
          </w:p>
        </w:tc>
        <w:tc>
          <w:tcPr>
            <w:tcW w:w="5953" w:type="dxa"/>
            <w:vAlign w:val="center"/>
          </w:tcPr>
          <w:p w14:paraId="6FE5454C" w14:textId="77777777" w:rsidR="00CD2DBD" w:rsidRPr="00CD2DBD" w:rsidRDefault="00CD2DBD" w:rsidP="00CD2DBD">
            <w:pPr>
              <w:spacing w:before="120" w:after="120"/>
              <w:rPr>
                <w:rFonts w:ascii="Calibri" w:hAnsi="Calibri"/>
                <w:sz w:val="20"/>
                <w:szCs w:val="20"/>
              </w:rPr>
            </w:pPr>
            <w:r w:rsidRPr="00CD2DBD">
              <w:rPr>
                <w:rFonts w:ascii="Calibri" w:hAnsi="Calibri"/>
                <w:sz w:val="20"/>
                <w:szCs w:val="20"/>
              </w:rPr>
              <w:t>Nil comment</w:t>
            </w:r>
          </w:p>
        </w:tc>
      </w:tr>
      <w:tr w:rsidR="00CD2DBD" w:rsidRPr="00CD2DBD" w14:paraId="55A89AD3" w14:textId="77777777" w:rsidTr="00EA4423">
        <w:tc>
          <w:tcPr>
            <w:tcW w:w="3256" w:type="dxa"/>
          </w:tcPr>
          <w:p w14:paraId="27195613" w14:textId="77777777" w:rsidR="00CD2DBD" w:rsidRPr="00CD2DBD" w:rsidRDefault="00CD2DBD" w:rsidP="00CD2DBD">
            <w:pPr>
              <w:spacing w:before="120" w:after="120"/>
              <w:rPr>
                <w:rFonts w:ascii="Calibri" w:hAnsi="Calibri"/>
                <w:sz w:val="20"/>
                <w:szCs w:val="20"/>
              </w:rPr>
            </w:pPr>
            <w:r w:rsidRPr="00CD2DBD">
              <w:rPr>
                <w:rFonts w:ascii="Calibri" w:hAnsi="Calibri"/>
                <w:sz w:val="20"/>
                <w:szCs w:val="20"/>
              </w:rPr>
              <w:t>Australian Peacekeeper &amp; Peacemaker Veterans’ Association Ltd</w:t>
            </w:r>
          </w:p>
        </w:tc>
        <w:tc>
          <w:tcPr>
            <w:tcW w:w="5953" w:type="dxa"/>
            <w:vAlign w:val="center"/>
          </w:tcPr>
          <w:p w14:paraId="1207F0AB" w14:textId="77777777" w:rsidR="00CD2DBD" w:rsidRPr="00CD2DBD" w:rsidRDefault="00CD2DBD" w:rsidP="00CD2DBD">
            <w:pPr>
              <w:spacing w:before="120" w:after="120"/>
              <w:rPr>
                <w:rFonts w:ascii="Calibri" w:hAnsi="Calibri"/>
                <w:sz w:val="20"/>
                <w:szCs w:val="20"/>
              </w:rPr>
            </w:pPr>
            <w:r w:rsidRPr="00CD2DBD">
              <w:rPr>
                <w:rFonts w:ascii="Calibri" w:hAnsi="Calibri"/>
                <w:sz w:val="20"/>
                <w:szCs w:val="20"/>
              </w:rPr>
              <w:t>Nil comment</w:t>
            </w:r>
          </w:p>
        </w:tc>
      </w:tr>
      <w:tr w:rsidR="00CD2DBD" w:rsidRPr="00CD2DBD" w14:paraId="4ACB7472" w14:textId="77777777" w:rsidTr="00EA4423">
        <w:tc>
          <w:tcPr>
            <w:tcW w:w="3256" w:type="dxa"/>
          </w:tcPr>
          <w:p w14:paraId="40486E2A" w14:textId="77777777" w:rsidR="00CD2DBD" w:rsidRPr="00CD2DBD" w:rsidRDefault="00CD2DBD" w:rsidP="00CD2DBD">
            <w:pPr>
              <w:spacing w:before="120" w:after="120"/>
              <w:rPr>
                <w:rFonts w:ascii="Calibri" w:hAnsi="Calibri"/>
                <w:sz w:val="20"/>
                <w:szCs w:val="20"/>
              </w:rPr>
            </w:pPr>
            <w:r w:rsidRPr="00CD2DBD">
              <w:rPr>
                <w:rFonts w:ascii="Calibri" w:hAnsi="Calibri"/>
                <w:sz w:val="20"/>
                <w:szCs w:val="20"/>
              </w:rPr>
              <w:t>The Royal Australian Regiment Corporation</w:t>
            </w:r>
          </w:p>
        </w:tc>
        <w:tc>
          <w:tcPr>
            <w:tcW w:w="5953" w:type="dxa"/>
            <w:vAlign w:val="center"/>
          </w:tcPr>
          <w:p w14:paraId="35B70F1C" w14:textId="77777777" w:rsidR="00CD2DBD" w:rsidRPr="00CD2DBD" w:rsidRDefault="00CD2DBD" w:rsidP="00CD2DBD">
            <w:pPr>
              <w:spacing w:before="120" w:after="120"/>
              <w:rPr>
                <w:rFonts w:ascii="Calibri" w:hAnsi="Calibri"/>
                <w:sz w:val="20"/>
                <w:szCs w:val="20"/>
              </w:rPr>
            </w:pPr>
            <w:r w:rsidRPr="00CD2DBD">
              <w:rPr>
                <w:rFonts w:ascii="Calibri" w:hAnsi="Calibri" w:cs="Calibri"/>
                <w:sz w:val="20"/>
                <w:szCs w:val="20"/>
              </w:rPr>
              <w:t>Comment:   I have read the ANZAC report and see no problems with it and in particular the case study calling a racehorse with Anzac in the title. We need to protect the name and the Day.</w:t>
            </w:r>
          </w:p>
        </w:tc>
      </w:tr>
      <w:tr w:rsidR="00CD2DBD" w:rsidRPr="00CD2DBD" w14:paraId="49D1E212" w14:textId="77777777" w:rsidTr="00EA4423">
        <w:tc>
          <w:tcPr>
            <w:tcW w:w="3256" w:type="dxa"/>
          </w:tcPr>
          <w:p w14:paraId="7A3F19FE" w14:textId="77777777" w:rsidR="00CD2DBD" w:rsidRPr="00CD2DBD" w:rsidRDefault="00CD2DBD" w:rsidP="00CD2DBD">
            <w:pPr>
              <w:spacing w:before="120" w:after="120"/>
              <w:rPr>
                <w:rFonts w:ascii="Calibri" w:hAnsi="Calibri"/>
                <w:sz w:val="20"/>
                <w:szCs w:val="20"/>
              </w:rPr>
            </w:pPr>
            <w:r w:rsidRPr="00CD2DBD">
              <w:rPr>
                <w:rFonts w:ascii="Calibri" w:hAnsi="Calibri"/>
                <w:sz w:val="20"/>
                <w:szCs w:val="20"/>
              </w:rPr>
              <w:t>Defence Reserves Association</w:t>
            </w:r>
          </w:p>
        </w:tc>
        <w:tc>
          <w:tcPr>
            <w:tcW w:w="5953" w:type="dxa"/>
            <w:vAlign w:val="center"/>
          </w:tcPr>
          <w:p w14:paraId="61D52AA5" w14:textId="77777777" w:rsidR="00CD2DBD" w:rsidRPr="00CD2DBD" w:rsidRDefault="00CD2DBD" w:rsidP="00CD2DBD">
            <w:pPr>
              <w:spacing w:before="120" w:after="120"/>
              <w:rPr>
                <w:rFonts w:ascii="Calibri" w:hAnsi="Calibri"/>
                <w:sz w:val="20"/>
                <w:szCs w:val="20"/>
              </w:rPr>
            </w:pPr>
            <w:r w:rsidRPr="00CD2DBD">
              <w:rPr>
                <w:rFonts w:ascii="Calibri" w:hAnsi="Calibri"/>
                <w:sz w:val="20"/>
                <w:szCs w:val="20"/>
              </w:rPr>
              <w:t>Nil Comment</w:t>
            </w:r>
          </w:p>
        </w:tc>
      </w:tr>
      <w:tr w:rsidR="00CD2DBD" w:rsidRPr="00CD2DBD" w14:paraId="670609C2" w14:textId="77777777" w:rsidTr="00EA4423">
        <w:tc>
          <w:tcPr>
            <w:tcW w:w="3256" w:type="dxa"/>
          </w:tcPr>
          <w:p w14:paraId="13DA961F" w14:textId="77777777" w:rsidR="00CD2DBD" w:rsidRPr="00CD2DBD" w:rsidRDefault="00CD2DBD" w:rsidP="00CD2DBD">
            <w:pPr>
              <w:spacing w:before="120" w:after="120"/>
              <w:rPr>
                <w:rFonts w:ascii="Calibri" w:hAnsi="Calibri"/>
                <w:sz w:val="20"/>
                <w:szCs w:val="20"/>
              </w:rPr>
            </w:pPr>
            <w:r w:rsidRPr="00CD2DBD">
              <w:rPr>
                <w:rFonts w:ascii="Calibri" w:hAnsi="Calibri"/>
                <w:sz w:val="20"/>
                <w:szCs w:val="20"/>
              </w:rPr>
              <w:t>Australian Air Force Association</w:t>
            </w:r>
          </w:p>
        </w:tc>
        <w:tc>
          <w:tcPr>
            <w:tcW w:w="5953" w:type="dxa"/>
            <w:vAlign w:val="center"/>
          </w:tcPr>
          <w:p w14:paraId="43BDE4F9" w14:textId="77777777" w:rsidR="00CD2DBD" w:rsidRPr="00CD2DBD" w:rsidRDefault="00CD2DBD" w:rsidP="00CD2DBD">
            <w:pPr>
              <w:rPr>
                <w:rFonts w:ascii="Calibri" w:hAnsi="Calibri"/>
                <w:sz w:val="20"/>
                <w:szCs w:val="20"/>
              </w:rPr>
            </w:pPr>
            <w:r w:rsidRPr="00CD2DBD">
              <w:rPr>
                <w:rFonts w:ascii="Calibri" w:hAnsi="Calibri"/>
                <w:sz w:val="20"/>
                <w:szCs w:val="20"/>
              </w:rPr>
              <w:t>Nil comment</w:t>
            </w:r>
          </w:p>
        </w:tc>
      </w:tr>
      <w:tr w:rsidR="00CD2DBD" w:rsidRPr="00CD2DBD" w14:paraId="29368242" w14:textId="77777777" w:rsidTr="00EA4423">
        <w:tc>
          <w:tcPr>
            <w:tcW w:w="3256" w:type="dxa"/>
          </w:tcPr>
          <w:p w14:paraId="6DB1477E" w14:textId="77777777" w:rsidR="00CD2DBD" w:rsidRPr="00CD2DBD" w:rsidRDefault="00CD2DBD" w:rsidP="00CD2DBD">
            <w:pPr>
              <w:spacing w:before="120" w:after="120"/>
              <w:rPr>
                <w:rFonts w:ascii="Calibri" w:hAnsi="Calibri"/>
                <w:sz w:val="20"/>
                <w:szCs w:val="20"/>
              </w:rPr>
            </w:pPr>
            <w:r w:rsidRPr="00CD2DBD">
              <w:rPr>
                <w:rFonts w:ascii="Calibri" w:hAnsi="Calibri"/>
                <w:sz w:val="20"/>
                <w:szCs w:val="20"/>
              </w:rPr>
              <w:t>Vietnam Veterans’ Federation of Australia</w:t>
            </w:r>
          </w:p>
        </w:tc>
        <w:tc>
          <w:tcPr>
            <w:tcW w:w="5953" w:type="dxa"/>
            <w:vAlign w:val="center"/>
          </w:tcPr>
          <w:p w14:paraId="45109BD1" w14:textId="77777777" w:rsidR="00CD2DBD" w:rsidRPr="00CD2DBD" w:rsidRDefault="00CD2DBD" w:rsidP="00CD2DBD">
            <w:pPr>
              <w:spacing w:before="120" w:after="120"/>
              <w:rPr>
                <w:rFonts w:ascii="Calibri" w:hAnsi="Calibri"/>
                <w:sz w:val="20"/>
                <w:szCs w:val="20"/>
              </w:rPr>
            </w:pPr>
            <w:r w:rsidRPr="00CD2DBD">
              <w:rPr>
                <w:rFonts w:ascii="Calibri" w:hAnsi="Calibri"/>
                <w:sz w:val="20"/>
                <w:szCs w:val="20"/>
              </w:rPr>
              <w:t>Nil comment</w:t>
            </w:r>
          </w:p>
        </w:tc>
      </w:tr>
      <w:tr w:rsidR="00CD2DBD" w:rsidRPr="00CD2DBD" w14:paraId="5D8215B4" w14:textId="77777777" w:rsidTr="00EA4423">
        <w:tc>
          <w:tcPr>
            <w:tcW w:w="3256" w:type="dxa"/>
          </w:tcPr>
          <w:p w14:paraId="2B2FF5F2" w14:textId="77777777" w:rsidR="00CD2DBD" w:rsidRPr="00CD2DBD" w:rsidRDefault="00CD2DBD" w:rsidP="00CD2DBD">
            <w:pPr>
              <w:spacing w:before="120" w:after="120"/>
              <w:rPr>
                <w:rFonts w:ascii="Calibri" w:hAnsi="Calibri"/>
                <w:sz w:val="20"/>
                <w:szCs w:val="20"/>
              </w:rPr>
            </w:pPr>
            <w:r w:rsidRPr="00CD2DBD">
              <w:rPr>
                <w:rFonts w:ascii="Calibri" w:hAnsi="Calibri"/>
                <w:sz w:val="20"/>
                <w:szCs w:val="20"/>
              </w:rPr>
              <w:t xml:space="preserve">Comcare </w:t>
            </w:r>
          </w:p>
        </w:tc>
        <w:tc>
          <w:tcPr>
            <w:tcW w:w="5953" w:type="dxa"/>
            <w:vAlign w:val="center"/>
          </w:tcPr>
          <w:p w14:paraId="69FB01D4" w14:textId="77777777" w:rsidR="00CD2DBD" w:rsidRPr="00CD2DBD" w:rsidRDefault="00CD2DBD" w:rsidP="00CD2DBD">
            <w:pPr>
              <w:spacing w:before="120" w:after="120"/>
              <w:rPr>
                <w:rFonts w:ascii="Calibri" w:hAnsi="Calibri"/>
                <w:sz w:val="20"/>
                <w:szCs w:val="20"/>
              </w:rPr>
            </w:pPr>
            <w:r w:rsidRPr="00CD2DBD">
              <w:rPr>
                <w:rFonts w:ascii="Calibri" w:hAnsi="Calibri"/>
                <w:sz w:val="20"/>
                <w:szCs w:val="20"/>
              </w:rPr>
              <w:t>Nil comment</w:t>
            </w:r>
          </w:p>
        </w:tc>
      </w:tr>
      <w:tr w:rsidR="00CD2DBD" w:rsidRPr="00CD2DBD" w14:paraId="01D354D6" w14:textId="77777777" w:rsidTr="00EA4423">
        <w:tc>
          <w:tcPr>
            <w:tcW w:w="3256" w:type="dxa"/>
          </w:tcPr>
          <w:p w14:paraId="6287859C" w14:textId="77777777" w:rsidR="00CD2DBD" w:rsidRPr="00CD2DBD" w:rsidRDefault="00CD2DBD" w:rsidP="00CD2DBD">
            <w:pPr>
              <w:spacing w:before="120" w:after="120"/>
              <w:rPr>
                <w:rFonts w:ascii="Calibri" w:hAnsi="Calibri"/>
                <w:sz w:val="20"/>
                <w:szCs w:val="20"/>
              </w:rPr>
            </w:pPr>
            <w:r w:rsidRPr="00CD2DBD">
              <w:rPr>
                <w:rFonts w:ascii="Calibri" w:hAnsi="Calibri"/>
                <w:sz w:val="20"/>
                <w:szCs w:val="20"/>
              </w:rPr>
              <w:t>Soldier On</w:t>
            </w:r>
          </w:p>
        </w:tc>
        <w:tc>
          <w:tcPr>
            <w:tcW w:w="5953" w:type="dxa"/>
            <w:vAlign w:val="center"/>
          </w:tcPr>
          <w:p w14:paraId="041DAF1B" w14:textId="77777777" w:rsidR="00CD2DBD" w:rsidRPr="00CD2DBD" w:rsidRDefault="00CD2DBD" w:rsidP="00CD2DBD">
            <w:pPr>
              <w:spacing w:before="120" w:after="120"/>
              <w:rPr>
                <w:rFonts w:ascii="Calibri" w:hAnsi="Calibri"/>
                <w:sz w:val="20"/>
                <w:szCs w:val="20"/>
              </w:rPr>
            </w:pPr>
            <w:r w:rsidRPr="00CD2DBD">
              <w:rPr>
                <w:rFonts w:ascii="Calibri" w:hAnsi="Calibri"/>
                <w:sz w:val="20"/>
                <w:szCs w:val="20"/>
              </w:rPr>
              <w:t>Nil comment</w:t>
            </w:r>
          </w:p>
        </w:tc>
      </w:tr>
    </w:tbl>
    <w:p w14:paraId="236A47CC" w14:textId="77777777" w:rsidR="00CD2DBD" w:rsidRPr="00CD2DBD" w:rsidRDefault="00CD2DBD" w:rsidP="00CD2DBD">
      <w:pPr>
        <w:rPr>
          <w:rFonts w:ascii="Calibri" w:eastAsia="Calibri" w:hAnsi="Calibri" w:cs="Times New Roman"/>
          <w:szCs w:val="22"/>
          <w:lang w:val="en-AU"/>
        </w:rPr>
      </w:pPr>
    </w:p>
    <w:sectPr w:rsidR="00CD2DBD" w:rsidRPr="00CD2DBD" w:rsidSect="007D3649">
      <w:headerReference w:type="default" r:id="rId11"/>
      <w:footerReference w:type="default" r:id="rId12"/>
      <w:headerReference w:type="first" r:id="rId13"/>
      <w:pgSz w:w="11907" w:h="16839" w:code="9"/>
      <w:pgMar w:top="2819" w:right="1134" w:bottom="1418" w:left="1134" w:header="593"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11A66" w14:textId="77777777" w:rsidR="004F1FEB" w:rsidRDefault="004F1FEB" w:rsidP="005F5C2D">
      <w:r>
        <w:separator/>
      </w:r>
    </w:p>
  </w:endnote>
  <w:endnote w:type="continuationSeparator" w:id="0">
    <w:p w14:paraId="7FB4EE3E" w14:textId="77777777" w:rsidR="004F1FEB" w:rsidRDefault="004F1FEB" w:rsidP="005F5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dobe Devanagari">
    <w:panose1 w:val="02040503050201020203"/>
    <w:charset w:val="00"/>
    <w:family w:val="roman"/>
    <w:notTrueType/>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79415" w14:textId="77777777" w:rsidR="00BC4CD2" w:rsidRDefault="00BC4CD2" w:rsidP="00072D61">
    <w:pPr>
      <w:pStyle w:val="Footer"/>
    </w:pPr>
  </w:p>
  <w:p w14:paraId="7D38E495" w14:textId="77777777" w:rsidR="000E52CB" w:rsidRPr="00AB3299" w:rsidRDefault="002436FA" w:rsidP="002436FA">
    <w:pPr>
      <w:pStyle w:val="Footer"/>
      <w:tabs>
        <w:tab w:val="left" w:pos="5823"/>
      </w:tabs>
      <w:rPr>
        <w:b/>
        <w:sz w:val="18"/>
      </w:rPr>
    </w:pPr>
    <w:r>
      <w:rPr>
        <w:b/>
        <w:sz w:val="18"/>
      </w:rPr>
      <w:tab/>
    </w:r>
    <w:r>
      <w:rPr>
        <w:b/>
        <w:sz w:val="18"/>
      </w:rPr>
      <w:tab/>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AA1D7" w14:textId="77777777" w:rsidR="004F1FEB" w:rsidRDefault="004F1FEB" w:rsidP="005F5C2D">
      <w:r>
        <w:separator/>
      </w:r>
    </w:p>
  </w:footnote>
  <w:footnote w:type="continuationSeparator" w:id="0">
    <w:p w14:paraId="5AF83EC8" w14:textId="77777777" w:rsidR="004F1FEB" w:rsidRDefault="004F1FEB" w:rsidP="005F5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E28C8" w14:textId="77777777" w:rsidR="00A86006" w:rsidRPr="00E7021A" w:rsidRDefault="009633AA" w:rsidP="00E7021A">
    <w:pPr>
      <w:pStyle w:val="Header"/>
    </w:pPr>
    <w:r>
      <w:rPr>
        <w:noProof/>
        <w:lang w:val="en-AU" w:eastAsia="en-AU"/>
      </w:rPr>
      <w:drawing>
        <wp:anchor distT="0" distB="0" distL="114300" distR="114300" simplePos="0" relativeHeight="251658240" behindDoc="1" locked="0" layoutInCell="1" allowOverlap="1" wp14:anchorId="622F6BC5" wp14:editId="3987199D">
          <wp:simplePos x="0" y="0"/>
          <wp:positionH relativeFrom="margin">
            <wp:posOffset>-715010</wp:posOffset>
          </wp:positionH>
          <wp:positionV relativeFrom="paragraph">
            <wp:posOffset>-380365</wp:posOffset>
          </wp:positionV>
          <wp:extent cx="7550785" cy="10685145"/>
          <wp:effectExtent l="0" t="0" r="571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785" cy="1068514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071C5" w14:textId="77777777" w:rsidR="005469B7" w:rsidRDefault="005469B7">
    <w:pPr>
      <w:pStyle w:val="Header"/>
    </w:pPr>
    <w:r>
      <w:rPr>
        <w:noProof/>
        <w:lang w:val="en-AU" w:eastAsia="en-AU"/>
      </w:rPr>
      <w:drawing>
        <wp:anchor distT="0" distB="0" distL="114300" distR="114300" simplePos="0" relativeHeight="251659264" behindDoc="1" locked="0" layoutInCell="1" allowOverlap="1" wp14:anchorId="673815A3" wp14:editId="13F2060D">
          <wp:simplePos x="0" y="0"/>
          <wp:positionH relativeFrom="column">
            <wp:posOffset>-720090</wp:posOffset>
          </wp:positionH>
          <wp:positionV relativeFrom="paragraph">
            <wp:posOffset>-376555</wp:posOffset>
          </wp:positionV>
          <wp:extent cx="7550774" cy="10685298"/>
          <wp:effectExtent l="0" t="0" r="6350" b="0"/>
          <wp:wrapNone/>
          <wp:docPr id="2" name="Picture 2" descr="Australian Government crest, Department of Veterans' Affairs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crest, Department of Veterans' Affairs branding"/>
                  <pic:cNvPicPr/>
                </pic:nvPicPr>
                <pic:blipFill>
                  <a:blip r:embed="rId1">
                    <a:extLst>
                      <a:ext uri="{28A0092B-C50C-407E-A947-70E740481C1C}">
                        <a14:useLocalDpi xmlns:a14="http://schemas.microsoft.com/office/drawing/2010/main" val="0"/>
                      </a:ext>
                    </a:extLst>
                  </a:blip>
                  <a:stretch>
                    <a:fillRect/>
                  </a:stretch>
                </pic:blipFill>
                <pic:spPr>
                  <a:xfrm>
                    <a:off x="0" y="0"/>
                    <a:ext cx="7550774" cy="106852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3F3C3A0A"/>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2" w15:restartNumberingAfterBreak="0">
    <w:nsid w:val="0CD33ACD"/>
    <w:multiLevelType w:val="multilevel"/>
    <w:tmpl w:val="414EC028"/>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A1250E5"/>
    <w:multiLevelType w:val="hybridMultilevel"/>
    <w:tmpl w:val="4BC660B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26026413"/>
    <w:multiLevelType w:val="multilevel"/>
    <w:tmpl w:val="0BB4736C"/>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o"/>
      <w:lvlJc w:val="left"/>
      <w:pPr>
        <w:ind w:left="852" w:hanging="284"/>
      </w:pPr>
      <w:rPr>
        <w:rFonts w:ascii="Courier New" w:hAnsi="Courier New"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3303338B"/>
    <w:multiLevelType w:val="hybridMultilevel"/>
    <w:tmpl w:val="47AE6CC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5CF121D"/>
    <w:multiLevelType w:val="hybridMultilevel"/>
    <w:tmpl w:val="2E2A7026"/>
    <w:lvl w:ilvl="0" w:tplc="0C090001">
      <w:start w:val="1"/>
      <w:numFmt w:val="bullet"/>
      <w:lvlText w:val=""/>
      <w:lvlJc w:val="left"/>
      <w:pPr>
        <w:ind w:left="413"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BE0619"/>
    <w:multiLevelType w:val="hybridMultilevel"/>
    <w:tmpl w:val="F320CBA2"/>
    <w:lvl w:ilvl="0" w:tplc="0C090001">
      <w:start w:val="1"/>
      <w:numFmt w:val="bullet"/>
      <w:lvlText w:val=""/>
      <w:lvlJc w:val="left"/>
      <w:pPr>
        <w:ind w:left="413" w:hanging="360"/>
      </w:pPr>
      <w:rPr>
        <w:rFonts w:ascii="Symbol" w:hAnsi="Symbol" w:hint="default"/>
      </w:rPr>
    </w:lvl>
    <w:lvl w:ilvl="1" w:tplc="0C090003">
      <w:start w:val="1"/>
      <w:numFmt w:val="bullet"/>
      <w:lvlText w:val="o"/>
      <w:lvlJc w:val="left"/>
      <w:pPr>
        <w:ind w:left="1133" w:hanging="360"/>
      </w:pPr>
      <w:rPr>
        <w:rFonts w:ascii="Courier New" w:hAnsi="Courier New" w:cs="Courier New" w:hint="default"/>
      </w:rPr>
    </w:lvl>
    <w:lvl w:ilvl="2" w:tplc="0C090005" w:tentative="1">
      <w:start w:val="1"/>
      <w:numFmt w:val="bullet"/>
      <w:lvlText w:val=""/>
      <w:lvlJc w:val="left"/>
      <w:pPr>
        <w:ind w:left="1853" w:hanging="360"/>
      </w:pPr>
      <w:rPr>
        <w:rFonts w:ascii="Wingdings" w:hAnsi="Wingdings" w:hint="default"/>
      </w:rPr>
    </w:lvl>
    <w:lvl w:ilvl="3" w:tplc="0C090001">
      <w:start w:val="1"/>
      <w:numFmt w:val="bullet"/>
      <w:lvlText w:val=""/>
      <w:lvlJc w:val="left"/>
      <w:pPr>
        <w:ind w:left="2573" w:hanging="360"/>
      </w:pPr>
      <w:rPr>
        <w:rFonts w:ascii="Symbol" w:hAnsi="Symbol" w:hint="default"/>
      </w:rPr>
    </w:lvl>
    <w:lvl w:ilvl="4" w:tplc="0C090003" w:tentative="1">
      <w:start w:val="1"/>
      <w:numFmt w:val="bullet"/>
      <w:lvlText w:val="o"/>
      <w:lvlJc w:val="left"/>
      <w:pPr>
        <w:ind w:left="3293" w:hanging="360"/>
      </w:pPr>
      <w:rPr>
        <w:rFonts w:ascii="Courier New" w:hAnsi="Courier New" w:cs="Courier New" w:hint="default"/>
      </w:rPr>
    </w:lvl>
    <w:lvl w:ilvl="5" w:tplc="0C090005" w:tentative="1">
      <w:start w:val="1"/>
      <w:numFmt w:val="bullet"/>
      <w:lvlText w:val=""/>
      <w:lvlJc w:val="left"/>
      <w:pPr>
        <w:ind w:left="4013" w:hanging="360"/>
      </w:pPr>
      <w:rPr>
        <w:rFonts w:ascii="Wingdings" w:hAnsi="Wingdings" w:hint="default"/>
      </w:rPr>
    </w:lvl>
    <w:lvl w:ilvl="6" w:tplc="0C090001" w:tentative="1">
      <w:start w:val="1"/>
      <w:numFmt w:val="bullet"/>
      <w:lvlText w:val=""/>
      <w:lvlJc w:val="left"/>
      <w:pPr>
        <w:ind w:left="4733" w:hanging="360"/>
      </w:pPr>
      <w:rPr>
        <w:rFonts w:ascii="Symbol" w:hAnsi="Symbol" w:hint="default"/>
      </w:rPr>
    </w:lvl>
    <w:lvl w:ilvl="7" w:tplc="0C090003" w:tentative="1">
      <w:start w:val="1"/>
      <w:numFmt w:val="bullet"/>
      <w:lvlText w:val="o"/>
      <w:lvlJc w:val="left"/>
      <w:pPr>
        <w:ind w:left="5453" w:hanging="360"/>
      </w:pPr>
      <w:rPr>
        <w:rFonts w:ascii="Courier New" w:hAnsi="Courier New" w:cs="Courier New" w:hint="default"/>
      </w:rPr>
    </w:lvl>
    <w:lvl w:ilvl="8" w:tplc="0C090005" w:tentative="1">
      <w:start w:val="1"/>
      <w:numFmt w:val="bullet"/>
      <w:lvlText w:val=""/>
      <w:lvlJc w:val="left"/>
      <w:pPr>
        <w:ind w:left="6173" w:hanging="360"/>
      </w:pPr>
      <w:rPr>
        <w:rFonts w:ascii="Wingdings" w:hAnsi="Wingdings" w:hint="default"/>
      </w:rPr>
    </w:lvl>
  </w:abstractNum>
  <w:abstractNum w:abstractNumId="8" w15:restartNumberingAfterBreak="0">
    <w:nsid w:val="3DC27CB3"/>
    <w:multiLevelType w:val="hybridMultilevel"/>
    <w:tmpl w:val="603C6A9C"/>
    <w:lvl w:ilvl="0" w:tplc="0C090003">
      <w:start w:val="1"/>
      <w:numFmt w:val="bullet"/>
      <w:lvlText w:val="o"/>
      <w:lvlJc w:val="left"/>
      <w:pPr>
        <w:ind w:left="773" w:hanging="360"/>
      </w:pPr>
      <w:rPr>
        <w:rFonts w:ascii="Courier New" w:hAnsi="Courier New" w:cs="Courier New" w:hint="default"/>
      </w:rPr>
    </w:lvl>
    <w:lvl w:ilvl="1" w:tplc="0C090003">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9" w15:restartNumberingAfterBreak="0">
    <w:nsid w:val="43A7331F"/>
    <w:multiLevelType w:val="multilevel"/>
    <w:tmpl w:val="B9602BCA"/>
    <w:lvl w:ilvl="0">
      <w:start w:val="1"/>
      <w:numFmt w:val="upperLetter"/>
      <w:pStyle w:val="ListAlpha"/>
      <w:lvlText w:val="%1."/>
      <w:lvlJc w:val="left"/>
      <w:pPr>
        <w:tabs>
          <w:tab w:val="num" w:pos="284"/>
        </w:tabs>
        <w:ind w:left="284" w:hanging="284"/>
      </w:pPr>
      <w:rPr>
        <w:rFonts w:asciiTheme="minorHAnsi" w:hAnsiTheme="minorHAnsi" w:hint="default"/>
        <w:color w:val="auto"/>
        <w:sz w:val="20"/>
      </w:rPr>
    </w:lvl>
    <w:lvl w:ilvl="1">
      <w:start w:val="1"/>
      <w:numFmt w:val="lowerRoman"/>
      <w:lvlText w:val="%2."/>
      <w:lvlJc w:val="left"/>
      <w:pPr>
        <w:tabs>
          <w:tab w:val="num" w:pos="568"/>
        </w:tabs>
        <w:ind w:left="568" w:hanging="284"/>
      </w:pPr>
      <w:rPr>
        <w:rFonts w:asciiTheme="minorHAnsi" w:hAnsiTheme="minorHAnsi" w:hint="default"/>
        <w:color w:val="auto"/>
        <w:sz w:val="22"/>
      </w:rPr>
    </w:lvl>
    <w:lvl w:ilvl="2">
      <w:start w:val="1"/>
      <w:numFmt w:val="lowerLetter"/>
      <w:lvlText w:val="%3."/>
      <w:lvlJc w:val="left"/>
      <w:pPr>
        <w:tabs>
          <w:tab w:val="num" w:pos="852"/>
        </w:tabs>
        <w:ind w:left="852" w:hanging="284"/>
      </w:pPr>
      <w:rPr>
        <w:rFonts w:asciiTheme="minorHAnsi" w:hAnsiTheme="minorHAnsi" w:hint="default"/>
        <w:color w:val="auto"/>
        <w:sz w:val="20"/>
      </w:rPr>
    </w:lvl>
    <w:lvl w:ilvl="3">
      <w:start w:val="1"/>
      <w:numFmt w:val="upperRoman"/>
      <w:lvlText w:val="%4."/>
      <w:lvlJc w:val="left"/>
      <w:pPr>
        <w:tabs>
          <w:tab w:val="num" w:pos="1136"/>
        </w:tabs>
        <w:ind w:left="1136" w:hanging="284"/>
      </w:pPr>
      <w:rPr>
        <w:rFonts w:asciiTheme="minorHAnsi" w:hAnsiTheme="minorHAnsi" w:hint="default"/>
        <w:color w:val="auto"/>
        <w:sz w:val="20"/>
      </w:rPr>
    </w:lvl>
    <w:lvl w:ilvl="4">
      <w:start w:val="1"/>
      <w:numFmt w:val="decimal"/>
      <w:lvlText w:val="%5."/>
      <w:lvlJc w:val="left"/>
      <w:pPr>
        <w:tabs>
          <w:tab w:val="num" w:pos="1420"/>
        </w:tabs>
        <w:ind w:left="1420" w:hanging="284"/>
      </w:pPr>
      <w:rPr>
        <w:rFonts w:asciiTheme="minorHAnsi" w:hAnsiTheme="minorHAnsi" w:hint="default"/>
        <w:color w:val="auto"/>
        <w:sz w:val="20"/>
      </w:rPr>
    </w:lvl>
    <w:lvl w:ilvl="5">
      <w:start w:val="1"/>
      <w:numFmt w:val="lowerLetter"/>
      <w:lvlText w:val="%6."/>
      <w:lvlJc w:val="left"/>
      <w:pPr>
        <w:tabs>
          <w:tab w:val="num" w:pos="1704"/>
        </w:tabs>
        <w:ind w:left="1704" w:hanging="284"/>
      </w:pPr>
      <w:rPr>
        <w:rFonts w:asciiTheme="minorHAnsi" w:hAnsiTheme="minorHAnsi" w:hint="default"/>
        <w:color w:val="auto"/>
        <w:sz w:val="20"/>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10" w15:restartNumberingAfterBreak="0">
    <w:nsid w:val="4814788C"/>
    <w:multiLevelType w:val="multilevel"/>
    <w:tmpl w:val="F99CA034"/>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righ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 w15:restartNumberingAfterBreak="0">
    <w:nsid w:val="482A247A"/>
    <w:multiLevelType w:val="hybridMultilevel"/>
    <w:tmpl w:val="EB165A56"/>
    <w:lvl w:ilvl="0" w:tplc="EE9EDEB8">
      <w:start w:val="1"/>
      <w:numFmt w:val="decimal"/>
      <w:lvlText w:val="%1."/>
      <w:lvlJc w:val="left"/>
      <w:pPr>
        <w:tabs>
          <w:tab w:val="num" w:pos="360"/>
        </w:tabs>
        <w:ind w:left="360" w:hanging="360"/>
      </w:pPr>
      <w:rPr>
        <w:b w:val="0"/>
        <w:i w:val="0"/>
        <w:color w:val="auto"/>
      </w:rPr>
    </w:lvl>
    <w:lvl w:ilvl="1" w:tplc="C1F2195E">
      <w:start w:val="1"/>
      <w:numFmt w:val="bullet"/>
      <w:lvlText w:val=""/>
      <w:lvlJc w:val="left"/>
      <w:pPr>
        <w:tabs>
          <w:tab w:val="num" w:pos="1080"/>
        </w:tabs>
        <w:ind w:left="1080" w:hanging="360"/>
      </w:pPr>
      <w:rPr>
        <w:rFonts w:ascii="Symbol" w:hAnsi="Symbol" w:hint="default"/>
        <w:color w:val="auto"/>
      </w:rPr>
    </w:lvl>
    <w:lvl w:ilvl="2" w:tplc="71182A6A">
      <w:start w:val="1"/>
      <w:numFmt w:val="lowerRoman"/>
      <w:lvlText w:val="%3."/>
      <w:lvlJc w:val="right"/>
      <w:pPr>
        <w:tabs>
          <w:tab w:val="num" w:pos="1800"/>
        </w:tabs>
        <w:ind w:left="1800" w:hanging="180"/>
      </w:pPr>
      <w:rPr>
        <w:rFonts w:cs="Times New Roman"/>
      </w:rPr>
    </w:lvl>
    <w:lvl w:ilvl="3" w:tplc="B2EECCC6" w:tentative="1">
      <w:start w:val="1"/>
      <w:numFmt w:val="decimal"/>
      <w:lvlText w:val="%4."/>
      <w:lvlJc w:val="left"/>
      <w:pPr>
        <w:tabs>
          <w:tab w:val="num" w:pos="2520"/>
        </w:tabs>
        <w:ind w:left="2520" w:hanging="360"/>
      </w:pPr>
      <w:rPr>
        <w:rFonts w:cs="Times New Roman"/>
      </w:rPr>
    </w:lvl>
    <w:lvl w:ilvl="4" w:tplc="540EEF5E" w:tentative="1">
      <w:start w:val="1"/>
      <w:numFmt w:val="lowerLetter"/>
      <w:lvlText w:val="%5."/>
      <w:lvlJc w:val="left"/>
      <w:pPr>
        <w:tabs>
          <w:tab w:val="num" w:pos="3240"/>
        </w:tabs>
        <w:ind w:left="3240" w:hanging="360"/>
      </w:pPr>
      <w:rPr>
        <w:rFonts w:cs="Times New Roman"/>
      </w:rPr>
    </w:lvl>
    <w:lvl w:ilvl="5" w:tplc="78F605F6" w:tentative="1">
      <w:start w:val="1"/>
      <w:numFmt w:val="lowerRoman"/>
      <w:lvlText w:val="%6."/>
      <w:lvlJc w:val="right"/>
      <w:pPr>
        <w:tabs>
          <w:tab w:val="num" w:pos="3960"/>
        </w:tabs>
        <w:ind w:left="3960" w:hanging="180"/>
      </w:pPr>
      <w:rPr>
        <w:rFonts w:cs="Times New Roman"/>
      </w:rPr>
    </w:lvl>
    <w:lvl w:ilvl="6" w:tplc="2584B79C" w:tentative="1">
      <w:start w:val="1"/>
      <w:numFmt w:val="decimal"/>
      <w:lvlText w:val="%7."/>
      <w:lvlJc w:val="left"/>
      <w:pPr>
        <w:tabs>
          <w:tab w:val="num" w:pos="4680"/>
        </w:tabs>
        <w:ind w:left="4680" w:hanging="360"/>
      </w:pPr>
      <w:rPr>
        <w:rFonts w:cs="Times New Roman"/>
      </w:rPr>
    </w:lvl>
    <w:lvl w:ilvl="7" w:tplc="5C161194" w:tentative="1">
      <w:start w:val="1"/>
      <w:numFmt w:val="lowerLetter"/>
      <w:lvlText w:val="%8."/>
      <w:lvlJc w:val="left"/>
      <w:pPr>
        <w:tabs>
          <w:tab w:val="num" w:pos="5400"/>
        </w:tabs>
        <w:ind w:left="5400" w:hanging="360"/>
      </w:pPr>
      <w:rPr>
        <w:rFonts w:cs="Times New Roman"/>
      </w:rPr>
    </w:lvl>
    <w:lvl w:ilvl="8" w:tplc="9C260800" w:tentative="1">
      <w:start w:val="1"/>
      <w:numFmt w:val="lowerRoman"/>
      <w:lvlText w:val="%9."/>
      <w:lvlJc w:val="right"/>
      <w:pPr>
        <w:tabs>
          <w:tab w:val="num" w:pos="6120"/>
        </w:tabs>
        <w:ind w:left="6120" w:hanging="180"/>
      </w:pPr>
      <w:rPr>
        <w:rFonts w:cs="Times New Roman"/>
      </w:rPr>
    </w:lvl>
  </w:abstractNum>
  <w:abstractNum w:abstractNumId="12" w15:restartNumberingAfterBreak="0">
    <w:nsid w:val="4BAD7216"/>
    <w:multiLevelType w:val="hybridMultilevel"/>
    <w:tmpl w:val="1DF0DA88"/>
    <w:lvl w:ilvl="0" w:tplc="0C090001">
      <w:start w:val="1"/>
      <w:numFmt w:val="bullet"/>
      <w:lvlText w:val=""/>
      <w:lvlJc w:val="left"/>
      <w:pPr>
        <w:ind w:left="413"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5477C8"/>
    <w:multiLevelType w:val="hybridMultilevel"/>
    <w:tmpl w:val="F5B029CC"/>
    <w:lvl w:ilvl="0" w:tplc="591A9D3E">
      <w:start w:val="1"/>
      <w:numFmt w:val="bullet"/>
      <w:lvlText w:val=""/>
      <w:lvlJc w:val="left"/>
      <w:pPr>
        <w:tabs>
          <w:tab w:val="num" w:pos="360"/>
        </w:tabs>
        <w:ind w:left="360" w:hanging="360"/>
      </w:pPr>
      <w:rPr>
        <w:rFonts w:ascii="Symbol" w:hAnsi="Symbol" w:hint="default"/>
        <w:color w:val="auto"/>
      </w:rPr>
    </w:lvl>
    <w:lvl w:ilvl="1" w:tplc="D038A59C">
      <w:start w:val="1"/>
      <w:numFmt w:val="bullet"/>
      <w:lvlText w:val="o"/>
      <w:lvlJc w:val="left"/>
      <w:pPr>
        <w:tabs>
          <w:tab w:val="num" w:pos="1440"/>
        </w:tabs>
        <w:ind w:left="1440" w:hanging="360"/>
      </w:pPr>
      <w:rPr>
        <w:rFonts w:ascii="Courier New" w:hAnsi="Courier New" w:cs="Courier New" w:hint="default"/>
      </w:rPr>
    </w:lvl>
    <w:lvl w:ilvl="2" w:tplc="F1225C10" w:tentative="1">
      <w:start w:val="1"/>
      <w:numFmt w:val="bullet"/>
      <w:lvlText w:val=""/>
      <w:lvlJc w:val="left"/>
      <w:pPr>
        <w:tabs>
          <w:tab w:val="num" w:pos="2160"/>
        </w:tabs>
        <w:ind w:left="2160" w:hanging="360"/>
      </w:pPr>
      <w:rPr>
        <w:rFonts w:ascii="Wingdings" w:hAnsi="Wingdings" w:hint="default"/>
      </w:rPr>
    </w:lvl>
    <w:lvl w:ilvl="3" w:tplc="6D523F06" w:tentative="1">
      <w:start w:val="1"/>
      <w:numFmt w:val="bullet"/>
      <w:lvlText w:val=""/>
      <w:lvlJc w:val="left"/>
      <w:pPr>
        <w:tabs>
          <w:tab w:val="num" w:pos="2880"/>
        </w:tabs>
        <w:ind w:left="2880" w:hanging="360"/>
      </w:pPr>
      <w:rPr>
        <w:rFonts w:ascii="Symbol" w:hAnsi="Symbol" w:hint="default"/>
      </w:rPr>
    </w:lvl>
    <w:lvl w:ilvl="4" w:tplc="190A1D38" w:tentative="1">
      <w:start w:val="1"/>
      <w:numFmt w:val="bullet"/>
      <w:lvlText w:val="o"/>
      <w:lvlJc w:val="left"/>
      <w:pPr>
        <w:tabs>
          <w:tab w:val="num" w:pos="3600"/>
        </w:tabs>
        <w:ind w:left="3600" w:hanging="360"/>
      </w:pPr>
      <w:rPr>
        <w:rFonts w:ascii="Courier New" w:hAnsi="Courier New" w:cs="Courier New" w:hint="default"/>
      </w:rPr>
    </w:lvl>
    <w:lvl w:ilvl="5" w:tplc="688A15B6" w:tentative="1">
      <w:start w:val="1"/>
      <w:numFmt w:val="bullet"/>
      <w:lvlText w:val=""/>
      <w:lvlJc w:val="left"/>
      <w:pPr>
        <w:tabs>
          <w:tab w:val="num" w:pos="4320"/>
        </w:tabs>
        <w:ind w:left="4320" w:hanging="360"/>
      </w:pPr>
      <w:rPr>
        <w:rFonts w:ascii="Wingdings" w:hAnsi="Wingdings" w:hint="default"/>
      </w:rPr>
    </w:lvl>
    <w:lvl w:ilvl="6" w:tplc="6CCEB37E" w:tentative="1">
      <w:start w:val="1"/>
      <w:numFmt w:val="bullet"/>
      <w:lvlText w:val=""/>
      <w:lvlJc w:val="left"/>
      <w:pPr>
        <w:tabs>
          <w:tab w:val="num" w:pos="5040"/>
        </w:tabs>
        <w:ind w:left="5040" w:hanging="360"/>
      </w:pPr>
      <w:rPr>
        <w:rFonts w:ascii="Symbol" w:hAnsi="Symbol" w:hint="default"/>
      </w:rPr>
    </w:lvl>
    <w:lvl w:ilvl="7" w:tplc="665649D0" w:tentative="1">
      <w:start w:val="1"/>
      <w:numFmt w:val="bullet"/>
      <w:lvlText w:val="o"/>
      <w:lvlJc w:val="left"/>
      <w:pPr>
        <w:tabs>
          <w:tab w:val="num" w:pos="5760"/>
        </w:tabs>
        <w:ind w:left="5760" w:hanging="360"/>
      </w:pPr>
      <w:rPr>
        <w:rFonts w:ascii="Courier New" w:hAnsi="Courier New" w:cs="Courier New" w:hint="default"/>
      </w:rPr>
    </w:lvl>
    <w:lvl w:ilvl="8" w:tplc="3F84391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A04D33"/>
    <w:multiLevelType w:val="multilevel"/>
    <w:tmpl w:val="7988D8CE"/>
    <w:lvl w:ilvl="0">
      <w:start w:val="1"/>
      <w:numFmt w:val="lowerLetter"/>
      <w:lvlText w:val="%1."/>
      <w:lvlJc w:val="left"/>
      <w:pPr>
        <w:ind w:left="284" w:hanging="284"/>
      </w:pPr>
      <w:rPr>
        <w:rFonts w:hint="default"/>
      </w:rPr>
    </w:lvl>
    <w:lvl w:ilvl="1">
      <w:start w:val="1"/>
      <w:numFmt w:val="lowerRoman"/>
      <w:pStyle w:val="ListAlpha2"/>
      <w:lvlText w:val="%2."/>
      <w:lvlJc w:val="left"/>
      <w:pPr>
        <w:ind w:left="568" w:hanging="284"/>
      </w:pPr>
      <w:rPr>
        <w:rFonts w:hint="default"/>
      </w:rPr>
    </w:lvl>
    <w:lvl w:ilvl="2">
      <w:start w:val="1"/>
      <w:numFmt w:val="lowerLetter"/>
      <w:pStyle w:val="ListAlpha3"/>
      <w:lvlText w:val="%3."/>
      <w:lvlJc w:val="left"/>
      <w:pPr>
        <w:ind w:left="852" w:hanging="284"/>
      </w:pPr>
      <w:rPr>
        <w:rFonts w:hint="default"/>
      </w:rPr>
    </w:lvl>
    <w:lvl w:ilvl="3">
      <w:start w:val="1"/>
      <w:numFmt w:val="decimal"/>
      <w:pStyle w:val="ListAlpha4"/>
      <w:lvlText w:val="%4."/>
      <w:lvlJc w:val="left"/>
      <w:pPr>
        <w:ind w:left="1136" w:hanging="284"/>
      </w:pPr>
      <w:rPr>
        <w:rFonts w:hint="default"/>
      </w:rPr>
    </w:lvl>
    <w:lvl w:ilvl="4">
      <w:start w:val="1"/>
      <w:numFmt w:val="lowerLetter"/>
      <w:pStyle w:val="ListAlpha5"/>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6995419E"/>
    <w:multiLevelType w:val="hybridMultilevel"/>
    <w:tmpl w:val="A51CD728"/>
    <w:lvl w:ilvl="0" w:tplc="0C090003">
      <w:start w:val="1"/>
      <w:numFmt w:val="bullet"/>
      <w:lvlText w:val="o"/>
      <w:lvlJc w:val="left"/>
      <w:pPr>
        <w:ind w:left="773" w:hanging="360"/>
      </w:pPr>
      <w:rPr>
        <w:rFonts w:ascii="Courier New" w:hAnsi="Courier New" w:cs="Courier New" w:hint="default"/>
      </w:rPr>
    </w:lvl>
    <w:lvl w:ilvl="1" w:tplc="0C090003">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6" w15:restartNumberingAfterBreak="0">
    <w:nsid w:val="6A800135"/>
    <w:multiLevelType w:val="hybridMultilevel"/>
    <w:tmpl w:val="2EFE0B46"/>
    <w:lvl w:ilvl="0" w:tplc="719E4ACE">
      <w:start w:val="1"/>
      <w:numFmt w:val="decimal"/>
      <w:lvlText w:val="%1."/>
      <w:lvlJc w:val="left"/>
      <w:pPr>
        <w:ind w:left="360" w:hanging="360"/>
      </w:pPr>
      <w:rPr>
        <w:rFonts w:hint="default"/>
        <w:b w:val="0"/>
        <w:i w:val="0"/>
        <w:color w:val="auto"/>
      </w:rPr>
    </w:lvl>
    <w:lvl w:ilvl="1" w:tplc="41501F8E">
      <w:start w:val="1"/>
      <w:numFmt w:val="bullet"/>
      <w:lvlText w:val=""/>
      <w:lvlJc w:val="left"/>
      <w:pPr>
        <w:ind w:left="1080" w:hanging="360"/>
      </w:pPr>
      <w:rPr>
        <w:rFonts w:ascii="Symbol" w:hAnsi="Symbol" w:hint="default"/>
      </w:rPr>
    </w:lvl>
    <w:lvl w:ilvl="2" w:tplc="DBA6F740" w:tentative="1">
      <w:start w:val="1"/>
      <w:numFmt w:val="lowerRoman"/>
      <w:lvlText w:val="%3."/>
      <w:lvlJc w:val="right"/>
      <w:pPr>
        <w:ind w:left="1800" w:hanging="180"/>
      </w:pPr>
    </w:lvl>
    <w:lvl w:ilvl="3" w:tplc="DDA488FE" w:tentative="1">
      <w:start w:val="1"/>
      <w:numFmt w:val="decimal"/>
      <w:lvlText w:val="%4."/>
      <w:lvlJc w:val="left"/>
      <w:pPr>
        <w:ind w:left="2520" w:hanging="360"/>
      </w:pPr>
    </w:lvl>
    <w:lvl w:ilvl="4" w:tplc="E8BAE9DA" w:tentative="1">
      <w:start w:val="1"/>
      <w:numFmt w:val="lowerLetter"/>
      <w:lvlText w:val="%5."/>
      <w:lvlJc w:val="left"/>
      <w:pPr>
        <w:ind w:left="3240" w:hanging="360"/>
      </w:pPr>
    </w:lvl>
    <w:lvl w:ilvl="5" w:tplc="F964235A" w:tentative="1">
      <w:start w:val="1"/>
      <w:numFmt w:val="lowerRoman"/>
      <w:lvlText w:val="%6."/>
      <w:lvlJc w:val="right"/>
      <w:pPr>
        <w:ind w:left="3960" w:hanging="180"/>
      </w:pPr>
    </w:lvl>
    <w:lvl w:ilvl="6" w:tplc="8D4618D2" w:tentative="1">
      <w:start w:val="1"/>
      <w:numFmt w:val="decimal"/>
      <w:lvlText w:val="%7."/>
      <w:lvlJc w:val="left"/>
      <w:pPr>
        <w:ind w:left="4680" w:hanging="360"/>
      </w:pPr>
    </w:lvl>
    <w:lvl w:ilvl="7" w:tplc="A9441D94" w:tentative="1">
      <w:start w:val="1"/>
      <w:numFmt w:val="lowerLetter"/>
      <w:lvlText w:val="%8."/>
      <w:lvlJc w:val="left"/>
      <w:pPr>
        <w:ind w:left="5400" w:hanging="360"/>
      </w:pPr>
    </w:lvl>
    <w:lvl w:ilvl="8" w:tplc="39D85DC4" w:tentative="1">
      <w:start w:val="1"/>
      <w:numFmt w:val="lowerRoman"/>
      <w:lvlText w:val="%9."/>
      <w:lvlJc w:val="right"/>
      <w:pPr>
        <w:ind w:left="6120" w:hanging="180"/>
      </w:pPr>
    </w:lvl>
  </w:abstractNum>
  <w:abstractNum w:abstractNumId="17" w15:restartNumberingAfterBreak="0">
    <w:nsid w:val="6B946A5C"/>
    <w:multiLevelType w:val="hybridMultilevel"/>
    <w:tmpl w:val="3698E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DBA3F82"/>
    <w:multiLevelType w:val="multilevel"/>
    <w:tmpl w:val="74B02582"/>
    <w:lvl w:ilvl="0">
      <w:start w:val="1"/>
      <w:numFmt w:val="decimal"/>
      <w:pStyle w:val="Heading1numbered"/>
      <w:lvlText w:val="%1."/>
      <w:lvlJc w:val="left"/>
      <w:pPr>
        <w:tabs>
          <w:tab w:val="num" w:pos="1134"/>
        </w:tabs>
        <w:ind w:left="1134" w:hanging="1134"/>
      </w:pPr>
      <w:rPr>
        <w:rFonts w:hint="default"/>
      </w:rPr>
    </w:lvl>
    <w:lvl w:ilvl="1">
      <w:start w:val="1"/>
      <w:numFmt w:val="decimal"/>
      <w:pStyle w:val="Heading2numbered"/>
      <w:lvlText w:val="%1.%2."/>
      <w:lvlJc w:val="left"/>
      <w:pPr>
        <w:tabs>
          <w:tab w:val="num" w:pos="1134"/>
        </w:tabs>
        <w:ind w:left="1134" w:hanging="1134"/>
      </w:pPr>
      <w:rPr>
        <w:rFonts w:hint="default"/>
      </w:rPr>
    </w:lvl>
    <w:lvl w:ilvl="2">
      <w:start w:val="1"/>
      <w:numFmt w:val="decimal"/>
      <w:pStyle w:val="Heading3numbered"/>
      <w:lvlText w:val="%1.%2.%3."/>
      <w:lvlJc w:val="left"/>
      <w:pPr>
        <w:tabs>
          <w:tab w:val="num" w:pos="1134"/>
        </w:tabs>
        <w:ind w:left="1134" w:hanging="1134"/>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pStyle w:val="Heading5numbered"/>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19" w15:restartNumberingAfterBreak="0">
    <w:nsid w:val="6FF43E59"/>
    <w:multiLevelType w:val="hybridMultilevel"/>
    <w:tmpl w:val="8A5ED1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139706E"/>
    <w:multiLevelType w:val="multilevel"/>
    <w:tmpl w:val="11C64328"/>
    <w:numStyleLink w:val="ListParagraph"/>
  </w:abstractNum>
  <w:abstractNum w:abstractNumId="21" w15:restartNumberingAfterBreak="0">
    <w:nsid w:val="7AC362CE"/>
    <w:multiLevelType w:val="hybridMultilevel"/>
    <w:tmpl w:val="156AD43E"/>
    <w:lvl w:ilvl="0" w:tplc="0C090001">
      <w:start w:val="1"/>
      <w:numFmt w:val="bullet"/>
      <w:lvlText w:val=""/>
      <w:lvlJc w:val="left"/>
      <w:pPr>
        <w:ind w:left="413"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9523485">
    <w:abstractNumId w:val="1"/>
  </w:num>
  <w:num w:numId="2" w16cid:durableId="1179542363">
    <w:abstractNumId w:val="20"/>
  </w:num>
  <w:num w:numId="3" w16cid:durableId="78411308">
    <w:abstractNumId w:val="4"/>
  </w:num>
  <w:num w:numId="4" w16cid:durableId="803084903">
    <w:abstractNumId w:val="0"/>
  </w:num>
  <w:num w:numId="5" w16cid:durableId="313604000">
    <w:abstractNumId w:val="10"/>
  </w:num>
  <w:num w:numId="6" w16cid:durableId="1334643692">
    <w:abstractNumId w:val="14"/>
  </w:num>
  <w:num w:numId="7" w16cid:durableId="223491938">
    <w:abstractNumId w:val="9"/>
  </w:num>
  <w:num w:numId="8" w16cid:durableId="1021126838">
    <w:abstractNumId w:val="18"/>
  </w:num>
  <w:num w:numId="9" w16cid:durableId="680862178">
    <w:abstractNumId w:val="2"/>
  </w:num>
  <w:num w:numId="10" w16cid:durableId="4870150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73083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732100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36752772">
    <w:abstractNumId w:val="19"/>
  </w:num>
  <w:num w:numId="14" w16cid:durableId="1358123085">
    <w:abstractNumId w:val="17"/>
  </w:num>
  <w:num w:numId="15" w16cid:durableId="2073119664">
    <w:abstractNumId w:val="7"/>
  </w:num>
  <w:num w:numId="16" w16cid:durableId="663894488">
    <w:abstractNumId w:val="15"/>
  </w:num>
  <w:num w:numId="17" w16cid:durableId="1804881606">
    <w:abstractNumId w:val="21"/>
  </w:num>
  <w:num w:numId="18" w16cid:durableId="516576049">
    <w:abstractNumId w:val="18"/>
  </w:num>
  <w:num w:numId="19" w16cid:durableId="7491465">
    <w:abstractNumId w:val="18"/>
  </w:num>
  <w:num w:numId="20" w16cid:durableId="889074696">
    <w:abstractNumId w:val="8"/>
  </w:num>
  <w:num w:numId="21" w16cid:durableId="998732885">
    <w:abstractNumId w:val="20"/>
  </w:num>
  <w:num w:numId="22" w16cid:durableId="150873297">
    <w:abstractNumId w:val="12"/>
  </w:num>
  <w:num w:numId="23" w16cid:durableId="876969546">
    <w:abstractNumId w:val="6"/>
  </w:num>
  <w:num w:numId="24" w16cid:durableId="508909137">
    <w:abstractNumId w:val="20"/>
  </w:num>
  <w:num w:numId="25" w16cid:durableId="1152058475">
    <w:abstractNumId w:val="20"/>
  </w:num>
  <w:num w:numId="26" w16cid:durableId="892154742">
    <w:abstractNumId w:val="20"/>
  </w:num>
  <w:num w:numId="27" w16cid:durableId="1441989539">
    <w:abstractNumId w:val="20"/>
  </w:num>
  <w:num w:numId="28" w16cid:durableId="237785217">
    <w:abstractNumId w:val="20"/>
  </w:num>
  <w:num w:numId="29" w16cid:durableId="1471509053">
    <w:abstractNumId w:val="20"/>
  </w:num>
  <w:num w:numId="30" w16cid:durableId="1420712762">
    <w:abstractNumId w:val="20"/>
  </w:num>
  <w:num w:numId="31" w16cid:durableId="363945691">
    <w:abstractNumId w:val="5"/>
  </w:num>
  <w:num w:numId="32" w16cid:durableId="201523459">
    <w:abstractNumId w:val="13"/>
  </w:num>
  <w:num w:numId="33" w16cid:durableId="1760521086">
    <w:abstractNumId w:val="16"/>
  </w:num>
  <w:num w:numId="34" w16cid:durableId="2097900529">
    <w:abstractNumId w:val="3"/>
  </w:num>
  <w:num w:numId="35" w16cid:durableId="324742780">
    <w:abstractNumId w:val="20"/>
  </w:num>
  <w:num w:numId="36" w16cid:durableId="1020547618">
    <w:abstractNumId w:val="20"/>
  </w:num>
  <w:num w:numId="37" w16cid:durableId="2000842916">
    <w:abstractNumId w:val="20"/>
  </w:num>
  <w:num w:numId="38" w16cid:durableId="199708587">
    <w:abstractNumId w:val="20"/>
  </w:num>
  <w:num w:numId="39" w16cid:durableId="896356874">
    <w:abstractNumId w:val="11"/>
  </w:num>
  <w:num w:numId="40" w16cid:durableId="584264999">
    <w:abstractNumId w:val="20"/>
  </w:num>
  <w:num w:numId="41" w16cid:durableId="205816565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2DE"/>
    <w:rsid w:val="000060F1"/>
    <w:rsid w:val="00015350"/>
    <w:rsid w:val="00015947"/>
    <w:rsid w:val="00017E8F"/>
    <w:rsid w:val="000253C5"/>
    <w:rsid w:val="000317DF"/>
    <w:rsid w:val="00063130"/>
    <w:rsid w:val="00066F16"/>
    <w:rsid w:val="00070F49"/>
    <w:rsid w:val="00072D61"/>
    <w:rsid w:val="000A7292"/>
    <w:rsid w:val="000B2C8F"/>
    <w:rsid w:val="000B51E9"/>
    <w:rsid w:val="000C5F39"/>
    <w:rsid w:val="000D6444"/>
    <w:rsid w:val="000E52CB"/>
    <w:rsid w:val="001003E1"/>
    <w:rsid w:val="001065B1"/>
    <w:rsid w:val="0011017E"/>
    <w:rsid w:val="00114A36"/>
    <w:rsid w:val="0011718B"/>
    <w:rsid w:val="00121542"/>
    <w:rsid w:val="001437BE"/>
    <w:rsid w:val="001459D3"/>
    <w:rsid w:val="00154377"/>
    <w:rsid w:val="00161052"/>
    <w:rsid w:val="00175875"/>
    <w:rsid w:val="0018052A"/>
    <w:rsid w:val="00184E63"/>
    <w:rsid w:val="00197F96"/>
    <w:rsid w:val="001B1ED9"/>
    <w:rsid w:val="001B7388"/>
    <w:rsid w:val="001C1D2C"/>
    <w:rsid w:val="001C2A02"/>
    <w:rsid w:val="001D482F"/>
    <w:rsid w:val="001D77BE"/>
    <w:rsid w:val="002065D2"/>
    <w:rsid w:val="00217142"/>
    <w:rsid w:val="002226EA"/>
    <w:rsid w:val="002436FA"/>
    <w:rsid w:val="00253155"/>
    <w:rsid w:val="00261023"/>
    <w:rsid w:val="002674A3"/>
    <w:rsid w:val="0028355D"/>
    <w:rsid w:val="00287040"/>
    <w:rsid w:val="002A7D76"/>
    <w:rsid w:val="002B2EFE"/>
    <w:rsid w:val="002B55E9"/>
    <w:rsid w:val="002C25AA"/>
    <w:rsid w:val="002D1CED"/>
    <w:rsid w:val="002E67C7"/>
    <w:rsid w:val="00315E86"/>
    <w:rsid w:val="0032376A"/>
    <w:rsid w:val="00327A53"/>
    <w:rsid w:val="00341593"/>
    <w:rsid w:val="00356F18"/>
    <w:rsid w:val="00367A50"/>
    <w:rsid w:val="00374AF2"/>
    <w:rsid w:val="0039123D"/>
    <w:rsid w:val="00395206"/>
    <w:rsid w:val="003962DE"/>
    <w:rsid w:val="00396C6D"/>
    <w:rsid w:val="003A0704"/>
    <w:rsid w:val="003A1565"/>
    <w:rsid w:val="003A31D0"/>
    <w:rsid w:val="003A586D"/>
    <w:rsid w:val="003B4A79"/>
    <w:rsid w:val="003B6841"/>
    <w:rsid w:val="003C6AEA"/>
    <w:rsid w:val="003C7923"/>
    <w:rsid w:val="003D6F49"/>
    <w:rsid w:val="003E1B70"/>
    <w:rsid w:val="003E1C0C"/>
    <w:rsid w:val="003F457A"/>
    <w:rsid w:val="00403553"/>
    <w:rsid w:val="0040569F"/>
    <w:rsid w:val="0042334D"/>
    <w:rsid w:val="00447048"/>
    <w:rsid w:val="00450357"/>
    <w:rsid w:val="00470505"/>
    <w:rsid w:val="004728B3"/>
    <w:rsid w:val="00473E18"/>
    <w:rsid w:val="00482A76"/>
    <w:rsid w:val="00482C95"/>
    <w:rsid w:val="0048466A"/>
    <w:rsid w:val="004C1645"/>
    <w:rsid w:val="004C5128"/>
    <w:rsid w:val="004C5694"/>
    <w:rsid w:val="004D150C"/>
    <w:rsid w:val="004D678A"/>
    <w:rsid w:val="004E15BF"/>
    <w:rsid w:val="004F1FEB"/>
    <w:rsid w:val="004F3DF7"/>
    <w:rsid w:val="004F58AD"/>
    <w:rsid w:val="00504364"/>
    <w:rsid w:val="00525855"/>
    <w:rsid w:val="00534BED"/>
    <w:rsid w:val="005469B7"/>
    <w:rsid w:val="00550690"/>
    <w:rsid w:val="00554789"/>
    <w:rsid w:val="005565B7"/>
    <w:rsid w:val="00564125"/>
    <w:rsid w:val="00593894"/>
    <w:rsid w:val="005A688D"/>
    <w:rsid w:val="005C0D7A"/>
    <w:rsid w:val="005D033E"/>
    <w:rsid w:val="005E4ECB"/>
    <w:rsid w:val="005F1F7C"/>
    <w:rsid w:val="005F2491"/>
    <w:rsid w:val="005F5C2D"/>
    <w:rsid w:val="005F64CE"/>
    <w:rsid w:val="00615EFD"/>
    <w:rsid w:val="00615FF5"/>
    <w:rsid w:val="00617072"/>
    <w:rsid w:val="00631968"/>
    <w:rsid w:val="0064443D"/>
    <w:rsid w:val="00646272"/>
    <w:rsid w:val="00672CF5"/>
    <w:rsid w:val="00677350"/>
    <w:rsid w:val="00684788"/>
    <w:rsid w:val="00694C03"/>
    <w:rsid w:val="006A1E0F"/>
    <w:rsid w:val="006B2023"/>
    <w:rsid w:val="006B5486"/>
    <w:rsid w:val="006C6934"/>
    <w:rsid w:val="006F5387"/>
    <w:rsid w:val="0072533C"/>
    <w:rsid w:val="00727077"/>
    <w:rsid w:val="007347A5"/>
    <w:rsid w:val="00734A7A"/>
    <w:rsid w:val="007408A6"/>
    <w:rsid w:val="007471BF"/>
    <w:rsid w:val="00765903"/>
    <w:rsid w:val="0079539D"/>
    <w:rsid w:val="007B0D6A"/>
    <w:rsid w:val="007B15FD"/>
    <w:rsid w:val="007B2337"/>
    <w:rsid w:val="007C328D"/>
    <w:rsid w:val="007D1B49"/>
    <w:rsid w:val="007D3649"/>
    <w:rsid w:val="00800FAD"/>
    <w:rsid w:val="0080757D"/>
    <w:rsid w:val="00822EE7"/>
    <w:rsid w:val="00824E0B"/>
    <w:rsid w:val="008317DD"/>
    <w:rsid w:val="00837987"/>
    <w:rsid w:val="008420B3"/>
    <w:rsid w:val="0084589F"/>
    <w:rsid w:val="00866FFA"/>
    <w:rsid w:val="00870767"/>
    <w:rsid w:val="00882F63"/>
    <w:rsid w:val="008B53B3"/>
    <w:rsid w:val="008C0470"/>
    <w:rsid w:val="008D5628"/>
    <w:rsid w:val="008F6669"/>
    <w:rsid w:val="00900DED"/>
    <w:rsid w:val="00903BC1"/>
    <w:rsid w:val="00905552"/>
    <w:rsid w:val="0091432E"/>
    <w:rsid w:val="00916BEE"/>
    <w:rsid w:val="00931224"/>
    <w:rsid w:val="00944742"/>
    <w:rsid w:val="009633AA"/>
    <w:rsid w:val="00967589"/>
    <w:rsid w:val="009721B1"/>
    <w:rsid w:val="009A423A"/>
    <w:rsid w:val="009A7936"/>
    <w:rsid w:val="009B43F8"/>
    <w:rsid w:val="009B5CE1"/>
    <w:rsid w:val="009B6844"/>
    <w:rsid w:val="009C26C1"/>
    <w:rsid w:val="009E0121"/>
    <w:rsid w:val="009E5C78"/>
    <w:rsid w:val="009E5D59"/>
    <w:rsid w:val="009F1F6F"/>
    <w:rsid w:val="00A00EF4"/>
    <w:rsid w:val="00A04D20"/>
    <w:rsid w:val="00A231CE"/>
    <w:rsid w:val="00A25E4D"/>
    <w:rsid w:val="00A26962"/>
    <w:rsid w:val="00A30FA2"/>
    <w:rsid w:val="00A42CF7"/>
    <w:rsid w:val="00A44BC6"/>
    <w:rsid w:val="00A550AC"/>
    <w:rsid w:val="00A60C93"/>
    <w:rsid w:val="00A63407"/>
    <w:rsid w:val="00A764E9"/>
    <w:rsid w:val="00A848A0"/>
    <w:rsid w:val="00A86006"/>
    <w:rsid w:val="00A86872"/>
    <w:rsid w:val="00A904B5"/>
    <w:rsid w:val="00A91B4E"/>
    <w:rsid w:val="00AA4879"/>
    <w:rsid w:val="00AB0211"/>
    <w:rsid w:val="00AB29BD"/>
    <w:rsid w:val="00AB2FC2"/>
    <w:rsid w:val="00AB3299"/>
    <w:rsid w:val="00AB524E"/>
    <w:rsid w:val="00AF6660"/>
    <w:rsid w:val="00B1189A"/>
    <w:rsid w:val="00B1583D"/>
    <w:rsid w:val="00B237B1"/>
    <w:rsid w:val="00B25AEC"/>
    <w:rsid w:val="00B35721"/>
    <w:rsid w:val="00B40FC1"/>
    <w:rsid w:val="00B47DA3"/>
    <w:rsid w:val="00B52CF9"/>
    <w:rsid w:val="00B548EF"/>
    <w:rsid w:val="00B56BB5"/>
    <w:rsid w:val="00B610A3"/>
    <w:rsid w:val="00B65C2A"/>
    <w:rsid w:val="00BA76E3"/>
    <w:rsid w:val="00BA7D7C"/>
    <w:rsid w:val="00BB1B7B"/>
    <w:rsid w:val="00BB2784"/>
    <w:rsid w:val="00BB3865"/>
    <w:rsid w:val="00BC4CD2"/>
    <w:rsid w:val="00BC6E3C"/>
    <w:rsid w:val="00BE0C0B"/>
    <w:rsid w:val="00BE7C09"/>
    <w:rsid w:val="00BF2A42"/>
    <w:rsid w:val="00C04540"/>
    <w:rsid w:val="00C125A7"/>
    <w:rsid w:val="00C2711B"/>
    <w:rsid w:val="00C355D7"/>
    <w:rsid w:val="00C40413"/>
    <w:rsid w:val="00C40695"/>
    <w:rsid w:val="00C41800"/>
    <w:rsid w:val="00C42188"/>
    <w:rsid w:val="00C466DF"/>
    <w:rsid w:val="00C46A8F"/>
    <w:rsid w:val="00C47B4D"/>
    <w:rsid w:val="00C52925"/>
    <w:rsid w:val="00C569BF"/>
    <w:rsid w:val="00C652E4"/>
    <w:rsid w:val="00C92391"/>
    <w:rsid w:val="00C9286C"/>
    <w:rsid w:val="00C97755"/>
    <w:rsid w:val="00CA0F50"/>
    <w:rsid w:val="00CA503D"/>
    <w:rsid w:val="00CB6756"/>
    <w:rsid w:val="00CB7885"/>
    <w:rsid w:val="00CD2DBD"/>
    <w:rsid w:val="00CD2EB1"/>
    <w:rsid w:val="00CD4930"/>
    <w:rsid w:val="00CE12EE"/>
    <w:rsid w:val="00CF1053"/>
    <w:rsid w:val="00D01BCE"/>
    <w:rsid w:val="00D1181B"/>
    <w:rsid w:val="00D21E28"/>
    <w:rsid w:val="00D231AC"/>
    <w:rsid w:val="00D248C3"/>
    <w:rsid w:val="00D337D7"/>
    <w:rsid w:val="00D46DA4"/>
    <w:rsid w:val="00D4786E"/>
    <w:rsid w:val="00D55A6D"/>
    <w:rsid w:val="00D73117"/>
    <w:rsid w:val="00D73B1A"/>
    <w:rsid w:val="00D74FE6"/>
    <w:rsid w:val="00D829BF"/>
    <w:rsid w:val="00D94EE1"/>
    <w:rsid w:val="00DA2457"/>
    <w:rsid w:val="00DB4384"/>
    <w:rsid w:val="00DD085F"/>
    <w:rsid w:val="00DD16FD"/>
    <w:rsid w:val="00DD5A49"/>
    <w:rsid w:val="00DE3596"/>
    <w:rsid w:val="00E06443"/>
    <w:rsid w:val="00E27091"/>
    <w:rsid w:val="00E304A1"/>
    <w:rsid w:val="00E31B79"/>
    <w:rsid w:val="00E33596"/>
    <w:rsid w:val="00E61237"/>
    <w:rsid w:val="00E7021A"/>
    <w:rsid w:val="00E7334B"/>
    <w:rsid w:val="00E86941"/>
    <w:rsid w:val="00E907A1"/>
    <w:rsid w:val="00E913C3"/>
    <w:rsid w:val="00E93239"/>
    <w:rsid w:val="00E970AA"/>
    <w:rsid w:val="00EA0D90"/>
    <w:rsid w:val="00EC0E43"/>
    <w:rsid w:val="00EC1F1D"/>
    <w:rsid w:val="00EC37AA"/>
    <w:rsid w:val="00EC3C5A"/>
    <w:rsid w:val="00EC5577"/>
    <w:rsid w:val="00EE0759"/>
    <w:rsid w:val="00EF2F1A"/>
    <w:rsid w:val="00EF67F0"/>
    <w:rsid w:val="00F1733D"/>
    <w:rsid w:val="00F24843"/>
    <w:rsid w:val="00F344AC"/>
    <w:rsid w:val="00F35C13"/>
    <w:rsid w:val="00F512C0"/>
    <w:rsid w:val="00F53133"/>
    <w:rsid w:val="00F55C19"/>
    <w:rsid w:val="00F55EF4"/>
    <w:rsid w:val="00F56691"/>
    <w:rsid w:val="00F643DA"/>
    <w:rsid w:val="00F73B3C"/>
    <w:rsid w:val="00F73CF6"/>
    <w:rsid w:val="00F75FED"/>
    <w:rsid w:val="00F90553"/>
    <w:rsid w:val="00F91398"/>
    <w:rsid w:val="00F92F4B"/>
    <w:rsid w:val="00F936ED"/>
    <w:rsid w:val="00F9470D"/>
    <w:rsid w:val="00FA1E8F"/>
    <w:rsid w:val="00FA20C7"/>
    <w:rsid w:val="00FA38C4"/>
    <w:rsid w:val="00FB1136"/>
    <w:rsid w:val="00FB25AF"/>
    <w:rsid w:val="00FB4391"/>
    <w:rsid w:val="00FB4F81"/>
    <w:rsid w:val="00FD18D6"/>
    <w:rsid w:val="00FE481D"/>
    <w:rsid w:val="00FF5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DF1E0"/>
  <w15:chartTrackingRefBased/>
  <w15:docId w15:val="{47FBA217-4430-41B3-A225-AA30A54C5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Georgia"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0" w:unhideWhenUsed="1" w:qFormat="1"/>
    <w:lsdException w:name="List Number" w:semiHidden="1" w:uiPriority="2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0" w:unhideWhenUsed="1"/>
    <w:lsdException w:name="List Bullet 3" w:semiHidden="1" w:uiPriority="20" w:unhideWhenUsed="1"/>
    <w:lsdException w:name="List Bullet 4" w:semiHidden="1" w:uiPriority="20" w:unhideWhenUsed="1"/>
    <w:lsdException w:name="List Bullet 5" w:semiHidden="1" w:uiPriority="20" w:unhideWhenUsed="1"/>
    <w:lsdException w:name="List Number 2" w:semiHidden="1" w:uiPriority="21" w:unhideWhenUsed="1"/>
    <w:lsdException w:name="List Number 3" w:semiHidden="1" w:uiPriority="21" w:unhideWhenUsed="1"/>
    <w:lsdException w:name="List Number 4" w:semiHidden="1" w:uiPriority="2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C2A"/>
    <w:rPr>
      <w:rFonts w:asciiTheme="minorHAnsi" w:hAnsiTheme="minorHAnsi"/>
      <w:sz w:val="22"/>
      <w:szCs w:val="24"/>
    </w:rPr>
  </w:style>
  <w:style w:type="paragraph" w:styleId="Heading1">
    <w:name w:val="heading 1"/>
    <w:basedOn w:val="Normal"/>
    <w:next w:val="Normal"/>
    <w:link w:val="Heading1Char"/>
    <w:uiPriority w:val="9"/>
    <w:qFormat/>
    <w:rsid w:val="001D77BE"/>
    <w:pPr>
      <w:keepNext/>
      <w:spacing w:after="120"/>
      <w:outlineLvl w:val="0"/>
    </w:pPr>
    <w:rPr>
      <w:rFonts w:ascii="Rockwell" w:hAnsi="Rockwell"/>
      <w:b/>
      <w:color w:val="2D416E" w:themeColor="accent1" w:themeShade="BF"/>
      <w:sz w:val="28"/>
      <w:szCs w:val="22"/>
    </w:rPr>
  </w:style>
  <w:style w:type="paragraph" w:styleId="Heading2">
    <w:name w:val="heading 2"/>
    <w:basedOn w:val="Normal"/>
    <w:next w:val="Normal"/>
    <w:link w:val="Heading2Char"/>
    <w:uiPriority w:val="9"/>
    <w:unhideWhenUsed/>
    <w:qFormat/>
    <w:rsid w:val="000C5F39"/>
    <w:pPr>
      <w:keepNext/>
      <w:keepLines/>
      <w:spacing w:before="40" w:after="0"/>
      <w:outlineLvl w:val="1"/>
    </w:pPr>
    <w:rPr>
      <w:rFonts w:ascii="Calibri" w:eastAsiaTheme="majorEastAsia" w:hAnsi="Calibri" w:cstheme="majorBidi"/>
      <w:b/>
      <w:color w:val="4FBBC3" w:themeColor="accent2"/>
      <w:sz w:val="26"/>
      <w:szCs w:val="26"/>
    </w:rPr>
  </w:style>
  <w:style w:type="paragraph" w:styleId="Heading3">
    <w:name w:val="heading 3"/>
    <w:basedOn w:val="Normal"/>
    <w:next w:val="Normal"/>
    <w:link w:val="Heading3Char"/>
    <w:uiPriority w:val="9"/>
    <w:unhideWhenUsed/>
    <w:qFormat/>
    <w:rsid w:val="003C7923"/>
    <w:pPr>
      <w:keepNext/>
      <w:keepLines/>
      <w:spacing w:before="40" w:after="0"/>
      <w:outlineLvl w:val="2"/>
    </w:pPr>
    <w:rPr>
      <w:rFonts w:eastAsiaTheme="majorEastAsia" w:cstheme="majorBidi"/>
      <w:b/>
      <w:caps/>
      <w:color w:val="000000" w:themeColor="text1"/>
    </w:rPr>
  </w:style>
  <w:style w:type="paragraph" w:styleId="Heading4">
    <w:name w:val="heading 4"/>
    <w:basedOn w:val="Normal"/>
    <w:next w:val="Normal"/>
    <w:link w:val="Heading4Char"/>
    <w:uiPriority w:val="9"/>
    <w:unhideWhenUsed/>
    <w:qFormat/>
    <w:rsid w:val="003C7923"/>
    <w:pPr>
      <w:keepNext/>
      <w:keepLines/>
      <w:spacing w:before="40" w:after="0"/>
      <w:outlineLvl w:val="3"/>
    </w:pPr>
    <w:rPr>
      <w:rFonts w:eastAsiaTheme="majorEastAsia" w:cstheme="majorBidi"/>
      <w:i/>
      <w:iCs/>
      <w:color w:val="2D416E" w:themeColor="accent1" w:themeShade="BF"/>
    </w:rPr>
  </w:style>
  <w:style w:type="paragraph" w:styleId="Heading5">
    <w:name w:val="heading 5"/>
    <w:basedOn w:val="Normal"/>
    <w:next w:val="Normal"/>
    <w:link w:val="Heading5Char"/>
    <w:uiPriority w:val="9"/>
    <w:unhideWhenUsed/>
    <w:qFormat/>
    <w:rsid w:val="00BF2A42"/>
    <w:pPr>
      <w:keepNext/>
      <w:keepLines/>
      <w:spacing w:before="40" w:after="0"/>
      <w:outlineLvl w:val="4"/>
    </w:pPr>
    <w:rPr>
      <w:rFonts w:asciiTheme="majorHAnsi" w:eastAsiaTheme="majorEastAsia" w:hAnsiTheme="majorHAnsi" w:cstheme="majorBidi"/>
      <w:color w:val="2D416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4A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A7A"/>
  </w:style>
  <w:style w:type="paragraph" w:styleId="Footer">
    <w:name w:val="footer"/>
    <w:basedOn w:val="Normal"/>
    <w:link w:val="FooterChar"/>
    <w:uiPriority w:val="99"/>
    <w:unhideWhenUsed/>
    <w:rsid w:val="00734A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A7A"/>
  </w:style>
  <w:style w:type="paragraph" w:styleId="Title">
    <w:name w:val="Title"/>
    <w:basedOn w:val="Normal"/>
    <w:next w:val="Normal"/>
    <w:link w:val="TitleChar"/>
    <w:uiPriority w:val="10"/>
    <w:qFormat/>
    <w:rsid w:val="00E7021A"/>
    <w:pPr>
      <w:spacing w:after="0" w:line="240" w:lineRule="auto"/>
      <w:contextualSpacing/>
    </w:pPr>
    <w:rPr>
      <w:rFonts w:ascii="Rockwell" w:eastAsiaTheme="majorEastAsia" w:hAnsi="Rockwell" w:cstheme="majorBidi"/>
      <w:color w:val="2D416E" w:themeColor="accent1" w:themeShade="BF"/>
      <w:spacing w:val="-10"/>
      <w:kern w:val="28"/>
      <w:sz w:val="48"/>
      <w:szCs w:val="48"/>
      <w:lang w:val="en-AU"/>
    </w:rPr>
  </w:style>
  <w:style w:type="character" w:customStyle="1" w:styleId="TitleChar">
    <w:name w:val="Title Char"/>
    <w:basedOn w:val="DefaultParagraphFont"/>
    <w:link w:val="Title"/>
    <w:uiPriority w:val="10"/>
    <w:rsid w:val="00E7021A"/>
    <w:rPr>
      <w:rFonts w:ascii="Rockwell" w:eastAsiaTheme="majorEastAsia" w:hAnsi="Rockwell" w:cstheme="majorBidi"/>
      <w:color w:val="2D416E" w:themeColor="accent1" w:themeShade="BF"/>
      <w:spacing w:val="-10"/>
      <w:kern w:val="28"/>
      <w:sz w:val="48"/>
      <w:szCs w:val="48"/>
      <w:lang w:val="en-AU"/>
    </w:rPr>
  </w:style>
  <w:style w:type="character" w:styleId="Strong">
    <w:name w:val="Strong"/>
    <w:basedOn w:val="DefaultParagraphFont"/>
    <w:uiPriority w:val="22"/>
    <w:qFormat/>
    <w:rsid w:val="00694C03"/>
    <w:rPr>
      <w:b/>
      <w:bCs/>
    </w:rPr>
  </w:style>
  <w:style w:type="character" w:customStyle="1" w:styleId="Heading1Char">
    <w:name w:val="Heading 1 Char"/>
    <w:basedOn w:val="DefaultParagraphFont"/>
    <w:link w:val="Heading1"/>
    <w:uiPriority w:val="9"/>
    <w:rsid w:val="001D77BE"/>
    <w:rPr>
      <w:rFonts w:ascii="Rockwell" w:hAnsi="Rockwell"/>
      <w:b/>
      <w:color w:val="2D416E" w:themeColor="accent1" w:themeShade="BF"/>
      <w:sz w:val="28"/>
    </w:rPr>
  </w:style>
  <w:style w:type="character" w:customStyle="1" w:styleId="Heading2Char">
    <w:name w:val="Heading 2 Char"/>
    <w:basedOn w:val="DefaultParagraphFont"/>
    <w:link w:val="Heading2"/>
    <w:uiPriority w:val="9"/>
    <w:rsid w:val="000C5F39"/>
    <w:rPr>
      <w:rFonts w:ascii="Calibri" w:eastAsiaTheme="majorEastAsia" w:hAnsi="Calibri" w:cstheme="majorBidi"/>
      <w:b/>
      <w:color w:val="4FBBC3" w:themeColor="accent2"/>
      <w:sz w:val="26"/>
      <w:szCs w:val="26"/>
    </w:rPr>
  </w:style>
  <w:style w:type="paragraph" w:customStyle="1" w:styleId="Tableheaderreversedtext">
    <w:name w:val="Table header reversed text"/>
    <w:basedOn w:val="Normal"/>
    <w:next w:val="Normal"/>
    <w:link w:val="TableheaderreversedtextChar"/>
    <w:qFormat/>
    <w:rsid w:val="00B1583D"/>
    <w:pPr>
      <w:spacing w:after="0" w:line="240" w:lineRule="auto"/>
    </w:pPr>
    <w:rPr>
      <w:rFonts w:eastAsia="Times New Roman" w:cs="Times New Roman"/>
      <w:b/>
      <w:color w:val="FFFFFF" w:themeColor="background1"/>
      <w:sz w:val="26"/>
      <w:szCs w:val="26"/>
      <w:lang w:val="en-AU" w:eastAsia="en-AU"/>
    </w:rPr>
  </w:style>
  <w:style w:type="paragraph" w:styleId="NoSpacing">
    <w:name w:val="No Spacing"/>
    <w:uiPriority w:val="1"/>
    <w:qFormat/>
    <w:rsid w:val="00B65C2A"/>
    <w:pPr>
      <w:spacing w:after="0" w:line="240" w:lineRule="auto"/>
    </w:pPr>
    <w:rPr>
      <w:rFonts w:asciiTheme="minorHAnsi" w:hAnsiTheme="minorHAnsi"/>
      <w:sz w:val="22"/>
      <w:szCs w:val="24"/>
    </w:rPr>
  </w:style>
  <w:style w:type="character" w:customStyle="1" w:styleId="TableheaderreversedtextChar">
    <w:name w:val="Table header reversed text Char"/>
    <w:basedOn w:val="DefaultParagraphFont"/>
    <w:link w:val="Tableheaderreversedtext"/>
    <w:rsid w:val="00B1583D"/>
    <w:rPr>
      <w:rFonts w:asciiTheme="minorHAnsi" w:eastAsia="Times New Roman" w:hAnsiTheme="minorHAnsi" w:cs="Times New Roman"/>
      <w:b/>
      <w:color w:val="FFFFFF" w:themeColor="background1"/>
      <w:sz w:val="26"/>
      <w:szCs w:val="26"/>
      <w:lang w:val="en-AU" w:eastAsia="en-AU"/>
    </w:rPr>
  </w:style>
  <w:style w:type="character" w:customStyle="1" w:styleId="Heading3Char">
    <w:name w:val="Heading 3 Char"/>
    <w:basedOn w:val="DefaultParagraphFont"/>
    <w:link w:val="Heading3"/>
    <w:uiPriority w:val="9"/>
    <w:rsid w:val="003C7923"/>
    <w:rPr>
      <w:rFonts w:asciiTheme="minorHAnsi" w:eastAsiaTheme="majorEastAsia" w:hAnsiTheme="minorHAnsi" w:cstheme="majorBidi"/>
      <w:b/>
      <w:caps/>
      <w:color w:val="000000" w:themeColor="text1"/>
      <w:sz w:val="22"/>
      <w:szCs w:val="24"/>
    </w:rPr>
  </w:style>
  <w:style w:type="character" w:customStyle="1" w:styleId="Heading4Char">
    <w:name w:val="Heading 4 Char"/>
    <w:basedOn w:val="DefaultParagraphFont"/>
    <w:link w:val="Heading4"/>
    <w:uiPriority w:val="9"/>
    <w:rsid w:val="003C7923"/>
    <w:rPr>
      <w:rFonts w:asciiTheme="minorHAnsi" w:eastAsiaTheme="majorEastAsia" w:hAnsiTheme="minorHAnsi" w:cstheme="majorBidi"/>
      <w:i/>
      <w:iCs/>
      <w:color w:val="2D416E" w:themeColor="accent1" w:themeShade="BF"/>
      <w:sz w:val="22"/>
      <w:szCs w:val="24"/>
    </w:rPr>
  </w:style>
  <w:style w:type="character" w:styleId="IntenseEmphasis">
    <w:name w:val="Intense Emphasis"/>
    <w:basedOn w:val="DefaultParagraphFont"/>
    <w:uiPriority w:val="21"/>
    <w:qFormat/>
    <w:rsid w:val="00FB4391"/>
    <w:rPr>
      <w:i/>
      <w:iCs/>
      <w:color w:val="3C5893" w:themeColor="accent1"/>
    </w:rPr>
  </w:style>
  <w:style w:type="paragraph" w:styleId="BalloonText">
    <w:name w:val="Balloon Text"/>
    <w:basedOn w:val="Normal"/>
    <w:link w:val="BalloonTextChar"/>
    <w:uiPriority w:val="99"/>
    <w:semiHidden/>
    <w:unhideWhenUsed/>
    <w:rsid w:val="00B65C2A"/>
    <w:pPr>
      <w:spacing w:after="0" w:line="240" w:lineRule="auto"/>
    </w:pPr>
    <w:rPr>
      <w:rFonts w:ascii="Segoe UI" w:hAnsi="Segoe UI" w:cs="Segoe UI"/>
      <w:sz w:val="18"/>
      <w:szCs w:val="18"/>
    </w:rPr>
  </w:style>
  <w:style w:type="table" w:customStyle="1" w:styleId="Tables-APBase">
    <w:name w:val="Tables - AP Base"/>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paragraph" w:customStyle="1" w:styleId="TableTextNormal">
    <w:name w:val="Table Text Normal"/>
    <w:uiPriority w:val="99"/>
    <w:qFormat/>
    <w:rsid w:val="003A0704"/>
    <w:pPr>
      <w:spacing w:before="60" w:after="60" w:line="240" w:lineRule="auto"/>
    </w:pPr>
    <w:rPr>
      <w:rFonts w:ascii="Calibri" w:eastAsia="Times New Roman" w:hAnsi="Calibri" w:cs="Times New Roman"/>
      <w:sz w:val="22"/>
      <w:szCs w:val="26"/>
      <w:lang w:val="en-AU" w:eastAsia="en-AU"/>
    </w:rPr>
  </w:style>
  <w:style w:type="paragraph" w:customStyle="1" w:styleId="TableColumnHead">
    <w:name w:val="Table Column Head"/>
    <w:uiPriority w:val="99"/>
    <w:qFormat/>
    <w:rsid w:val="003A0704"/>
    <w:pPr>
      <w:spacing w:before="80" w:after="80"/>
    </w:pPr>
    <w:rPr>
      <w:rFonts w:ascii="Calibri" w:hAnsi="Calibri"/>
      <w:b/>
      <w:color w:val="FFFFFF" w:themeColor="background1"/>
      <w:sz w:val="22"/>
    </w:rPr>
  </w:style>
  <w:style w:type="paragraph" w:customStyle="1" w:styleId="TableRowHead">
    <w:name w:val="Table Row Head"/>
    <w:qFormat/>
    <w:rsid w:val="003A0704"/>
    <w:pPr>
      <w:spacing w:before="60" w:after="60" w:line="240" w:lineRule="auto"/>
    </w:pPr>
    <w:rPr>
      <w:rFonts w:asciiTheme="minorHAnsi" w:eastAsia="Times New Roman" w:hAnsiTheme="minorHAnsi" w:cs="Times New Roman"/>
      <w:b/>
      <w:sz w:val="22"/>
      <w:szCs w:val="26"/>
      <w:lang w:val="en-AU" w:eastAsia="en-AU"/>
    </w:rPr>
  </w:style>
  <w:style w:type="table" w:customStyle="1" w:styleId="Tables-APBase9">
    <w:name w:val="Tables - AP Base9"/>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table" w:customStyle="1" w:styleId="Tables-APBase10">
    <w:name w:val="Tables - AP Base10"/>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table" w:customStyle="1" w:styleId="Tables-APBase12">
    <w:name w:val="Tables - AP Base12"/>
    <w:basedOn w:val="TableNormal"/>
    <w:rsid w:val="005565B7"/>
    <w:pPr>
      <w:spacing w:after="0" w:line="240" w:lineRule="auto"/>
    </w:pPr>
    <w:rPr>
      <w:rFonts w:ascii="Verdana" w:eastAsia="Times New Roman" w:hAnsi="Verdana" w:cs="Times New Roman"/>
      <w:sz w:val="22"/>
      <w:szCs w:val="21"/>
      <w:lang w:val="en-AU" w:eastAsia="en-AU"/>
    </w:rPr>
    <w:tblPr>
      <w:tblStyleRowBandSize w:val="1"/>
      <w:tblStyleColBandSize w:val="1"/>
      <w:tblBorders>
        <w:insideH w:val="dotted" w:sz="4" w:space="0" w:color="1F2C56" w:themeColor="text2"/>
      </w:tblBorders>
    </w:tblPr>
    <w:tcPr>
      <w:shd w:val="clear" w:color="auto" w:fill="auto"/>
      <w:tcMar>
        <w:top w:w="0" w:type="dxa"/>
        <w:left w:w="108" w:type="dxa"/>
        <w:bottom w:w="0" w:type="dxa"/>
        <w:right w:w="108" w:type="dxa"/>
      </w:tcMar>
    </w:tcPr>
    <w:tblStylePr w:type="firstRow">
      <w:pPr>
        <w:jc w:val="center"/>
      </w:pPr>
      <w:rPr>
        <w:rFonts w:ascii="Adobe Devanagari" w:hAnsi="Adobe Devanagari"/>
        <w:b w:val="0"/>
        <w:color w:val="auto"/>
      </w:rPr>
      <w:tblPr/>
      <w:tcPr>
        <w:shd w:val="clear" w:color="auto" w:fill="1F2C56" w:themeFill="text2"/>
        <w:vAlign w:val="bottom"/>
      </w:tcPr>
    </w:tblStylePr>
    <w:tblStylePr w:type="lastRow">
      <w:rPr>
        <w:color w:val="auto"/>
      </w:rPr>
      <w:tblPr/>
      <w:tcPr>
        <w:tcBorders>
          <w:top w:val="nil"/>
          <w:left w:val="nil"/>
          <w:bottom w:val="nil"/>
          <w:right w:val="nil"/>
          <w:insideH w:val="nil"/>
          <w:insideV w:val="nil"/>
          <w:tl2br w:val="nil"/>
          <w:tr2bl w:val="nil"/>
        </w:tcBorders>
        <w:shd w:val="clear" w:color="auto" w:fill="auto"/>
      </w:tcPr>
    </w:tblStylePr>
    <w:tblStylePr w:type="firstCol">
      <w:rPr>
        <w:rFonts w:ascii="Adobe Devanagari" w:hAnsi="Adobe Devanagari"/>
        <w:sz w:val="22"/>
      </w:rPr>
    </w:tblStylePr>
    <w:tblStylePr w:type="nwCell">
      <w:pPr>
        <w:jc w:val="left"/>
      </w:pPr>
      <w:tblPr/>
      <w:tcPr>
        <w:vAlign w:val="bottom"/>
      </w:tcPr>
    </w:tblStylePr>
  </w:style>
  <w:style w:type="character" w:customStyle="1" w:styleId="BalloonTextChar">
    <w:name w:val="Balloon Text Char"/>
    <w:basedOn w:val="DefaultParagraphFont"/>
    <w:link w:val="BalloonText"/>
    <w:uiPriority w:val="99"/>
    <w:semiHidden/>
    <w:rsid w:val="00B65C2A"/>
    <w:rPr>
      <w:rFonts w:ascii="Segoe UI" w:hAnsi="Segoe UI" w:cs="Segoe UI"/>
      <w:sz w:val="18"/>
      <w:szCs w:val="18"/>
    </w:rPr>
  </w:style>
  <w:style w:type="character" w:styleId="SubtleEmphasis">
    <w:name w:val="Subtle Emphasis"/>
    <w:basedOn w:val="DefaultParagraphFont"/>
    <w:uiPriority w:val="19"/>
    <w:qFormat/>
    <w:rsid w:val="00AB3299"/>
    <w:rPr>
      <w:i/>
      <w:iCs/>
      <w:color w:val="404040" w:themeColor="text1" w:themeTint="BF"/>
    </w:rPr>
  </w:style>
  <w:style w:type="character" w:styleId="Emphasis">
    <w:name w:val="Emphasis"/>
    <w:basedOn w:val="DefaultParagraphFont"/>
    <w:uiPriority w:val="20"/>
    <w:qFormat/>
    <w:rsid w:val="00AB3299"/>
    <w:rPr>
      <w:i/>
      <w:iCs/>
    </w:rPr>
  </w:style>
  <w:style w:type="table" w:styleId="TableGrid">
    <w:name w:val="Table Grid"/>
    <w:basedOn w:val="TableNormal"/>
    <w:uiPriority w:val="39"/>
    <w:rsid w:val="002B5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F2A42"/>
    <w:pPr>
      <w:spacing w:before="120" w:after="120" w:line="264" w:lineRule="auto"/>
    </w:pPr>
    <w:rPr>
      <w:rFonts w:eastAsia="Times New Roman" w:cs="Times New Roman"/>
      <w:sz w:val="20"/>
      <w:lang w:val="en-AU" w:eastAsia="en-AU"/>
    </w:rPr>
  </w:style>
  <w:style w:type="character" w:customStyle="1" w:styleId="BodyTextChar">
    <w:name w:val="Body Text Char"/>
    <w:basedOn w:val="DefaultParagraphFont"/>
    <w:link w:val="BodyText"/>
    <w:uiPriority w:val="1"/>
    <w:rsid w:val="00BF2A42"/>
    <w:rPr>
      <w:rFonts w:asciiTheme="minorHAnsi" w:eastAsia="Times New Roman" w:hAnsiTheme="minorHAnsi" w:cs="Times New Roman"/>
      <w:szCs w:val="24"/>
      <w:lang w:val="en-AU" w:eastAsia="en-AU"/>
    </w:rPr>
  </w:style>
  <w:style w:type="paragraph" w:styleId="ListParagraph0">
    <w:name w:val="List Paragraph"/>
    <w:basedOn w:val="Normal"/>
    <w:link w:val="ListParagraphChar"/>
    <w:uiPriority w:val="34"/>
    <w:qFormat/>
    <w:rsid w:val="00BF2A42"/>
    <w:pPr>
      <w:numPr>
        <w:numId w:val="2"/>
      </w:numPr>
      <w:spacing w:after="120" w:line="264" w:lineRule="auto"/>
    </w:pPr>
    <w:rPr>
      <w:rFonts w:eastAsia="Times New Roman" w:cs="Times New Roman"/>
      <w:sz w:val="20"/>
      <w:lang w:val="en-AU" w:eastAsia="en-AU"/>
    </w:rPr>
  </w:style>
  <w:style w:type="numbering" w:customStyle="1" w:styleId="ListParagraph">
    <w:name w:val="List_Paragraph"/>
    <w:uiPriority w:val="99"/>
    <w:rsid w:val="00BF2A42"/>
    <w:pPr>
      <w:numPr>
        <w:numId w:val="1"/>
      </w:numPr>
    </w:pPr>
  </w:style>
  <w:style w:type="paragraph" w:styleId="ListBullet2">
    <w:name w:val="List Bullet 2"/>
    <w:basedOn w:val="ListBullet"/>
    <w:uiPriority w:val="20"/>
    <w:rsid w:val="00BF2A42"/>
    <w:pPr>
      <w:numPr>
        <w:ilvl w:val="1"/>
      </w:numPr>
    </w:pPr>
  </w:style>
  <w:style w:type="paragraph" w:styleId="ListBullet3">
    <w:name w:val="List Bullet 3"/>
    <w:basedOn w:val="ListBullet"/>
    <w:uiPriority w:val="20"/>
    <w:rsid w:val="00BF2A42"/>
    <w:pPr>
      <w:numPr>
        <w:ilvl w:val="2"/>
      </w:numPr>
    </w:pPr>
  </w:style>
  <w:style w:type="paragraph" w:styleId="ListBullet4">
    <w:name w:val="List Bullet 4"/>
    <w:basedOn w:val="ListBullet"/>
    <w:uiPriority w:val="20"/>
    <w:rsid w:val="00BF2A42"/>
    <w:pPr>
      <w:numPr>
        <w:ilvl w:val="3"/>
      </w:numPr>
    </w:pPr>
  </w:style>
  <w:style w:type="paragraph" w:customStyle="1" w:styleId="ListParagraph2">
    <w:name w:val="List Paragraph 2"/>
    <w:basedOn w:val="ListParagraph0"/>
    <w:uiPriority w:val="19"/>
    <w:semiHidden/>
    <w:rsid w:val="00BF2A42"/>
    <w:pPr>
      <w:numPr>
        <w:ilvl w:val="1"/>
      </w:numPr>
      <w:tabs>
        <w:tab w:val="num" w:pos="360"/>
      </w:tabs>
    </w:pPr>
  </w:style>
  <w:style w:type="paragraph" w:customStyle="1" w:styleId="ListParagraph3">
    <w:name w:val="List Paragraph 3"/>
    <w:basedOn w:val="ListParagraph0"/>
    <w:uiPriority w:val="19"/>
    <w:semiHidden/>
    <w:rsid w:val="00BF2A42"/>
    <w:pPr>
      <w:numPr>
        <w:ilvl w:val="2"/>
      </w:numPr>
      <w:tabs>
        <w:tab w:val="num" w:pos="360"/>
      </w:tabs>
    </w:pPr>
  </w:style>
  <w:style w:type="paragraph" w:customStyle="1" w:styleId="ListParagraph4">
    <w:name w:val="List Paragraph 4"/>
    <w:basedOn w:val="ListParagraph0"/>
    <w:uiPriority w:val="19"/>
    <w:semiHidden/>
    <w:rsid w:val="00BF2A42"/>
    <w:pPr>
      <w:numPr>
        <w:ilvl w:val="3"/>
      </w:numPr>
      <w:tabs>
        <w:tab w:val="num" w:pos="360"/>
      </w:tabs>
    </w:pPr>
  </w:style>
  <w:style w:type="paragraph" w:customStyle="1" w:styleId="ListParagraph5">
    <w:name w:val="List Paragraph 5"/>
    <w:basedOn w:val="ListParagraph0"/>
    <w:uiPriority w:val="19"/>
    <w:semiHidden/>
    <w:rsid w:val="00BF2A42"/>
    <w:pPr>
      <w:numPr>
        <w:ilvl w:val="4"/>
      </w:numPr>
      <w:tabs>
        <w:tab w:val="num" w:pos="360"/>
      </w:tabs>
    </w:pPr>
  </w:style>
  <w:style w:type="paragraph" w:customStyle="1" w:styleId="ListParagraph6">
    <w:name w:val="List Paragraph 6"/>
    <w:basedOn w:val="ListParagraph0"/>
    <w:uiPriority w:val="19"/>
    <w:semiHidden/>
    <w:rsid w:val="00BF2A42"/>
    <w:pPr>
      <w:numPr>
        <w:ilvl w:val="5"/>
      </w:numPr>
      <w:tabs>
        <w:tab w:val="num" w:pos="360"/>
      </w:tabs>
    </w:pPr>
  </w:style>
  <w:style w:type="character" w:customStyle="1" w:styleId="ListParagraphChar">
    <w:name w:val="List Paragraph Char"/>
    <w:basedOn w:val="DefaultParagraphFont"/>
    <w:link w:val="ListParagraph0"/>
    <w:uiPriority w:val="34"/>
    <w:locked/>
    <w:rsid w:val="00BF2A42"/>
    <w:rPr>
      <w:rFonts w:asciiTheme="minorHAnsi" w:eastAsia="Times New Roman" w:hAnsiTheme="minorHAnsi" w:cs="Times New Roman"/>
      <w:szCs w:val="24"/>
      <w:lang w:val="en-AU" w:eastAsia="en-AU"/>
    </w:rPr>
  </w:style>
  <w:style w:type="paragraph" w:styleId="ListBullet">
    <w:name w:val="List Bullet"/>
    <w:basedOn w:val="Normal"/>
    <w:uiPriority w:val="20"/>
    <w:qFormat/>
    <w:rsid w:val="00BF2A42"/>
    <w:pPr>
      <w:spacing w:before="120" w:after="120" w:line="264" w:lineRule="auto"/>
    </w:pPr>
    <w:rPr>
      <w:sz w:val="20"/>
      <w:szCs w:val="22"/>
      <w:lang w:val="en-AU"/>
    </w:rPr>
  </w:style>
  <w:style w:type="paragraph" w:styleId="ListBullet5">
    <w:name w:val="List Bullet 5"/>
    <w:basedOn w:val="Normal"/>
    <w:uiPriority w:val="20"/>
    <w:rsid w:val="00BF2A42"/>
    <w:pPr>
      <w:numPr>
        <w:numId w:val="4"/>
      </w:numPr>
      <w:spacing w:after="0" w:line="240" w:lineRule="auto"/>
      <w:contextualSpacing/>
    </w:pPr>
    <w:rPr>
      <w:sz w:val="20"/>
      <w:szCs w:val="22"/>
      <w:lang w:val="en-AU"/>
    </w:rPr>
  </w:style>
  <w:style w:type="paragraph" w:styleId="ListNumber">
    <w:name w:val="List Number"/>
    <w:basedOn w:val="ListBullet"/>
    <w:uiPriority w:val="21"/>
    <w:qFormat/>
    <w:rsid w:val="00BF2A42"/>
    <w:pPr>
      <w:numPr>
        <w:numId w:val="5"/>
      </w:numPr>
    </w:pPr>
  </w:style>
  <w:style w:type="paragraph" w:styleId="ListNumber2">
    <w:name w:val="List Number 2"/>
    <w:basedOn w:val="ListBullet2"/>
    <w:uiPriority w:val="21"/>
    <w:rsid w:val="00BF2A42"/>
    <w:pPr>
      <w:numPr>
        <w:numId w:val="5"/>
      </w:numPr>
    </w:pPr>
  </w:style>
  <w:style w:type="paragraph" w:styleId="ListNumber3">
    <w:name w:val="List Number 3"/>
    <w:basedOn w:val="ListBullet3"/>
    <w:uiPriority w:val="21"/>
    <w:rsid w:val="00BF2A42"/>
    <w:pPr>
      <w:numPr>
        <w:numId w:val="5"/>
      </w:numPr>
    </w:pPr>
  </w:style>
  <w:style w:type="paragraph" w:styleId="ListNumber4">
    <w:name w:val="List Number 4"/>
    <w:basedOn w:val="ListNumber"/>
    <w:uiPriority w:val="21"/>
    <w:rsid w:val="00BF2A42"/>
    <w:pPr>
      <w:numPr>
        <w:ilvl w:val="3"/>
      </w:numPr>
    </w:pPr>
  </w:style>
  <w:style w:type="paragraph" w:customStyle="1" w:styleId="ListAlpha">
    <w:name w:val="List Alpha"/>
    <w:basedOn w:val="Normal"/>
    <w:uiPriority w:val="22"/>
    <w:qFormat/>
    <w:rsid w:val="00BF2A42"/>
    <w:pPr>
      <w:numPr>
        <w:numId w:val="7"/>
      </w:numPr>
      <w:spacing w:after="120" w:line="264" w:lineRule="auto"/>
    </w:pPr>
    <w:rPr>
      <w:rFonts w:eastAsia="Times New Roman" w:cs="Times New Roman"/>
      <w:sz w:val="20"/>
      <w:lang w:val="en-AU" w:eastAsia="en-AU"/>
    </w:rPr>
  </w:style>
  <w:style w:type="paragraph" w:customStyle="1" w:styleId="ListAlpha4">
    <w:name w:val="List Alpha 4"/>
    <w:basedOn w:val="ListAlpha3"/>
    <w:uiPriority w:val="22"/>
    <w:rsid w:val="00BF2A42"/>
    <w:pPr>
      <w:numPr>
        <w:ilvl w:val="3"/>
      </w:numPr>
    </w:pPr>
  </w:style>
  <w:style w:type="paragraph" w:customStyle="1" w:styleId="ListAlpha5">
    <w:name w:val="List Alpha 5"/>
    <w:basedOn w:val="ListAlpha4"/>
    <w:uiPriority w:val="22"/>
    <w:rsid w:val="00BF2A42"/>
    <w:pPr>
      <w:numPr>
        <w:ilvl w:val="4"/>
      </w:numPr>
    </w:pPr>
  </w:style>
  <w:style w:type="paragraph" w:customStyle="1" w:styleId="ListAlpha3">
    <w:name w:val="List Alpha 3"/>
    <w:basedOn w:val="ListAlpha2"/>
    <w:uiPriority w:val="22"/>
    <w:rsid w:val="00BF2A42"/>
    <w:pPr>
      <w:numPr>
        <w:ilvl w:val="2"/>
      </w:numPr>
    </w:pPr>
  </w:style>
  <w:style w:type="paragraph" w:customStyle="1" w:styleId="ListAlpha2">
    <w:name w:val="List Alpha 2"/>
    <w:basedOn w:val="ListAlpha"/>
    <w:uiPriority w:val="22"/>
    <w:qFormat/>
    <w:rsid w:val="00BF2A42"/>
    <w:pPr>
      <w:numPr>
        <w:ilvl w:val="1"/>
        <w:numId w:val="6"/>
      </w:numPr>
    </w:pPr>
  </w:style>
  <w:style w:type="character" w:customStyle="1" w:styleId="Heading5Char">
    <w:name w:val="Heading 5 Char"/>
    <w:basedOn w:val="DefaultParagraphFont"/>
    <w:link w:val="Heading5"/>
    <w:uiPriority w:val="9"/>
    <w:rsid w:val="00BF2A42"/>
    <w:rPr>
      <w:rFonts w:asciiTheme="majorHAnsi" w:eastAsiaTheme="majorEastAsia" w:hAnsiTheme="majorHAnsi" w:cstheme="majorBidi"/>
      <w:color w:val="2D416E" w:themeColor="accent1" w:themeShade="BF"/>
      <w:sz w:val="22"/>
      <w:szCs w:val="24"/>
    </w:rPr>
  </w:style>
  <w:style w:type="paragraph" w:styleId="Quote">
    <w:name w:val="Quote"/>
    <w:basedOn w:val="Normal"/>
    <w:next w:val="Normal"/>
    <w:link w:val="QuoteChar"/>
    <w:uiPriority w:val="83"/>
    <w:qFormat/>
    <w:rsid w:val="00BF2A42"/>
    <w:pPr>
      <w:spacing w:before="240" w:line="264" w:lineRule="auto"/>
    </w:pPr>
    <w:rPr>
      <w:rFonts w:ascii="Arial" w:eastAsia="Arial" w:hAnsi="Arial" w:cs="Times New Roman"/>
      <w:color w:val="3C5893" w:themeColor="accent1"/>
      <w:sz w:val="40"/>
      <w:szCs w:val="40"/>
      <w:lang w:val="en-AU"/>
    </w:rPr>
  </w:style>
  <w:style w:type="character" w:customStyle="1" w:styleId="QuoteChar">
    <w:name w:val="Quote Char"/>
    <w:basedOn w:val="DefaultParagraphFont"/>
    <w:link w:val="Quote"/>
    <w:uiPriority w:val="83"/>
    <w:rsid w:val="00BF2A42"/>
    <w:rPr>
      <w:rFonts w:ascii="Arial" w:eastAsia="Arial" w:hAnsi="Arial" w:cs="Times New Roman"/>
      <w:color w:val="3C5893" w:themeColor="accent1"/>
      <w:sz w:val="40"/>
      <w:szCs w:val="40"/>
      <w:lang w:val="en-AU"/>
    </w:rPr>
  </w:style>
  <w:style w:type="table" w:customStyle="1" w:styleId="HomeAffairsTable">
    <w:name w:val="Home Affairs Table"/>
    <w:basedOn w:val="TableNormal"/>
    <w:uiPriority w:val="99"/>
    <w:rsid w:val="00BF2A42"/>
    <w:pPr>
      <w:spacing w:before="120" w:after="120" w:line="240" w:lineRule="auto"/>
    </w:pPr>
    <w:rPr>
      <w:rFonts w:asciiTheme="minorHAnsi" w:hAnsiTheme="minorHAnsi"/>
      <w:color w:val="000000" w:themeColor="text1"/>
      <w:szCs w:val="20"/>
      <w:lang w:val="en-AU"/>
    </w:rPr>
    <w:tblPr>
      <w:tblStyleRowBandSize w:val="1"/>
      <w:tblStyleColBandSize w:val="1"/>
      <w:tblBorders>
        <w:top w:val="single" w:sz="8" w:space="0" w:color="FFFFFF" w:themeColor="background1"/>
        <w:bottom w:val="single" w:sz="8" w:space="0" w:color="FFFFFF" w:themeColor="background1"/>
        <w:insideH w:val="single" w:sz="8" w:space="0" w:color="FFFFFF" w:themeColor="background1"/>
      </w:tblBorders>
      <w:tblCellMar>
        <w:left w:w="85" w:type="dxa"/>
        <w:right w:w="85" w:type="dxa"/>
      </w:tblCellMar>
    </w:tblPr>
    <w:tcPr>
      <w:shd w:val="clear" w:color="auto" w:fill="CCCCCC" w:themeFill="text1" w:themeFillTint="33"/>
      <w:vAlign w:val="center"/>
    </w:tcPr>
    <w:tblStylePr w:type="firstRow">
      <w:pPr>
        <w:keepNext/>
        <w:wordWrap/>
        <w:spacing w:beforeLines="0" w:before="120" w:beforeAutospacing="0" w:afterLines="0" w:after="120" w:afterAutospacing="0" w:line="240" w:lineRule="auto"/>
        <w:contextualSpacing w:val="0"/>
        <w:jc w:val="left"/>
      </w:pPr>
      <w:rPr>
        <w:rFonts w:asciiTheme="majorHAnsi" w:hAnsiTheme="majorHAnsi"/>
        <w:b/>
        <w:i w:val="0"/>
        <w:caps w:val="0"/>
        <w:smallCaps w:val="0"/>
        <w:strike w:val="0"/>
        <w:dstrike w:val="0"/>
        <w:vanish w:val="0"/>
        <w:color w:val="FFFFFF" w:themeColor="background1"/>
        <w:spacing w:val="0"/>
        <w:w w:val="100"/>
        <w:position w:val="0"/>
        <w:sz w:val="20"/>
        <w:vertAlign w:val="baseline"/>
      </w:rPr>
      <w:tblPr/>
      <w:trPr>
        <w:tblHeader/>
      </w:trPr>
      <w:tcPr>
        <w:shd w:val="clear" w:color="auto" w:fill="3C5893" w:themeFill="accent1"/>
      </w:tcPr>
    </w:tblStylePr>
    <w:tblStylePr w:type="firstCol">
      <w:pPr>
        <w:wordWrap/>
        <w:spacing w:beforeLines="0" w:before="120" w:beforeAutospacing="0" w:afterLines="0" w:after="120" w:afterAutospacing="0" w:line="240" w:lineRule="auto"/>
        <w:ind w:leftChars="0" w:left="0" w:rightChars="0" w:right="0"/>
        <w:jc w:val="left"/>
      </w:pPr>
      <w:rPr>
        <w:rFonts w:ascii="Calibri" w:hAnsi="Calibri"/>
        <w:b/>
        <w:i w:val="0"/>
        <w:color w:val="000000" w:themeColor="text1"/>
      </w:rPr>
    </w:tblStylePr>
    <w:tblStylePr w:type="band1Horz">
      <w:rPr>
        <w:rFonts w:ascii="Calibri" w:hAnsi="Calibri"/>
        <w:b w:val="0"/>
        <w:i w:val="0"/>
        <w:color w:val="000000" w:themeColor="text1"/>
        <w:sz w:val="20"/>
      </w:rPr>
      <w:tblPr/>
      <w:tcPr>
        <w:shd w:val="clear" w:color="auto" w:fill="FFFFFF" w:themeFill="background1"/>
      </w:tcPr>
    </w:tblStylePr>
    <w:tblStylePr w:type="band2Horz">
      <w:rPr>
        <w:rFonts w:ascii="Calibri" w:hAnsi="Calibri"/>
        <w:b w:val="0"/>
        <w:color w:val="000000" w:themeColor="text1"/>
        <w:sz w:val="20"/>
      </w:rPr>
      <w:tblPr/>
      <w:tcPr>
        <w:shd w:val="clear" w:color="auto" w:fill="F2F2F2" w:themeFill="background1" w:themeFillShade="F2"/>
      </w:tcPr>
    </w:tblStylePr>
  </w:style>
  <w:style w:type="paragraph" w:customStyle="1" w:styleId="TableHeading">
    <w:name w:val="Table Heading"/>
    <w:basedOn w:val="Normal"/>
    <w:next w:val="BodyText"/>
    <w:uiPriority w:val="12"/>
    <w:qFormat/>
    <w:rsid w:val="00BF2A42"/>
    <w:pPr>
      <w:spacing w:before="120" w:after="120" w:line="240" w:lineRule="auto"/>
    </w:pPr>
    <w:rPr>
      <w:b/>
      <w:sz w:val="20"/>
      <w:szCs w:val="22"/>
      <w:lang w:val="en-AU"/>
    </w:rPr>
  </w:style>
  <w:style w:type="paragraph" w:styleId="Caption">
    <w:name w:val="caption"/>
    <w:basedOn w:val="Normal"/>
    <w:next w:val="Normal"/>
    <w:uiPriority w:val="12"/>
    <w:qFormat/>
    <w:rsid w:val="00BF2A42"/>
    <w:pPr>
      <w:keepNext/>
      <w:tabs>
        <w:tab w:val="left" w:pos="1134"/>
      </w:tabs>
      <w:spacing w:before="120" w:after="240" w:line="264" w:lineRule="auto"/>
      <w:ind w:left="1134" w:hanging="1134"/>
    </w:pPr>
    <w:rPr>
      <w:b/>
      <w:i/>
      <w:sz w:val="18"/>
      <w:szCs w:val="18"/>
      <w:lang w:val="en-AU"/>
    </w:rPr>
  </w:style>
  <w:style w:type="paragraph" w:customStyle="1" w:styleId="Tablebody">
    <w:name w:val="Table body"/>
    <w:basedOn w:val="Normal"/>
    <w:uiPriority w:val="12"/>
    <w:qFormat/>
    <w:rsid w:val="00BF2A42"/>
    <w:pPr>
      <w:spacing w:before="120" w:after="120" w:line="240" w:lineRule="auto"/>
    </w:pPr>
    <w:rPr>
      <w:rFonts w:eastAsia="MS Mincho" w:cs="Times New Roman"/>
      <w:color w:val="000000" w:themeColor="text1"/>
      <w:sz w:val="20"/>
      <w:szCs w:val="20"/>
    </w:rPr>
  </w:style>
  <w:style w:type="paragraph" w:customStyle="1" w:styleId="Heading1numbered">
    <w:name w:val="Heading 1 (numbered)"/>
    <w:basedOn w:val="Heading1"/>
    <w:next w:val="BodyText"/>
    <w:uiPriority w:val="3"/>
    <w:qFormat/>
    <w:rsid w:val="00BF2A42"/>
    <w:pPr>
      <w:numPr>
        <w:numId w:val="8"/>
      </w:numPr>
      <w:spacing w:before="120" w:after="240" w:line="264" w:lineRule="auto"/>
    </w:pPr>
    <w:rPr>
      <w:rFonts w:asciiTheme="majorHAnsi" w:hAnsiTheme="majorHAnsi"/>
      <w:noProof/>
      <w:color w:val="000000" w:themeColor="text1"/>
      <w:sz w:val="40"/>
      <w:szCs w:val="40"/>
      <w:lang w:val="en-AU"/>
    </w:rPr>
  </w:style>
  <w:style w:type="paragraph" w:customStyle="1" w:styleId="Heading2numbered">
    <w:name w:val="Heading 2 (numbered)"/>
    <w:basedOn w:val="Heading2"/>
    <w:next w:val="BodyText"/>
    <w:uiPriority w:val="3"/>
    <w:qFormat/>
    <w:rsid w:val="00BF2A42"/>
    <w:pPr>
      <w:keepLines w:val="0"/>
      <w:numPr>
        <w:ilvl w:val="1"/>
        <w:numId w:val="8"/>
      </w:numPr>
      <w:spacing w:before="360" w:after="240" w:line="264" w:lineRule="auto"/>
    </w:pPr>
    <w:rPr>
      <w:rFonts w:asciiTheme="majorHAnsi" w:eastAsiaTheme="minorHAnsi" w:hAnsiTheme="majorHAnsi" w:cstheme="minorBidi"/>
      <w:noProof/>
      <w:color w:val="000000" w:themeColor="text1"/>
      <w:sz w:val="28"/>
      <w:szCs w:val="28"/>
      <w:lang w:val="en-AU"/>
    </w:rPr>
  </w:style>
  <w:style w:type="paragraph" w:customStyle="1" w:styleId="Heading3numbered">
    <w:name w:val="Heading 3 (numbered)"/>
    <w:basedOn w:val="Heading3"/>
    <w:next w:val="BodyText"/>
    <w:uiPriority w:val="3"/>
    <w:qFormat/>
    <w:rsid w:val="00BF2A42"/>
    <w:pPr>
      <w:keepLines w:val="0"/>
      <w:numPr>
        <w:ilvl w:val="2"/>
        <w:numId w:val="8"/>
      </w:numPr>
      <w:spacing w:before="240" w:after="120" w:line="264" w:lineRule="auto"/>
    </w:pPr>
    <w:rPr>
      <w:rFonts w:asciiTheme="majorHAnsi" w:eastAsiaTheme="minorHAnsi" w:hAnsiTheme="majorHAnsi" w:cstheme="minorBidi"/>
      <w:b w:val="0"/>
      <w:caps w:val="0"/>
      <w:sz w:val="24"/>
      <w:szCs w:val="20"/>
      <w:lang w:val="en-AU"/>
    </w:rPr>
  </w:style>
  <w:style w:type="paragraph" w:customStyle="1" w:styleId="Heading4numbered">
    <w:name w:val="Heading 4 (numbered)"/>
    <w:basedOn w:val="Heading4"/>
    <w:next w:val="BodyText"/>
    <w:uiPriority w:val="3"/>
    <w:qFormat/>
    <w:rsid w:val="00BF2A42"/>
    <w:pPr>
      <w:keepLines w:val="0"/>
      <w:numPr>
        <w:ilvl w:val="3"/>
        <w:numId w:val="8"/>
      </w:numPr>
      <w:spacing w:before="240" w:after="120" w:line="264" w:lineRule="auto"/>
    </w:pPr>
    <w:rPr>
      <w:rFonts w:asciiTheme="majorHAnsi" w:eastAsiaTheme="minorHAnsi" w:hAnsiTheme="majorHAnsi" w:cstheme="minorBidi"/>
      <w:i w:val="0"/>
      <w:iCs w:val="0"/>
      <w:color w:val="000000" w:themeColor="text1"/>
      <w:sz w:val="20"/>
      <w:szCs w:val="20"/>
      <w:lang w:val="en-AU"/>
    </w:rPr>
  </w:style>
  <w:style w:type="paragraph" w:customStyle="1" w:styleId="Heading5numbered">
    <w:name w:val="Heading 5 (numbered)"/>
    <w:basedOn w:val="Heading5"/>
    <w:next w:val="BodyText"/>
    <w:uiPriority w:val="3"/>
    <w:qFormat/>
    <w:rsid w:val="00BF2A42"/>
    <w:pPr>
      <w:keepLines w:val="0"/>
      <w:numPr>
        <w:ilvl w:val="4"/>
        <w:numId w:val="8"/>
      </w:numPr>
      <w:spacing w:before="240" w:after="120" w:line="264" w:lineRule="auto"/>
    </w:pPr>
    <w:rPr>
      <w:rFonts w:asciiTheme="minorHAnsi" w:eastAsiaTheme="minorHAnsi" w:hAnsiTheme="minorHAnsi" w:cstheme="minorBidi"/>
      <w:b/>
      <w:i/>
      <w:color w:val="000000" w:themeColor="text1"/>
      <w:sz w:val="20"/>
      <w:szCs w:val="20"/>
      <w:lang w:val="en-AU"/>
    </w:rPr>
  </w:style>
  <w:style w:type="paragraph" w:styleId="FootnoteText">
    <w:name w:val="footnote text"/>
    <w:basedOn w:val="Normal"/>
    <w:link w:val="FootnoteTextChar"/>
    <w:uiPriority w:val="99"/>
    <w:semiHidden/>
    <w:unhideWhenUsed/>
    <w:rsid w:val="00BF2A42"/>
    <w:pPr>
      <w:spacing w:after="0" w:line="240" w:lineRule="auto"/>
    </w:pPr>
    <w:rPr>
      <w:color w:val="A5A5A5" w:themeColor="accent3"/>
      <w:sz w:val="16"/>
      <w:szCs w:val="20"/>
      <w:lang w:val="en-AU"/>
    </w:rPr>
  </w:style>
  <w:style w:type="character" w:customStyle="1" w:styleId="FootnoteTextChar">
    <w:name w:val="Footnote Text Char"/>
    <w:basedOn w:val="DefaultParagraphFont"/>
    <w:link w:val="FootnoteText"/>
    <w:uiPriority w:val="99"/>
    <w:semiHidden/>
    <w:rsid w:val="00BF2A42"/>
    <w:rPr>
      <w:rFonts w:asciiTheme="minorHAnsi" w:hAnsiTheme="minorHAnsi"/>
      <w:color w:val="A5A5A5" w:themeColor="accent3"/>
      <w:sz w:val="16"/>
      <w:szCs w:val="20"/>
      <w:lang w:val="en-AU"/>
    </w:rPr>
  </w:style>
  <w:style w:type="character" w:styleId="FootnoteReference">
    <w:name w:val="footnote reference"/>
    <w:basedOn w:val="DefaultParagraphFont"/>
    <w:uiPriority w:val="99"/>
    <w:semiHidden/>
    <w:unhideWhenUsed/>
    <w:rsid w:val="00BF2A42"/>
    <w:rPr>
      <w:vertAlign w:val="superscript"/>
    </w:rPr>
  </w:style>
  <w:style w:type="paragraph" w:styleId="Subtitle">
    <w:name w:val="Subtitle"/>
    <w:basedOn w:val="Normal"/>
    <w:next w:val="Normal"/>
    <w:link w:val="SubtitleChar"/>
    <w:qFormat/>
    <w:rsid w:val="007D3649"/>
    <w:pPr>
      <w:numPr>
        <w:ilvl w:val="1"/>
      </w:numPr>
    </w:pPr>
    <w:rPr>
      <w:rFonts w:eastAsiaTheme="minorEastAsia"/>
      <w:color w:val="5A5A5A" w:themeColor="text1" w:themeTint="A5"/>
      <w:spacing w:val="15"/>
      <w:szCs w:val="22"/>
    </w:rPr>
  </w:style>
  <w:style w:type="character" w:customStyle="1" w:styleId="SubtitleChar">
    <w:name w:val="Subtitle Char"/>
    <w:basedOn w:val="DefaultParagraphFont"/>
    <w:link w:val="Subtitle"/>
    <w:rsid w:val="007D3649"/>
    <w:rPr>
      <w:rFonts w:asciiTheme="minorHAnsi" w:eastAsiaTheme="minorEastAsia" w:hAnsiTheme="minorHAnsi"/>
      <w:color w:val="5A5A5A" w:themeColor="text1" w:themeTint="A5"/>
      <w:spacing w:val="15"/>
      <w:sz w:val="22"/>
    </w:rPr>
  </w:style>
  <w:style w:type="paragraph" w:styleId="TOCHeading">
    <w:name w:val="TOC Heading"/>
    <w:basedOn w:val="Heading1"/>
    <w:next w:val="Normal"/>
    <w:uiPriority w:val="39"/>
    <w:unhideWhenUsed/>
    <w:qFormat/>
    <w:rsid w:val="003D6F49"/>
    <w:pPr>
      <w:keepLines/>
      <w:spacing w:before="240" w:after="0"/>
      <w:outlineLvl w:val="9"/>
    </w:pPr>
    <w:rPr>
      <w:rFonts w:asciiTheme="majorHAnsi" w:eastAsiaTheme="majorEastAsia" w:hAnsiTheme="majorHAnsi" w:cstheme="majorBidi"/>
      <w:b w:val="0"/>
      <w:sz w:val="32"/>
      <w:szCs w:val="32"/>
    </w:rPr>
  </w:style>
  <w:style w:type="paragraph" w:styleId="TOC1">
    <w:name w:val="toc 1"/>
    <w:basedOn w:val="Normal"/>
    <w:next w:val="Normal"/>
    <w:autoRedefine/>
    <w:uiPriority w:val="39"/>
    <w:unhideWhenUsed/>
    <w:rsid w:val="003D6F49"/>
    <w:pPr>
      <w:spacing w:after="100"/>
    </w:pPr>
  </w:style>
  <w:style w:type="paragraph" w:styleId="TOC2">
    <w:name w:val="toc 2"/>
    <w:basedOn w:val="Normal"/>
    <w:next w:val="Normal"/>
    <w:autoRedefine/>
    <w:uiPriority w:val="39"/>
    <w:unhideWhenUsed/>
    <w:rsid w:val="003D6F49"/>
    <w:pPr>
      <w:spacing w:after="100"/>
      <w:ind w:left="220"/>
    </w:pPr>
  </w:style>
  <w:style w:type="paragraph" w:styleId="TOC3">
    <w:name w:val="toc 3"/>
    <w:basedOn w:val="Normal"/>
    <w:next w:val="Normal"/>
    <w:autoRedefine/>
    <w:uiPriority w:val="39"/>
    <w:unhideWhenUsed/>
    <w:rsid w:val="00BA7D7C"/>
    <w:pPr>
      <w:tabs>
        <w:tab w:val="right" w:leader="dot" w:pos="9629"/>
      </w:tabs>
      <w:spacing w:after="100"/>
      <w:ind w:left="220"/>
    </w:pPr>
  </w:style>
  <w:style w:type="character" w:styleId="Hyperlink">
    <w:name w:val="Hyperlink"/>
    <w:basedOn w:val="DefaultParagraphFont"/>
    <w:uiPriority w:val="99"/>
    <w:unhideWhenUsed/>
    <w:rsid w:val="003D6F49"/>
    <w:rPr>
      <w:color w:val="5773B1" w:themeColor="hyperlink"/>
      <w:u w:val="single"/>
    </w:rPr>
  </w:style>
  <w:style w:type="paragraph" w:customStyle="1" w:styleId="Bodytexttitlepage">
    <w:name w:val="Body text title page"/>
    <w:basedOn w:val="Normal"/>
    <w:rsid w:val="003D6F49"/>
    <w:pPr>
      <w:keepLines/>
      <w:widowControl w:val="0"/>
      <w:spacing w:after="60" w:line="240" w:lineRule="auto"/>
      <w:jc w:val="right"/>
    </w:pPr>
    <w:rPr>
      <w:rFonts w:ascii="Arial" w:eastAsia="Times New Roman" w:hAnsi="Arial" w:cs="Times New Roman"/>
      <w:sz w:val="20"/>
      <w:szCs w:val="20"/>
      <w:lang w:val="en-AU" w:eastAsia="zh-CN"/>
    </w:rPr>
  </w:style>
  <w:style w:type="character" w:customStyle="1" w:styleId="TabletextChar">
    <w:name w:val="Table text Char"/>
    <w:basedOn w:val="DefaultParagraphFont"/>
    <w:link w:val="Tabletext"/>
    <w:locked/>
    <w:rsid w:val="003D6F49"/>
    <w:rPr>
      <w:rFonts w:ascii="Arial" w:hAnsi="Arial" w:cs="Arial"/>
      <w:color w:val="000000"/>
      <w:szCs w:val="18"/>
      <w:lang w:eastAsia="zh-CN"/>
    </w:rPr>
  </w:style>
  <w:style w:type="paragraph" w:customStyle="1" w:styleId="Tabletext">
    <w:name w:val="Table text"/>
    <w:link w:val="TabletextChar"/>
    <w:rsid w:val="003D6F49"/>
    <w:pPr>
      <w:widowControl w:val="0"/>
      <w:tabs>
        <w:tab w:val="decimal" w:pos="0"/>
      </w:tabs>
      <w:spacing w:before="60" w:after="60" w:line="240" w:lineRule="auto"/>
    </w:pPr>
    <w:rPr>
      <w:rFonts w:ascii="Arial" w:hAnsi="Arial" w:cs="Arial"/>
      <w:color w:val="000000"/>
      <w:szCs w:val="18"/>
      <w:lang w:eastAsia="zh-CN"/>
    </w:rPr>
  </w:style>
  <w:style w:type="paragraph" w:customStyle="1" w:styleId="Tableheading0">
    <w:name w:val="Table heading"/>
    <w:basedOn w:val="Tabletext"/>
    <w:rsid w:val="003D6F49"/>
    <w:rPr>
      <w:b/>
      <w:bCs/>
    </w:rPr>
  </w:style>
  <w:style w:type="character" w:styleId="CommentReference">
    <w:name w:val="annotation reference"/>
    <w:basedOn w:val="DefaultParagraphFont"/>
    <w:uiPriority w:val="99"/>
    <w:semiHidden/>
    <w:unhideWhenUsed/>
    <w:rsid w:val="00FA20C7"/>
    <w:rPr>
      <w:sz w:val="16"/>
      <w:szCs w:val="16"/>
    </w:rPr>
  </w:style>
  <w:style w:type="paragraph" w:styleId="CommentText">
    <w:name w:val="annotation text"/>
    <w:basedOn w:val="Normal"/>
    <w:link w:val="CommentTextChar"/>
    <w:uiPriority w:val="99"/>
    <w:semiHidden/>
    <w:unhideWhenUsed/>
    <w:rsid w:val="00FA20C7"/>
    <w:pPr>
      <w:spacing w:line="240" w:lineRule="auto"/>
    </w:pPr>
    <w:rPr>
      <w:sz w:val="20"/>
      <w:szCs w:val="20"/>
    </w:rPr>
  </w:style>
  <w:style w:type="character" w:customStyle="1" w:styleId="CommentTextChar">
    <w:name w:val="Comment Text Char"/>
    <w:basedOn w:val="DefaultParagraphFont"/>
    <w:link w:val="CommentText"/>
    <w:uiPriority w:val="99"/>
    <w:semiHidden/>
    <w:rsid w:val="00FA20C7"/>
    <w:rPr>
      <w:rFonts w:asciiTheme="minorHAnsi" w:hAnsiTheme="minorHAnsi"/>
      <w:szCs w:val="20"/>
    </w:rPr>
  </w:style>
  <w:style w:type="paragraph" w:styleId="CommentSubject">
    <w:name w:val="annotation subject"/>
    <w:basedOn w:val="CommentText"/>
    <w:next w:val="CommentText"/>
    <w:link w:val="CommentSubjectChar"/>
    <w:uiPriority w:val="99"/>
    <w:semiHidden/>
    <w:unhideWhenUsed/>
    <w:rsid w:val="00FA20C7"/>
    <w:rPr>
      <w:b/>
      <w:bCs/>
    </w:rPr>
  </w:style>
  <w:style w:type="character" w:customStyle="1" w:styleId="CommentSubjectChar">
    <w:name w:val="Comment Subject Char"/>
    <w:basedOn w:val="CommentTextChar"/>
    <w:link w:val="CommentSubject"/>
    <w:uiPriority w:val="99"/>
    <w:semiHidden/>
    <w:rsid w:val="00FA20C7"/>
    <w:rPr>
      <w:rFonts w:asciiTheme="minorHAnsi" w:hAnsiTheme="minorHAnsi"/>
      <w:b/>
      <w:bCs/>
      <w:szCs w:val="20"/>
    </w:rPr>
  </w:style>
  <w:style w:type="table" w:customStyle="1" w:styleId="TableGrid2">
    <w:name w:val="Table Grid2"/>
    <w:basedOn w:val="TableNormal"/>
    <w:next w:val="TableGrid"/>
    <w:uiPriority w:val="39"/>
    <w:rsid w:val="00CD2DBD"/>
    <w:pPr>
      <w:spacing w:after="0" w:line="240" w:lineRule="auto"/>
    </w:pPr>
    <w:rPr>
      <w:rFonts w:ascii="Calibri" w:eastAsia="Times New Roman" w:hAnsi="Calibri" w:cs="Times New Roman"/>
      <w:sz w:val="22"/>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952430">
      <w:bodyDiv w:val="1"/>
      <w:marLeft w:val="0"/>
      <w:marRight w:val="0"/>
      <w:marTop w:val="0"/>
      <w:marBottom w:val="0"/>
      <w:divBdr>
        <w:top w:val="none" w:sz="0" w:space="0" w:color="auto"/>
        <w:left w:val="none" w:sz="0" w:space="0" w:color="auto"/>
        <w:bottom w:val="none" w:sz="0" w:space="0" w:color="auto"/>
        <w:right w:val="none" w:sz="0" w:space="0" w:color="auto"/>
      </w:divBdr>
    </w:div>
    <w:div w:id="626398297">
      <w:bodyDiv w:val="1"/>
      <w:marLeft w:val="0"/>
      <w:marRight w:val="0"/>
      <w:marTop w:val="0"/>
      <w:marBottom w:val="0"/>
      <w:divBdr>
        <w:top w:val="none" w:sz="0" w:space="0" w:color="auto"/>
        <w:left w:val="none" w:sz="0" w:space="0" w:color="auto"/>
        <w:bottom w:val="none" w:sz="0" w:space="0" w:color="auto"/>
        <w:right w:val="none" w:sz="0" w:space="0" w:color="auto"/>
      </w:divBdr>
    </w:div>
    <w:div w:id="834028947">
      <w:bodyDiv w:val="1"/>
      <w:marLeft w:val="0"/>
      <w:marRight w:val="0"/>
      <w:marTop w:val="0"/>
      <w:marBottom w:val="0"/>
      <w:divBdr>
        <w:top w:val="none" w:sz="0" w:space="0" w:color="auto"/>
        <w:left w:val="none" w:sz="0" w:space="0" w:color="auto"/>
        <w:bottom w:val="none" w:sz="0" w:space="0" w:color="auto"/>
        <w:right w:val="none" w:sz="0" w:space="0" w:color="auto"/>
      </w:divBdr>
    </w:div>
    <w:div w:id="1149904612">
      <w:bodyDiv w:val="1"/>
      <w:marLeft w:val="0"/>
      <w:marRight w:val="0"/>
      <w:marTop w:val="0"/>
      <w:marBottom w:val="0"/>
      <w:divBdr>
        <w:top w:val="none" w:sz="0" w:space="0" w:color="auto"/>
        <w:left w:val="none" w:sz="0" w:space="0" w:color="auto"/>
        <w:bottom w:val="none" w:sz="0" w:space="0" w:color="auto"/>
        <w:right w:val="none" w:sz="0" w:space="0" w:color="auto"/>
      </w:divBdr>
    </w:div>
    <w:div w:id="1258712536">
      <w:bodyDiv w:val="1"/>
      <w:marLeft w:val="0"/>
      <w:marRight w:val="0"/>
      <w:marTop w:val="0"/>
      <w:marBottom w:val="0"/>
      <w:divBdr>
        <w:top w:val="none" w:sz="0" w:space="0" w:color="auto"/>
        <w:left w:val="none" w:sz="0" w:space="0" w:color="auto"/>
        <w:bottom w:val="none" w:sz="0" w:space="0" w:color="auto"/>
        <w:right w:val="none" w:sz="0" w:space="0" w:color="auto"/>
      </w:divBdr>
    </w:div>
    <w:div w:id="1641298905">
      <w:bodyDiv w:val="1"/>
      <w:marLeft w:val="0"/>
      <w:marRight w:val="0"/>
      <w:marTop w:val="0"/>
      <w:marBottom w:val="0"/>
      <w:divBdr>
        <w:top w:val="none" w:sz="0" w:space="0" w:color="auto"/>
        <w:left w:val="none" w:sz="0" w:space="0" w:color="auto"/>
        <w:bottom w:val="none" w:sz="0" w:space="0" w:color="auto"/>
        <w:right w:val="none" w:sz="0" w:space="0" w:color="auto"/>
      </w:divBdr>
    </w:div>
    <w:div w:id="1675111564">
      <w:bodyDiv w:val="1"/>
      <w:marLeft w:val="0"/>
      <w:marRight w:val="0"/>
      <w:marTop w:val="0"/>
      <w:marBottom w:val="0"/>
      <w:divBdr>
        <w:top w:val="none" w:sz="0" w:space="0" w:color="auto"/>
        <w:left w:val="none" w:sz="0" w:space="0" w:color="auto"/>
        <w:bottom w:val="none" w:sz="0" w:space="0" w:color="auto"/>
        <w:right w:val="none" w:sz="0" w:space="0" w:color="auto"/>
      </w:divBdr>
    </w:div>
    <w:div w:id="1870602032">
      <w:bodyDiv w:val="1"/>
      <w:marLeft w:val="0"/>
      <w:marRight w:val="0"/>
      <w:marTop w:val="0"/>
      <w:marBottom w:val="0"/>
      <w:divBdr>
        <w:top w:val="none" w:sz="0" w:space="0" w:color="auto"/>
        <w:left w:val="none" w:sz="0" w:space="0" w:color="auto"/>
        <w:bottom w:val="none" w:sz="0" w:space="0" w:color="auto"/>
        <w:right w:val="none" w:sz="0" w:space="0" w:color="auto"/>
      </w:divBdr>
    </w:div>
    <w:div w:id="2130583585">
      <w:bodyDiv w:val="1"/>
      <w:marLeft w:val="0"/>
      <w:marRight w:val="0"/>
      <w:marTop w:val="0"/>
      <w:marBottom w:val="0"/>
      <w:divBdr>
        <w:top w:val="none" w:sz="0" w:space="0" w:color="auto"/>
        <w:left w:val="none" w:sz="0" w:space="0" w:color="auto"/>
        <w:bottom w:val="none" w:sz="0" w:space="0" w:color="auto"/>
        <w:right w:val="none" w:sz="0" w:space="0" w:color="auto"/>
      </w:divBdr>
    </w:div>
    <w:div w:id="214388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wl017\Downloads\Report%20title%20-%20portrait.dotx" TargetMode="External"/></Relationships>
</file>

<file path=word/theme/theme1.xml><?xml version="1.0" encoding="utf-8"?>
<a:theme xmlns:a="http://schemas.openxmlformats.org/drawingml/2006/main" name="DVA Theme Jun18">
  <a:themeElements>
    <a:clrScheme name="Transforming DVA 3">
      <a:dk1>
        <a:srgbClr val="000000"/>
      </a:dk1>
      <a:lt1>
        <a:srgbClr val="FFFFFF"/>
      </a:lt1>
      <a:dk2>
        <a:srgbClr val="1F2C56"/>
      </a:dk2>
      <a:lt2>
        <a:srgbClr val="E7E6E6"/>
      </a:lt2>
      <a:accent1>
        <a:srgbClr val="3C5893"/>
      </a:accent1>
      <a:accent2>
        <a:srgbClr val="4FBBC3"/>
      </a:accent2>
      <a:accent3>
        <a:srgbClr val="A5A5A5"/>
      </a:accent3>
      <a:accent4>
        <a:srgbClr val="91C84C"/>
      </a:accent4>
      <a:accent5>
        <a:srgbClr val="FBCA3F"/>
      </a:accent5>
      <a:accent6>
        <a:srgbClr val="223C71"/>
      </a:accent6>
      <a:hlink>
        <a:srgbClr val="5773B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VA Theme Jun18" id="{671E669F-9E34-4D33-AD54-F72FC5ED983D}" vid="{7BD565FF-7420-4AAE-8E05-502C4EFC25C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32F8381DF9A044281A16C3F767AA387" ma:contentTypeVersion="" ma:contentTypeDescription="PDMS Document Site Content Type" ma:contentTypeScope="" ma:versionID="d4070105f00a5314e52a95e4af590837">
  <xsd:schema xmlns:xsd="http://www.w3.org/2001/XMLSchema" xmlns:xs="http://www.w3.org/2001/XMLSchema" xmlns:p="http://schemas.microsoft.com/office/2006/metadata/properties" xmlns:ns2="C6EB8E91-B3B7-48D2-8F5F-06A40499E60A" targetNamespace="http://schemas.microsoft.com/office/2006/metadata/properties" ma:root="true" ma:fieldsID="d36fa06be64bbb2e009c317ee895f8af" ns2:_="">
    <xsd:import namespace="C6EB8E91-B3B7-48D2-8F5F-06A40499E60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B8E91-B3B7-48D2-8F5F-06A40499E60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C6EB8E91-B3B7-48D2-8F5F-06A40499E60A" xsi:nil="true"/>
  </documentManagement>
</p:properties>
</file>

<file path=customXml/itemProps1.xml><?xml version="1.0" encoding="utf-8"?>
<ds:datastoreItem xmlns:ds="http://schemas.openxmlformats.org/officeDocument/2006/customXml" ds:itemID="{1DEA5686-B558-4F33-B5D2-BF5BBF352159}">
  <ds:schemaRefs>
    <ds:schemaRef ds:uri="http://schemas.microsoft.com/sharepoint/v3/contenttype/forms"/>
  </ds:schemaRefs>
</ds:datastoreItem>
</file>

<file path=customXml/itemProps2.xml><?xml version="1.0" encoding="utf-8"?>
<ds:datastoreItem xmlns:ds="http://schemas.openxmlformats.org/officeDocument/2006/customXml" ds:itemID="{23E3C546-93E0-47A2-9982-B0269E417D81}">
  <ds:schemaRefs>
    <ds:schemaRef ds:uri="http://schemas.openxmlformats.org/officeDocument/2006/bibliography"/>
  </ds:schemaRefs>
</ds:datastoreItem>
</file>

<file path=customXml/itemProps3.xml><?xml version="1.0" encoding="utf-8"?>
<ds:datastoreItem xmlns:ds="http://schemas.openxmlformats.org/officeDocument/2006/customXml" ds:itemID="{880D8061-4E3F-408C-95C9-8EF4FAD42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EB8E91-B3B7-48D2-8F5F-06A40499E6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752FB8-B92C-42D0-A533-071CF2E96C8C}">
  <ds:schemaRefs>
    <ds:schemaRef ds:uri="http://schemas.microsoft.com/office/2006/metadata/properties"/>
    <ds:schemaRef ds:uri="http://schemas.microsoft.com/office/infopath/2007/PartnerControls"/>
    <ds:schemaRef ds:uri="C6EB8E91-B3B7-48D2-8F5F-06A40499E60A"/>
  </ds:schemaRefs>
</ds:datastoreItem>
</file>

<file path=docProps/app.xml><?xml version="1.0" encoding="utf-8"?>
<Properties xmlns="http://schemas.openxmlformats.org/officeDocument/2006/extended-properties" xmlns:vt="http://schemas.openxmlformats.org/officeDocument/2006/docPropsVTypes">
  <Template>Report title - portrait</Template>
  <TotalTime>6</TotalTime>
  <Pages>10</Pages>
  <Words>2734</Words>
  <Characters>15588</Characters>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Anzac Regulator Framework Report</dc:title>
  <dc:subject/>
  <dc:creator>Department of Veterans' Affairs</dc:creator>
  <cp:keywords/>
  <dc:description/>
  <cp:lastPrinted>2024-07-16T04:40:00Z</cp:lastPrinted>
  <dcterms:created xsi:type="dcterms:W3CDTF">2024-07-16T04:40:00Z</dcterms:created>
  <dcterms:modified xsi:type="dcterms:W3CDTF">2024-07-23T23:19:00Z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0x010100266966F133664895A6EE3632470D45F500232F8381DF9A044281A16C3F767AA387</vt:lpwstr>
  </property>
</Properties>
</file>