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4"/>
      </w:tblGrid>
      <w:tr w:rsidR="00C15C28" w:rsidRPr="00C15C28" w14:paraId="1DC39227" w14:textId="77777777" w:rsidTr="00236244">
        <w:trPr>
          <w:trHeight w:val="1814"/>
        </w:trPr>
        <w:tc>
          <w:tcPr>
            <w:tcW w:w="11194" w:type="dxa"/>
            <w:shd w:val="clear" w:color="auto" w:fill="002060"/>
          </w:tcPr>
          <w:p w14:paraId="03F19899" w14:textId="77777777" w:rsidR="0075208A" w:rsidRDefault="00931014" w:rsidP="5F83670A">
            <w:pPr>
              <w:ind w:right="-136"/>
              <w:jc w:val="center"/>
              <w:rPr>
                <w:rFonts w:ascii="Arial" w:hAnsi="Arial" w:cs="Arial"/>
                <w:noProof/>
                <w:color w:val="002060"/>
                <w:sz w:val="24"/>
                <w:szCs w:val="24"/>
                <w:lang w:eastAsia="en-AU"/>
              </w:rPr>
            </w:pPr>
            <w:r w:rsidRPr="003A047F">
              <w:rPr>
                <w:rFonts w:ascii="AusGov DVA Stacked 4U" w:hAnsi="AusGov DVA Stacked 4U" w:cs="Arial"/>
                <w:noProof/>
                <w:color w:val="FFFFFF" w:themeColor="background1"/>
                <w:sz w:val="24"/>
                <w:szCs w:val="24"/>
                <w:lang w:eastAsia="en-AU"/>
              </w:rPr>
              <mc:AlternateContent>
                <mc:Choice Requires="wps">
                  <w:drawing>
                    <wp:anchor distT="45720" distB="45720" distL="114300" distR="114300" simplePos="0" relativeHeight="251658239" behindDoc="0" locked="0" layoutInCell="1" allowOverlap="1" wp14:anchorId="09ADB4C7" wp14:editId="7790CBB4">
                      <wp:simplePos x="0" y="0"/>
                      <wp:positionH relativeFrom="column">
                        <wp:posOffset>1948180</wp:posOffset>
                      </wp:positionH>
                      <wp:positionV relativeFrom="paragraph">
                        <wp:posOffset>165735</wp:posOffset>
                      </wp:positionV>
                      <wp:extent cx="3200400" cy="1133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33475"/>
                              </a:xfrm>
                              <a:prstGeom prst="rect">
                                <a:avLst/>
                              </a:prstGeom>
                              <a:noFill/>
                              <a:ln w="9525">
                                <a:noFill/>
                                <a:miter lim="800000"/>
                                <a:headEnd/>
                                <a:tailEnd/>
                              </a:ln>
                            </wps:spPr>
                            <wps:txbx>
                              <w:txbxContent>
                                <w:p w14:paraId="6555E155" w14:textId="0B843CE9" w:rsidR="00607EFA" w:rsidRPr="00DE1237" w:rsidRDefault="00607EFA" w:rsidP="00E220B7">
                                  <w:pPr>
                                    <w:jc w:val="center"/>
                                    <w:rPr>
                                      <w:rFonts w:ascii="Aptos" w:hAnsi="Aptos"/>
                                      <w:b/>
                                      <w:color w:val="FFFFFF" w:themeColor="background1"/>
                                      <w:sz w:val="40"/>
                                    </w:rPr>
                                  </w:pPr>
                                  <w:r w:rsidRPr="00DE1237">
                                    <w:rPr>
                                      <w:rFonts w:ascii="Aptos" w:hAnsi="Aptos"/>
                                      <w:b/>
                                      <w:color w:val="FFFFFF" w:themeColor="background1"/>
                                      <w:sz w:val="40"/>
                                    </w:rPr>
                                    <w:t xml:space="preserve">COMMUNITY NURSING NEWSLETTER No. </w:t>
                                  </w:r>
                                  <w:r w:rsidR="009F09CB" w:rsidRPr="00DE1237">
                                    <w:rPr>
                                      <w:rFonts w:ascii="Aptos" w:hAnsi="Aptos"/>
                                      <w:b/>
                                      <w:color w:val="FFFFFF" w:themeColor="background1"/>
                                      <w:sz w:val="40"/>
                                    </w:rPr>
                                    <w:t>5</w:t>
                                  </w:r>
                                  <w:r w:rsidR="0010426E">
                                    <w:rPr>
                                      <w:rFonts w:ascii="Aptos" w:hAnsi="Aptos"/>
                                      <w:b/>
                                      <w:color w:val="FFFFFF" w:themeColor="background1"/>
                                      <w:sz w:val="40"/>
                                    </w:rPr>
                                    <w:t>2</w:t>
                                  </w:r>
                                </w:p>
                                <w:p w14:paraId="2AB255BE" w14:textId="215AF50E" w:rsidR="00931014" w:rsidRPr="00DE1237" w:rsidRDefault="00B01E68" w:rsidP="00E220B7">
                                  <w:pPr>
                                    <w:jc w:val="center"/>
                                    <w:rPr>
                                      <w:rFonts w:ascii="Aptos" w:hAnsi="Aptos"/>
                                      <w:b/>
                                      <w:color w:val="FFFFFF" w:themeColor="background1"/>
                                      <w:sz w:val="40"/>
                                    </w:rPr>
                                  </w:pPr>
                                  <w:r>
                                    <w:rPr>
                                      <w:rFonts w:ascii="Aptos" w:hAnsi="Aptos"/>
                                      <w:b/>
                                      <w:color w:val="FFFFFF" w:themeColor="background1"/>
                                      <w:sz w:val="40"/>
                                    </w:rPr>
                                    <w:t>February</w:t>
                                  </w:r>
                                  <w:r w:rsidR="009F09CB" w:rsidRPr="00DE1237">
                                    <w:rPr>
                                      <w:rFonts w:ascii="Aptos" w:hAnsi="Aptos"/>
                                      <w:b/>
                                      <w:color w:val="FFFFFF" w:themeColor="background1"/>
                                      <w:sz w:val="40"/>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DB4C7" id="_x0000_t202" coordsize="21600,21600" o:spt="202" path="m,l,21600r21600,l21600,xe">
                      <v:stroke joinstyle="miter"/>
                      <v:path gradientshapeok="t" o:connecttype="rect"/>
                    </v:shapetype>
                    <v:shape id="Text Box 2" o:spid="_x0000_s1026" type="#_x0000_t202" style="position:absolute;left:0;text-align:left;margin-left:153.4pt;margin-top:13.05pt;width:252pt;height:89.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" filled="f" stroked="f">
                      <v:textbox>
                        <w:txbxContent>
                          <w:p w14:paraId="6555E155" w14:textId="0B843CE9" w:rsidR="00607EFA" w:rsidRPr="00DE1237" w:rsidRDefault="00607EFA" w:rsidP="00E220B7">
                            <w:pPr>
                              <w:jc w:val="center"/>
                              <w:rPr>
                                <w:rFonts w:ascii="Aptos" w:hAnsi="Aptos"/>
                                <w:b/>
                                <w:color w:val="FFFFFF" w:themeColor="background1"/>
                                <w:sz w:val="40"/>
                              </w:rPr>
                            </w:pPr>
                            <w:r w:rsidRPr="00DE1237">
                              <w:rPr>
                                <w:rFonts w:ascii="Aptos" w:hAnsi="Aptos"/>
                                <w:b/>
                                <w:color w:val="FFFFFF" w:themeColor="background1"/>
                                <w:sz w:val="40"/>
                              </w:rPr>
                              <w:t xml:space="preserve">COMMUNITY NURSING NEWSLETTER No. </w:t>
                            </w:r>
                            <w:r w:rsidR="009F09CB" w:rsidRPr="00DE1237">
                              <w:rPr>
                                <w:rFonts w:ascii="Aptos" w:hAnsi="Aptos"/>
                                <w:b/>
                                <w:color w:val="FFFFFF" w:themeColor="background1"/>
                                <w:sz w:val="40"/>
                              </w:rPr>
                              <w:t>5</w:t>
                            </w:r>
                            <w:r w:rsidR="0010426E">
                              <w:rPr>
                                <w:rFonts w:ascii="Aptos" w:hAnsi="Aptos"/>
                                <w:b/>
                                <w:color w:val="FFFFFF" w:themeColor="background1"/>
                                <w:sz w:val="40"/>
                              </w:rPr>
                              <w:t>2</w:t>
                            </w:r>
                          </w:p>
                          <w:p w14:paraId="2AB255BE" w14:textId="215AF50E" w:rsidR="00931014" w:rsidRPr="00DE1237" w:rsidRDefault="00B01E68" w:rsidP="00E220B7">
                            <w:pPr>
                              <w:jc w:val="center"/>
                              <w:rPr>
                                <w:rFonts w:ascii="Aptos" w:hAnsi="Aptos"/>
                                <w:b/>
                                <w:color w:val="FFFFFF" w:themeColor="background1"/>
                                <w:sz w:val="40"/>
                              </w:rPr>
                            </w:pPr>
                            <w:r>
                              <w:rPr>
                                <w:rFonts w:ascii="Aptos" w:hAnsi="Aptos"/>
                                <w:b/>
                                <w:color w:val="FFFFFF" w:themeColor="background1"/>
                                <w:sz w:val="40"/>
                              </w:rPr>
                              <w:t>February</w:t>
                            </w:r>
                            <w:r w:rsidR="009F09CB" w:rsidRPr="00DE1237">
                              <w:rPr>
                                <w:rFonts w:ascii="Aptos" w:hAnsi="Aptos"/>
                                <w:b/>
                                <w:color w:val="FFFFFF" w:themeColor="background1"/>
                                <w:sz w:val="40"/>
                              </w:rPr>
                              <w:t xml:space="preserve"> 2025</w:t>
                            </w:r>
                          </w:p>
                        </w:txbxContent>
                      </v:textbox>
                    </v:shape>
                  </w:pict>
                </mc:Fallback>
              </mc:AlternateContent>
            </w:r>
          </w:p>
          <w:p w14:paraId="6677D216" w14:textId="77777777" w:rsidR="008C7EEF" w:rsidRPr="003A047F" w:rsidRDefault="003A047F" w:rsidP="003A047F">
            <w:pPr>
              <w:ind w:right="-136"/>
              <w:rPr>
                <w:rFonts w:ascii="AusGov DVA Stacked 4U" w:hAnsi="AusGov DVA Stacked 4U" w:cs="Arial"/>
                <w:color w:val="002060"/>
                <w:sz w:val="200"/>
                <w:szCs w:val="200"/>
              </w:rPr>
            </w:pPr>
            <w:r w:rsidRPr="00C168FC">
              <w:rPr>
                <w:rFonts w:ascii="Arial" w:hAnsi="Arial" w:cs="Arial"/>
                <w:noProof/>
                <w:color w:val="002060"/>
                <w:sz w:val="24"/>
                <w:szCs w:val="24"/>
                <w:lang w:eastAsia="en-AU"/>
              </w:rPr>
              <w:drawing>
                <wp:anchor distT="0" distB="0" distL="114300" distR="114300" simplePos="0" relativeHeight="251659264" behindDoc="0" locked="0" layoutInCell="1" allowOverlap="1" wp14:anchorId="6D395562" wp14:editId="2AE374C9">
                  <wp:simplePos x="0" y="0"/>
                  <wp:positionH relativeFrom="column">
                    <wp:posOffset>5427608</wp:posOffset>
                  </wp:positionH>
                  <wp:positionV relativeFrom="paragraph">
                    <wp:posOffset>215001</wp:posOffset>
                  </wp:positionV>
                  <wp:extent cx="1566723" cy="88867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566723" cy="888676"/>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p>
        </w:tc>
      </w:tr>
      <w:tr w:rsidR="0090736B" w:rsidRPr="00C15C28" w14:paraId="60BC0E09" w14:textId="77777777" w:rsidTr="00236244">
        <w:trPr>
          <w:trHeight w:val="523"/>
        </w:trPr>
        <w:tc>
          <w:tcPr>
            <w:tcW w:w="11194" w:type="dxa"/>
            <w:shd w:val="clear" w:color="auto" w:fill="002060"/>
          </w:tcPr>
          <w:p w14:paraId="29FFA4C1" w14:textId="70FCD9A3" w:rsidR="0090736B" w:rsidRPr="001B095D" w:rsidRDefault="0075208A" w:rsidP="00E5479C">
            <w:pPr>
              <w:tabs>
                <w:tab w:val="left" w:pos="9519"/>
                <w:tab w:val="left" w:pos="10086"/>
                <w:tab w:val="left" w:pos="10650"/>
              </w:tabs>
              <w:ind w:right="-136"/>
              <w:jc w:val="center"/>
              <w:rPr>
                <w:rFonts w:ascii="Aptos" w:hAnsi="Aptos" w:cstheme="minorHAnsi"/>
                <w:color w:val="FFFFFF" w:themeColor="background1"/>
                <w:sz w:val="24"/>
                <w:szCs w:val="24"/>
              </w:rPr>
            </w:pPr>
            <w:r w:rsidRPr="001B095D">
              <w:rPr>
                <w:rFonts w:ascii="Aptos" w:hAnsi="Aptos" w:cstheme="minorHAnsi"/>
                <w:color w:val="FFFFFF" w:themeColor="background1"/>
                <w:sz w:val="24"/>
                <w:szCs w:val="24"/>
              </w:rPr>
              <w:t>Th</w:t>
            </w:r>
            <w:r w:rsidR="00F90F7F" w:rsidRPr="001B095D">
              <w:rPr>
                <w:rFonts w:ascii="Aptos" w:hAnsi="Aptos" w:cstheme="minorHAnsi"/>
                <w:color w:val="FFFFFF" w:themeColor="background1"/>
                <w:sz w:val="24"/>
                <w:szCs w:val="24"/>
              </w:rPr>
              <w:t>is</w:t>
            </w:r>
            <w:r w:rsidR="00677A30">
              <w:rPr>
                <w:rFonts w:ascii="Aptos" w:hAnsi="Aptos" w:cstheme="minorHAnsi"/>
                <w:color w:val="FFFFFF" w:themeColor="background1"/>
                <w:sz w:val="24"/>
                <w:szCs w:val="24"/>
              </w:rPr>
              <w:t xml:space="preserve"> </w:t>
            </w:r>
            <w:r w:rsidRPr="001B095D">
              <w:rPr>
                <w:rFonts w:ascii="Aptos" w:hAnsi="Aptos" w:cstheme="minorHAnsi"/>
                <w:b/>
                <w:iCs/>
                <w:color w:val="FFFFFF" w:themeColor="background1"/>
                <w:sz w:val="24"/>
                <w:szCs w:val="24"/>
              </w:rPr>
              <w:t>Newsletter</w:t>
            </w:r>
            <w:r w:rsidRPr="001B095D">
              <w:rPr>
                <w:rFonts w:ascii="Aptos" w:hAnsi="Aptos" w:cstheme="minorHAnsi"/>
                <w:iCs/>
                <w:color w:val="FFFFFF" w:themeColor="background1"/>
                <w:sz w:val="24"/>
                <w:szCs w:val="24"/>
              </w:rPr>
              <w:t xml:space="preserve"> </w:t>
            </w:r>
            <w:r w:rsidR="0012303C" w:rsidRPr="001B095D">
              <w:rPr>
                <w:rFonts w:ascii="Aptos" w:hAnsi="Aptos" w:cstheme="minorHAnsi"/>
                <w:color w:val="FFFFFF" w:themeColor="background1"/>
                <w:sz w:val="24"/>
                <w:szCs w:val="24"/>
              </w:rPr>
              <w:t>is issued to provide</w:t>
            </w:r>
            <w:r w:rsidR="00677A30">
              <w:rPr>
                <w:rFonts w:ascii="Aptos" w:hAnsi="Aptos" w:cstheme="minorHAnsi"/>
                <w:color w:val="FFFFFF" w:themeColor="background1"/>
                <w:sz w:val="24"/>
                <w:szCs w:val="24"/>
              </w:rPr>
              <w:t xml:space="preserve"> </w:t>
            </w:r>
            <w:r w:rsidRPr="001B095D">
              <w:rPr>
                <w:rFonts w:ascii="Aptos" w:hAnsi="Aptos" w:cstheme="minorHAnsi"/>
                <w:color w:val="FFFFFF" w:themeColor="background1"/>
                <w:sz w:val="24"/>
                <w:szCs w:val="24"/>
              </w:rPr>
              <w:t>update</w:t>
            </w:r>
            <w:r w:rsidR="0012303C" w:rsidRPr="001B095D">
              <w:rPr>
                <w:rFonts w:ascii="Aptos" w:hAnsi="Aptos" w:cstheme="minorHAnsi"/>
                <w:color w:val="FFFFFF" w:themeColor="background1"/>
                <w:sz w:val="24"/>
                <w:szCs w:val="24"/>
              </w:rPr>
              <w:t>s</w:t>
            </w:r>
            <w:r w:rsidRPr="001B095D">
              <w:rPr>
                <w:rFonts w:ascii="Aptos" w:hAnsi="Aptos" w:cstheme="minorHAnsi"/>
                <w:color w:val="FFFFFF" w:themeColor="background1"/>
                <w:sz w:val="24"/>
                <w:szCs w:val="24"/>
              </w:rPr>
              <w:t xml:space="preserve"> to D</w:t>
            </w:r>
            <w:r w:rsidR="00B7225A" w:rsidRPr="001B095D">
              <w:rPr>
                <w:rFonts w:ascii="Aptos" w:hAnsi="Aptos" w:cstheme="minorHAnsi"/>
                <w:color w:val="FFFFFF" w:themeColor="background1"/>
                <w:sz w:val="24"/>
                <w:szCs w:val="24"/>
              </w:rPr>
              <w:t>VA contracted</w:t>
            </w:r>
            <w:r w:rsidRPr="001B095D">
              <w:rPr>
                <w:rFonts w:ascii="Aptos" w:hAnsi="Aptos" w:cstheme="minorHAnsi"/>
                <w:color w:val="FFFFFF" w:themeColor="background1"/>
                <w:sz w:val="24"/>
                <w:szCs w:val="24"/>
              </w:rPr>
              <w:t xml:space="preserve"> Community Nursing provide</w:t>
            </w:r>
            <w:r w:rsidR="0012303C" w:rsidRPr="001B095D">
              <w:rPr>
                <w:rFonts w:ascii="Aptos" w:hAnsi="Aptos" w:cstheme="minorHAnsi"/>
                <w:color w:val="FFFFFF" w:themeColor="background1"/>
                <w:sz w:val="24"/>
                <w:szCs w:val="24"/>
              </w:rPr>
              <w:t>rs.</w:t>
            </w:r>
          </w:p>
          <w:p w14:paraId="72CA94D1" w14:textId="4FAC13D6" w:rsidR="00E5479C" w:rsidRPr="001B095D" w:rsidRDefault="00E5479C" w:rsidP="00E5479C">
            <w:pPr>
              <w:tabs>
                <w:tab w:val="left" w:pos="9519"/>
                <w:tab w:val="left" w:pos="10086"/>
                <w:tab w:val="left" w:pos="10650"/>
              </w:tabs>
              <w:ind w:right="-136"/>
              <w:jc w:val="center"/>
              <w:rPr>
                <w:rFonts w:ascii="Aptos" w:hAnsi="Aptos" w:cs="Arial"/>
                <w:noProof/>
                <w:color w:val="002060"/>
                <w:sz w:val="24"/>
                <w:szCs w:val="24"/>
                <w:lang w:eastAsia="en-AU"/>
              </w:rPr>
            </w:pPr>
          </w:p>
        </w:tc>
      </w:tr>
      <w:tr w:rsidR="00F541EE" w:rsidRPr="00C15C28" w14:paraId="72A74B07" w14:textId="77777777" w:rsidTr="00236244">
        <w:trPr>
          <w:trHeight w:val="2956"/>
        </w:trPr>
        <w:tc>
          <w:tcPr>
            <w:tcW w:w="11194" w:type="dxa"/>
            <w:shd w:val="clear" w:color="auto" w:fill="E2EFD9" w:themeFill="accent6" w:themeFillTint="33"/>
          </w:tcPr>
          <w:p w14:paraId="32B9F8AF" w14:textId="77777777" w:rsidR="00E172F7" w:rsidRPr="00E172F7" w:rsidRDefault="00E172F7" w:rsidP="003C7281">
            <w:pPr>
              <w:spacing w:line="259" w:lineRule="auto"/>
              <w:rPr>
                <w:rFonts w:ascii="Aptos" w:hAnsi="Aptos" w:cs="Arial"/>
                <w:color w:val="002060"/>
                <w:sz w:val="16"/>
                <w:szCs w:val="16"/>
              </w:rPr>
            </w:pPr>
          </w:p>
          <w:p w14:paraId="27E1FCE9" w14:textId="7027677C" w:rsidR="00F541EE" w:rsidRPr="001C1FB6" w:rsidRDefault="00F541EE" w:rsidP="003C7281">
            <w:pPr>
              <w:spacing w:line="259" w:lineRule="auto"/>
              <w:rPr>
                <w:rFonts w:ascii="Aptos" w:hAnsi="Aptos" w:cs="Arial"/>
                <w:color w:val="2F5496" w:themeColor="accent5" w:themeShade="BF"/>
                <w:sz w:val="36"/>
                <w:szCs w:val="36"/>
              </w:rPr>
            </w:pPr>
            <w:r w:rsidRPr="00F0213A">
              <w:rPr>
                <w:rFonts w:ascii="Aptos" w:hAnsi="Aptos" w:cs="Arial"/>
                <w:b/>
                <w:noProof/>
                <w:color w:val="002060"/>
                <w:sz w:val="36"/>
                <w:szCs w:val="36"/>
                <w:lang w:eastAsia="en-AU"/>
              </w:rPr>
              <w:drawing>
                <wp:anchor distT="0" distB="0" distL="114300" distR="114300" simplePos="0" relativeHeight="251664384" behindDoc="0" locked="0" layoutInCell="1" allowOverlap="1" wp14:anchorId="5D455241" wp14:editId="4221B193">
                  <wp:simplePos x="0" y="0"/>
                  <wp:positionH relativeFrom="column">
                    <wp:posOffset>5701030</wp:posOffset>
                  </wp:positionH>
                  <wp:positionV relativeFrom="paragraph">
                    <wp:posOffset>33655</wp:posOffset>
                  </wp:positionV>
                  <wp:extent cx="1219200" cy="1219200"/>
                  <wp:effectExtent l="0" t="0" r="0" b="0"/>
                  <wp:wrapSquare wrapText="bothSides"/>
                  <wp:docPr id="8" name="Picture 8" descr="C:\Users\EKN350\Desktop\Icons\Capitalist Bussiness\flat icons\PNG\128x128\Not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KN350\Desktop\Icons\Capitalist Bussiness\flat icons\PNG\128x128\Noteboo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213A">
              <w:rPr>
                <w:rFonts w:ascii="Aptos" w:hAnsi="Aptos" w:cs="Arial"/>
                <w:color w:val="002060"/>
                <w:sz w:val="36"/>
                <w:szCs w:val="36"/>
              </w:rPr>
              <w:t>Updated Notes for Community Nursing Providers</w:t>
            </w:r>
          </w:p>
          <w:p w14:paraId="23B042EC" w14:textId="77777777" w:rsidR="00F541EE" w:rsidRPr="001B095D" w:rsidRDefault="00F541EE" w:rsidP="00CE7791">
            <w:pPr>
              <w:rPr>
                <w:rFonts w:ascii="Aptos" w:hAnsi="Aptos"/>
                <w:color w:val="2F5496" w:themeColor="accent5" w:themeShade="BF"/>
                <w:sz w:val="24"/>
                <w:szCs w:val="24"/>
              </w:rPr>
            </w:pPr>
            <w:r w:rsidRPr="001B095D">
              <w:rPr>
                <w:rFonts w:ascii="Aptos" w:hAnsi="Aptos"/>
                <w:color w:val="2F5496" w:themeColor="accent5" w:themeShade="BF"/>
                <w:sz w:val="24"/>
                <w:szCs w:val="24"/>
              </w:rPr>
              <w:t>The Notes for Community Nursing Providers (the Notes)</w:t>
            </w:r>
            <w:r>
              <w:rPr>
                <w:rFonts w:ascii="Aptos" w:hAnsi="Aptos"/>
                <w:color w:val="2F5496" w:themeColor="accent5" w:themeShade="BF"/>
                <w:sz w:val="24"/>
                <w:szCs w:val="24"/>
              </w:rPr>
              <w:t xml:space="preserve"> </w:t>
            </w:r>
            <w:r w:rsidRPr="001B095D">
              <w:rPr>
                <w:rFonts w:ascii="Aptos" w:hAnsi="Aptos"/>
                <w:color w:val="2F5496" w:themeColor="accent5" w:themeShade="BF"/>
                <w:sz w:val="24"/>
                <w:szCs w:val="24"/>
              </w:rPr>
              <w:t xml:space="preserve">have been reviewed and updated, with the updated version taking effect from </w:t>
            </w:r>
            <w:r>
              <w:rPr>
                <w:rFonts w:ascii="Aptos" w:hAnsi="Aptos"/>
                <w:color w:val="2F5496" w:themeColor="accent5" w:themeShade="BF"/>
                <w:sz w:val="24"/>
                <w:szCs w:val="24"/>
              </w:rPr>
              <w:t>March</w:t>
            </w:r>
            <w:r w:rsidRPr="001B095D">
              <w:rPr>
                <w:rFonts w:ascii="Aptos" w:hAnsi="Aptos"/>
                <w:color w:val="2F5496" w:themeColor="accent5" w:themeShade="BF"/>
                <w:sz w:val="24"/>
                <w:szCs w:val="24"/>
              </w:rPr>
              <w:t xml:space="preserve"> 2025.</w:t>
            </w:r>
          </w:p>
          <w:p w14:paraId="3C042E21" w14:textId="4BD6EEA2" w:rsidR="00F541EE" w:rsidRPr="001B095D" w:rsidRDefault="00F541EE" w:rsidP="00CE7791">
            <w:pPr>
              <w:rPr>
                <w:rFonts w:ascii="Aptos" w:hAnsi="Aptos"/>
                <w:color w:val="2F5496" w:themeColor="accent5" w:themeShade="BF"/>
                <w:sz w:val="24"/>
                <w:szCs w:val="24"/>
              </w:rPr>
            </w:pPr>
          </w:p>
          <w:p w14:paraId="076A6C07" w14:textId="77777777" w:rsidR="00F541EE" w:rsidRPr="001B095D" w:rsidRDefault="00F541EE" w:rsidP="00CE7791">
            <w:pPr>
              <w:rPr>
                <w:rFonts w:ascii="Aptos" w:hAnsi="Aptos"/>
                <w:color w:val="2F5496" w:themeColor="accent5" w:themeShade="BF"/>
                <w:sz w:val="24"/>
                <w:szCs w:val="24"/>
              </w:rPr>
            </w:pPr>
            <w:r w:rsidRPr="001B095D">
              <w:rPr>
                <w:rFonts w:ascii="Aptos" w:hAnsi="Aptos"/>
                <w:color w:val="2F5496" w:themeColor="accent5" w:themeShade="BF"/>
                <w:sz w:val="24"/>
                <w:szCs w:val="24"/>
              </w:rPr>
              <w:t>Updates to the Notes include:</w:t>
            </w:r>
          </w:p>
          <w:p w14:paraId="18BEF953"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 xml:space="preserve">Reference to DVA legislation and Treatment Principles </w:t>
            </w:r>
            <w:r w:rsidRPr="001B095D">
              <w:rPr>
                <w:rFonts w:ascii="Aptos" w:eastAsia="Times New Roman" w:hAnsi="Aptos"/>
                <w:i/>
                <w:iCs/>
                <w:color w:val="2F5496" w:themeColor="accent5" w:themeShade="BF"/>
                <w:sz w:val="24"/>
                <w:szCs w:val="24"/>
              </w:rPr>
              <w:t>(Section 1)</w:t>
            </w:r>
          </w:p>
          <w:p w14:paraId="716FA224"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 xml:space="preserve">Clarification on Non-Liability Health Care (NLHC) eligibility under the Veteran White Card </w:t>
            </w:r>
            <w:r w:rsidRPr="001B095D">
              <w:rPr>
                <w:rFonts w:ascii="Aptos" w:eastAsia="Times New Roman" w:hAnsi="Aptos"/>
                <w:i/>
                <w:iCs/>
                <w:color w:val="2F5496" w:themeColor="accent5" w:themeShade="BF"/>
                <w:sz w:val="24"/>
                <w:szCs w:val="24"/>
              </w:rPr>
              <w:t>(Section 3.1.2)</w:t>
            </w:r>
          </w:p>
          <w:p w14:paraId="62AC39BC"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 xml:space="preserve">Updates to competencies and training information </w:t>
            </w:r>
            <w:r w:rsidRPr="001B095D">
              <w:rPr>
                <w:rFonts w:ascii="Aptos" w:eastAsia="Times New Roman" w:hAnsi="Aptos"/>
                <w:i/>
                <w:iCs/>
                <w:color w:val="2F5496" w:themeColor="accent5" w:themeShade="BF"/>
                <w:sz w:val="24"/>
                <w:szCs w:val="24"/>
              </w:rPr>
              <w:t>(Section 4.5)</w:t>
            </w:r>
            <w:r w:rsidRPr="001B095D">
              <w:rPr>
                <w:rFonts w:ascii="Aptos" w:eastAsia="Times New Roman" w:hAnsi="Aptos"/>
                <w:color w:val="2F5496" w:themeColor="accent5" w:themeShade="BF"/>
                <w:sz w:val="24"/>
                <w:szCs w:val="24"/>
              </w:rPr>
              <w:t>, including:</w:t>
            </w:r>
          </w:p>
          <w:p w14:paraId="042FC87A" w14:textId="77777777" w:rsidR="00F541EE" w:rsidRPr="001B095D" w:rsidRDefault="00F541EE" w:rsidP="00CE7791">
            <w:pPr>
              <w:pStyle w:val="ListParagraph"/>
              <w:numPr>
                <w:ilvl w:val="1"/>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Amendment to First Aid and Basic Life Support certification and renewal requirements</w:t>
            </w:r>
          </w:p>
          <w:p w14:paraId="382AA85E" w14:textId="77777777" w:rsidR="00F541EE" w:rsidRPr="001B095D" w:rsidRDefault="00F541EE" w:rsidP="00CE7791">
            <w:pPr>
              <w:pStyle w:val="ListParagraph"/>
              <w:numPr>
                <w:ilvl w:val="1"/>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Addition of manual handling certification requirements</w:t>
            </w:r>
          </w:p>
          <w:p w14:paraId="5789F2E4"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 xml:space="preserve">Assessment tool requirements as part of the comprehensive assessment </w:t>
            </w:r>
            <w:r w:rsidRPr="001B095D">
              <w:rPr>
                <w:rFonts w:ascii="Aptos" w:eastAsia="Times New Roman" w:hAnsi="Aptos"/>
                <w:i/>
                <w:iCs/>
                <w:color w:val="2F5496" w:themeColor="accent5" w:themeShade="BF"/>
                <w:sz w:val="24"/>
                <w:szCs w:val="24"/>
              </w:rPr>
              <w:t>(Section 5.1)</w:t>
            </w:r>
          </w:p>
          <w:p w14:paraId="6237FF60"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 xml:space="preserve">Clarification of progress note requirements as part of the care plan </w:t>
            </w:r>
            <w:r w:rsidRPr="001B095D">
              <w:rPr>
                <w:rFonts w:ascii="Aptos" w:eastAsia="Times New Roman" w:hAnsi="Aptos"/>
                <w:i/>
                <w:iCs/>
                <w:color w:val="2F5496" w:themeColor="accent5" w:themeShade="BF"/>
                <w:sz w:val="24"/>
                <w:szCs w:val="24"/>
              </w:rPr>
              <w:t>(Section 5.2.2)</w:t>
            </w:r>
          </w:p>
          <w:p w14:paraId="194CEAF5"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 xml:space="preserve">Clarification of requirements for </w:t>
            </w:r>
            <w:r w:rsidRPr="001B095D">
              <w:rPr>
                <w:rFonts w:ascii="Aptos" w:eastAsia="Times New Roman" w:hAnsi="Aptos"/>
                <w:color w:val="2F5496" w:themeColor="accent5" w:themeShade="BF"/>
                <w:sz w:val="24"/>
                <w:szCs w:val="24"/>
              </w:rPr>
              <w:t>medication management and medication assistance </w:t>
            </w:r>
            <w:r w:rsidRPr="001B095D">
              <w:rPr>
                <w:rFonts w:ascii="Aptos" w:eastAsia="Times New Roman" w:hAnsi="Aptos"/>
                <w:i/>
                <w:iCs/>
                <w:color w:val="2F5496" w:themeColor="accent5" w:themeShade="BF"/>
                <w:sz w:val="24"/>
                <w:szCs w:val="24"/>
              </w:rPr>
              <w:t>(Sections 6.3.2.2</w:t>
            </w:r>
            <w:r>
              <w:rPr>
                <w:rFonts w:ascii="Aptos" w:eastAsia="Times New Roman" w:hAnsi="Aptos"/>
                <w:i/>
                <w:iCs/>
                <w:color w:val="2F5496" w:themeColor="accent5" w:themeShade="BF"/>
                <w:sz w:val="24"/>
                <w:szCs w:val="24"/>
              </w:rPr>
              <w:t xml:space="preserve"> and</w:t>
            </w:r>
            <w:r w:rsidRPr="001B095D">
              <w:rPr>
                <w:rFonts w:ascii="Aptos" w:eastAsia="Times New Roman" w:hAnsi="Aptos"/>
                <w:i/>
                <w:iCs/>
                <w:color w:val="2F5496" w:themeColor="accent5" w:themeShade="BF"/>
                <w:sz w:val="24"/>
                <w:szCs w:val="24"/>
              </w:rPr>
              <w:t xml:space="preserve"> 6.4.3)</w:t>
            </w:r>
          </w:p>
          <w:p w14:paraId="0E255A29"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 xml:space="preserve">Addition of fraud prevention controls as part of provider system requirements </w:t>
            </w:r>
            <w:r w:rsidRPr="001B095D">
              <w:rPr>
                <w:rFonts w:ascii="Aptos" w:eastAsia="Times New Roman" w:hAnsi="Aptos"/>
                <w:i/>
                <w:iCs/>
                <w:color w:val="2F5496" w:themeColor="accent5" w:themeShade="BF"/>
                <w:sz w:val="24"/>
                <w:szCs w:val="24"/>
              </w:rPr>
              <w:t>(Section 7.14)</w:t>
            </w:r>
          </w:p>
          <w:p w14:paraId="4A009097"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 xml:space="preserve">Further alignment to the strengthened Aged Care Quality Standards </w:t>
            </w:r>
            <w:r w:rsidRPr="001B095D">
              <w:rPr>
                <w:rFonts w:ascii="Aptos" w:eastAsia="Times New Roman" w:hAnsi="Aptos"/>
                <w:i/>
                <w:iCs/>
                <w:color w:val="2F5496" w:themeColor="accent5" w:themeShade="BF"/>
                <w:sz w:val="24"/>
                <w:szCs w:val="24"/>
              </w:rPr>
              <w:t>(Section 10)</w:t>
            </w:r>
          </w:p>
          <w:p w14:paraId="12B7C574"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 xml:space="preserve">A clearer process for urgent and interim approval requests under the Exceptional Case process </w:t>
            </w:r>
            <w:r w:rsidRPr="001B095D">
              <w:rPr>
                <w:rFonts w:ascii="Aptos" w:eastAsia="Times New Roman" w:hAnsi="Aptos"/>
                <w:i/>
                <w:iCs/>
                <w:color w:val="2F5496" w:themeColor="accent5" w:themeShade="BF"/>
                <w:sz w:val="24"/>
                <w:szCs w:val="24"/>
              </w:rPr>
              <w:t>(Attachment A)</w:t>
            </w:r>
          </w:p>
          <w:p w14:paraId="2F1EA964"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 xml:space="preserve">Clarification on the rules for claiming nursing consumables items </w:t>
            </w:r>
            <w:r w:rsidRPr="001B095D">
              <w:rPr>
                <w:rFonts w:ascii="Aptos" w:eastAsia="Times New Roman" w:hAnsi="Aptos"/>
                <w:i/>
                <w:iCs/>
                <w:color w:val="2F5496" w:themeColor="accent5" w:themeShade="BF"/>
                <w:sz w:val="24"/>
                <w:szCs w:val="24"/>
              </w:rPr>
              <w:t>(Attachment D)</w:t>
            </w:r>
          </w:p>
          <w:p w14:paraId="46552849"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sidRPr="001B095D">
              <w:rPr>
                <w:rFonts w:ascii="Aptos" w:eastAsia="Times New Roman" w:hAnsi="Aptos"/>
                <w:color w:val="2F5496" w:themeColor="accent5" w:themeShade="BF"/>
                <w:sz w:val="24"/>
                <w:szCs w:val="24"/>
              </w:rPr>
              <w:t xml:space="preserve">Updates to claiming rules for the two Coordinated Veterans’ Care (CVC) Program items for Community Nursing providers, to restrict claiming with assessment items </w:t>
            </w:r>
            <w:r w:rsidRPr="001B095D">
              <w:rPr>
                <w:rFonts w:ascii="Aptos" w:eastAsia="Times New Roman" w:hAnsi="Aptos"/>
                <w:i/>
                <w:iCs/>
                <w:color w:val="2F5496" w:themeColor="accent5" w:themeShade="BF"/>
                <w:sz w:val="24"/>
                <w:szCs w:val="24"/>
              </w:rPr>
              <w:t>(Attachment E, Section 1.2.8)</w:t>
            </w:r>
          </w:p>
          <w:p w14:paraId="4BF752E2" w14:textId="77777777" w:rsidR="00F541EE" w:rsidRPr="001B095D" w:rsidRDefault="00F541EE" w:rsidP="00CE7791">
            <w:pPr>
              <w:pStyle w:val="ListParagraph"/>
              <w:numPr>
                <w:ilvl w:val="0"/>
                <w:numId w:val="5"/>
              </w:numPr>
              <w:contextualSpacing w:val="0"/>
              <w:rPr>
                <w:rFonts w:ascii="Aptos" w:eastAsia="Times New Roman" w:hAnsi="Aptos"/>
                <w:color w:val="2F5496" w:themeColor="accent5" w:themeShade="BF"/>
                <w:sz w:val="24"/>
                <w:szCs w:val="24"/>
              </w:rPr>
            </w:pPr>
            <w:r>
              <w:rPr>
                <w:rFonts w:ascii="Aptos" w:eastAsia="Times New Roman" w:hAnsi="Aptos"/>
                <w:color w:val="2F5496" w:themeColor="accent5" w:themeShade="BF"/>
                <w:sz w:val="24"/>
                <w:szCs w:val="24"/>
              </w:rPr>
              <w:t>M</w:t>
            </w:r>
            <w:r w:rsidRPr="001B095D">
              <w:rPr>
                <w:rFonts w:ascii="Aptos" w:eastAsia="Times New Roman" w:hAnsi="Aptos"/>
                <w:color w:val="2F5496" w:themeColor="accent5" w:themeShade="BF"/>
                <w:sz w:val="24"/>
                <w:szCs w:val="24"/>
              </w:rPr>
              <w:t>inor amendments made to readability and flow of information.</w:t>
            </w:r>
          </w:p>
          <w:p w14:paraId="6A338430" w14:textId="77777777" w:rsidR="00F541EE" w:rsidRPr="001B095D" w:rsidRDefault="00F541EE" w:rsidP="00CE7791">
            <w:pPr>
              <w:rPr>
                <w:rFonts w:ascii="Aptos" w:hAnsi="Aptos"/>
                <w:color w:val="2F5496" w:themeColor="accent5" w:themeShade="BF"/>
                <w:sz w:val="24"/>
                <w:szCs w:val="24"/>
              </w:rPr>
            </w:pPr>
          </w:p>
          <w:p w14:paraId="032FD13F" w14:textId="77777777" w:rsidR="00F541EE" w:rsidRDefault="00F541EE" w:rsidP="00D15520">
            <w:pPr>
              <w:rPr>
                <w:rFonts w:ascii="Aptos" w:hAnsi="Aptos"/>
                <w:color w:val="2F5496" w:themeColor="accent5" w:themeShade="BF"/>
                <w:sz w:val="24"/>
                <w:szCs w:val="24"/>
              </w:rPr>
            </w:pPr>
            <w:r w:rsidRPr="001B095D">
              <w:rPr>
                <w:rFonts w:ascii="Aptos" w:hAnsi="Aptos"/>
                <w:color w:val="2F5496" w:themeColor="accent5" w:themeShade="BF"/>
                <w:sz w:val="24"/>
                <w:szCs w:val="24"/>
              </w:rPr>
              <w:t xml:space="preserve">The updated version of the Notes is attached, and will be available on the </w:t>
            </w:r>
            <w:hyperlink r:id="rId10" w:history="1">
              <w:r w:rsidRPr="001B095D">
                <w:rPr>
                  <w:rStyle w:val="Hyperlink"/>
                  <w:rFonts w:ascii="Aptos" w:hAnsi="Aptos"/>
                  <w:color w:val="2F5496" w:themeColor="accent5" w:themeShade="BF"/>
                  <w:sz w:val="24"/>
                  <w:szCs w:val="24"/>
                </w:rPr>
                <w:t>DVA website</w:t>
              </w:r>
            </w:hyperlink>
            <w:r w:rsidRPr="001B095D">
              <w:rPr>
                <w:rFonts w:ascii="Aptos" w:hAnsi="Aptos"/>
                <w:color w:val="2F5496" w:themeColor="accent5" w:themeShade="BF"/>
                <w:sz w:val="24"/>
                <w:szCs w:val="24"/>
              </w:rPr>
              <w:t xml:space="preserve"> prior to the effective date. </w:t>
            </w:r>
          </w:p>
          <w:p w14:paraId="6ADB1AFD" w14:textId="34B6C9B3" w:rsidR="00661836" w:rsidRPr="006C088E" w:rsidRDefault="00661836" w:rsidP="00D15520">
            <w:pPr>
              <w:rPr>
                <w:rFonts w:ascii="Aptos" w:hAnsi="Aptos"/>
                <w:color w:val="2F5496" w:themeColor="accent5" w:themeShade="BF"/>
                <w:sz w:val="16"/>
                <w:szCs w:val="16"/>
              </w:rPr>
            </w:pPr>
          </w:p>
        </w:tc>
      </w:tr>
      <w:tr w:rsidR="007D2456" w:rsidRPr="00C15C28" w14:paraId="062452D3" w14:textId="77777777" w:rsidTr="00236244">
        <w:trPr>
          <w:trHeight w:val="2833"/>
        </w:trPr>
        <w:tc>
          <w:tcPr>
            <w:tcW w:w="11194" w:type="dxa"/>
            <w:shd w:val="clear" w:color="auto" w:fill="F7CAAC" w:themeFill="accent2" w:themeFillTint="66"/>
          </w:tcPr>
          <w:p w14:paraId="7354D719" w14:textId="7638CE9E" w:rsidR="00E172F7" w:rsidRPr="00E172F7" w:rsidRDefault="00D15520" w:rsidP="00E172F7">
            <w:pPr>
              <w:jc w:val="both"/>
              <w:rPr>
                <w:rFonts w:ascii="Aptos" w:hAnsi="Aptos" w:cs="Arial"/>
                <w:color w:val="002060"/>
                <w:sz w:val="16"/>
                <w:szCs w:val="16"/>
              </w:rPr>
            </w:pPr>
            <w:r w:rsidRPr="00F0213A">
              <w:rPr>
                <w:rFonts w:ascii="Aptos" w:hAnsi="Aptos" w:cs="Arial"/>
                <w:b/>
                <w:bCs/>
                <w:noProof/>
                <w:sz w:val="24"/>
                <w:szCs w:val="24"/>
                <w:lang w:eastAsia="en-AU"/>
              </w:rPr>
              <w:drawing>
                <wp:anchor distT="0" distB="0" distL="114300" distR="114300" simplePos="0" relativeHeight="251662336" behindDoc="0" locked="0" layoutInCell="1" allowOverlap="1" wp14:anchorId="3A8A1310" wp14:editId="31120ED8">
                  <wp:simplePos x="0" y="0"/>
                  <wp:positionH relativeFrom="column">
                    <wp:posOffset>5981700</wp:posOffset>
                  </wp:positionH>
                  <wp:positionV relativeFrom="paragraph">
                    <wp:posOffset>27940</wp:posOffset>
                  </wp:positionV>
                  <wp:extent cx="1006475" cy="1006475"/>
                  <wp:effectExtent l="0" t="0" r="0" b="3175"/>
                  <wp:wrapSquare wrapText="bothSides"/>
                  <wp:docPr id="7" name="Picture 7" descr="Title: Clipboard graphic - Description: The graphic is of a brown clip board with a white piece of paper and a pencil. On the paper is a list with 3 boxes with lines next to each box. The top box has a green tick in it, the middle box has a red cross in it and the bottom box is empty but the pencil is about to write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Clipboard graphic - Description: The graphic is of a brown clip board with a white piece of paper and a pencil. On the paper is a list with 3 boxes with lines next to each box. The top box has a green tick in it, the middle box has a red cross in it and the bottom box is empty but the pencil is about to write in i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06475" cy="1006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BBA7F" w14:textId="3C7B8150" w:rsidR="007D2456" w:rsidRPr="00F0213A" w:rsidRDefault="007D2456" w:rsidP="00E172F7">
            <w:pPr>
              <w:jc w:val="both"/>
              <w:rPr>
                <w:rFonts w:ascii="Aptos" w:hAnsi="Aptos" w:cs="Arial"/>
                <w:color w:val="002060"/>
                <w:sz w:val="36"/>
                <w:szCs w:val="24"/>
              </w:rPr>
            </w:pPr>
            <w:r w:rsidRPr="00F0213A">
              <w:rPr>
                <w:rFonts w:ascii="Aptos" w:hAnsi="Aptos" w:cs="Arial"/>
                <w:color w:val="002060"/>
                <w:sz w:val="36"/>
                <w:szCs w:val="24"/>
              </w:rPr>
              <w:t xml:space="preserve">Overnight Care </w:t>
            </w:r>
            <w:r w:rsidR="00A65B72">
              <w:rPr>
                <w:rFonts w:ascii="Aptos" w:hAnsi="Aptos" w:cs="Arial"/>
                <w:color w:val="002060"/>
                <w:sz w:val="36"/>
                <w:szCs w:val="24"/>
              </w:rPr>
              <w:t xml:space="preserve">- </w:t>
            </w:r>
            <w:r w:rsidRPr="00F0213A">
              <w:rPr>
                <w:rFonts w:ascii="Aptos" w:hAnsi="Aptos" w:cs="Arial"/>
                <w:color w:val="002060"/>
                <w:sz w:val="36"/>
                <w:szCs w:val="24"/>
              </w:rPr>
              <w:t>Fee Item changes</w:t>
            </w:r>
          </w:p>
          <w:p w14:paraId="7D8A060B" w14:textId="77777777" w:rsidR="00537671" w:rsidRPr="00F0213A" w:rsidRDefault="007D2456" w:rsidP="00537671">
            <w:pPr>
              <w:rPr>
                <w:rFonts w:ascii="Aptos" w:hAnsi="Aptos"/>
                <w:color w:val="2F5496" w:themeColor="accent5" w:themeShade="BF"/>
                <w:sz w:val="24"/>
                <w:szCs w:val="24"/>
              </w:rPr>
            </w:pPr>
            <w:r w:rsidRPr="00F0213A">
              <w:rPr>
                <w:rFonts w:ascii="Aptos" w:hAnsi="Aptos"/>
                <w:color w:val="2F5496" w:themeColor="accent5" w:themeShade="BF"/>
                <w:sz w:val="24"/>
                <w:szCs w:val="24"/>
              </w:rPr>
              <w:t xml:space="preserve">As part </w:t>
            </w:r>
            <w:r w:rsidR="00537671" w:rsidRPr="00F0213A">
              <w:rPr>
                <w:rFonts w:ascii="Aptos" w:hAnsi="Aptos"/>
                <w:color w:val="2F5496" w:themeColor="accent5" w:themeShade="BF"/>
                <w:sz w:val="24"/>
                <w:szCs w:val="24"/>
              </w:rPr>
              <w:t xml:space="preserve">of </w:t>
            </w:r>
            <w:r w:rsidR="00537671">
              <w:rPr>
                <w:rFonts w:ascii="Aptos" w:hAnsi="Aptos"/>
                <w:color w:val="2F5496" w:themeColor="accent5" w:themeShade="BF"/>
                <w:sz w:val="24"/>
                <w:szCs w:val="24"/>
              </w:rPr>
              <w:t>a</w:t>
            </w:r>
            <w:r w:rsidR="00537671" w:rsidRPr="00F0213A">
              <w:rPr>
                <w:rFonts w:ascii="Aptos" w:hAnsi="Aptos"/>
                <w:color w:val="2F5496" w:themeColor="accent5" w:themeShade="BF"/>
                <w:sz w:val="24"/>
                <w:szCs w:val="24"/>
              </w:rPr>
              <w:t xml:space="preserve"> review of the scope and purpose </w:t>
            </w:r>
            <w:r w:rsidR="00537671">
              <w:rPr>
                <w:rFonts w:ascii="Aptos" w:hAnsi="Aptos"/>
                <w:color w:val="2F5496" w:themeColor="accent5" w:themeShade="BF"/>
                <w:sz w:val="24"/>
                <w:szCs w:val="24"/>
              </w:rPr>
              <w:t>of</w:t>
            </w:r>
            <w:r w:rsidR="00537671" w:rsidRPr="00F0213A">
              <w:rPr>
                <w:rFonts w:ascii="Aptos" w:hAnsi="Aptos"/>
                <w:color w:val="2F5496" w:themeColor="accent5" w:themeShade="BF"/>
                <w:sz w:val="24"/>
                <w:szCs w:val="24"/>
              </w:rPr>
              <w:t xml:space="preserve"> delivering overnight care in the Notes, four overnight care item numbers will be removed from the Schedule of Fees effective 1 March 2025. </w:t>
            </w:r>
          </w:p>
          <w:p w14:paraId="3316BD92" w14:textId="77777777" w:rsidR="00537671" w:rsidRPr="00F00287" w:rsidRDefault="00537671" w:rsidP="00537671">
            <w:pPr>
              <w:rPr>
                <w:rFonts w:ascii="Aptos" w:hAnsi="Aptos"/>
                <w:color w:val="2F5496" w:themeColor="accent5" w:themeShade="BF"/>
                <w:sz w:val="18"/>
                <w:szCs w:val="18"/>
              </w:rPr>
            </w:pPr>
          </w:p>
          <w:p w14:paraId="0A736156" w14:textId="77777777" w:rsidR="00537671" w:rsidRDefault="00537671" w:rsidP="00537671">
            <w:pPr>
              <w:rPr>
                <w:rFonts w:ascii="Aptos" w:hAnsi="Aptos"/>
                <w:color w:val="2F5496" w:themeColor="accent5" w:themeShade="BF"/>
                <w:sz w:val="24"/>
                <w:szCs w:val="24"/>
              </w:rPr>
            </w:pPr>
            <w:r w:rsidRPr="00F0213A">
              <w:rPr>
                <w:rFonts w:ascii="Aptos" w:hAnsi="Aptos"/>
                <w:color w:val="2F5496" w:themeColor="accent5" w:themeShade="BF"/>
                <w:sz w:val="24"/>
                <w:szCs w:val="24"/>
              </w:rPr>
              <w:t>The item numbers (NS31, NS38, NT47 and NT54) for overnight care up to 6 hours will be closed, with the last date these items can be claimed being 28 February 2025. This is to reflect the intent of overnight care being to provide clinically required care to clients throughout the night</w:t>
            </w:r>
            <w:r>
              <w:rPr>
                <w:rFonts w:ascii="Aptos" w:hAnsi="Aptos"/>
                <w:color w:val="2F5496" w:themeColor="accent5" w:themeShade="BF"/>
                <w:sz w:val="24"/>
                <w:szCs w:val="24"/>
              </w:rPr>
              <w:t xml:space="preserve"> and the client’s period of sleep</w:t>
            </w:r>
            <w:r w:rsidRPr="00F0213A">
              <w:rPr>
                <w:rFonts w:ascii="Aptos" w:hAnsi="Aptos"/>
                <w:color w:val="2F5496" w:themeColor="accent5" w:themeShade="BF"/>
                <w:sz w:val="24"/>
                <w:szCs w:val="24"/>
              </w:rPr>
              <w:t xml:space="preserve">. </w:t>
            </w:r>
          </w:p>
          <w:p w14:paraId="0769C4D0" w14:textId="77777777" w:rsidR="00537671" w:rsidRPr="00F00287" w:rsidRDefault="00537671" w:rsidP="00537671">
            <w:pPr>
              <w:rPr>
                <w:rFonts w:ascii="Aptos" w:hAnsi="Aptos"/>
                <w:color w:val="2F5496" w:themeColor="accent5" w:themeShade="BF"/>
                <w:sz w:val="18"/>
                <w:szCs w:val="18"/>
              </w:rPr>
            </w:pPr>
          </w:p>
          <w:p w14:paraId="1D2F04A0" w14:textId="77777777" w:rsidR="00661836" w:rsidRDefault="00537671" w:rsidP="00537671">
            <w:pPr>
              <w:rPr>
                <w:rFonts w:ascii="Aptos" w:hAnsi="Aptos"/>
                <w:color w:val="2F5496" w:themeColor="accent5" w:themeShade="BF"/>
                <w:sz w:val="24"/>
                <w:szCs w:val="24"/>
              </w:rPr>
            </w:pPr>
            <w:r w:rsidRPr="00F0213A">
              <w:rPr>
                <w:rFonts w:ascii="Aptos" w:hAnsi="Aptos"/>
                <w:color w:val="2F5496" w:themeColor="accent5" w:themeShade="BF"/>
                <w:sz w:val="24"/>
                <w:szCs w:val="24"/>
              </w:rPr>
              <w:lastRenderedPageBreak/>
              <w:t xml:space="preserve">An updated version of the Schedule of Fees will be made available on the </w:t>
            </w:r>
            <w:hyperlink r:id="rId13" w:history="1">
              <w:r w:rsidRPr="00F0213A">
                <w:rPr>
                  <w:rStyle w:val="Hyperlink"/>
                  <w:rFonts w:ascii="Aptos" w:hAnsi="Aptos"/>
                  <w:color w:val="2F5496" w:themeColor="accent5" w:themeShade="BF"/>
                  <w:sz w:val="24"/>
                  <w:szCs w:val="24"/>
                </w:rPr>
                <w:t>DVA website</w:t>
              </w:r>
            </w:hyperlink>
            <w:r w:rsidRPr="00F0213A">
              <w:rPr>
                <w:rFonts w:ascii="Aptos" w:hAnsi="Aptos"/>
                <w:color w:val="2F5496" w:themeColor="accent5" w:themeShade="BF"/>
                <w:sz w:val="24"/>
                <w:szCs w:val="24"/>
              </w:rPr>
              <w:t xml:space="preserve"> prior to the change</w:t>
            </w:r>
            <w:r w:rsidR="007D2456" w:rsidRPr="00F0213A">
              <w:rPr>
                <w:rFonts w:ascii="Aptos" w:hAnsi="Aptos"/>
                <w:color w:val="2F5496" w:themeColor="accent5" w:themeShade="BF"/>
                <w:sz w:val="24"/>
                <w:szCs w:val="24"/>
              </w:rPr>
              <w:t>s taking effect.</w:t>
            </w:r>
          </w:p>
          <w:p w14:paraId="508B2C03" w14:textId="7B9EBE6B" w:rsidR="006C088E" w:rsidRPr="006C088E" w:rsidRDefault="006C088E" w:rsidP="00537671">
            <w:pPr>
              <w:rPr>
                <w:rFonts w:ascii="Aptos" w:hAnsi="Aptos"/>
                <w:color w:val="2F5496" w:themeColor="accent5" w:themeShade="BF"/>
                <w:sz w:val="16"/>
                <w:szCs w:val="16"/>
              </w:rPr>
            </w:pPr>
          </w:p>
        </w:tc>
      </w:tr>
      <w:tr w:rsidR="00006AA8" w:rsidRPr="00C15C28" w14:paraId="3ABB017C" w14:textId="77777777" w:rsidTr="0056157A">
        <w:trPr>
          <w:trHeight w:val="1120"/>
        </w:trPr>
        <w:tc>
          <w:tcPr>
            <w:tcW w:w="11194" w:type="dxa"/>
            <w:shd w:val="clear" w:color="auto" w:fill="9CC2E5" w:themeFill="accent1" w:themeFillTint="99"/>
          </w:tcPr>
          <w:p w14:paraId="7F857FD1" w14:textId="77777777" w:rsidR="009C3282" w:rsidRPr="009C3282" w:rsidRDefault="009C3282" w:rsidP="00006AA8">
            <w:pPr>
              <w:rPr>
                <w:rFonts w:ascii="Aptos" w:hAnsi="Aptos" w:cs="Arial"/>
                <w:color w:val="002060"/>
                <w:sz w:val="16"/>
                <w:szCs w:val="16"/>
              </w:rPr>
            </w:pPr>
          </w:p>
          <w:p w14:paraId="0A5D2D79" w14:textId="6172787F" w:rsidR="00006AA8" w:rsidRDefault="004070AA" w:rsidP="00514B11">
            <w:pPr>
              <w:rPr>
                <w:rFonts w:ascii="Aptos" w:hAnsi="Aptos" w:cs="Arial"/>
                <w:color w:val="002060"/>
                <w:sz w:val="36"/>
                <w:szCs w:val="36"/>
              </w:rPr>
            </w:pPr>
            <w:r w:rsidRPr="007A5766">
              <w:rPr>
                <w:rFonts w:ascii="Aptos" w:hAnsi="Aptos" w:cs="Arial"/>
                <w:color w:val="002060"/>
                <w:sz w:val="36"/>
                <w:szCs w:val="36"/>
              </w:rPr>
              <w:t xml:space="preserve">Historical </w:t>
            </w:r>
            <w:r w:rsidR="00006AA8" w:rsidRPr="007A5766">
              <w:rPr>
                <w:rFonts w:ascii="Aptos" w:hAnsi="Aptos" w:cs="Arial"/>
                <w:color w:val="002060"/>
                <w:sz w:val="36"/>
                <w:szCs w:val="36"/>
              </w:rPr>
              <w:t>Leave Liabilities</w:t>
            </w:r>
            <w:r w:rsidRPr="007A5766">
              <w:rPr>
                <w:rFonts w:ascii="Aptos" w:hAnsi="Aptos" w:cs="Arial"/>
                <w:color w:val="002060"/>
                <w:sz w:val="36"/>
                <w:szCs w:val="36"/>
              </w:rPr>
              <w:t xml:space="preserve"> – Fair Work Commission Aged Care Work Value Case</w:t>
            </w:r>
          </w:p>
          <w:p w14:paraId="32400CBF" w14:textId="77777777" w:rsidR="0080273E" w:rsidRDefault="0080273E" w:rsidP="00514B11">
            <w:pPr>
              <w:spacing w:before="240"/>
              <w:rPr>
                <w:rFonts w:ascii="Aptos" w:hAnsi="Aptos"/>
                <w:color w:val="2F5496" w:themeColor="accent5" w:themeShade="BF"/>
                <w:sz w:val="24"/>
                <w:szCs w:val="24"/>
              </w:rPr>
            </w:pPr>
            <w:r w:rsidRPr="007A5766">
              <w:rPr>
                <w:rFonts w:ascii="Aptos" w:hAnsi="Aptos"/>
                <w:color w:val="2F5496" w:themeColor="accent5" w:themeShade="BF"/>
                <w:sz w:val="24"/>
                <w:szCs w:val="24"/>
              </w:rPr>
              <w:t xml:space="preserve">In September 2024, the Fair Work Commission (FWC) made a decision under Stage 3 of the </w:t>
            </w:r>
            <w:hyperlink r:id="rId14" w:history="1">
              <w:r w:rsidRPr="007A5766">
                <w:rPr>
                  <w:rStyle w:val="Hyperlink"/>
                  <w:rFonts w:ascii="Aptos" w:hAnsi="Aptos"/>
                  <w:color w:val="2F5496" w:themeColor="accent5" w:themeShade="BF"/>
                  <w:sz w:val="24"/>
                  <w:szCs w:val="24"/>
                </w:rPr>
                <w:t>Aged Care Work Value Case</w:t>
              </w:r>
            </w:hyperlink>
            <w:r w:rsidRPr="007A5766">
              <w:rPr>
                <w:rFonts w:ascii="Aptos" w:hAnsi="Aptos"/>
                <w:color w:val="2F5496" w:themeColor="accent5" w:themeShade="BF"/>
                <w:sz w:val="24"/>
                <w:szCs w:val="24"/>
              </w:rPr>
              <w:t xml:space="preserve"> to further increase award wage increases for many aged care workers. As part of the Australian Government’s commitment to fund the increases following the FWC’s Stage 3 decision, the fees for personal care delivered under the Veterans’ Home Care (VHC) and Community Nursing programs increased from 1 January 2025.</w:t>
            </w:r>
          </w:p>
          <w:p w14:paraId="298A5018" w14:textId="77777777" w:rsidR="00D6399E" w:rsidRPr="007A5766" w:rsidRDefault="00D6399E" w:rsidP="0080273E">
            <w:pPr>
              <w:rPr>
                <w:rFonts w:ascii="Aptos" w:hAnsi="Aptos"/>
                <w:color w:val="2F5496" w:themeColor="accent5" w:themeShade="BF"/>
                <w:sz w:val="24"/>
                <w:szCs w:val="24"/>
              </w:rPr>
            </w:pPr>
          </w:p>
          <w:p w14:paraId="5E35D8AC" w14:textId="77777777" w:rsidR="0080273E" w:rsidRDefault="0080273E" w:rsidP="0080273E">
            <w:pPr>
              <w:rPr>
                <w:rFonts w:ascii="Aptos" w:hAnsi="Aptos"/>
                <w:color w:val="2F5496" w:themeColor="accent5" w:themeShade="BF"/>
                <w:sz w:val="24"/>
                <w:szCs w:val="24"/>
              </w:rPr>
            </w:pPr>
            <w:r w:rsidRPr="007A5766">
              <w:rPr>
                <w:rFonts w:ascii="Aptos" w:hAnsi="Aptos"/>
                <w:color w:val="2F5496" w:themeColor="accent5" w:themeShade="BF"/>
                <w:sz w:val="24"/>
                <w:szCs w:val="24"/>
              </w:rPr>
              <w:t xml:space="preserve">In addition, $389,000 in funding has been made available for providers of Department of Veterans’ Affairs (DVA) VHC and Community Nursing services to fund historical leave liabilities for in scope employees </w:t>
            </w:r>
            <w:proofErr w:type="gramStart"/>
            <w:r w:rsidRPr="007A5766">
              <w:rPr>
                <w:rFonts w:ascii="Aptos" w:hAnsi="Aptos"/>
                <w:color w:val="2F5496" w:themeColor="accent5" w:themeShade="BF"/>
                <w:sz w:val="24"/>
                <w:szCs w:val="24"/>
              </w:rPr>
              <w:t>as a result of</w:t>
            </w:r>
            <w:proofErr w:type="gramEnd"/>
            <w:r w:rsidRPr="007A5766">
              <w:rPr>
                <w:rFonts w:ascii="Aptos" w:hAnsi="Aptos"/>
                <w:color w:val="2F5496" w:themeColor="accent5" w:themeShade="BF"/>
                <w:sz w:val="24"/>
                <w:szCs w:val="24"/>
              </w:rPr>
              <w:t xml:space="preserve"> the FWC’s decision.</w:t>
            </w:r>
          </w:p>
          <w:p w14:paraId="4A184BFC" w14:textId="77777777" w:rsidR="00D6399E" w:rsidRPr="007A5766" w:rsidRDefault="00D6399E" w:rsidP="0080273E">
            <w:pPr>
              <w:rPr>
                <w:rFonts w:ascii="Aptos" w:hAnsi="Aptos"/>
                <w:color w:val="2F5496" w:themeColor="accent5" w:themeShade="BF"/>
                <w:sz w:val="24"/>
                <w:szCs w:val="24"/>
              </w:rPr>
            </w:pPr>
          </w:p>
          <w:p w14:paraId="52C61DCB" w14:textId="77777777" w:rsidR="0080273E" w:rsidRPr="007A5766" w:rsidRDefault="0080273E" w:rsidP="0080273E">
            <w:pPr>
              <w:rPr>
                <w:rFonts w:ascii="Aptos" w:hAnsi="Aptos"/>
                <w:b/>
                <w:bCs/>
                <w:i/>
                <w:iCs/>
                <w:color w:val="2F5496" w:themeColor="accent5" w:themeShade="BF"/>
                <w:sz w:val="24"/>
                <w:szCs w:val="24"/>
              </w:rPr>
            </w:pPr>
            <w:r w:rsidRPr="007A5766">
              <w:rPr>
                <w:rFonts w:ascii="Aptos" w:hAnsi="Aptos"/>
                <w:b/>
                <w:bCs/>
                <w:i/>
                <w:iCs/>
                <w:color w:val="2F5496" w:themeColor="accent5" w:themeShade="BF"/>
                <w:sz w:val="24"/>
                <w:szCs w:val="24"/>
              </w:rPr>
              <w:t>About the funding</w:t>
            </w:r>
          </w:p>
          <w:p w14:paraId="1571D063" w14:textId="77777777" w:rsidR="0080273E" w:rsidRPr="007A5766" w:rsidRDefault="0080273E" w:rsidP="0080273E">
            <w:pPr>
              <w:rPr>
                <w:rFonts w:ascii="Aptos" w:hAnsi="Aptos"/>
                <w:color w:val="2F5496" w:themeColor="accent5" w:themeShade="BF"/>
                <w:sz w:val="24"/>
                <w:szCs w:val="24"/>
              </w:rPr>
            </w:pPr>
            <w:r w:rsidRPr="007A5766">
              <w:rPr>
                <w:rFonts w:ascii="Aptos" w:hAnsi="Aptos"/>
                <w:color w:val="2F5496" w:themeColor="accent5" w:themeShade="BF"/>
                <w:sz w:val="24"/>
                <w:szCs w:val="24"/>
              </w:rPr>
              <w:t xml:space="preserve">You can apply for historical leave liability funding from DVA directly if you:  </w:t>
            </w:r>
          </w:p>
          <w:p w14:paraId="4A541F0F" w14:textId="77777777" w:rsidR="0080273E" w:rsidRPr="007A5766" w:rsidRDefault="0080273E" w:rsidP="0080273E">
            <w:pPr>
              <w:pStyle w:val="ListParagraph"/>
              <w:numPr>
                <w:ilvl w:val="0"/>
                <w:numId w:val="13"/>
              </w:numPr>
              <w:rPr>
                <w:rFonts w:ascii="Aptos" w:hAnsi="Aptos"/>
                <w:color w:val="2F5496" w:themeColor="accent5" w:themeShade="BF"/>
                <w:sz w:val="24"/>
                <w:szCs w:val="24"/>
              </w:rPr>
            </w:pPr>
            <w:r w:rsidRPr="007A5766">
              <w:rPr>
                <w:rFonts w:ascii="Aptos" w:hAnsi="Aptos"/>
                <w:b/>
                <w:bCs/>
                <w:color w:val="2F5496" w:themeColor="accent5" w:themeShade="BF"/>
                <w:sz w:val="24"/>
                <w:szCs w:val="24"/>
              </w:rPr>
              <w:t xml:space="preserve">are a DVA-only </w:t>
            </w:r>
            <w:r w:rsidRPr="007A5766">
              <w:rPr>
                <w:rFonts w:ascii="Aptos" w:hAnsi="Aptos"/>
                <w:color w:val="2F5496" w:themeColor="accent5" w:themeShade="BF"/>
                <w:sz w:val="24"/>
                <w:szCs w:val="24"/>
              </w:rPr>
              <w:t>provider of Community Nursing and/or VHC services</w:t>
            </w:r>
          </w:p>
          <w:p w14:paraId="18386C07" w14:textId="77777777" w:rsidR="0080273E" w:rsidRPr="007A5766" w:rsidRDefault="0080273E" w:rsidP="0080273E">
            <w:pPr>
              <w:pStyle w:val="ListParagraph"/>
              <w:numPr>
                <w:ilvl w:val="0"/>
                <w:numId w:val="13"/>
              </w:numPr>
              <w:rPr>
                <w:rFonts w:ascii="Aptos" w:hAnsi="Aptos"/>
                <w:color w:val="2F5496" w:themeColor="accent5" w:themeShade="BF"/>
                <w:sz w:val="24"/>
                <w:szCs w:val="24"/>
              </w:rPr>
            </w:pPr>
            <w:r w:rsidRPr="007A5766">
              <w:rPr>
                <w:rFonts w:ascii="Aptos" w:hAnsi="Aptos"/>
                <w:b/>
                <w:bCs/>
                <w:color w:val="2F5496" w:themeColor="accent5" w:themeShade="BF"/>
                <w:sz w:val="24"/>
                <w:szCs w:val="24"/>
              </w:rPr>
              <w:t>are not an aged care provider</w:t>
            </w:r>
            <w:r w:rsidRPr="007A5766">
              <w:rPr>
                <w:rFonts w:ascii="Aptos" w:hAnsi="Aptos"/>
                <w:color w:val="2F5496" w:themeColor="accent5" w:themeShade="BF"/>
                <w:sz w:val="24"/>
                <w:szCs w:val="24"/>
              </w:rPr>
              <w:t xml:space="preserve"> (i.e. you are not registered to provide aged care programs including Residential Aged Care, Home Care Packages Program, Commonwealth Home Support Programme etc.) </w:t>
            </w:r>
            <w:r w:rsidRPr="007A5766">
              <w:rPr>
                <w:rFonts w:ascii="Aptos" w:hAnsi="Aptos"/>
                <w:b/>
                <w:bCs/>
                <w:color w:val="2F5496" w:themeColor="accent5" w:themeShade="BF"/>
                <w:sz w:val="24"/>
                <w:szCs w:val="24"/>
              </w:rPr>
              <w:t xml:space="preserve">AND </w:t>
            </w:r>
          </w:p>
          <w:p w14:paraId="4794F965" w14:textId="77777777" w:rsidR="0080273E" w:rsidRDefault="0080273E" w:rsidP="0080273E">
            <w:pPr>
              <w:pStyle w:val="ListParagraph"/>
              <w:numPr>
                <w:ilvl w:val="0"/>
                <w:numId w:val="13"/>
              </w:numPr>
              <w:rPr>
                <w:rFonts w:ascii="Aptos" w:hAnsi="Aptos"/>
                <w:color w:val="2F5496" w:themeColor="accent5" w:themeShade="BF"/>
                <w:sz w:val="24"/>
                <w:szCs w:val="24"/>
              </w:rPr>
            </w:pPr>
            <w:r w:rsidRPr="007A5766">
              <w:rPr>
                <w:rFonts w:ascii="Aptos" w:hAnsi="Aptos"/>
                <w:b/>
                <w:bCs/>
                <w:color w:val="2F5496" w:themeColor="accent5" w:themeShade="BF"/>
                <w:sz w:val="24"/>
                <w:szCs w:val="24"/>
              </w:rPr>
              <w:t>you have employee/s impacted</w:t>
            </w:r>
            <w:r w:rsidRPr="007A5766">
              <w:rPr>
                <w:rFonts w:ascii="Aptos" w:hAnsi="Aptos"/>
                <w:color w:val="2F5496" w:themeColor="accent5" w:themeShade="BF"/>
                <w:sz w:val="24"/>
                <w:szCs w:val="24"/>
              </w:rPr>
              <w:t xml:space="preserve"> by the FWC’s Stage 3 decision. </w:t>
            </w:r>
          </w:p>
          <w:p w14:paraId="6275FA58" w14:textId="77777777" w:rsidR="006F6456" w:rsidRPr="007A5766" w:rsidRDefault="006F6456" w:rsidP="006F6456">
            <w:pPr>
              <w:pStyle w:val="ListParagraph"/>
              <w:rPr>
                <w:rFonts w:ascii="Aptos" w:hAnsi="Aptos"/>
                <w:color w:val="2F5496" w:themeColor="accent5" w:themeShade="BF"/>
                <w:sz w:val="24"/>
                <w:szCs w:val="24"/>
              </w:rPr>
            </w:pPr>
          </w:p>
          <w:p w14:paraId="39308204" w14:textId="77777777" w:rsidR="0080273E" w:rsidRDefault="0080273E" w:rsidP="0080273E">
            <w:pPr>
              <w:rPr>
                <w:rFonts w:ascii="Aptos" w:hAnsi="Aptos"/>
                <w:color w:val="2F5496" w:themeColor="accent5" w:themeShade="BF"/>
                <w:sz w:val="24"/>
                <w:szCs w:val="24"/>
              </w:rPr>
            </w:pPr>
            <w:r w:rsidRPr="007A5766">
              <w:rPr>
                <w:rFonts w:ascii="Aptos" w:hAnsi="Aptos"/>
                <w:color w:val="2F5496" w:themeColor="accent5" w:themeShade="BF"/>
                <w:sz w:val="24"/>
                <w:szCs w:val="24"/>
              </w:rPr>
              <w:t xml:space="preserve">This funding opportunity is to fund providers for 50 percent of the cost associated with paying higher leave entitlements for aged care workers that have had their wages increased from 1 January 2025 </w:t>
            </w:r>
            <w:proofErr w:type="gramStart"/>
            <w:r w:rsidRPr="007A5766">
              <w:rPr>
                <w:rFonts w:ascii="Aptos" w:hAnsi="Aptos"/>
                <w:color w:val="2F5496" w:themeColor="accent5" w:themeShade="BF"/>
                <w:sz w:val="24"/>
                <w:szCs w:val="24"/>
              </w:rPr>
              <w:t>as a result of</w:t>
            </w:r>
            <w:proofErr w:type="gramEnd"/>
            <w:r w:rsidRPr="007A5766">
              <w:rPr>
                <w:rFonts w:ascii="Aptos" w:hAnsi="Aptos"/>
                <w:color w:val="2F5496" w:themeColor="accent5" w:themeShade="BF"/>
                <w:sz w:val="24"/>
                <w:szCs w:val="24"/>
              </w:rPr>
              <w:t xml:space="preserve"> the FWC’s decision. Funding can only be claimed to ‘top up’ relevant leave entitlements that are directly attributable to the FWC’s Stage 3 decision of a 1.464 percent wage increase. This includes payment of leave entitlements when an employee resigns. </w:t>
            </w:r>
          </w:p>
          <w:p w14:paraId="4357B5C3" w14:textId="77777777" w:rsidR="006F6456" w:rsidRPr="007A5766" w:rsidRDefault="006F6456" w:rsidP="0080273E">
            <w:pPr>
              <w:rPr>
                <w:rFonts w:ascii="Aptos" w:hAnsi="Aptos"/>
                <w:color w:val="2F5496" w:themeColor="accent5" w:themeShade="BF"/>
                <w:sz w:val="24"/>
                <w:szCs w:val="24"/>
              </w:rPr>
            </w:pPr>
          </w:p>
          <w:p w14:paraId="14F8A3A1" w14:textId="77777777" w:rsidR="0080273E" w:rsidRPr="007A5766" w:rsidRDefault="0080273E" w:rsidP="0080273E">
            <w:pPr>
              <w:rPr>
                <w:rFonts w:ascii="Aptos" w:hAnsi="Aptos"/>
                <w:color w:val="2F5496" w:themeColor="accent5" w:themeShade="BF"/>
                <w:sz w:val="24"/>
                <w:szCs w:val="24"/>
              </w:rPr>
            </w:pPr>
            <w:r w:rsidRPr="007A5766">
              <w:rPr>
                <w:rFonts w:ascii="Aptos" w:hAnsi="Aptos"/>
                <w:color w:val="2F5496" w:themeColor="accent5" w:themeShade="BF"/>
                <w:sz w:val="24"/>
                <w:szCs w:val="24"/>
              </w:rPr>
              <w:t>This application process is only valid for increases as part of the FWC’s Aged Care Work Value Case for in scope personal care workers. The process to apply for historical leave liability funding following the decision on the aged care nurses’ determination will be managed separately, and providers will be notified of this process as soon as it is available.</w:t>
            </w:r>
          </w:p>
          <w:p w14:paraId="21AA189A" w14:textId="77777777" w:rsidR="0080273E" w:rsidRDefault="0080273E" w:rsidP="0080273E">
            <w:pPr>
              <w:rPr>
                <w:rFonts w:ascii="Aptos" w:hAnsi="Aptos"/>
                <w:color w:val="2F5496" w:themeColor="accent5" w:themeShade="BF"/>
                <w:sz w:val="24"/>
                <w:szCs w:val="24"/>
              </w:rPr>
            </w:pPr>
            <w:r w:rsidRPr="007A5766">
              <w:rPr>
                <w:rFonts w:ascii="Aptos" w:hAnsi="Aptos"/>
                <w:color w:val="2F5496" w:themeColor="accent5" w:themeShade="BF"/>
                <w:sz w:val="24"/>
                <w:szCs w:val="24"/>
              </w:rPr>
              <w:t xml:space="preserve">Further information on the aged care wage increase can be found on the </w:t>
            </w:r>
            <w:hyperlink r:id="rId15" w:history="1">
              <w:r w:rsidRPr="007A5766">
                <w:rPr>
                  <w:rStyle w:val="Hyperlink"/>
                  <w:rFonts w:ascii="Aptos" w:hAnsi="Aptos"/>
                  <w:color w:val="2F5496" w:themeColor="accent5" w:themeShade="BF"/>
                  <w:sz w:val="24"/>
                  <w:szCs w:val="24"/>
                </w:rPr>
                <w:t>Department of Health and Aged Care’s</w:t>
              </w:r>
            </w:hyperlink>
            <w:r w:rsidRPr="007A5766">
              <w:rPr>
                <w:rFonts w:ascii="Aptos" w:hAnsi="Aptos"/>
                <w:color w:val="2F5496" w:themeColor="accent5" w:themeShade="BF"/>
                <w:sz w:val="24"/>
                <w:szCs w:val="24"/>
              </w:rPr>
              <w:t xml:space="preserve"> website.</w:t>
            </w:r>
          </w:p>
          <w:p w14:paraId="63C1CA12" w14:textId="77777777" w:rsidR="006F6456" w:rsidRPr="007A5766" w:rsidRDefault="006F6456" w:rsidP="0080273E">
            <w:pPr>
              <w:rPr>
                <w:rFonts w:ascii="Aptos" w:hAnsi="Aptos"/>
                <w:color w:val="2F5496" w:themeColor="accent5" w:themeShade="BF"/>
                <w:sz w:val="24"/>
                <w:szCs w:val="24"/>
              </w:rPr>
            </w:pPr>
          </w:p>
          <w:p w14:paraId="157E9FDE" w14:textId="77777777" w:rsidR="0080273E" w:rsidRPr="007A5766" w:rsidRDefault="0080273E" w:rsidP="00514B11">
            <w:pPr>
              <w:rPr>
                <w:rFonts w:ascii="Aptos" w:hAnsi="Aptos"/>
                <w:b/>
                <w:bCs/>
                <w:i/>
                <w:iCs/>
                <w:color w:val="2F5496" w:themeColor="accent5" w:themeShade="BF"/>
                <w:sz w:val="24"/>
                <w:szCs w:val="24"/>
              </w:rPr>
            </w:pPr>
            <w:r w:rsidRPr="007A5766">
              <w:rPr>
                <w:rFonts w:ascii="Aptos" w:hAnsi="Aptos"/>
                <w:b/>
                <w:bCs/>
                <w:i/>
                <w:iCs/>
                <w:color w:val="2F5496" w:themeColor="accent5" w:themeShade="BF"/>
                <w:sz w:val="24"/>
                <w:szCs w:val="24"/>
              </w:rPr>
              <w:t xml:space="preserve">How to apply </w:t>
            </w:r>
          </w:p>
          <w:p w14:paraId="35C7CBE9" w14:textId="77777777" w:rsidR="0080273E" w:rsidRDefault="0080273E" w:rsidP="0080273E">
            <w:pPr>
              <w:rPr>
                <w:rFonts w:ascii="Aptos" w:hAnsi="Aptos"/>
                <w:color w:val="2F5496" w:themeColor="accent5" w:themeShade="BF"/>
                <w:sz w:val="24"/>
                <w:szCs w:val="24"/>
              </w:rPr>
            </w:pPr>
            <w:r w:rsidRPr="007A5766">
              <w:rPr>
                <w:rFonts w:ascii="Aptos" w:hAnsi="Aptos"/>
                <w:color w:val="2F5496" w:themeColor="accent5" w:themeShade="BF"/>
                <w:sz w:val="24"/>
                <w:szCs w:val="24"/>
              </w:rPr>
              <w:t xml:space="preserve">To apply for funding from DVA you will need to complete the </w:t>
            </w:r>
            <w:r w:rsidRPr="007A5766">
              <w:rPr>
                <w:rFonts w:ascii="Aptos" w:hAnsi="Aptos"/>
                <w:b/>
                <w:bCs/>
                <w:color w:val="2F5496" w:themeColor="accent5" w:themeShade="BF"/>
                <w:sz w:val="24"/>
                <w:szCs w:val="24"/>
              </w:rPr>
              <w:t xml:space="preserve">Provider Application Form </w:t>
            </w:r>
            <w:r w:rsidRPr="007A5766">
              <w:rPr>
                <w:rFonts w:ascii="Aptos" w:hAnsi="Aptos"/>
                <w:color w:val="2F5496" w:themeColor="accent5" w:themeShade="BF"/>
                <w:sz w:val="24"/>
                <w:szCs w:val="24"/>
              </w:rPr>
              <w:t xml:space="preserve">and submit this along with supporting documentation to </w:t>
            </w:r>
            <w:hyperlink r:id="rId16" w:history="1">
              <w:r w:rsidRPr="007A5766">
                <w:rPr>
                  <w:rStyle w:val="Hyperlink"/>
                  <w:rFonts w:ascii="Aptos" w:hAnsi="Aptos"/>
                  <w:color w:val="2F5496" w:themeColor="accent5" w:themeShade="BF"/>
                  <w:sz w:val="24"/>
                  <w:szCs w:val="24"/>
                </w:rPr>
                <w:t>DVA.Sustainability.Payments@dva.gov.au</w:t>
              </w:r>
            </w:hyperlink>
            <w:r w:rsidRPr="007A5766">
              <w:rPr>
                <w:rFonts w:ascii="Aptos" w:hAnsi="Aptos"/>
                <w:color w:val="2F5496" w:themeColor="accent5" w:themeShade="BF"/>
                <w:sz w:val="24"/>
                <w:szCs w:val="24"/>
              </w:rPr>
              <w:t>.</w:t>
            </w:r>
          </w:p>
          <w:p w14:paraId="23003AD6" w14:textId="77777777" w:rsidR="0056157A" w:rsidRPr="007A5766" w:rsidRDefault="0056157A" w:rsidP="0080273E">
            <w:pPr>
              <w:rPr>
                <w:rFonts w:ascii="Aptos" w:hAnsi="Aptos"/>
                <w:color w:val="2F5496" w:themeColor="accent5" w:themeShade="BF"/>
                <w:sz w:val="24"/>
                <w:szCs w:val="24"/>
              </w:rPr>
            </w:pPr>
          </w:p>
          <w:p w14:paraId="4CE66F54" w14:textId="77777777" w:rsidR="0080273E" w:rsidRPr="007A5766" w:rsidRDefault="0080273E" w:rsidP="0080273E">
            <w:pPr>
              <w:rPr>
                <w:rFonts w:ascii="Aptos" w:hAnsi="Aptos"/>
                <w:b/>
                <w:bCs/>
                <w:color w:val="2F5496" w:themeColor="accent5" w:themeShade="BF"/>
                <w:sz w:val="24"/>
                <w:szCs w:val="24"/>
              </w:rPr>
            </w:pPr>
            <w:r w:rsidRPr="007A5766">
              <w:rPr>
                <w:rFonts w:ascii="Aptos" w:hAnsi="Aptos"/>
                <w:b/>
                <w:bCs/>
                <w:color w:val="2F5496" w:themeColor="accent5" w:themeShade="BF"/>
                <w:sz w:val="24"/>
                <w:szCs w:val="24"/>
              </w:rPr>
              <w:lastRenderedPageBreak/>
              <w:t xml:space="preserve">Applications close on 31 March 2025. </w:t>
            </w:r>
          </w:p>
          <w:p w14:paraId="3F49C082" w14:textId="77777777" w:rsidR="0080273E" w:rsidRPr="007A5766" w:rsidRDefault="0080273E" w:rsidP="0080273E">
            <w:pPr>
              <w:rPr>
                <w:rFonts w:ascii="Aptos" w:hAnsi="Aptos"/>
                <w:color w:val="2F5496" w:themeColor="accent5" w:themeShade="BF"/>
                <w:sz w:val="24"/>
                <w:szCs w:val="24"/>
              </w:rPr>
            </w:pPr>
            <w:r w:rsidRPr="007A5766">
              <w:rPr>
                <w:rFonts w:ascii="Aptos" w:hAnsi="Aptos"/>
                <w:color w:val="2F5496" w:themeColor="accent5" w:themeShade="BF"/>
                <w:sz w:val="24"/>
                <w:szCs w:val="24"/>
              </w:rPr>
              <w:t>Please refer to the attached Aged Care Wages – Historical Leave Liability Funding documents:</w:t>
            </w:r>
          </w:p>
          <w:p w14:paraId="0B6B10A6" w14:textId="3ECCEDE4" w:rsidR="0080273E" w:rsidRPr="007A5766" w:rsidRDefault="0080273E" w:rsidP="0080273E">
            <w:pPr>
              <w:pStyle w:val="ListParagraph"/>
              <w:numPr>
                <w:ilvl w:val="0"/>
                <w:numId w:val="12"/>
              </w:numPr>
              <w:rPr>
                <w:rFonts w:ascii="Aptos" w:hAnsi="Aptos"/>
                <w:color w:val="2F5496" w:themeColor="accent5" w:themeShade="BF"/>
                <w:sz w:val="24"/>
                <w:szCs w:val="24"/>
              </w:rPr>
            </w:pPr>
            <w:r w:rsidRPr="007A5766">
              <w:rPr>
                <w:rFonts w:ascii="Aptos" w:hAnsi="Aptos"/>
                <w:color w:val="2F5496" w:themeColor="accent5" w:themeShade="BF"/>
                <w:sz w:val="24"/>
                <w:szCs w:val="24"/>
              </w:rPr>
              <w:t>Provider Application Process and Guidelines</w:t>
            </w:r>
            <w:r w:rsidR="00EC0D70">
              <w:rPr>
                <w:rFonts w:ascii="Aptos" w:hAnsi="Aptos"/>
                <w:color w:val="2F5496" w:themeColor="accent5" w:themeShade="BF"/>
                <w:sz w:val="24"/>
                <w:szCs w:val="24"/>
              </w:rPr>
              <w:t xml:space="preserve"> - </w:t>
            </w:r>
            <w:r w:rsidR="002554A9">
              <w:rPr>
                <w:rFonts w:ascii="Aptos" w:hAnsi="Aptos"/>
                <w:color w:val="2F5496" w:themeColor="accent5" w:themeShade="BF"/>
                <w:sz w:val="24"/>
                <w:szCs w:val="24"/>
              </w:rPr>
              <w:t>Personal Care</w:t>
            </w:r>
            <w:r w:rsidR="00EC0D70">
              <w:rPr>
                <w:rFonts w:ascii="Aptos" w:hAnsi="Aptos"/>
                <w:color w:val="2F5496" w:themeColor="accent5" w:themeShade="BF"/>
                <w:sz w:val="24"/>
                <w:szCs w:val="24"/>
              </w:rPr>
              <w:t xml:space="preserve"> - </w:t>
            </w:r>
            <w:r w:rsidR="002554A9">
              <w:rPr>
                <w:rFonts w:ascii="Aptos" w:hAnsi="Aptos"/>
                <w:color w:val="2F5496" w:themeColor="accent5" w:themeShade="BF"/>
                <w:sz w:val="24"/>
                <w:szCs w:val="24"/>
              </w:rPr>
              <w:t>February 2025</w:t>
            </w:r>
          </w:p>
          <w:p w14:paraId="256A667B" w14:textId="3D9412DA" w:rsidR="0080273E" w:rsidRPr="007A5766" w:rsidRDefault="0080273E" w:rsidP="0080273E">
            <w:pPr>
              <w:pStyle w:val="ListParagraph"/>
              <w:numPr>
                <w:ilvl w:val="0"/>
                <w:numId w:val="12"/>
              </w:numPr>
              <w:rPr>
                <w:rFonts w:ascii="Aptos" w:hAnsi="Aptos"/>
                <w:color w:val="2F5496" w:themeColor="accent5" w:themeShade="BF"/>
                <w:sz w:val="24"/>
                <w:szCs w:val="24"/>
              </w:rPr>
            </w:pPr>
            <w:r w:rsidRPr="007A5766">
              <w:rPr>
                <w:rFonts w:ascii="Aptos" w:hAnsi="Aptos"/>
                <w:color w:val="2F5496" w:themeColor="accent5" w:themeShade="BF"/>
                <w:sz w:val="24"/>
                <w:szCs w:val="24"/>
              </w:rPr>
              <w:t>Provider FAQs</w:t>
            </w:r>
            <w:r w:rsidR="00EC0D70">
              <w:rPr>
                <w:rFonts w:ascii="Aptos" w:hAnsi="Aptos"/>
                <w:color w:val="2F5496" w:themeColor="accent5" w:themeShade="BF"/>
                <w:sz w:val="24"/>
                <w:szCs w:val="24"/>
              </w:rPr>
              <w:t xml:space="preserve"> - </w:t>
            </w:r>
            <w:r w:rsidR="002554A9">
              <w:rPr>
                <w:rFonts w:ascii="Aptos" w:hAnsi="Aptos"/>
                <w:color w:val="2F5496" w:themeColor="accent5" w:themeShade="BF"/>
                <w:sz w:val="24"/>
                <w:szCs w:val="24"/>
              </w:rPr>
              <w:t>Personal Care</w:t>
            </w:r>
            <w:r w:rsidR="00EC0D70">
              <w:rPr>
                <w:rFonts w:ascii="Aptos" w:hAnsi="Aptos"/>
                <w:color w:val="2F5496" w:themeColor="accent5" w:themeShade="BF"/>
                <w:sz w:val="24"/>
                <w:szCs w:val="24"/>
              </w:rPr>
              <w:t xml:space="preserve"> - </w:t>
            </w:r>
            <w:r w:rsidR="002554A9">
              <w:rPr>
                <w:rFonts w:ascii="Aptos" w:hAnsi="Aptos"/>
                <w:color w:val="2F5496" w:themeColor="accent5" w:themeShade="BF"/>
                <w:sz w:val="24"/>
                <w:szCs w:val="24"/>
              </w:rPr>
              <w:t>February 2025</w:t>
            </w:r>
          </w:p>
          <w:p w14:paraId="7DEA3CAB" w14:textId="1F6BAF2B" w:rsidR="0080273E" w:rsidRPr="007A5766" w:rsidRDefault="0080273E" w:rsidP="0080273E">
            <w:pPr>
              <w:pStyle w:val="ListParagraph"/>
              <w:numPr>
                <w:ilvl w:val="0"/>
                <w:numId w:val="12"/>
              </w:numPr>
              <w:rPr>
                <w:rFonts w:ascii="Aptos" w:hAnsi="Aptos"/>
                <w:color w:val="2F5496" w:themeColor="accent5" w:themeShade="BF"/>
                <w:sz w:val="24"/>
                <w:szCs w:val="24"/>
              </w:rPr>
            </w:pPr>
            <w:r w:rsidRPr="007A5766">
              <w:rPr>
                <w:rFonts w:ascii="Aptos" w:hAnsi="Aptos"/>
                <w:color w:val="2F5496" w:themeColor="accent5" w:themeShade="BF"/>
                <w:sz w:val="24"/>
                <w:szCs w:val="24"/>
              </w:rPr>
              <w:t>Provider Application Form</w:t>
            </w:r>
            <w:r w:rsidR="00EC0D70">
              <w:rPr>
                <w:rFonts w:ascii="Aptos" w:hAnsi="Aptos"/>
                <w:color w:val="2F5496" w:themeColor="accent5" w:themeShade="BF"/>
                <w:sz w:val="24"/>
                <w:szCs w:val="24"/>
              </w:rPr>
              <w:t xml:space="preserve"> - Personal Care - February 2025</w:t>
            </w:r>
          </w:p>
          <w:p w14:paraId="5C9BB0D6" w14:textId="77777777" w:rsidR="006F6456" w:rsidRDefault="006F6456" w:rsidP="0080273E">
            <w:pPr>
              <w:rPr>
                <w:rFonts w:ascii="Aptos" w:hAnsi="Aptos"/>
                <w:color w:val="2F5496" w:themeColor="accent5" w:themeShade="BF"/>
                <w:sz w:val="24"/>
                <w:szCs w:val="24"/>
              </w:rPr>
            </w:pPr>
          </w:p>
          <w:p w14:paraId="44ABC23B" w14:textId="77777777" w:rsidR="000511F2" w:rsidRDefault="0080273E" w:rsidP="006F6456">
            <w:pPr>
              <w:rPr>
                <w:rFonts w:ascii="Aptos" w:hAnsi="Aptos"/>
                <w:color w:val="2F5496" w:themeColor="accent5" w:themeShade="BF"/>
                <w:sz w:val="24"/>
                <w:szCs w:val="24"/>
              </w:rPr>
            </w:pPr>
            <w:r w:rsidRPr="007A5766">
              <w:rPr>
                <w:rFonts w:ascii="Aptos" w:hAnsi="Aptos"/>
                <w:color w:val="2F5496" w:themeColor="accent5" w:themeShade="BF"/>
                <w:sz w:val="24"/>
                <w:szCs w:val="24"/>
              </w:rPr>
              <w:t xml:space="preserve">If you have any questions regarding the application and funding process, please email </w:t>
            </w:r>
            <w:hyperlink r:id="rId17" w:history="1">
              <w:r w:rsidRPr="007A5766">
                <w:rPr>
                  <w:rStyle w:val="Hyperlink"/>
                  <w:rFonts w:ascii="Aptos" w:hAnsi="Aptos"/>
                  <w:color w:val="2F5496" w:themeColor="accent5" w:themeShade="BF"/>
                  <w:sz w:val="24"/>
                  <w:szCs w:val="24"/>
                </w:rPr>
                <w:t>DVA.Sustainability.Payments@dva.gov.au</w:t>
              </w:r>
            </w:hyperlink>
            <w:r w:rsidRPr="007A5766">
              <w:rPr>
                <w:rFonts w:ascii="Aptos" w:hAnsi="Aptos"/>
                <w:color w:val="2F5496" w:themeColor="accent5" w:themeShade="BF"/>
                <w:sz w:val="24"/>
                <w:szCs w:val="24"/>
              </w:rPr>
              <w:t>.</w:t>
            </w:r>
          </w:p>
          <w:p w14:paraId="7E2868D9" w14:textId="77777777" w:rsidR="001E03AE" w:rsidRDefault="001E03AE" w:rsidP="006F6456">
            <w:pPr>
              <w:rPr>
                <w:rFonts w:ascii="Aptos" w:hAnsi="Aptos"/>
                <w:color w:val="2F5496" w:themeColor="accent5" w:themeShade="BF"/>
                <w:sz w:val="24"/>
                <w:szCs w:val="24"/>
              </w:rPr>
            </w:pPr>
          </w:p>
          <w:p w14:paraId="37D9D861" w14:textId="77777777" w:rsidR="001E03AE" w:rsidRDefault="001E03AE" w:rsidP="006F6456">
            <w:pPr>
              <w:rPr>
                <w:rFonts w:ascii="Aptos" w:hAnsi="Aptos"/>
                <w:color w:val="2F5496" w:themeColor="accent5" w:themeShade="BF"/>
                <w:sz w:val="24"/>
                <w:szCs w:val="24"/>
              </w:rPr>
            </w:pPr>
          </w:p>
          <w:p w14:paraId="585D40C9" w14:textId="77777777" w:rsidR="001E03AE" w:rsidRDefault="001E03AE" w:rsidP="006F6456">
            <w:pPr>
              <w:rPr>
                <w:rFonts w:ascii="Aptos" w:hAnsi="Aptos"/>
                <w:color w:val="2F5496" w:themeColor="accent5" w:themeShade="BF"/>
                <w:sz w:val="24"/>
                <w:szCs w:val="24"/>
              </w:rPr>
            </w:pPr>
          </w:p>
          <w:p w14:paraId="4D07AE6A" w14:textId="30B19667" w:rsidR="0056157A" w:rsidRPr="009C3282" w:rsidRDefault="0056157A" w:rsidP="006F6456">
            <w:pPr>
              <w:rPr>
                <w:rFonts w:ascii="Aptos" w:hAnsi="Aptos" w:cs="Arial"/>
                <w:b/>
                <w:color w:val="002060"/>
                <w:sz w:val="16"/>
                <w:szCs w:val="16"/>
              </w:rPr>
            </w:pPr>
          </w:p>
        </w:tc>
      </w:tr>
      <w:tr w:rsidR="00006AA8" w:rsidRPr="00C15C28" w14:paraId="0ECAAF7F" w14:textId="77777777" w:rsidTr="00236244">
        <w:trPr>
          <w:trHeight w:val="3402"/>
        </w:trPr>
        <w:tc>
          <w:tcPr>
            <w:tcW w:w="11194" w:type="dxa"/>
            <w:shd w:val="clear" w:color="auto" w:fill="FFE599" w:themeFill="accent4" w:themeFillTint="66"/>
          </w:tcPr>
          <w:p w14:paraId="120F8FBE" w14:textId="77777777" w:rsidR="00EB230E" w:rsidRPr="00EB230E" w:rsidRDefault="00EB230E" w:rsidP="00006AA8">
            <w:pPr>
              <w:rPr>
                <w:rFonts w:ascii="Aptos" w:hAnsi="Aptos" w:cs="Arial"/>
                <w:color w:val="002060"/>
                <w:sz w:val="16"/>
                <w:szCs w:val="16"/>
              </w:rPr>
            </w:pPr>
          </w:p>
          <w:p w14:paraId="4F23514F" w14:textId="3348FC9B" w:rsidR="00006AA8" w:rsidRPr="00851149" w:rsidRDefault="00181EAA" w:rsidP="00006AA8">
            <w:pPr>
              <w:rPr>
                <w:rFonts w:ascii="Aptos" w:hAnsi="Aptos" w:cs="Arial"/>
                <w:color w:val="002060"/>
                <w:sz w:val="36"/>
                <w:szCs w:val="36"/>
              </w:rPr>
            </w:pPr>
            <w:r w:rsidRPr="00851149">
              <w:rPr>
                <w:rFonts w:ascii="Aptos" w:hAnsi="Aptos" w:cs="Arial"/>
                <w:color w:val="002060"/>
                <w:sz w:val="36"/>
                <w:szCs w:val="36"/>
              </w:rPr>
              <w:t>Sustainability Payments</w:t>
            </w:r>
          </w:p>
          <w:p w14:paraId="24B5A9CB" w14:textId="77777777" w:rsidR="006F2CA3" w:rsidRPr="00851149" w:rsidRDefault="006F2CA3" w:rsidP="006F2CA3">
            <w:pPr>
              <w:rPr>
                <w:rFonts w:ascii="Aptos" w:hAnsi="Aptos" w:cs="Calibri"/>
                <w:color w:val="2F5496" w:themeColor="accent5" w:themeShade="BF"/>
                <w:sz w:val="24"/>
                <w:szCs w:val="24"/>
              </w:rPr>
            </w:pPr>
            <w:r w:rsidRPr="00851149">
              <w:rPr>
                <w:rFonts w:ascii="Aptos" w:hAnsi="Aptos" w:cs="Calibri"/>
                <w:color w:val="2F5496" w:themeColor="accent5" w:themeShade="BF"/>
                <w:sz w:val="24"/>
                <w:szCs w:val="24"/>
              </w:rPr>
              <w:t xml:space="preserve">Quarter 3 Sustainability Payment email notifications were sent to eligible service providers in mid-January 2025.  </w:t>
            </w:r>
          </w:p>
          <w:p w14:paraId="683FA650" w14:textId="77777777" w:rsidR="006F2CA3" w:rsidRPr="00851149" w:rsidRDefault="006F2CA3" w:rsidP="006F2CA3">
            <w:pPr>
              <w:rPr>
                <w:rFonts w:ascii="Aptos" w:hAnsi="Aptos" w:cs="Calibri"/>
                <w:color w:val="2F5496" w:themeColor="accent5" w:themeShade="BF"/>
                <w:sz w:val="24"/>
                <w:szCs w:val="24"/>
              </w:rPr>
            </w:pPr>
          </w:p>
          <w:p w14:paraId="6CDC432C" w14:textId="09E34C0E" w:rsidR="006F2CA3" w:rsidRPr="00851149" w:rsidRDefault="006F2CA3" w:rsidP="006F2CA3">
            <w:pPr>
              <w:rPr>
                <w:rFonts w:ascii="Aptos" w:hAnsi="Aptos" w:cs="Calibri"/>
                <w:color w:val="2F5496" w:themeColor="accent5" w:themeShade="BF"/>
                <w:sz w:val="24"/>
                <w:szCs w:val="24"/>
              </w:rPr>
            </w:pPr>
            <w:r w:rsidRPr="00851149">
              <w:rPr>
                <w:rFonts w:ascii="Aptos" w:hAnsi="Aptos" w:cs="Calibri"/>
                <w:color w:val="2F5496" w:themeColor="accent5" w:themeShade="BF"/>
                <w:sz w:val="24"/>
                <w:szCs w:val="24"/>
              </w:rPr>
              <w:t xml:space="preserve">DVA encourages you to submit your invoice as soon as possible to ensure timely receipt of your Sustainability Payment.  If you are yet to submit an invoice for eligible payments for Quarter 1 (April-June 2024), Quarter 2 (July-September 2024) or Quarter 3 (October-December 2024), please submit invoices at the earliest opportunity.  </w:t>
            </w:r>
          </w:p>
          <w:p w14:paraId="5909CF57" w14:textId="77777777" w:rsidR="006F2CA3" w:rsidRPr="00851149" w:rsidRDefault="006F2CA3" w:rsidP="006F2CA3">
            <w:pPr>
              <w:rPr>
                <w:rFonts w:ascii="Aptos" w:hAnsi="Aptos" w:cs="Calibri"/>
                <w:color w:val="2F5496" w:themeColor="accent5" w:themeShade="BF"/>
                <w:sz w:val="24"/>
                <w:szCs w:val="24"/>
              </w:rPr>
            </w:pPr>
          </w:p>
          <w:p w14:paraId="68642D38" w14:textId="77777777" w:rsidR="006F2CA3" w:rsidRPr="00851149" w:rsidRDefault="006F2CA3" w:rsidP="006F2CA3">
            <w:pPr>
              <w:rPr>
                <w:rFonts w:ascii="Aptos" w:hAnsi="Aptos" w:cs="Calibri"/>
                <w:color w:val="2F5496" w:themeColor="accent5" w:themeShade="BF"/>
                <w:sz w:val="24"/>
                <w:szCs w:val="24"/>
              </w:rPr>
            </w:pPr>
            <w:r w:rsidRPr="00851149">
              <w:rPr>
                <w:rFonts w:ascii="Aptos" w:hAnsi="Aptos" w:cs="Calibri"/>
                <w:color w:val="2F5496" w:themeColor="accent5" w:themeShade="BF"/>
                <w:sz w:val="24"/>
                <w:szCs w:val="24"/>
              </w:rPr>
              <w:t>Please check your email inbox and/or junk mail to make sure you don’t miss out on the incoming email.</w:t>
            </w:r>
          </w:p>
          <w:p w14:paraId="6627BDC5" w14:textId="77777777" w:rsidR="006F2CA3" w:rsidRPr="00851149" w:rsidRDefault="006F2CA3" w:rsidP="006F2CA3">
            <w:pPr>
              <w:rPr>
                <w:rFonts w:ascii="Aptos" w:hAnsi="Aptos" w:cs="Calibri"/>
                <w:color w:val="2F5496" w:themeColor="accent5" w:themeShade="BF"/>
                <w:sz w:val="24"/>
                <w:szCs w:val="24"/>
              </w:rPr>
            </w:pPr>
          </w:p>
          <w:p w14:paraId="1DA81525" w14:textId="77777777" w:rsidR="006F2CA3" w:rsidRPr="00851149" w:rsidRDefault="006F2CA3" w:rsidP="006F2CA3">
            <w:pPr>
              <w:rPr>
                <w:rFonts w:ascii="Aptos" w:hAnsi="Aptos" w:cs="Calibri"/>
                <w:i/>
                <w:iCs/>
                <w:color w:val="2F5496" w:themeColor="accent5" w:themeShade="BF"/>
                <w:sz w:val="24"/>
                <w:szCs w:val="24"/>
              </w:rPr>
            </w:pPr>
            <w:r w:rsidRPr="00851149">
              <w:rPr>
                <w:rFonts w:ascii="Aptos" w:hAnsi="Aptos" w:cs="Calibri"/>
                <w:color w:val="2F5496" w:themeColor="accent5" w:themeShade="BF"/>
                <w:sz w:val="24"/>
                <w:szCs w:val="24"/>
              </w:rPr>
              <w:t xml:space="preserve">To minimise client count discrepancies, it is </w:t>
            </w:r>
            <w:r w:rsidRPr="00851149">
              <w:rPr>
                <w:rFonts w:ascii="Aptos" w:hAnsi="Aptos" w:cs="Calibri"/>
                <w:b/>
                <w:bCs/>
                <w:i/>
                <w:iCs/>
                <w:color w:val="2F5496" w:themeColor="accent5" w:themeShade="BF"/>
                <w:sz w:val="24"/>
                <w:szCs w:val="24"/>
              </w:rPr>
              <w:t>important that you lodge your claims each month</w:t>
            </w:r>
            <w:r w:rsidRPr="00851149">
              <w:rPr>
                <w:rFonts w:ascii="Aptos" w:hAnsi="Aptos" w:cs="Calibri"/>
                <w:color w:val="2F5496" w:themeColor="accent5" w:themeShade="BF"/>
                <w:sz w:val="24"/>
                <w:szCs w:val="24"/>
              </w:rPr>
              <w:t>.  </w:t>
            </w:r>
          </w:p>
          <w:p w14:paraId="543FF977" w14:textId="77777777" w:rsidR="006F2CA3" w:rsidRPr="00851149" w:rsidRDefault="006F2CA3" w:rsidP="006F2CA3">
            <w:pPr>
              <w:rPr>
                <w:rFonts w:ascii="Aptos" w:hAnsi="Aptos" w:cs="Calibri"/>
                <w:color w:val="2F5496" w:themeColor="accent5" w:themeShade="BF"/>
                <w:sz w:val="24"/>
                <w:szCs w:val="24"/>
              </w:rPr>
            </w:pPr>
          </w:p>
          <w:p w14:paraId="35523FF2" w14:textId="77777777" w:rsidR="006F2CA3" w:rsidRPr="00851149" w:rsidRDefault="006F2CA3" w:rsidP="006F2CA3">
            <w:pPr>
              <w:rPr>
                <w:rFonts w:ascii="Aptos" w:hAnsi="Aptos" w:cs="Calibri"/>
                <w:color w:val="2F5496" w:themeColor="accent5" w:themeShade="BF"/>
                <w:sz w:val="24"/>
                <w:szCs w:val="24"/>
              </w:rPr>
            </w:pPr>
            <w:r w:rsidRPr="00851149">
              <w:rPr>
                <w:rFonts w:ascii="Aptos" w:hAnsi="Aptos" w:cs="Calibri"/>
                <w:color w:val="2F5496" w:themeColor="accent5" w:themeShade="BF"/>
                <w:sz w:val="24"/>
                <w:szCs w:val="24"/>
              </w:rPr>
              <w:t xml:space="preserve">The DVA website </w:t>
            </w:r>
            <w:hyperlink r:id="rId18" w:history="1">
              <w:r w:rsidRPr="00851149">
                <w:rPr>
                  <w:rStyle w:val="Hyperlink"/>
                  <w:rFonts w:ascii="Aptos" w:hAnsi="Aptos" w:cs="Calibri"/>
                  <w:color w:val="2F5496" w:themeColor="accent5" w:themeShade="BF"/>
                  <w:sz w:val="24"/>
                  <w:szCs w:val="24"/>
                </w:rPr>
                <w:t>Sustainability Payments for Community Nursing and Veterans’ Home Care providers | Department of Veterans' Affairs</w:t>
              </w:r>
            </w:hyperlink>
            <w:r w:rsidRPr="00851149">
              <w:rPr>
                <w:rFonts w:ascii="Aptos" w:hAnsi="Aptos" w:cs="Calibri"/>
                <w:color w:val="2F5496" w:themeColor="accent5" w:themeShade="BF"/>
                <w:sz w:val="24"/>
                <w:szCs w:val="24"/>
              </w:rPr>
              <w:t>  provides extensive information for service providers to easily access important information and frequently asked questions about Sustainability Payments.  </w:t>
            </w:r>
          </w:p>
          <w:p w14:paraId="2F6BE81A" w14:textId="77777777" w:rsidR="006F2CA3" w:rsidRPr="00851149" w:rsidRDefault="006F2CA3" w:rsidP="006F2CA3">
            <w:pPr>
              <w:rPr>
                <w:rFonts w:ascii="Aptos" w:hAnsi="Aptos" w:cs="Aptos"/>
                <w:color w:val="2F5496" w:themeColor="accent5" w:themeShade="BF"/>
                <w:sz w:val="24"/>
                <w:szCs w:val="24"/>
              </w:rPr>
            </w:pPr>
          </w:p>
          <w:p w14:paraId="59B40855" w14:textId="77777777" w:rsidR="006F2CA3" w:rsidRPr="00851149" w:rsidRDefault="006F2CA3" w:rsidP="006F2CA3">
            <w:pPr>
              <w:rPr>
                <w:rFonts w:ascii="Aptos" w:hAnsi="Aptos" w:cs="Calibri"/>
                <w:color w:val="2F5496" w:themeColor="accent5" w:themeShade="BF"/>
                <w:sz w:val="24"/>
                <w:szCs w:val="24"/>
              </w:rPr>
            </w:pPr>
            <w:r w:rsidRPr="00851149">
              <w:rPr>
                <w:rFonts w:ascii="Aptos" w:hAnsi="Aptos" w:cs="Calibri"/>
                <w:color w:val="2F5496" w:themeColor="accent5" w:themeShade="BF"/>
                <w:sz w:val="24"/>
                <w:szCs w:val="24"/>
              </w:rPr>
              <w:t xml:space="preserve">Invoices and Queries regarding Sustainability Payments should be sent to </w:t>
            </w:r>
            <w:hyperlink r:id="rId19" w:history="1">
              <w:r w:rsidRPr="00851149">
                <w:rPr>
                  <w:rStyle w:val="Hyperlink"/>
                  <w:rFonts w:ascii="Aptos" w:hAnsi="Aptos" w:cs="Calibri"/>
                  <w:color w:val="2F5496" w:themeColor="accent5" w:themeShade="BF"/>
                  <w:sz w:val="24"/>
                  <w:szCs w:val="24"/>
                </w:rPr>
                <w:t>dva.sustainability.payments@dva.gov.au</w:t>
              </w:r>
            </w:hyperlink>
            <w:r w:rsidRPr="00851149">
              <w:rPr>
                <w:rFonts w:ascii="Aptos" w:hAnsi="Aptos" w:cs="Calibri"/>
                <w:color w:val="2F5496" w:themeColor="accent5" w:themeShade="BF"/>
                <w:sz w:val="24"/>
                <w:szCs w:val="24"/>
              </w:rPr>
              <w:t xml:space="preserve"> </w:t>
            </w:r>
          </w:p>
          <w:p w14:paraId="6AB08B61" w14:textId="77777777" w:rsidR="006F2CA3" w:rsidRPr="00851149" w:rsidRDefault="006F2CA3" w:rsidP="006F2CA3">
            <w:pPr>
              <w:rPr>
                <w:rFonts w:ascii="Aptos" w:hAnsi="Aptos" w:cs="Calibri"/>
                <w:color w:val="2F5496" w:themeColor="accent5" w:themeShade="BF"/>
                <w:sz w:val="24"/>
                <w:szCs w:val="24"/>
              </w:rPr>
            </w:pPr>
          </w:p>
          <w:p w14:paraId="11DFF4AA" w14:textId="77777777" w:rsidR="006F2CA3" w:rsidRPr="00851149" w:rsidRDefault="006F2CA3" w:rsidP="006F2CA3">
            <w:pPr>
              <w:rPr>
                <w:rFonts w:ascii="Aptos" w:hAnsi="Aptos" w:cs="Calibri"/>
                <w:color w:val="2F5496" w:themeColor="accent5" w:themeShade="BF"/>
                <w:sz w:val="24"/>
                <w:szCs w:val="24"/>
              </w:rPr>
            </w:pPr>
            <w:r w:rsidRPr="00851149">
              <w:rPr>
                <w:rFonts w:ascii="Aptos" w:hAnsi="Aptos" w:cs="Calibri"/>
                <w:b/>
                <w:bCs/>
                <w:i/>
                <w:iCs/>
                <w:color w:val="2F5496" w:themeColor="accent5" w:themeShade="BF"/>
                <w:sz w:val="24"/>
                <w:szCs w:val="24"/>
              </w:rPr>
              <w:t>Changes to contact details or contract management queries should be sent to the Contract Management Team:</w:t>
            </w:r>
            <w:r w:rsidRPr="00851149">
              <w:rPr>
                <w:rFonts w:ascii="Aptos" w:hAnsi="Aptos" w:cs="Calibri"/>
                <w:color w:val="2F5496" w:themeColor="accent5" w:themeShade="BF"/>
                <w:sz w:val="24"/>
                <w:szCs w:val="24"/>
              </w:rPr>
              <w:t xml:space="preserve"> </w:t>
            </w:r>
            <w:hyperlink r:id="rId20" w:history="1">
              <w:r w:rsidRPr="00851149">
                <w:rPr>
                  <w:rStyle w:val="Hyperlink"/>
                  <w:rFonts w:ascii="Aptos" w:hAnsi="Aptos" w:cs="Calibri"/>
                  <w:color w:val="2F5496" w:themeColor="accent5" w:themeShade="BF"/>
                  <w:sz w:val="24"/>
                  <w:szCs w:val="24"/>
                </w:rPr>
                <w:t>community.nursing.contracts@dva.gov.au</w:t>
              </w:r>
            </w:hyperlink>
            <w:r w:rsidRPr="00851149">
              <w:rPr>
                <w:rFonts w:ascii="Aptos" w:hAnsi="Aptos" w:cs="Calibri"/>
                <w:color w:val="2F5496" w:themeColor="accent5" w:themeShade="BF"/>
                <w:sz w:val="24"/>
                <w:szCs w:val="24"/>
              </w:rPr>
              <w:t xml:space="preserve"> </w:t>
            </w:r>
          </w:p>
          <w:p w14:paraId="08C52936" w14:textId="3D5A5E60" w:rsidR="006F2CA3" w:rsidRPr="00EB230E" w:rsidRDefault="006F2CA3" w:rsidP="00006AA8">
            <w:pPr>
              <w:rPr>
                <w:rFonts w:ascii="Aptos" w:hAnsi="Aptos" w:cs="Arial"/>
                <w:color w:val="002060"/>
                <w:sz w:val="16"/>
                <w:szCs w:val="16"/>
              </w:rPr>
            </w:pPr>
          </w:p>
        </w:tc>
      </w:tr>
    </w:tbl>
    <w:p w14:paraId="668B50F5" w14:textId="5DFD4138" w:rsidR="00C0740B" w:rsidRDefault="00C0740B"/>
    <w:sectPr w:rsidR="00C0740B" w:rsidSect="001E03AE">
      <w:pgSz w:w="11906" w:h="16838" w:code="9"/>
      <w:pgMar w:top="709" w:right="284" w:bottom="568"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2D95A" w14:textId="77777777" w:rsidR="00413BC6" w:rsidRDefault="00413BC6" w:rsidP="00413BC6">
      <w:pPr>
        <w:spacing w:after="0" w:line="240" w:lineRule="auto"/>
      </w:pPr>
      <w:r>
        <w:separator/>
      </w:r>
    </w:p>
  </w:endnote>
  <w:endnote w:type="continuationSeparator" w:id="0">
    <w:p w14:paraId="2480E8D7" w14:textId="77777777" w:rsidR="00413BC6" w:rsidRDefault="00413BC6" w:rsidP="0041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usGov DVA Stacked 4U">
    <w:panose1 w:val="020B0603050302020204"/>
    <w:charset w:val="02"/>
    <w:family w:val="swiss"/>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1B30" w14:textId="77777777" w:rsidR="00413BC6" w:rsidRDefault="00413BC6" w:rsidP="00413BC6">
      <w:pPr>
        <w:spacing w:after="0" w:line="240" w:lineRule="auto"/>
      </w:pPr>
      <w:r>
        <w:separator/>
      </w:r>
    </w:p>
  </w:footnote>
  <w:footnote w:type="continuationSeparator" w:id="0">
    <w:p w14:paraId="7A5488D4" w14:textId="77777777" w:rsidR="00413BC6" w:rsidRDefault="00413BC6" w:rsidP="00413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DC6"/>
    <w:multiLevelType w:val="hybridMultilevel"/>
    <w:tmpl w:val="6C7A2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034E34"/>
    <w:multiLevelType w:val="hybridMultilevel"/>
    <w:tmpl w:val="CA688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636915"/>
    <w:multiLevelType w:val="hybridMultilevel"/>
    <w:tmpl w:val="2F10D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37929"/>
    <w:multiLevelType w:val="hybridMultilevel"/>
    <w:tmpl w:val="E30C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D1F67"/>
    <w:multiLevelType w:val="hybridMultilevel"/>
    <w:tmpl w:val="B992B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951842"/>
    <w:multiLevelType w:val="hybridMultilevel"/>
    <w:tmpl w:val="C6C409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B843287"/>
    <w:multiLevelType w:val="hybridMultilevel"/>
    <w:tmpl w:val="5D84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4A0594"/>
    <w:multiLevelType w:val="hybridMultilevel"/>
    <w:tmpl w:val="47B69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B9079B"/>
    <w:multiLevelType w:val="hybridMultilevel"/>
    <w:tmpl w:val="A59C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376A7F"/>
    <w:multiLevelType w:val="hybridMultilevel"/>
    <w:tmpl w:val="C332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4433C5"/>
    <w:multiLevelType w:val="hybridMultilevel"/>
    <w:tmpl w:val="31F87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5F06696"/>
    <w:multiLevelType w:val="hybridMultilevel"/>
    <w:tmpl w:val="B9628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6877910"/>
    <w:multiLevelType w:val="hybridMultilevel"/>
    <w:tmpl w:val="C1EE6DFA"/>
    <w:lvl w:ilvl="0" w:tplc="A3F212EA">
      <w:start w:val="1"/>
      <w:numFmt w:val="bullet"/>
      <w:lvlText w:val=""/>
      <w:lvlJc w:val="left"/>
      <w:pPr>
        <w:ind w:left="720" w:hanging="360"/>
      </w:pPr>
      <w:rPr>
        <w:rFonts w:ascii="Symbol" w:hAnsi="Symbol" w:hint="default"/>
        <w:color w:val="2F5496" w:themeColor="accent5"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90933711">
    <w:abstractNumId w:val="9"/>
  </w:num>
  <w:num w:numId="2" w16cid:durableId="360520388">
    <w:abstractNumId w:val="6"/>
  </w:num>
  <w:num w:numId="3" w16cid:durableId="2018655726">
    <w:abstractNumId w:val="3"/>
  </w:num>
  <w:num w:numId="4" w16cid:durableId="200360421">
    <w:abstractNumId w:val="8"/>
  </w:num>
  <w:num w:numId="5" w16cid:durableId="561990170">
    <w:abstractNumId w:val="4"/>
  </w:num>
  <w:num w:numId="6" w16cid:durableId="1292322022">
    <w:abstractNumId w:val="10"/>
  </w:num>
  <w:num w:numId="7" w16cid:durableId="1373192402">
    <w:abstractNumId w:val="1"/>
  </w:num>
  <w:num w:numId="8" w16cid:durableId="1821389141">
    <w:abstractNumId w:val="5"/>
  </w:num>
  <w:num w:numId="9" w16cid:durableId="1224757497">
    <w:abstractNumId w:val="0"/>
  </w:num>
  <w:num w:numId="10" w16cid:durableId="562956699">
    <w:abstractNumId w:val="11"/>
  </w:num>
  <w:num w:numId="11" w16cid:durableId="1648315761">
    <w:abstractNumId w:val="12"/>
  </w:num>
  <w:num w:numId="12" w16cid:durableId="610624849">
    <w:abstractNumId w:val="2"/>
  </w:num>
  <w:num w:numId="13" w16cid:durableId="148449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14"/>
    <w:rsid w:val="00006AA8"/>
    <w:rsid w:val="000077A5"/>
    <w:rsid w:val="00016615"/>
    <w:rsid w:val="00034C58"/>
    <w:rsid w:val="00041A17"/>
    <w:rsid w:val="0005063F"/>
    <w:rsid w:val="000511F2"/>
    <w:rsid w:val="0009400E"/>
    <w:rsid w:val="000C1DAF"/>
    <w:rsid w:val="000E428B"/>
    <w:rsid w:val="0010426E"/>
    <w:rsid w:val="001217A9"/>
    <w:rsid w:val="0012303C"/>
    <w:rsid w:val="0013026D"/>
    <w:rsid w:val="001362D6"/>
    <w:rsid w:val="001465AB"/>
    <w:rsid w:val="00174C9F"/>
    <w:rsid w:val="00181EAA"/>
    <w:rsid w:val="00183FF6"/>
    <w:rsid w:val="0019714E"/>
    <w:rsid w:val="001B0871"/>
    <w:rsid w:val="001B095D"/>
    <w:rsid w:val="001B17E6"/>
    <w:rsid w:val="001B2B39"/>
    <w:rsid w:val="001B78B3"/>
    <w:rsid w:val="001C1FB6"/>
    <w:rsid w:val="001D307C"/>
    <w:rsid w:val="001E03AE"/>
    <w:rsid w:val="001F6112"/>
    <w:rsid w:val="002216EF"/>
    <w:rsid w:val="00236244"/>
    <w:rsid w:val="002554A9"/>
    <w:rsid w:val="00287AF7"/>
    <w:rsid w:val="00287FD6"/>
    <w:rsid w:val="002A6132"/>
    <w:rsid w:val="002D5965"/>
    <w:rsid w:val="002E17BC"/>
    <w:rsid w:val="002E3EDE"/>
    <w:rsid w:val="003016AF"/>
    <w:rsid w:val="00310274"/>
    <w:rsid w:val="003533DE"/>
    <w:rsid w:val="003A047F"/>
    <w:rsid w:val="003A1BB5"/>
    <w:rsid w:val="003B2965"/>
    <w:rsid w:val="003C7281"/>
    <w:rsid w:val="003C74B3"/>
    <w:rsid w:val="003E403E"/>
    <w:rsid w:val="003E4EFB"/>
    <w:rsid w:val="00402BB5"/>
    <w:rsid w:val="004070AA"/>
    <w:rsid w:val="00413BC6"/>
    <w:rsid w:val="0041658F"/>
    <w:rsid w:val="004472BB"/>
    <w:rsid w:val="004665BF"/>
    <w:rsid w:val="00483338"/>
    <w:rsid w:val="004C2E0D"/>
    <w:rsid w:val="004C611E"/>
    <w:rsid w:val="004E31C3"/>
    <w:rsid w:val="00514B11"/>
    <w:rsid w:val="00515957"/>
    <w:rsid w:val="00517AE9"/>
    <w:rsid w:val="00521BD7"/>
    <w:rsid w:val="00530FFD"/>
    <w:rsid w:val="00537671"/>
    <w:rsid w:val="00555906"/>
    <w:rsid w:val="0056157A"/>
    <w:rsid w:val="00570B1D"/>
    <w:rsid w:val="00576C69"/>
    <w:rsid w:val="005A4C98"/>
    <w:rsid w:val="005A6EC8"/>
    <w:rsid w:val="005C4878"/>
    <w:rsid w:val="005D2ED0"/>
    <w:rsid w:val="005E0809"/>
    <w:rsid w:val="005F1B1E"/>
    <w:rsid w:val="005F22AA"/>
    <w:rsid w:val="00607EFA"/>
    <w:rsid w:val="00626AF9"/>
    <w:rsid w:val="00633E2A"/>
    <w:rsid w:val="00644953"/>
    <w:rsid w:val="006609AC"/>
    <w:rsid w:val="00661836"/>
    <w:rsid w:val="00662FEB"/>
    <w:rsid w:val="00677A30"/>
    <w:rsid w:val="0068701B"/>
    <w:rsid w:val="006A6C87"/>
    <w:rsid w:val="006B512E"/>
    <w:rsid w:val="006C088E"/>
    <w:rsid w:val="006E220C"/>
    <w:rsid w:val="006F2CA3"/>
    <w:rsid w:val="006F5147"/>
    <w:rsid w:val="006F6456"/>
    <w:rsid w:val="006F6FD9"/>
    <w:rsid w:val="007175CF"/>
    <w:rsid w:val="00727931"/>
    <w:rsid w:val="00747DBD"/>
    <w:rsid w:val="0075208A"/>
    <w:rsid w:val="0075243B"/>
    <w:rsid w:val="00760E23"/>
    <w:rsid w:val="007A5766"/>
    <w:rsid w:val="007A7B9D"/>
    <w:rsid w:val="007A7C62"/>
    <w:rsid w:val="007C6FC4"/>
    <w:rsid w:val="007D1BFE"/>
    <w:rsid w:val="007D2456"/>
    <w:rsid w:val="007E27EB"/>
    <w:rsid w:val="0080273E"/>
    <w:rsid w:val="0081526A"/>
    <w:rsid w:val="00815608"/>
    <w:rsid w:val="00841FD0"/>
    <w:rsid w:val="00843642"/>
    <w:rsid w:val="00851149"/>
    <w:rsid w:val="008672A7"/>
    <w:rsid w:val="008B1B35"/>
    <w:rsid w:val="008B6B93"/>
    <w:rsid w:val="008C0F3A"/>
    <w:rsid w:val="008C1FEE"/>
    <w:rsid w:val="008C7EEF"/>
    <w:rsid w:val="008D4D8F"/>
    <w:rsid w:val="008E71AC"/>
    <w:rsid w:val="008F596B"/>
    <w:rsid w:val="0090736B"/>
    <w:rsid w:val="009252A9"/>
    <w:rsid w:val="00931014"/>
    <w:rsid w:val="00937F17"/>
    <w:rsid w:val="00937F8E"/>
    <w:rsid w:val="0095205E"/>
    <w:rsid w:val="009557A2"/>
    <w:rsid w:val="00960F70"/>
    <w:rsid w:val="009840AD"/>
    <w:rsid w:val="00997639"/>
    <w:rsid w:val="009A2EB3"/>
    <w:rsid w:val="009B311D"/>
    <w:rsid w:val="009C3282"/>
    <w:rsid w:val="009F09CB"/>
    <w:rsid w:val="00A01EBF"/>
    <w:rsid w:val="00A04F49"/>
    <w:rsid w:val="00A14E37"/>
    <w:rsid w:val="00A15A88"/>
    <w:rsid w:val="00A20514"/>
    <w:rsid w:val="00A514FB"/>
    <w:rsid w:val="00A55B5E"/>
    <w:rsid w:val="00A55C38"/>
    <w:rsid w:val="00A57A04"/>
    <w:rsid w:val="00A63575"/>
    <w:rsid w:val="00A65B72"/>
    <w:rsid w:val="00A71D2D"/>
    <w:rsid w:val="00A87B14"/>
    <w:rsid w:val="00AD021C"/>
    <w:rsid w:val="00AE339C"/>
    <w:rsid w:val="00AF6A20"/>
    <w:rsid w:val="00B01E68"/>
    <w:rsid w:val="00B03960"/>
    <w:rsid w:val="00B14BC8"/>
    <w:rsid w:val="00B40263"/>
    <w:rsid w:val="00B51D7C"/>
    <w:rsid w:val="00B7225A"/>
    <w:rsid w:val="00B767A9"/>
    <w:rsid w:val="00BB60F3"/>
    <w:rsid w:val="00BC487D"/>
    <w:rsid w:val="00BD1483"/>
    <w:rsid w:val="00BD1E0D"/>
    <w:rsid w:val="00BF1725"/>
    <w:rsid w:val="00C0740B"/>
    <w:rsid w:val="00C157DE"/>
    <w:rsid w:val="00C15C28"/>
    <w:rsid w:val="00C3085D"/>
    <w:rsid w:val="00C51A76"/>
    <w:rsid w:val="00C76015"/>
    <w:rsid w:val="00C8150E"/>
    <w:rsid w:val="00CC03E4"/>
    <w:rsid w:val="00CC3A8F"/>
    <w:rsid w:val="00CD1564"/>
    <w:rsid w:val="00CD363D"/>
    <w:rsid w:val="00CE7791"/>
    <w:rsid w:val="00D0231D"/>
    <w:rsid w:val="00D15520"/>
    <w:rsid w:val="00D60150"/>
    <w:rsid w:val="00D6399E"/>
    <w:rsid w:val="00D95065"/>
    <w:rsid w:val="00DB161E"/>
    <w:rsid w:val="00DC6E24"/>
    <w:rsid w:val="00DE1237"/>
    <w:rsid w:val="00DF36EA"/>
    <w:rsid w:val="00E06A8F"/>
    <w:rsid w:val="00E172F7"/>
    <w:rsid w:val="00E220B7"/>
    <w:rsid w:val="00E22A42"/>
    <w:rsid w:val="00E5479C"/>
    <w:rsid w:val="00E803F0"/>
    <w:rsid w:val="00EB230E"/>
    <w:rsid w:val="00EC0D70"/>
    <w:rsid w:val="00ED65B1"/>
    <w:rsid w:val="00EE3826"/>
    <w:rsid w:val="00EF3E1C"/>
    <w:rsid w:val="00EF68B4"/>
    <w:rsid w:val="00F00287"/>
    <w:rsid w:val="00F0213A"/>
    <w:rsid w:val="00F25652"/>
    <w:rsid w:val="00F3209F"/>
    <w:rsid w:val="00F541EE"/>
    <w:rsid w:val="00F90F7F"/>
    <w:rsid w:val="00FB0C51"/>
    <w:rsid w:val="00FB4B26"/>
    <w:rsid w:val="00FC3F0B"/>
    <w:rsid w:val="00FE7029"/>
    <w:rsid w:val="00FF2186"/>
    <w:rsid w:val="051C068A"/>
    <w:rsid w:val="0795CB80"/>
    <w:rsid w:val="0C7A1D6B"/>
    <w:rsid w:val="11A425F6"/>
    <w:rsid w:val="1412A367"/>
    <w:rsid w:val="1801DDDF"/>
    <w:rsid w:val="1D8549F6"/>
    <w:rsid w:val="2433DBE5"/>
    <w:rsid w:val="3A9CF1A8"/>
    <w:rsid w:val="3F10D821"/>
    <w:rsid w:val="453796E1"/>
    <w:rsid w:val="4DF2A3BA"/>
    <w:rsid w:val="5F83670A"/>
    <w:rsid w:val="6222A19E"/>
    <w:rsid w:val="631047FA"/>
    <w:rsid w:val="64083FA6"/>
    <w:rsid w:val="6B74FAA7"/>
    <w:rsid w:val="6BEF68B0"/>
    <w:rsid w:val="74DB431D"/>
    <w:rsid w:val="75785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9066E2"/>
  <w15:chartTrackingRefBased/>
  <w15:docId w15:val="{EA997886-A7F8-4F8C-B713-5ADFFB08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02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25652"/>
    <w:rPr>
      <w:color w:val="0563C1"/>
      <w:u w:val="single"/>
    </w:rPr>
  </w:style>
  <w:style w:type="table" w:styleId="PlainTable4">
    <w:name w:val="Plain Table 4"/>
    <w:basedOn w:val="TableNormal"/>
    <w:uiPriority w:val="44"/>
    <w:rsid w:val="00F256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E0809"/>
    <w:pPr>
      <w:ind w:left="720"/>
      <w:contextualSpacing/>
    </w:pPr>
  </w:style>
  <w:style w:type="paragraph" w:styleId="BalloonText">
    <w:name w:val="Balloon Text"/>
    <w:basedOn w:val="Normal"/>
    <w:link w:val="BalloonTextChar"/>
    <w:uiPriority w:val="99"/>
    <w:semiHidden/>
    <w:unhideWhenUsed/>
    <w:rsid w:val="005F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AA"/>
    <w:rPr>
      <w:rFonts w:ascii="Segoe UI" w:hAnsi="Segoe UI" w:cs="Segoe UI"/>
      <w:sz w:val="18"/>
      <w:szCs w:val="18"/>
    </w:rPr>
  </w:style>
  <w:style w:type="character" w:styleId="CommentReference">
    <w:name w:val="annotation reference"/>
    <w:basedOn w:val="DefaultParagraphFont"/>
    <w:uiPriority w:val="99"/>
    <w:semiHidden/>
    <w:unhideWhenUsed/>
    <w:rsid w:val="007175CF"/>
    <w:rPr>
      <w:sz w:val="16"/>
      <w:szCs w:val="16"/>
    </w:rPr>
  </w:style>
  <w:style w:type="paragraph" w:styleId="CommentText">
    <w:name w:val="annotation text"/>
    <w:basedOn w:val="Normal"/>
    <w:link w:val="CommentTextChar"/>
    <w:uiPriority w:val="99"/>
    <w:unhideWhenUsed/>
    <w:rsid w:val="007175CF"/>
    <w:pPr>
      <w:spacing w:line="240" w:lineRule="auto"/>
    </w:pPr>
    <w:rPr>
      <w:sz w:val="20"/>
      <w:szCs w:val="20"/>
    </w:rPr>
  </w:style>
  <w:style w:type="character" w:customStyle="1" w:styleId="CommentTextChar">
    <w:name w:val="Comment Text Char"/>
    <w:basedOn w:val="DefaultParagraphFont"/>
    <w:link w:val="CommentText"/>
    <w:uiPriority w:val="99"/>
    <w:rsid w:val="007175CF"/>
    <w:rPr>
      <w:sz w:val="20"/>
      <w:szCs w:val="20"/>
    </w:rPr>
  </w:style>
  <w:style w:type="paragraph" w:styleId="CommentSubject">
    <w:name w:val="annotation subject"/>
    <w:basedOn w:val="CommentText"/>
    <w:next w:val="CommentText"/>
    <w:link w:val="CommentSubjectChar"/>
    <w:uiPriority w:val="99"/>
    <w:semiHidden/>
    <w:unhideWhenUsed/>
    <w:rsid w:val="007175CF"/>
    <w:rPr>
      <w:b/>
      <w:bCs/>
    </w:rPr>
  </w:style>
  <w:style w:type="character" w:customStyle="1" w:styleId="CommentSubjectChar">
    <w:name w:val="Comment Subject Char"/>
    <w:basedOn w:val="CommentTextChar"/>
    <w:link w:val="CommentSubject"/>
    <w:uiPriority w:val="99"/>
    <w:semiHidden/>
    <w:rsid w:val="007175CF"/>
    <w:rPr>
      <w:b/>
      <w:bCs/>
      <w:sz w:val="20"/>
      <w:szCs w:val="20"/>
    </w:rPr>
  </w:style>
  <w:style w:type="character" w:styleId="FollowedHyperlink">
    <w:name w:val="FollowedHyperlink"/>
    <w:basedOn w:val="DefaultParagraphFont"/>
    <w:uiPriority w:val="99"/>
    <w:semiHidden/>
    <w:unhideWhenUsed/>
    <w:rsid w:val="003C74B3"/>
    <w:rPr>
      <w:color w:val="954F72" w:themeColor="followedHyperlink"/>
      <w:u w:val="single"/>
    </w:rPr>
  </w:style>
  <w:style w:type="paragraph" w:styleId="Revision">
    <w:name w:val="Revision"/>
    <w:hidden/>
    <w:uiPriority w:val="99"/>
    <w:semiHidden/>
    <w:rsid w:val="005D2ED0"/>
    <w:pPr>
      <w:spacing w:after="0" w:line="240" w:lineRule="auto"/>
    </w:pPr>
  </w:style>
  <w:style w:type="character" w:styleId="UnresolvedMention">
    <w:name w:val="Unresolved Mention"/>
    <w:basedOn w:val="DefaultParagraphFont"/>
    <w:uiPriority w:val="99"/>
    <w:semiHidden/>
    <w:unhideWhenUsed/>
    <w:rsid w:val="007C6FC4"/>
    <w:rPr>
      <w:color w:val="605E5C"/>
      <w:shd w:val="clear" w:color="auto" w:fill="E1DFDD"/>
    </w:rPr>
  </w:style>
  <w:style w:type="paragraph" w:styleId="Header">
    <w:name w:val="header"/>
    <w:basedOn w:val="Normal"/>
    <w:link w:val="HeaderChar"/>
    <w:uiPriority w:val="99"/>
    <w:unhideWhenUsed/>
    <w:rsid w:val="00413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BC6"/>
  </w:style>
  <w:style w:type="paragraph" w:styleId="Footer">
    <w:name w:val="footer"/>
    <w:basedOn w:val="Normal"/>
    <w:link w:val="FooterChar"/>
    <w:uiPriority w:val="99"/>
    <w:unhideWhenUsed/>
    <w:rsid w:val="00413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02220">
      <w:bodyDiv w:val="1"/>
      <w:marLeft w:val="0"/>
      <w:marRight w:val="0"/>
      <w:marTop w:val="0"/>
      <w:marBottom w:val="0"/>
      <w:divBdr>
        <w:top w:val="none" w:sz="0" w:space="0" w:color="auto"/>
        <w:left w:val="none" w:sz="0" w:space="0" w:color="auto"/>
        <w:bottom w:val="none" w:sz="0" w:space="0" w:color="auto"/>
        <w:right w:val="none" w:sz="0" w:space="0" w:color="auto"/>
      </w:divBdr>
    </w:div>
    <w:div w:id="448746456">
      <w:bodyDiv w:val="1"/>
      <w:marLeft w:val="0"/>
      <w:marRight w:val="0"/>
      <w:marTop w:val="0"/>
      <w:marBottom w:val="0"/>
      <w:divBdr>
        <w:top w:val="none" w:sz="0" w:space="0" w:color="auto"/>
        <w:left w:val="none" w:sz="0" w:space="0" w:color="auto"/>
        <w:bottom w:val="none" w:sz="0" w:space="0" w:color="auto"/>
        <w:right w:val="none" w:sz="0" w:space="0" w:color="auto"/>
      </w:divBdr>
    </w:div>
    <w:div w:id="680477523">
      <w:bodyDiv w:val="1"/>
      <w:marLeft w:val="0"/>
      <w:marRight w:val="0"/>
      <w:marTop w:val="0"/>
      <w:marBottom w:val="0"/>
      <w:divBdr>
        <w:top w:val="none" w:sz="0" w:space="0" w:color="auto"/>
        <w:left w:val="none" w:sz="0" w:space="0" w:color="auto"/>
        <w:bottom w:val="none" w:sz="0" w:space="0" w:color="auto"/>
        <w:right w:val="none" w:sz="0" w:space="0" w:color="auto"/>
      </w:divBdr>
    </w:div>
    <w:div w:id="18501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va.gov.au/get-support/providers/programs-services/community-nursing-services-and-providers/information-dva-approved-community-nursing-providers" TargetMode="External"/><Relationship Id="rId18" Type="http://schemas.openxmlformats.org/officeDocument/2006/relationships/hyperlink" Target="https://www.dva.gov.au/get-support/providers/programs-services/community-nursing-services-and-providers/sustainability-payments-community-nursing-and-veterans-home-care-provid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28.png@01D8F42B.EA0AFF70" TargetMode="External"/><Relationship Id="rId17" Type="http://schemas.openxmlformats.org/officeDocument/2006/relationships/hyperlink" Target="mailto:DVA.Sustainability.Payments@dva.gov.au" TargetMode="External"/><Relationship Id="rId2" Type="http://schemas.openxmlformats.org/officeDocument/2006/relationships/numbering" Target="numbering.xml"/><Relationship Id="rId16" Type="http://schemas.openxmlformats.org/officeDocument/2006/relationships/hyperlink" Target="mailto:DVA.Sustainability.Payments@dva.gov.au" TargetMode="External"/><Relationship Id="rId20" Type="http://schemas.openxmlformats.org/officeDocument/2006/relationships/hyperlink" Target="mailto:community.nursing.contracts@dv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health.gov.au/topics/aged-care-workforce/what-were-doing/better-and-fairer-wages" TargetMode="External"/><Relationship Id="rId10" Type="http://schemas.openxmlformats.org/officeDocument/2006/relationships/hyperlink" Target="https://www.dva.gov.au/get-support/providers/programs-services/community-nursing-services-and-providers/information-dva-approved-community-nursing-providers" TargetMode="External"/><Relationship Id="rId19" Type="http://schemas.openxmlformats.org/officeDocument/2006/relationships/hyperlink" Target="mailto:dva.sustainability.payments@dva.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wc.gov.au/hearings-decisions/major-cases/previous-major-cases/work-value-case-aged-care-indust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F985-2131-4248-B527-025BC765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Kocik, Voytek</cp:lastModifiedBy>
  <cp:revision>4</cp:revision>
  <dcterms:created xsi:type="dcterms:W3CDTF">2025-02-17T06:19:00Z</dcterms:created>
  <dcterms:modified xsi:type="dcterms:W3CDTF">2025-02-17T06:25:00Z</dcterms:modified>
</cp:coreProperties>
</file>