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1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1194"/>
      </w:tblGrid>
      <w:tr w:rsidR="00C15C28" w:rsidRPr="00C15C28" w14:paraId="1DC39227" w14:textId="77777777" w:rsidTr="009A6A4F">
        <w:trPr>
          <w:trHeight w:val="1814"/>
        </w:trPr>
        <w:tc>
          <w:tcPr>
            <w:tcW w:w="11194" w:type="dxa"/>
            <w:shd w:val="clear" w:color="auto" w:fill="002060"/>
          </w:tcPr>
          <w:p w14:paraId="03F19899" w14:textId="77777777" w:rsidR="0075208A" w:rsidRDefault="00931014" w:rsidP="5F83670A">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09ADB4C7" wp14:editId="67FCEDBD">
                      <wp:simplePos x="0" y="0"/>
                      <wp:positionH relativeFrom="column">
                        <wp:posOffset>1951990</wp:posOffset>
                      </wp:positionH>
                      <wp:positionV relativeFrom="paragraph">
                        <wp:posOffset>167640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6555E155" w14:textId="7E5B91CA" w:rsidR="00607EFA" w:rsidRPr="00DE1237" w:rsidRDefault="00607EFA" w:rsidP="00E220B7">
                                  <w:pPr>
                                    <w:jc w:val="center"/>
                                    <w:rPr>
                                      <w:rFonts w:ascii="Aptos" w:hAnsi="Aptos"/>
                                      <w:b/>
                                      <w:color w:val="FFFFFF" w:themeColor="background1"/>
                                      <w:sz w:val="40"/>
                                    </w:rPr>
                                  </w:pPr>
                                  <w:r w:rsidRPr="00DE1237">
                                    <w:rPr>
                                      <w:rFonts w:ascii="Aptos" w:hAnsi="Aptos"/>
                                      <w:b/>
                                      <w:color w:val="FFFFFF" w:themeColor="background1"/>
                                      <w:sz w:val="40"/>
                                    </w:rPr>
                                    <w:t xml:space="preserve">COMMUNITY NURSING NEWSLETTER No. </w:t>
                                  </w:r>
                                  <w:r w:rsidR="009F09CB" w:rsidRPr="00DE1237">
                                    <w:rPr>
                                      <w:rFonts w:ascii="Aptos" w:hAnsi="Aptos"/>
                                      <w:b/>
                                      <w:color w:val="FFFFFF" w:themeColor="background1"/>
                                      <w:sz w:val="40"/>
                                    </w:rPr>
                                    <w:t>5</w:t>
                                  </w:r>
                                  <w:r w:rsidR="000764F0">
                                    <w:rPr>
                                      <w:rFonts w:ascii="Aptos" w:hAnsi="Aptos"/>
                                      <w:b/>
                                      <w:color w:val="FFFFFF" w:themeColor="background1"/>
                                      <w:sz w:val="40"/>
                                    </w:rPr>
                                    <w:t>1</w:t>
                                  </w:r>
                                </w:p>
                                <w:p w14:paraId="2AB255BE" w14:textId="459CF788" w:rsidR="00931014" w:rsidRPr="00DE1237" w:rsidRDefault="009F09CB" w:rsidP="00E220B7">
                                  <w:pPr>
                                    <w:jc w:val="center"/>
                                    <w:rPr>
                                      <w:rFonts w:ascii="Aptos" w:hAnsi="Aptos"/>
                                      <w:b/>
                                      <w:color w:val="FFFFFF" w:themeColor="background1"/>
                                      <w:sz w:val="40"/>
                                    </w:rPr>
                                  </w:pPr>
                                  <w:r w:rsidRPr="00DE1237">
                                    <w:rPr>
                                      <w:rFonts w:ascii="Aptos" w:hAnsi="Aptos"/>
                                      <w:b/>
                                      <w:color w:val="FFFFFF" w:themeColor="background1"/>
                                      <w:sz w:val="40"/>
                                    </w:rPr>
                                    <w:t>January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DB4C7" id="_x0000_t202" coordsize="21600,21600" o:spt="202" path="m,l,21600r21600,l21600,xe">
                      <v:stroke joinstyle="miter"/>
                      <v:path gradientshapeok="t" o:connecttype="rect"/>
                    </v:shapetype>
                    <v:shape id="Text Box 2" o:spid="_x0000_s1026" type="#_x0000_t202" style="position:absolute;left:0;text-align:left;margin-left:153.7pt;margin-top:13.2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z+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" filled="f" stroked="f">
                      <v:textbox style="mso-fit-shape-to-text:t">
                        <w:txbxContent>
                          <w:p w14:paraId="6555E155" w14:textId="7E5B91CA" w:rsidR="00607EFA" w:rsidRPr="00DE1237" w:rsidRDefault="00607EFA" w:rsidP="00E220B7">
                            <w:pPr>
                              <w:jc w:val="center"/>
                              <w:rPr>
                                <w:rFonts w:ascii="Aptos" w:hAnsi="Aptos"/>
                                <w:b/>
                                <w:color w:val="FFFFFF" w:themeColor="background1"/>
                                <w:sz w:val="40"/>
                              </w:rPr>
                            </w:pPr>
                            <w:r w:rsidRPr="00DE1237">
                              <w:rPr>
                                <w:rFonts w:ascii="Aptos" w:hAnsi="Aptos"/>
                                <w:b/>
                                <w:color w:val="FFFFFF" w:themeColor="background1"/>
                                <w:sz w:val="40"/>
                              </w:rPr>
                              <w:t xml:space="preserve">COMMUNITY NURSING NEWSLETTER No. </w:t>
                            </w:r>
                            <w:r w:rsidR="009F09CB" w:rsidRPr="00DE1237">
                              <w:rPr>
                                <w:rFonts w:ascii="Aptos" w:hAnsi="Aptos"/>
                                <w:b/>
                                <w:color w:val="FFFFFF" w:themeColor="background1"/>
                                <w:sz w:val="40"/>
                              </w:rPr>
                              <w:t>5</w:t>
                            </w:r>
                            <w:r w:rsidR="000764F0">
                              <w:rPr>
                                <w:rFonts w:ascii="Aptos" w:hAnsi="Aptos"/>
                                <w:b/>
                                <w:color w:val="FFFFFF" w:themeColor="background1"/>
                                <w:sz w:val="40"/>
                              </w:rPr>
                              <w:t>1</w:t>
                            </w:r>
                          </w:p>
                          <w:p w14:paraId="2AB255BE" w14:textId="459CF788" w:rsidR="00931014" w:rsidRPr="00DE1237" w:rsidRDefault="009F09CB" w:rsidP="00E220B7">
                            <w:pPr>
                              <w:jc w:val="center"/>
                              <w:rPr>
                                <w:rFonts w:ascii="Aptos" w:hAnsi="Aptos"/>
                                <w:b/>
                                <w:color w:val="FFFFFF" w:themeColor="background1"/>
                                <w:sz w:val="40"/>
                              </w:rPr>
                            </w:pPr>
                            <w:r w:rsidRPr="00DE1237">
                              <w:rPr>
                                <w:rFonts w:ascii="Aptos" w:hAnsi="Aptos"/>
                                <w:b/>
                                <w:color w:val="FFFFFF" w:themeColor="background1"/>
                                <w:sz w:val="40"/>
                              </w:rPr>
                              <w:t>January 2025</w:t>
                            </w:r>
                          </w:p>
                        </w:txbxContent>
                      </v:textbox>
                    </v:shape>
                  </w:pict>
                </mc:Fallback>
              </mc:AlternateContent>
            </w:r>
          </w:p>
          <w:p w14:paraId="6677D216" w14:textId="77777777" w:rsidR="008C7EEF" w:rsidRPr="003A047F" w:rsidRDefault="003A047F" w:rsidP="003A047F">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6D395562" wp14:editId="4B8D75C1">
                  <wp:simplePos x="0" y="0"/>
                  <wp:positionH relativeFrom="column">
                    <wp:posOffset>5427608</wp:posOffset>
                  </wp:positionH>
                  <wp:positionV relativeFrom="paragraph">
                    <wp:posOffset>215001</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64834"/>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60BC0E09" w14:textId="77777777" w:rsidTr="009A6A4F">
        <w:trPr>
          <w:trHeight w:val="523"/>
        </w:trPr>
        <w:tc>
          <w:tcPr>
            <w:tcW w:w="11194" w:type="dxa"/>
            <w:shd w:val="clear" w:color="auto" w:fill="002060"/>
          </w:tcPr>
          <w:p w14:paraId="29FFA4C1" w14:textId="4370A4F7" w:rsidR="0090736B" w:rsidRPr="001B095D" w:rsidRDefault="0075208A" w:rsidP="00E5479C">
            <w:pPr>
              <w:tabs>
                <w:tab w:val="left" w:pos="9519"/>
                <w:tab w:val="left" w:pos="10086"/>
                <w:tab w:val="left" w:pos="10650"/>
              </w:tabs>
              <w:ind w:right="-136"/>
              <w:jc w:val="center"/>
              <w:rPr>
                <w:rFonts w:ascii="Aptos" w:hAnsi="Aptos" w:cstheme="minorHAnsi"/>
                <w:color w:val="FFFFFF" w:themeColor="background1"/>
                <w:sz w:val="24"/>
                <w:szCs w:val="24"/>
              </w:rPr>
            </w:pPr>
            <w:r w:rsidRPr="001B095D">
              <w:rPr>
                <w:rFonts w:ascii="Aptos" w:hAnsi="Aptos" w:cstheme="minorHAnsi"/>
                <w:color w:val="FFFFFF" w:themeColor="background1"/>
                <w:sz w:val="24"/>
                <w:szCs w:val="24"/>
              </w:rPr>
              <w:t>Th</w:t>
            </w:r>
            <w:r w:rsidR="00F90F7F" w:rsidRPr="001B095D">
              <w:rPr>
                <w:rFonts w:ascii="Aptos" w:hAnsi="Aptos" w:cstheme="minorHAnsi"/>
                <w:color w:val="FFFFFF" w:themeColor="background1"/>
                <w:sz w:val="24"/>
                <w:szCs w:val="24"/>
              </w:rPr>
              <w:t>is</w:t>
            </w:r>
            <w:r w:rsidR="00677A30">
              <w:rPr>
                <w:rFonts w:ascii="Aptos" w:hAnsi="Aptos" w:cstheme="minorHAnsi"/>
                <w:color w:val="FFFFFF" w:themeColor="background1"/>
                <w:sz w:val="24"/>
                <w:szCs w:val="24"/>
              </w:rPr>
              <w:t xml:space="preserve"> </w:t>
            </w:r>
            <w:r w:rsidRPr="001B095D">
              <w:rPr>
                <w:rFonts w:ascii="Aptos" w:hAnsi="Aptos" w:cstheme="minorHAnsi"/>
                <w:b/>
                <w:iCs/>
                <w:color w:val="FFFFFF" w:themeColor="background1"/>
                <w:sz w:val="24"/>
                <w:szCs w:val="24"/>
              </w:rPr>
              <w:t>Newsletter</w:t>
            </w:r>
            <w:r w:rsidRPr="001B095D">
              <w:rPr>
                <w:rFonts w:ascii="Aptos" w:hAnsi="Aptos" w:cstheme="minorHAnsi"/>
                <w:iCs/>
                <w:color w:val="FFFFFF" w:themeColor="background1"/>
                <w:sz w:val="24"/>
                <w:szCs w:val="24"/>
              </w:rPr>
              <w:t xml:space="preserve"> </w:t>
            </w:r>
            <w:r w:rsidR="0012303C" w:rsidRPr="001B095D">
              <w:rPr>
                <w:rFonts w:ascii="Aptos" w:hAnsi="Aptos" w:cstheme="minorHAnsi"/>
                <w:color w:val="FFFFFF" w:themeColor="background1"/>
                <w:sz w:val="24"/>
                <w:szCs w:val="24"/>
              </w:rPr>
              <w:t>is issued to provide</w:t>
            </w:r>
            <w:r w:rsidR="00677A30">
              <w:rPr>
                <w:rFonts w:ascii="Aptos" w:hAnsi="Aptos" w:cstheme="minorHAnsi"/>
                <w:color w:val="FFFFFF" w:themeColor="background1"/>
                <w:sz w:val="24"/>
                <w:szCs w:val="24"/>
              </w:rPr>
              <w:t xml:space="preserve"> </w:t>
            </w:r>
            <w:r w:rsidRPr="001B095D">
              <w:rPr>
                <w:rFonts w:ascii="Aptos" w:hAnsi="Aptos" w:cstheme="minorHAnsi"/>
                <w:color w:val="FFFFFF" w:themeColor="background1"/>
                <w:sz w:val="24"/>
                <w:szCs w:val="24"/>
              </w:rPr>
              <w:t>update</w:t>
            </w:r>
            <w:r w:rsidR="0012303C" w:rsidRPr="001B095D">
              <w:rPr>
                <w:rFonts w:ascii="Aptos" w:hAnsi="Aptos" w:cstheme="minorHAnsi"/>
                <w:color w:val="FFFFFF" w:themeColor="background1"/>
                <w:sz w:val="24"/>
                <w:szCs w:val="24"/>
              </w:rPr>
              <w:t>s</w:t>
            </w:r>
            <w:r w:rsidRPr="001B095D">
              <w:rPr>
                <w:rFonts w:ascii="Aptos" w:hAnsi="Aptos" w:cstheme="minorHAnsi"/>
                <w:color w:val="FFFFFF" w:themeColor="background1"/>
                <w:sz w:val="24"/>
                <w:szCs w:val="24"/>
              </w:rPr>
              <w:t xml:space="preserve"> to D</w:t>
            </w:r>
            <w:r w:rsidR="00B7225A" w:rsidRPr="001B095D">
              <w:rPr>
                <w:rFonts w:ascii="Aptos" w:hAnsi="Aptos" w:cstheme="minorHAnsi"/>
                <w:color w:val="FFFFFF" w:themeColor="background1"/>
                <w:sz w:val="24"/>
                <w:szCs w:val="24"/>
              </w:rPr>
              <w:t>VA contracted</w:t>
            </w:r>
            <w:r w:rsidRPr="001B095D">
              <w:rPr>
                <w:rFonts w:ascii="Aptos" w:hAnsi="Aptos" w:cstheme="minorHAnsi"/>
                <w:color w:val="FFFFFF" w:themeColor="background1"/>
                <w:sz w:val="24"/>
                <w:szCs w:val="24"/>
              </w:rPr>
              <w:t xml:space="preserve"> Community Nursing provide</w:t>
            </w:r>
            <w:r w:rsidR="0012303C" w:rsidRPr="001B095D">
              <w:rPr>
                <w:rFonts w:ascii="Aptos" w:hAnsi="Aptos" w:cstheme="minorHAnsi"/>
                <w:color w:val="FFFFFF" w:themeColor="background1"/>
                <w:sz w:val="24"/>
                <w:szCs w:val="24"/>
              </w:rPr>
              <w:t>rs.</w:t>
            </w:r>
          </w:p>
          <w:p w14:paraId="72CA94D1" w14:textId="4FAC13D6" w:rsidR="00E5479C" w:rsidRPr="001B095D" w:rsidRDefault="00E5479C" w:rsidP="00E5479C">
            <w:pPr>
              <w:tabs>
                <w:tab w:val="left" w:pos="9519"/>
                <w:tab w:val="left" w:pos="10086"/>
                <w:tab w:val="left" w:pos="10650"/>
              </w:tabs>
              <w:ind w:right="-136"/>
              <w:jc w:val="center"/>
              <w:rPr>
                <w:rFonts w:ascii="Aptos" w:hAnsi="Aptos" w:cs="Arial"/>
                <w:noProof/>
                <w:color w:val="002060"/>
                <w:sz w:val="24"/>
                <w:szCs w:val="24"/>
                <w:lang w:eastAsia="en-AU"/>
              </w:rPr>
            </w:pPr>
          </w:p>
        </w:tc>
      </w:tr>
      <w:tr w:rsidR="000F3537" w:rsidRPr="00C15C28" w14:paraId="042884C2" w14:textId="77777777" w:rsidTr="006618C5">
        <w:trPr>
          <w:trHeight w:val="3402"/>
        </w:trPr>
        <w:tc>
          <w:tcPr>
            <w:tcW w:w="11194" w:type="dxa"/>
            <w:shd w:val="clear" w:color="auto" w:fill="CCCCFF"/>
          </w:tcPr>
          <w:p w14:paraId="402671E0" w14:textId="77777777" w:rsidR="00B14DFC" w:rsidRPr="00B14DFC" w:rsidRDefault="00B14DFC" w:rsidP="002A6132">
            <w:pPr>
              <w:rPr>
                <w:rFonts w:ascii="Aptos" w:hAnsi="Aptos" w:cs="Arial"/>
                <w:color w:val="002060"/>
                <w:sz w:val="16"/>
                <w:szCs w:val="16"/>
              </w:rPr>
            </w:pPr>
          </w:p>
          <w:p w14:paraId="66B74BCB" w14:textId="765F46A7" w:rsidR="000F3537" w:rsidRPr="009557A2" w:rsidRDefault="000F3537" w:rsidP="002A6132">
            <w:pPr>
              <w:rPr>
                <w:rFonts w:ascii="Aptos" w:hAnsi="Aptos" w:cs="Arial"/>
                <w:color w:val="002060"/>
                <w:sz w:val="36"/>
                <w:szCs w:val="36"/>
              </w:rPr>
            </w:pPr>
            <w:r w:rsidRPr="009557A2">
              <w:rPr>
                <w:rFonts w:ascii="Aptos" w:hAnsi="Aptos" w:cs="Arial"/>
                <w:color w:val="002060"/>
                <w:sz w:val="36"/>
                <w:szCs w:val="36"/>
              </w:rPr>
              <w:t>Clinical Documentation Requirements</w:t>
            </w:r>
          </w:p>
          <w:p w14:paraId="20E38C1E" w14:textId="77777777" w:rsidR="000F3537" w:rsidRDefault="000F3537" w:rsidP="00A55C38">
            <w:pPr>
              <w:rPr>
                <w:rFonts w:ascii="Aptos" w:hAnsi="Aptos" w:cs="Arial"/>
                <w:color w:val="002060"/>
                <w:sz w:val="24"/>
                <w:szCs w:val="24"/>
              </w:rPr>
            </w:pPr>
            <w:r w:rsidRPr="000F3537">
              <w:rPr>
                <w:rFonts w:ascii="Aptos" w:hAnsi="Aptos" w:cs="Arial"/>
                <w:color w:val="2F5496" w:themeColor="accent5" w:themeShade="BF"/>
                <w:sz w:val="24"/>
                <w:szCs w:val="24"/>
              </w:rPr>
              <w:t>Providers are reminded that all clinical documentation should adhere to the guidelines outlined in the Notes for Community Nursing Providers.</w:t>
            </w:r>
          </w:p>
          <w:p w14:paraId="54832321" w14:textId="77777777" w:rsidR="000F3537" w:rsidRPr="00B14DFC" w:rsidRDefault="000F3537" w:rsidP="00A55C38">
            <w:pPr>
              <w:rPr>
                <w:rFonts w:ascii="Aptos" w:hAnsi="Aptos" w:cs="Arial"/>
                <w:color w:val="002060"/>
              </w:rPr>
            </w:pPr>
          </w:p>
          <w:p w14:paraId="45E786B9" w14:textId="77777777" w:rsidR="000F3537" w:rsidRPr="009557A2" w:rsidRDefault="000F3537" w:rsidP="009557A2">
            <w:pPr>
              <w:rPr>
                <w:rFonts w:ascii="Aptos" w:hAnsi="Aptos"/>
                <w:b/>
                <w:bCs/>
                <w:color w:val="2F5496" w:themeColor="accent5" w:themeShade="BF"/>
                <w:sz w:val="24"/>
                <w:szCs w:val="24"/>
              </w:rPr>
            </w:pPr>
            <w:r w:rsidRPr="009557A2">
              <w:rPr>
                <w:rFonts w:ascii="Aptos" w:hAnsi="Aptos"/>
                <w:b/>
                <w:bCs/>
                <w:color w:val="2F5496" w:themeColor="accent5" w:themeShade="BF"/>
                <w:sz w:val="24"/>
                <w:szCs w:val="24"/>
              </w:rPr>
              <w:t>Referral for the Community Nursing Program</w:t>
            </w:r>
          </w:p>
          <w:p w14:paraId="5E2849F6" w14:textId="77777777" w:rsidR="000F3537" w:rsidRPr="009557A2" w:rsidRDefault="000F3537" w:rsidP="009557A2">
            <w:pPr>
              <w:rPr>
                <w:rFonts w:ascii="Aptos" w:hAnsi="Aptos"/>
                <w:b/>
                <w:bCs/>
                <w:color w:val="2F5496" w:themeColor="accent5" w:themeShade="BF"/>
                <w:sz w:val="24"/>
                <w:szCs w:val="24"/>
              </w:rPr>
            </w:pPr>
            <w:r w:rsidRPr="009557A2">
              <w:rPr>
                <w:rFonts w:ascii="Aptos" w:hAnsi="Aptos"/>
                <w:color w:val="2F5496" w:themeColor="accent5" w:themeShade="BF"/>
                <w:sz w:val="24"/>
                <w:szCs w:val="24"/>
              </w:rPr>
              <w:t xml:space="preserve">A community nursing provider must receive a valid written referral for an eligible client before the commencement of services, from one of the following authorised referral sources: </w:t>
            </w:r>
          </w:p>
          <w:p w14:paraId="4AAA4BA4" w14:textId="77777777" w:rsidR="000F3537" w:rsidRPr="009557A2" w:rsidRDefault="000F3537" w:rsidP="009557A2">
            <w:pPr>
              <w:numPr>
                <w:ilvl w:val="0"/>
                <w:numId w:val="6"/>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 xml:space="preserve">GP </w:t>
            </w:r>
          </w:p>
          <w:p w14:paraId="0224B44A" w14:textId="28953893" w:rsidR="000F3537" w:rsidRPr="009557A2" w:rsidRDefault="003D0896" w:rsidP="009557A2">
            <w:pPr>
              <w:numPr>
                <w:ilvl w:val="0"/>
                <w:numId w:val="6"/>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t</w:t>
            </w:r>
            <w:r w:rsidR="000F3537" w:rsidRPr="009557A2">
              <w:rPr>
                <w:rFonts w:ascii="Aptos" w:eastAsia="Times New Roman" w:hAnsi="Aptos"/>
                <w:color w:val="2F5496" w:themeColor="accent5" w:themeShade="BF"/>
                <w:sz w:val="24"/>
                <w:szCs w:val="24"/>
              </w:rPr>
              <w:t>reating medical practitioner in a hospital</w:t>
            </w:r>
          </w:p>
          <w:p w14:paraId="552528F6" w14:textId="70FCAFF9" w:rsidR="000F3537" w:rsidRPr="009557A2" w:rsidRDefault="003D0896" w:rsidP="009557A2">
            <w:pPr>
              <w:numPr>
                <w:ilvl w:val="0"/>
                <w:numId w:val="6"/>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h</w:t>
            </w:r>
            <w:r w:rsidR="000F3537" w:rsidRPr="009557A2">
              <w:rPr>
                <w:rFonts w:ascii="Aptos" w:eastAsia="Times New Roman" w:hAnsi="Aptos"/>
                <w:color w:val="2F5496" w:themeColor="accent5" w:themeShade="BF"/>
                <w:sz w:val="24"/>
                <w:szCs w:val="24"/>
              </w:rPr>
              <w:t>ospital discharge planner</w:t>
            </w:r>
          </w:p>
          <w:p w14:paraId="0DA15A69" w14:textId="465639A1" w:rsidR="000F3537" w:rsidRPr="009557A2" w:rsidRDefault="003D0896" w:rsidP="009557A2">
            <w:pPr>
              <w:numPr>
                <w:ilvl w:val="0"/>
                <w:numId w:val="6"/>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n</w:t>
            </w:r>
            <w:r w:rsidR="000F3537" w:rsidRPr="009557A2">
              <w:rPr>
                <w:rFonts w:ascii="Aptos" w:eastAsia="Times New Roman" w:hAnsi="Aptos"/>
                <w:color w:val="2F5496" w:themeColor="accent5" w:themeShade="BF"/>
                <w:sz w:val="24"/>
                <w:szCs w:val="24"/>
              </w:rPr>
              <w:t>ursing practitioner specialising in a community nursing field.</w:t>
            </w:r>
          </w:p>
          <w:p w14:paraId="02162DFD" w14:textId="77777777" w:rsidR="000F3537" w:rsidRPr="00B14DFC" w:rsidRDefault="000F3537" w:rsidP="009557A2">
            <w:pPr>
              <w:rPr>
                <w:rFonts w:ascii="Aptos" w:hAnsi="Aptos"/>
                <w:color w:val="2F5496" w:themeColor="accent5" w:themeShade="BF"/>
              </w:rPr>
            </w:pPr>
          </w:p>
          <w:p w14:paraId="27EEED19" w14:textId="77777777" w:rsidR="000F3537" w:rsidRPr="009557A2" w:rsidRDefault="000F3537" w:rsidP="009557A2">
            <w:pPr>
              <w:rPr>
                <w:rFonts w:ascii="Aptos" w:hAnsi="Aptos"/>
                <w:i/>
                <w:iCs/>
                <w:color w:val="2F5496" w:themeColor="accent5" w:themeShade="BF"/>
                <w:sz w:val="24"/>
                <w:szCs w:val="24"/>
              </w:rPr>
            </w:pPr>
            <w:r w:rsidRPr="009557A2">
              <w:rPr>
                <w:rFonts w:ascii="Aptos" w:hAnsi="Aptos"/>
                <w:b/>
                <w:bCs/>
                <w:i/>
                <w:iCs/>
                <w:color w:val="2F5496" w:themeColor="accent5" w:themeShade="BF"/>
                <w:sz w:val="24"/>
                <w:szCs w:val="24"/>
              </w:rPr>
              <w:t>Referral requirements:</w:t>
            </w:r>
          </w:p>
          <w:p w14:paraId="140A95AE" w14:textId="1BC8AB07" w:rsidR="000F3537" w:rsidRPr="009557A2" w:rsidRDefault="003D0896" w:rsidP="009557A2">
            <w:pPr>
              <w:numPr>
                <w:ilvl w:val="0"/>
                <w:numId w:val="7"/>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r</w:t>
            </w:r>
            <w:r w:rsidR="000F3537" w:rsidRPr="009557A2">
              <w:rPr>
                <w:rFonts w:ascii="Aptos" w:eastAsia="Times New Roman" w:hAnsi="Aptos"/>
                <w:color w:val="2F5496" w:themeColor="accent5" w:themeShade="BF"/>
                <w:sz w:val="24"/>
                <w:szCs w:val="24"/>
              </w:rPr>
              <w:t>eferrals should outline necessary services to meet an assessed nursing care need for a medical condition. The clinically require</w:t>
            </w:r>
            <w:r>
              <w:rPr>
                <w:rFonts w:ascii="Aptos" w:eastAsia="Times New Roman" w:hAnsi="Aptos"/>
                <w:color w:val="2F5496" w:themeColor="accent5" w:themeShade="BF"/>
                <w:sz w:val="24"/>
                <w:szCs w:val="24"/>
              </w:rPr>
              <w:t>d</w:t>
            </w:r>
            <w:r w:rsidR="000F3537" w:rsidRPr="009557A2">
              <w:rPr>
                <w:rFonts w:ascii="Aptos" w:eastAsia="Times New Roman" w:hAnsi="Aptos"/>
                <w:color w:val="2F5496" w:themeColor="accent5" w:themeShade="BF"/>
                <w:sz w:val="24"/>
                <w:szCs w:val="24"/>
              </w:rPr>
              <w:t xml:space="preserve"> nursing and personal care interventions should be included in the referral</w:t>
            </w:r>
          </w:p>
          <w:p w14:paraId="751CE42A" w14:textId="06FA61BD" w:rsidR="000F3537" w:rsidRPr="009557A2" w:rsidRDefault="003D0896" w:rsidP="009557A2">
            <w:pPr>
              <w:numPr>
                <w:ilvl w:val="0"/>
                <w:numId w:val="7"/>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t</w:t>
            </w:r>
            <w:r w:rsidR="000F3537" w:rsidRPr="009557A2">
              <w:rPr>
                <w:rFonts w:ascii="Aptos" w:eastAsia="Times New Roman" w:hAnsi="Aptos"/>
                <w:color w:val="2F5496" w:themeColor="accent5" w:themeShade="BF"/>
                <w:sz w:val="24"/>
                <w:szCs w:val="24"/>
              </w:rPr>
              <w:t xml:space="preserve">he authorised referral source must provide a written referral for a client to request community nursing services </w:t>
            </w:r>
          </w:p>
          <w:p w14:paraId="706A02AF" w14:textId="4571CBF8" w:rsidR="000F3537" w:rsidRPr="009557A2" w:rsidRDefault="003D0896" w:rsidP="009557A2">
            <w:pPr>
              <w:numPr>
                <w:ilvl w:val="0"/>
                <w:numId w:val="7"/>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t</w:t>
            </w:r>
            <w:r w:rsidR="000F3537" w:rsidRPr="009557A2">
              <w:rPr>
                <w:rFonts w:ascii="Aptos" w:eastAsia="Times New Roman" w:hAnsi="Aptos"/>
                <w:color w:val="2F5496" w:themeColor="accent5" w:themeShade="BF"/>
                <w:sz w:val="24"/>
                <w:szCs w:val="24"/>
              </w:rPr>
              <w:t>he referral should be on either the referral source’s official letterhead, the community nursing provider’s official referral form, or the DVA Community Nursing referral form, and be sent directly to the community nursing provider</w:t>
            </w:r>
          </w:p>
          <w:p w14:paraId="2DF5F547" w14:textId="5C20FBF9" w:rsidR="000F3537" w:rsidRPr="009557A2" w:rsidRDefault="003D0896" w:rsidP="009557A2">
            <w:pPr>
              <w:numPr>
                <w:ilvl w:val="0"/>
                <w:numId w:val="7"/>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r</w:t>
            </w:r>
            <w:r w:rsidR="000F3537" w:rsidRPr="009557A2">
              <w:rPr>
                <w:rFonts w:ascii="Aptos" w:eastAsia="Times New Roman" w:hAnsi="Aptos"/>
                <w:color w:val="2F5496" w:themeColor="accent5" w:themeShade="BF"/>
                <w:sz w:val="24"/>
                <w:szCs w:val="24"/>
              </w:rPr>
              <w:t xml:space="preserve">eferrals from GPs and nurse practitioners are valid for 12 months (then a new referral required). Hospital referrals are valid for 6 </w:t>
            </w:r>
            <w:r w:rsidR="00D86ADF">
              <w:rPr>
                <w:rFonts w:ascii="Aptos" w:eastAsia="Times New Roman" w:hAnsi="Aptos"/>
                <w:color w:val="2F5496" w:themeColor="accent5" w:themeShade="BF"/>
                <w:sz w:val="24"/>
                <w:szCs w:val="24"/>
              </w:rPr>
              <w:t>week</w:t>
            </w:r>
            <w:r w:rsidR="000F3537" w:rsidRPr="009557A2">
              <w:rPr>
                <w:rFonts w:ascii="Aptos" w:eastAsia="Times New Roman" w:hAnsi="Aptos"/>
                <w:color w:val="2F5496" w:themeColor="accent5" w:themeShade="BF"/>
                <w:sz w:val="24"/>
                <w:szCs w:val="24"/>
              </w:rPr>
              <w:t>s</w:t>
            </w:r>
            <w:r>
              <w:rPr>
                <w:rFonts w:ascii="Aptos" w:eastAsia="Times New Roman" w:hAnsi="Aptos"/>
                <w:color w:val="2F5496" w:themeColor="accent5" w:themeShade="BF"/>
                <w:sz w:val="24"/>
                <w:szCs w:val="24"/>
              </w:rPr>
              <w:t>.</w:t>
            </w:r>
          </w:p>
          <w:p w14:paraId="4FCF6874" w14:textId="77777777" w:rsidR="000F3537" w:rsidRPr="00B14DFC" w:rsidRDefault="000F3537" w:rsidP="009557A2">
            <w:pPr>
              <w:rPr>
                <w:rFonts w:ascii="Aptos" w:hAnsi="Aptos"/>
                <w:b/>
                <w:bCs/>
                <w:color w:val="2F5496" w:themeColor="accent5" w:themeShade="BF"/>
              </w:rPr>
            </w:pPr>
          </w:p>
          <w:p w14:paraId="62E704CD" w14:textId="77777777" w:rsidR="000F3537" w:rsidRPr="009557A2" w:rsidRDefault="000F3537" w:rsidP="009557A2">
            <w:pPr>
              <w:rPr>
                <w:rFonts w:ascii="Aptos" w:hAnsi="Aptos"/>
                <w:b/>
                <w:bCs/>
                <w:i/>
                <w:iCs/>
                <w:color w:val="2F5496" w:themeColor="accent5" w:themeShade="BF"/>
                <w:sz w:val="24"/>
                <w:szCs w:val="24"/>
              </w:rPr>
            </w:pPr>
            <w:r w:rsidRPr="009557A2">
              <w:rPr>
                <w:rFonts w:ascii="Aptos" w:hAnsi="Aptos"/>
                <w:b/>
                <w:bCs/>
                <w:i/>
                <w:iCs/>
                <w:color w:val="2F5496" w:themeColor="accent5" w:themeShade="BF"/>
                <w:sz w:val="24"/>
                <w:szCs w:val="24"/>
              </w:rPr>
              <w:t>A referral must include the following information:</w:t>
            </w:r>
          </w:p>
          <w:p w14:paraId="53B0246F" w14:textId="7725998B" w:rsidR="000F3537" w:rsidRPr="009557A2" w:rsidRDefault="003D0896" w:rsidP="009557A2">
            <w:pPr>
              <w:numPr>
                <w:ilvl w:val="0"/>
                <w:numId w:val="8"/>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a</w:t>
            </w:r>
            <w:r w:rsidR="000F3537" w:rsidRPr="009557A2">
              <w:rPr>
                <w:rFonts w:ascii="Aptos" w:eastAsia="Times New Roman" w:hAnsi="Aptos"/>
                <w:color w:val="2F5496" w:themeColor="accent5" w:themeShade="BF"/>
                <w:sz w:val="24"/>
                <w:szCs w:val="24"/>
              </w:rPr>
              <w:t>uthorised referral source details, including provider number (hospital provider number for discharge planner or treating medical practitioner referral)</w:t>
            </w:r>
          </w:p>
          <w:p w14:paraId="277288BF" w14:textId="7138ABA3" w:rsidR="000F3537" w:rsidRPr="009557A2" w:rsidRDefault="003D0896" w:rsidP="009557A2">
            <w:pPr>
              <w:numPr>
                <w:ilvl w:val="0"/>
                <w:numId w:val="8"/>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m</w:t>
            </w:r>
            <w:r w:rsidR="000F3537" w:rsidRPr="009557A2">
              <w:rPr>
                <w:rFonts w:ascii="Aptos" w:eastAsia="Times New Roman" w:hAnsi="Aptos"/>
                <w:color w:val="2F5496" w:themeColor="accent5" w:themeShade="BF"/>
                <w:sz w:val="24"/>
                <w:szCs w:val="24"/>
              </w:rPr>
              <w:t>edical condition/s the client requires community nursing services for, and clinical details of the condition/s including recent illnesses and injuries</w:t>
            </w:r>
          </w:p>
          <w:p w14:paraId="6FF4D9BB" w14:textId="54565100" w:rsidR="000F3537" w:rsidRPr="009557A2" w:rsidRDefault="003D0896" w:rsidP="009557A2">
            <w:pPr>
              <w:numPr>
                <w:ilvl w:val="0"/>
                <w:numId w:val="8"/>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i</w:t>
            </w:r>
            <w:r w:rsidR="000F3537" w:rsidRPr="009557A2">
              <w:rPr>
                <w:rFonts w:ascii="Aptos" w:eastAsia="Times New Roman" w:hAnsi="Aptos"/>
                <w:color w:val="2F5496" w:themeColor="accent5" w:themeShade="BF"/>
                <w:sz w:val="24"/>
                <w:szCs w:val="24"/>
              </w:rPr>
              <w:t>f medication administration or assistance is required, a medication authority or signed current medication chart / list that includes medication information</w:t>
            </w:r>
          </w:p>
          <w:p w14:paraId="1F51CCAD" w14:textId="381C1238" w:rsidR="000F3537" w:rsidRPr="009557A2" w:rsidRDefault="003D0896" w:rsidP="009557A2">
            <w:pPr>
              <w:numPr>
                <w:ilvl w:val="0"/>
                <w:numId w:val="8"/>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a</w:t>
            </w:r>
            <w:r w:rsidR="000F3537" w:rsidRPr="009557A2">
              <w:rPr>
                <w:rFonts w:ascii="Aptos" w:eastAsia="Times New Roman" w:hAnsi="Aptos"/>
                <w:color w:val="2F5496" w:themeColor="accent5" w:themeShade="BF"/>
                <w:sz w:val="24"/>
                <w:szCs w:val="24"/>
              </w:rPr>
              <w:t xml:space="preserve"> measure of the client’s level of independence</w:t>
            </w:r>
          </w:p>
          <w:p w14:paraId="2025D880" w14:textId="4AB30E85" w:rsidR="000F3537" w:rsidRPr="009557A2" w:rsidRDefault="003D0896" w:rsidP="009557A2">
            <w:pPr>
              <w:numPr>
                <w:ilvl w:val="0"/>
                <w:numId w:val="8"/>
              </w:numPr>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o</w:t>
            </w:r>
            <w:r w:rsidR="000F3537" w:rsidRPr="009557A2">
              <w:rPr>
                <w:rFonts w:ascii="Aptos" w:eastAsia="Times New Roman" w:hAnsi="Aptos"/>
                <w:color w:val="2F5496" w:themeColor="accent5" w:themeShade="BF"/>
                <w:sz w:val="24"/>
                <w:szCs w:val="24"/>
              </w:rPr>
              <w:t>ther health / support services the client is receiving.</w:t>
            </w:r>
          </w:p>
          <w:p w14:paraId="66EF5D32" w14:textId="77777777" w:rsidR="000F3537" w:rsidRPr="00B14DFC" w:rsidRDefault="000F3537" w:rsidP="009557A2">
            <w:pPr>
              <w:rPr>
                <w:rFonts w:ascii="Aptos" w:hAnsi="Aptos"/>
                <w:color w:val="2F5496" w:themeColor="accent5" w:themeShade="BF"/>
              </w:rPr>
            </w:pPr>
          </w:p>
          <w:p w14:paraId="07D737EF" w14:textId="77777777" w:rsidR="000F3537" w:rsidRPr="009557A2" w:rsidRDefault="000F3537" w:rsidP="009557A2">
            <w:pPr>
              <w:rPr>
                <w:rFonts w:ascii="Aptos" w:hAnsi="Aptos"/>
                <w:b/>
                <w:bCs/>
                <w:color w:val="2F5496" w:themeColor="accent5" w:themeShade="BF"/>
                <w:sz w:val="24"/>
                <w:szCs w:val="24"/>
              </w:rPr>
            </w:pPr>
            <w:r w:rsidRPr="009557A2">
              <w:rPr>
                <w:rFonts w:ascii="Aptos" w:hAnsi="Aptos"/>
                <w:b/>
                <w:bCs/>
                <w:color w:val="2F5496" w:themeColor="accent5" w:themeShade="BF"/>
                <w:sz w:val="24"/>
                <w:szCs w:val="24"/>
              </w:rPr>
              <w:t>Comprehensive Nursing Assessment</w:t>
            </w:r>
          </w:p>
          <w:p w14:paraId="66898D76" w14:textId="77777777" w:rsidR="000F3537" w:rsidRPr="009557A2" w:rsidRDefault="000F3537" w:rsidP="009557A2">
            <w:pPr>
              <w:rPr>
                <w:rFonts w:ascii="Aptos" w:hAnsi="Aptos"/>
                <w:color w:val="2F5496" w:themeColor="accent5" w:themeShade="BF"/>
                <w:sz w:val="24"/>
                <w:szCs w:val="24"/>
              </w:rPr>
            </w:pPr>
            <w:r w:rsidRPr="009557A2">
              <w:rPr>
                <w:rFonts w:ascii="Aptos" w:hAnsi="Aptos"/>
                <w:color w:val="2F5496" w:themeColor="accent5" w:themeShade="BF"/>
                <w:sz w:val="24"/>
                <w:szCs w:val="24"/>
              </w:rPr>
              <w:t>A Registered Nurse (RN) must assess the nursing care need/s of a client through a comprehensive clinical assessment, conducted face-to-face in the client’s home.</w:t>
            </w:r>
          </w:p>
          <w:p w14:paraId="4604C634" w14:textId="77777777" w:rsidR="000F3537" w:rsidRPr="00B14DFC" w:rsidRDefault="000F3537" w:rsidP="009557A2">
            <w:pPr>
              <w:rPr>
                <w:rFonts w:ascii="Aptos" w:hAnsi="Aptos"/>
                <w:color w:val="2F5496" w:themeColor="accent5" w:themeShade="BF"/>
              </w:rPr>
            </w:pPr>
          </w:p>
          <w:p w14:paraId="403486AB" w14:textId="77777777" w:rsidR="000F3537" w:rsidRPr="009557A2" w:rsidRDefault="000F3537" w:rsidP="009557A2">
            <w:pPr>
              <w:rPr>
                <w:rFonts w:ascii="Aptos" w:hAnsi="Aptos"/>
                <w:color w:val="2F5496" w:themeColor="accent5" w:themeShade="BF"/>
                <w:sz w:val="24"/>
                <w:szCs w:val="24"/>
              </w:rPr>
            </w:pPr>
            <w:r w:rsidRPr="009557A2">
              <w:rPr>
                <w:rFonts w:ascii="Aptos" w:hAnsi="Aptos"/>
                <w:color w:val="2F5496" w:themeColor="accent5" w:themeShade="BF"/>
                <w:sz w:val="24"/>
                <w:szCs w:val="24"/>
              </w:rPr>
              <w:t>A comprehensive clinical assessment must include the use of validated assessment tools based on current community nursing industry best practice standards. Assessment tools required will be based on the identified care needs of the client, for example:</w:t>
            </w:r>
          </w:p>
          <w:p w14:paraId="3A1F166D" w14:textId="77777777"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lastRenderedPageBreak/>
              <w:t xml:space="preserve">skin assessment </w:t>
            </w:r>
          </w:p>
          <w:p w14:paraId="55AC384D" w14:textId="77777777"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continence assessment</w:t>
            </w:r>
          </w:p>
          <w:p w14:paraId="4AF8C09B" w14:textId="77777777"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falls risk assessment tool (FRAT)</w:t>
            </w:r>
          </w:p>
          <w:p w14:paraId="4401E3F5" w14:textId="77777777"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pain assessment</w:t>
            </w:r>
          </w:p>
          <w:p w14:paraId="17930C31" w14:textId="77777777"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sleep assessment</w:t>
            </w:r>
          </w:p>
          <w:p w14:paraId="7F4773A3" w14:textId="5B7AB18F" w:rsidR="000F3537" w:rsidRPr="009557A2" w:rsidRDefault="000F3537" w:rsidP="009557A2">
            <w:pPr>
              <w:numPr>
                <w:ilvl w:val="0"/>
                <w:numId w:val="9"/>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nutritional assessment</w:t>
            </w:r>
            <w:r w:rsidR="003D0896">
              <w:rPr>
                <w:rFonts w:ascii="Aptos" w:eastAsia="Times New Roman" w:hAnsi="Aptos"/>
                <w:color w:val="2F5496" w:themeColor="accent5" w:themeShade="BF"/>
                <w:sz w:val="24"/>
                <w:szCs w:val="24"/>
              </w:rPr>
              <w:t>.</w:t>
            </w:r>
          </w:p>
          <w:p w14:paraId="732C2B20" w14:textId="77777777" w:rsidR="000F3537" w:rsidRPr="00B14DFC" w:rsidRDefault="000F3537" w:rsidP="009557A2">
            <w:pPr>
              <w:rPr>
                <w:rFonts w:ascii="Aptos" w:hAnsi="Aptos"/>
                <w:color w:val="2F5496" w:themeColor="accent5" w:themeShade="BF"/>
              </w:rPr>
            </w:pPr>
          </w:p>
          <w:p w14:paraId="007F4EA9" w14:textId="77777777" w:rsidR="000F3537" w:rsidRPr="009557A2" w:rsidRDefault="000F3537" w:rsidP="009557A2">
            <w:pPr>
              <w:rPr>
                <w:rFonts w:ascii="Aptos" w:hAnsi="Aptos"/>
                <w:color w:val="2F5496" w:themeColor="accent5" w:themeShade="BF"/>
                <w:sz w:val="24"/>
                <w:szCs w:val="24"/>
              </w:rPr>
            </w:pPr>
            <w:r w:rsidRPr="009557A2">
              <w:rPr>
                <w:rFonts w:ascii="Aptos" w:hAnsi="Aptos"/>
                <w:color w:val="2F5496" w:themeColor="accent5" w:themeShade="BF"/>
                <w:sz w:val="24"/>
                <w:szCs w:val="24"/>
              </w:rPr>
              <w:t>If the client’s level of independence has not been included in the referral, the RN should assess this as part of the initial comprehensive assessment, using an industry recognised measure of assessing independence. The tool should include Activities of Daily Living (ADLs) such as showering, grooming, dressing, bowel and bladder care, transfers and mobility. If assistance to eat is required, a nutritional assessment must also be conducted to determine the nutritional risk.</w:t>
            </w:r>
          </w:p>
          <w:p w14:paraId="2EF94964" w14:textId="77777777" w:rsidR="000F3537" w:rsidRPr="009557A2" w:rsidRDefault="000F3537" w:rsidP="009557A2">
            <w:pPr>
              <w:rPr>
                <w:rFonts w:ascii="Aptos" w:hAnsi="Aptos"/>
              </w:rPr>
            </w:pPr>
          </w:p>
          <w:p w14:paraId="2C814A50" w14:textId="77777777" w:rsidR="000F3537" w:rsidRPr="009557A2" w:rsidRDefault="000F3537" w:rsidP="009557A2">
            <w:pPr>
              <w:rPr>
                <w:rFonts w:ascii="Aptos" w:hAnsi="Aptos"/>
                <w:color w:val="2F5496" w:themeColor="accent5" w:themeShade="BF"/>
                <w:sz w:val="24"/>
                <w:szCs w:val="24"/>
              </w:rPr>
            </w:pPr>
            <w:r w:rsidRPr="009557A2">
              <w:rPr>
                <w:rFonts w:ascii="Aptos" w:hAnsi="Aptos"/>
                <w:b/>
                <w:bCs/>
                <w:color w:val="2F5496" w:themeColor="accent5" w:themeShade="BF"/>
                <w:sz w:val="24"/>
                <w:szCs w:val="24"/>
              </w:rPr>
              <w:t xml:space="preserve">Nursing </w:t>
            </w:r>
            <w:r>
              <w:rPr>
                <w:rFonts w:ascii="Aptos" w:hAnsi="Aptos"/>
                <w:b/>
                <w:bCs/>
                <w:color w:val="2F5496" w:themeColor="accent5" w:themeShade="BF"/>
                <w:sz w:val="24"/>
                <w:szCs w:val="24"/>
              </w:rPr>
              <w:t>c</w:t>
            </w:r>
            <w:r w:rsidRPr="009557A2">
              <w:rPr>
                <w:rFonts w:ascii="Aptos" w:hAnsi="Aptos"/>
                <w:b/>
                <w:bCs/>
                <w:color w:val="2F5496" w:themeColor="accent5" w:themeShade="BF"/>
                <w:sz w:val="24"/>
                <w:szCs w:val="24"/>
              </w:rPr>
              <w:t xml:space="preserve">are </w:t>
            </w:r>
            <w:r>
              <w:rPr>
                <w:rFonts w:ascii="Aptos" w:hAnsi="Aptos"/>
                <w:b/>
                <w:bCs/>
                <w:color w:val="2F5496" w:themeColor="accent5" w:themeShade="BF"/>
                <w:sz w:val="24"/>
                <w:szCs w:val="24"/>
              </w:rPr>
              <w:t>p</w:t>
            </w:r>
            <w:r w:rsidRPr="009557A2">
              <w:rPr>
                <w:rFonts w:ascii="Aptos" w:hAnsi="Aptos"/>
                <w:b/>
                <w:bCs/>
                <w:color w:val="2F5496" w:themeColor="accent5" w:themeShade="BF"/>
                <w:sz w:val="24"/>
                <w:szCs w:val="24"/>
              </w:rPr>
              <w:t>lan</w:t>
            </w:r>
          </w:p>
          <w:p w14:paraId="770C9AE4" w14:textId="77777777" w:rsidR="000F3537" w:rsidRPr="009557A2" w:rsidRDefault="000F3537" w:rsidP="009557A2">
            <w:pPr>
              <w:rPr>
                <w:rFonts w:ascii="Aptos" w:hAnsi="Aptos"/>
                <w:color w:val="2F5496" w:themeColor="accent5" w:themeShade="BF"/>
                <w:sz w:val="24"/>
                <w:szCs w:val="24"/>
              </w:rPr>
            </w:pPr>
            <w:r w:rsidRPr="009557A2">
              <w:rPr>
                <w:rFonts w:ascii="Aptos" w:hAnsi="Aptos"/>
                <w:color w:val="2F5496" w:themeColor="accent5" w:themeShade="BF"/>
                <w:sz w:val="24"/>
                <w:szCs w:val="24"/>
              </w:rPr>
              <w:t>A client’s nursing care plan must be developed and signed by an RN and the client or their representative, following the comprehensive assessment. The care plan is to be developed with, and tailored to the client, factoring in the client’s needs, goals and preferences, regularly reviewed and updated including when:</w:t>
            </w:r>
          </w:p>
          <w:p w14:paraId="399F0B63" w14:textId="77777777" w:rsidR="000F3537" w:rsidRPr="009557A2" w:rsidRDefault="000F3537" w:rsidP="009557A2">
            <w:pPr>
              <w:numPr>
                <w:ilvl w:val="0"/>
                <w:numId w:val="10"/>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the client’s needs, goals or preferences change</w:t>
            </w:r>
          </w:p>
          <w:p w14:paraId="25849C13" w14:textId="77777777" w:rsidR="000F3537" w:rsidRPr="009557A2" w:rsidRDefault="000F3537" w:rsidP="009557A2">
            <w:pPr>
              <w:numPr>
                <w:ilvl w:val="0"/>
                <w:numId w:val="10"/>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the client’s ability, mental health, cognitive or physical function, capacity or condition deteriorates or changes</w:t>
            </w:r>
          </w:p>
          <w:p w14:paraId="6B6446D6" w14:textId="77777777" w:rsidR="000F3537" w:rsidRPr="009557A2" w:rsidRDefault="000F3537" w:rsidP="009557A2">
            <w:pPr>
              <w:numPr>
                <w:ilvl w:val="0"/>
                <w:numId w:val="10"/>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the care that can be provided by a client’s carer changes</w:t>
            </w:r>
          </w:p>
          <w:p w14:paraId="00FE79F4" w14:textId="77777777" w:rsidR="000F3537" w:rsidRPr="009557A2" w:rsidRDefault="000F3537" w:rsidP="009557A2">
            <w:pPr>
              <w:numPr>
                <w:ilvl w:val="0"/>
                <w:numId w:val="10"/>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risks emerge or change or there is an incident that impacts the client</w:t>
            </w:r>
          </w:p>
          <w:p w14:paraId="3D994302" w14:textId="77777777" w:rsidR="000F3537" w:rsidRPr="009557A2" w:rsidRDefault="000F3537" w:rsidP="009557A2">
            <w:pPr>
              <w:numPr>
                <w:ilvl w:val="0"/>
                <w:numId w:val="10"/>
              </w:numPr>
              <w:rPr>
                <w:rFonts w:ascii="Aptos" w:eastAsia="Times New Roman" w:hAnsi="Aptos"/>
                <w:color w:val="2F5496" w:themeColor="accent5" w:themeShade="BF"/>
                <w:sz w:val="24"/>
                <w:szCs w:val="24"/>
              </w:rPr>
            </w:pPr>
            <w:r w:rsidRPr="009557A2">
              <w:rPr>
                <w:rFonts w:ascii="Aptos" w:eastAsia="Times New Roman" w:hAnsi="Aptos"/>
                <w:color w:val="2F5496" w:themeColor="accent5" w:themeShade="BF"/>
                <w:sz w:val="24"/>
                <w:szCs w:val="24"/>
              </w:rPr>
              <w:t>all or part of the client’s care is transferred between others involved in the client’s care.</w:t>
            </w:r>
          </w:p>
          <w:p w14:paraId="3BAC7480" w14:textId="77777777" w:rsidR="000F3537" w:rsidRPr="00B14DFC" w:rsidRDefault="000F3537" w:rsidP="009557A2">
            <w:pPr>
              <w:rPr>
                <w:rFonts w:ascii="Aptos" w:hAnsi="Aptos"/>
                <w:color w:val="2F5496" w:themeColor="accent5" w:themeShade="BF"/>
              </w:rPr>
            </w:pPr>
          </w:p>
          <w:p w14:paraId="61FE3075" w14:textId="77777777" w:rsidR="000F3537" w:rsidRPr="009557A2" w:rsidRDefault="000F3537" w:rsidP="009557A2">
            <w:pPr>
              <w:rPr>
                <w:rFonts w:ascii="Aptos" w:hAnsi="Aptos"/>
                <w:i/>
                <w:iCs/>
                <w:color w:val="2F5496" w:themeColor="accent5" w:themeShade="BF"/>
                <w:sz w:val="24"/>
                <w:szCs w:val="24"/>
              </w:rPr>
            </w:pPr>
            <w:r w:rsidRPr="009557A2">
              <w:rPr>
                <w:rFonts w:ascii="Aptos" w:hAnsi="Aptos"/>
                <w:b/>
                <w:bCs/>
                <w:i/>
                <w:iCs/>
                <w:color w:val="2F5496" w:themeColor="accent5" w:themeShade="BF"/>
                <w:sz w:val="24"/>
                <w:szCs w:val="24"/>
              </w:rPr>
              <w:t>A nursing care plan must include:</w:t>
            </w:r>
          </w:p>
          <w:p w14:paraId="6F95F029"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 xml:space="preserve">clinical and personal care interventions to meet identified care needs </w:t>
            </w:r>
          </w:p>
          <w:p w14:paraId="662B582B"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client’s level of / capacity for independence</w:t>
            </w:r>
          </w:p>
          <w:p w14:paraId="27E24C74"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client’s goal/s of care and agreed actions (short and long term), including their cultural needs</w:t>
            </w:r>
          </w:p>
          <w:p w14:paraId="2F9BC805"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desired outcome/s of care</w:t>
            </w:r>
          </w:p>
          <w:p w14:paraId="06554568"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 xml:space="preserve">delegation of care within scope of practice </w:t>
            </w:r>
          </w:p>
          <w:p w14:paraId="1054553D"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review dates</w:t>
            </w:r>
          </w:p>
          <w:p w14:paraId="0E56D051" w14:textId="77777777" w:rsidR="000F3537" w:rsidRPr="00CC03E4"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agreed days and approximate timeframes that services will be delivered</w:t>
            </w:r>
          </w:p>
          <w:p w14:paraId="33826E05" w14:textId="77777777" w:rsidR="000F3537" w:rsidRDefault="000F3537" w:rsidP="009557A2">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supports for the client’s wellbeing and quality of life, maximising the client’s independence and supporting their reablement</w:t>
            </w:r>
          </w:p>
          <w:p w14:paraId="2DC3914E" w14:textId="77777777" w:rsidR="000F3537" w:rsidRPr="00CC03E4" w:rsidRDefault="000F3537" w:rsidP="00CC03E4">
            <w:pPr>
              <w:numPr>
                <w:ilvl w:val="0"/>
                <w:numId w:val="11"/>
              </w:numPr>
              <w:rPr>
                <w:rFonts w:ascii="Aptos" w:eastAsia="Times New Roman" w:hAnsi="Aptos"/>
                <w:color w:val="2F5496" w:themeColor="accent5" w:themeShade="BF"/>
                <w:sz w:val="24"/>
                <w:szCs w:val="24"/>
              </w:rPr>
            </w:pPr>
            <w:r w:rsidRPr="00CC03E4">
              <w:rPr>
                <w:rFonts w:ascii="Aptos" w:eastAsia="Times New Roman" w:hAnsi="Aptos"/>
                <w:color w:val="2F5496" w:themeColor="accent5" w:themeShade="BF"/>
                <w:sz w:val="24"/>
                <w:szCs w:val="24"/>
              </w:rPr>
              <w:t>information about the risks associated with care and service delivery and how staff can support clients to manage these risks.</w:t>
            </w:r>
          </w:p>
          <w:p w14:paraId="5463650D" w14:textId="0B600E46" w:rsidR="000F3537" w:rsidRPr="00C15C28" w:rsidRDefault="000F3537" w:rsidP="002A6132">
            <w:pPr>
              <w:jc w:val="center"/>
              <w:rPr>
                <w:rFonts w:ascii="Arial" w:hAnsi="Arial" w:cs="Arial"/>
                <w:b/>
                <w:color w:val="002060"/>
                <w:sz w:val="24"/>
                <w:szCs w:val="24"/>
              </w:rPr>
            </w:pPr>
          </w:p>
        </w:tc>
      </w:tr>
      <w:tr w:rsidR="000F3537" w:rsidRPr="00C15C28" w14:paraId="7F2D9A2A" w14:textId="77777777" w:rsidTr="005A02DD">
        <w:trPr>
          <w:trHeight w:val="3402"/>
        </w:trPr>
        <w:tc>
          <w:tcPr>
            <w:tcW w:w="11194" w:type="dxa"/>
            <w:shd w:val="clear" w:color="auto" w:fill="FBE4D5" w:themeFill="accent2" w:themeFillTint="33"/>
          </w:tcPr>
          <w:p w14:paraId="4454D254" w14:textId="77777777" w:rsidR="00B14DFC" w:rsidRPr="00B14DFC" w:rsidRDefault="00B14DFC" w:rsidP="002A6132">
            <w:pPr>
              <w:rPr>
                <w:rFonts w:ascii="Aptos" w:hAnsi="Aptos" w:cs="Arial"/>
                <w:color w:val="002060"/>
                <w:sz w:val="16"/>
                <w:szCs w:val="16"/>
              </w:rPr>
            </w:pPr>
          </w:p>
          <w:p w14:paraId="79BA48B8" w14:textId="12F7B7DA" w:rsidR="000F3537" w:rsidRDefault="000F3537" w:rsidP="002A6132">
            <w:pPr>
              <w:rPr>
                <w:rFonts w:ascii="Aptos" w:hAnsi="Aptos" w:cs="Arial"/>
                <w:color w:val="002060"/>
                <w:sz w:val="36"/>
                <w:szCs w:val="36"/>
              </w:rPr>
            </w:pPr>
            <w:r>
              <w:rPr>
                <w:rFonts w:ascii="Aptos" w:hAnsi="Aptos" w:cs="Arial"/>
                <w:color w:val="002060"/>
                <w:sz w:val="36"/>
                <w:szCs w:val="36"/>
              </w:rPr>
              <w:t>Advertising</w:t>
            </w:r>
            <w:r w:rsidR="00587F3A">
              <w:rPr>
                <w:rFonts w:ascii="Aptos" w:hAnsi="Aptos" w:cs="Arial"/>
                <w:color w:val="002060"/>
                <w:sz w:val="36"/>
                <w:szCs w:val="36"/>
              </w:rPr>
              <w:t xml:space="preserve"> as a Community Nursing provider for DVA</w:t>
            </w:r>
          </w:p>
          <w:p w14:paraId="128443FC" w14:textId="7CDE9D27" w:rsidR="00380277" w:rsidRDefault="007B0D3F" w:rsidP="000A2543">
            <w:pPr>
              <w:rPr>
                <w:rFonts w:ascii="Aptos" w:hAnsi="Aptos"/>
                <w:color w:val="2F5496" w:themeColor="accent5" w:themeShade="BF"/>
                <w:sz w:val="24"/>
                <w:szCs w:val="24"/>
              </w:rPr>
            </w:pPr>
            <w:r>
              <w:rPr>
                <w:rFonts w:ascii="Aptos" w:hAnsi="Aptos"/>
                <w:color w:val="2F5496" w:themeColor="accent5" w:themeShade="BF"/>
                <w:sz w:val="24"/>
                <w:szCs w:val="24"/>
              </w:rPr>
              <w:t xml:space="preserve">There are set </w:t>
            </w:r>
            <w:r w:rsidR="00FD462B">
              <w:rPr>
                <w:rFonts w:ascii="Aptos" w:hAnsi="Aptos"/>
                <w:color w:val="2F5496" w:themeColor="accent5" w:themeShade="BF"/>
                <w:sz w:val="24"/>
                <w:szCs w:val="24"/>
              </w:rPr>
              <w:t xml:space="preserve">advertising requirements </w:t>
            </w:r>
            <w:r w:rsidR="00852960">
              <w:rPr>
                <w:rFonts w:ascii="Aptos" w:hAnsi="Aptos"/>
                <w:color w:val="2F5496" w:themeColor="accent5" w:themeShade="BF"/>
                <w:sz w:val="24"/>
                <w:szCs w:val="24"/>
              </w:rPr>
              <w:t>that</w:t>
            </w:r>
            <w:r w:rsidR="009E301C">
              <w:rPr>
                <w:rFonts w:ascii="Aptos" w:hAnsi="Aptos"/>
                <w:color w:val="2F5496" w:themeColor="accent5" w:themeShade="BF"/>
                <w:sz w:val="24"/>
                <w:szCs w:val="24"/>
              </w:rPr>
              <w:t xml:space="preserve"> </w:t>
            </w:r>
            <w:r w:rsidR="00FD462B">
              <w:rPr>
                <w:rFonts w:ascii="Aptos" w:hAnsi="Aptos"/>
                <w:color w:val="2F5496" w:themeColor="accent5" w:themeShade="BF"/>
                <w:sz w:val="24"/>
                <w:szCs w:val="24"/>
              </w:rPr>
              <w:t xml:space="preserve">you must adhere to which are outlined in </w:t>
            </w:r>
            <w:r w:rsidR="000A2543" w:rsidRPr="000A2543">
              <w:rPr>
                <w:rFonts w:ascii="Aptos" w:hAnsi="Aptos"/>
                <w:color w:val="2F5496" w:themeColor="accent5" w:themeShade="BF"/>
                <w:sz w:val="24"/>
                <w:szCs w:val="24"/>
              </w:rPr>
              <w:t>section 13</w:t>
            </w:r>
            <w:r w:rsidR="00FD462B">
              <w:rPr>
                <w:rFonts w:ascii="Aptos" w:hAnsi="Aptos"/>
                <w:color w:val="2F5496" w:themeColor="accent5" w:themeShade="BF"/>
                <w:sz w:val="24"/>
                <w:szCs w:val="24"/>
              </w:rPr>
              <w:t xml:space="preserve"> in the </w:t>
            </w:r>
            <w:r w:rsidR="000A2543" w:rsidRPr="000A2543">
              <w:rPr>
                <w:rFonts w:ascii="Aptos" w:hAnsi="Aptos"/>
                <w:color w:val="2F5496" w:themeColor="accent5" w:themeShade="BF"/>
                <w:sz w:val="24"/>
                <w:szCs w:val="24"/>
              </w:rPr>
              <w:t xml:space="preserve">Terms and Conditions for the provision of Community Nursing Services. </w:t>
            </w:r>
          </w:p>
          <w:p w14:paraId="2A254245" w14:textId="77777777" w:rsidR="00380277" w:rsidRPr="001F0A58" w:rsidRDefault="00380277" w:rsidP="000A2543">
            <w:pPr>
              <w:rPr>
                <w:rFonts w:ascii="Aptos" w:hAnsi="Aptos"/>
                <w:color w:val="2F5496" w:themeColor="accent5" w:themeShade="BF"/>
                <w:sz w:val="18"/>
                <w:szCs w:val="18"/>
              </w:rPr>
            </w:pPr>
          </w:p>
          <w:p w14:paraId="799530D7" w14:textId="163B24B1" w:rsidR="001F0A58" w:rsidRDefault="00FD462B" w:rsidP="000A2543">
            <w:pPr>
              <w:rPr>
                <w:rFonts w:ascii="Aptos" w:hAnsi="Aptos"/>
                <w:color w:val="2F5496" w:themeColor="accent5" w:themeShade="BF"/>
                <w:sz w:val="24"/>
                <w:szCs w:val="24"/>
              </w:rPr>
            </w:pPr>
            <w:r>
              <w:rPr>
                <w:rFonts w:ascii="Aptos" w:hAnsi="Aptos"/>
                <w:color w:val="2F5496" w:themeColor="accent5" w:themeShade="BF"/>
                <w:sz w:val="24"/>
                <w:szCs w:val="24"/>
              </w:rPr>
              <w:t xml:space="preserve">The DVA logo cannot be utilised in any media, websites, or advertising materials. You are also not permitted to promote yourself as a preferred </w:t>
            </w:r>
            <w:r w:rsidR="00852960">
              <w:rPr>
                <w:rFonts w:ascii="Aptos" w:hAnsi="Aptos"/>
                <w:color w:val="2F5496" w:themeColor="accent5" w:themeShade="BF"/>
                <w:sz w:val="24"/>
                <w:szCs w:val="24"/>
              </w:rPr>
              <w:t xml:space="preserve">DVA </w:t>
            </w:r>
            <w:r>
              <w:rPr>
                <w:rFonts w:ascii="Aptos" w:hAnsi="Aptos"/>
                <w:color w:val="2F5496" w:themeColor="accent5" w:themeShade="BF"/>
                <w:sz w:val="24"/>
                <w:szCs w:val="24"/>
              </w:rPr>
              <w:t>provider</w:t>
            </w:r>
            <w:r w:rsidR="008C5EC6">
              <w:rPr>
                <w:rFonts w:ascii="Aptos" w:hAnsi="Aptos"/>
                <w:color w:val="2F5496" w:themeColor="accent5" w:themeShade="BF"/>
                <w:sz w:val="24"/>
                <w:szCs w:val="24"/>
              </w:rPr>
              <w:t xml:space="preserve">. </w:t>
            </w:r>
          </w:p>
          <w:p w14:paraId="18F04CE7" w14:textId="77777777" w:rsidR="001F0A58" w:rsidRPr="001F0A58" w:rsidRDefault="001F0A58" w:rsidP="000A2543">
            <w:pPr>
              <w:rPr>
                <w:rFonts w:ascii="Aptos" w:hAnsi="Aptos"/>
                <w:color w:val="2F5496" w:themeColor="accent5" w:themeShade="BF"/>
                <w:sz w:val="18"/>
                <w:szCs w:val="18"/>
              </w:rPr>
            </w:pPr>
          </w:p>
          <w:p w14:paraId="2EB36CB7" w14:textId="6B7F97D2" w:rsidR="000A2543" w:rsidRDefault="008C5EC6" w:rsidP="000A2543">
            <w:pPr>
              <w:rPr>
                <w:rFonts w:ascii="Aptos" w:hAnsi="Aptos"/>
                <w:color w:val="2F5496" w:themeColor="accent5" w:themeShade="BF"/>
                <w:sz w:val="24"/>
                <w:szCs w:val="24"/>
              </w:rPr>
            </w:pPr>
            <w:r>
              <w:rPr>
                <w:rFonts w:ascii="Aptos" w:hAnsi="Aptos"/>
                <w:color w:val="2F5496" w:themeColor="accent5" w:themeShade="BF"/>
                <w:sz w:val="24"/>
                <w:szCs w:val="24"/>
              </w:rPr>
              <w:t xml:space="preserve">If you are unsure about whether any proposed advertising aligns with the </w:t>
            </w:r>
            <w:r w:rsidR="000A2543" w:rsidRPr="000A2543">
              <w:rPr>
                <w:rFonts w:ascii="Aptos" w:hAnsi="Aptos"/>
                <w:color w:val="2F5496" w:themeColor="accent5" w:themeShade="BF"/>
                <w:sz w:val="24"/>
                <w:szCs w:val="24"/>
              </w:rPr>
              <w:t>Terms and Conditions,</w:t>
            </w:r>
            <w:r>
              <w:rPr>
                <w:rFonts w:ascii="Aptos" w:hAnsi="Aptos"/>
                <w:color w:val="2F5496" w:themeColor="accent5" w:themeShade="BF"/>
                <w:sz w:val="24"/>
                <w:szCs w:val="24"/>
              </w:rPr>
              <w:t xml:space="preserve"> please email </w:t>
            </w:r>
            <w:hyperlink r:id="rId10" w:history="1">
              <w:r w:rsidRPr="00150DBB">
                <w:rPr>
                  <w:rStyle w:val="Hyperlink"/>
                  <w:rFonts w:ascii="Aptos" w:hAnsi="Aptos"/>
                  <w:sz w:val="24"/>
                  <w:szCs w:val="24"/>
                </w:rPr>
                <w:t>community.nursing.contracts@dva.gov.au</w:t>
              </w:r>
            </w:hyperlink>
            <w:r>
              <w:rPr>
                <w:rFonts w:ascii="Aptos" w:hAnsi="Aptos"/>
                <w:color w:val="2F5496" w:themeColor="accent5" w:themeShade="BF"/>
                <w:sz w:val="24"/>
                <w:szCs w:val="24"/>
              </w:rPr>
              <w:t xml:space="preserve"> and the request will be reviewed on a case</w:t>
            </w:r>
            <w:r w:rsidR="000A2543" w:rsidRPr="000A2543">
              <w:rPr>
                <w:rFonts w:ascii="Aptos" w:hAnsi="Aptos"/>
                <w:color w:val="2F5496" w:themeColor="accent5" w:themeShade="BF"/>
                <w:sz w:val="24"/>
                <w:szCs w:val="24"/>
              </w:rPr>
              <w:t>-by-case basis.</w:t>
            </w:r>
          </w:p>
          <w:p w14:paraId="69A8CA1C" w14:textId="77777777" w:rsidR="000A2543" w:rsidRPr="001F0A58" w:rsidRDefault="000A2543" w:rsidP="000A2543">
            <w:pPr>
              <w:rPr>
                <w:rFonts w:ascii="Aptos" w:hAnsi="Aptos"/>
                <w:color w:val="2F5496" w:themeColor="accent5" w:themeShade="BF"/>
                <w:sz w:val="18"/>
                <w:szCs w:val="18"/>
              </w:rPr>
            </w:pPr>
          </w:p>
          <w:p w14:paraId="0EC037E9" w14:textId="45C6DF0C" w:rsidR="000F3537" w:rsidRPr="00C15C28" w:rsidRDefault="001F46D7" w:rsidP="000A2543">
            <w:pPr>
              <w:spacing w:after="240"/>
              <w:rPr>
                <w:rFonts w:ascii="Arial" w:hAnsi="Arial" w:cs="Arial"/>
                <w:b/>
                <w:color w:val="002060"/>
                <w:sz w:val="24"/>
                <w:szCs w:val="24"/>
              </w:rPr>
            </w:pPr>
            <w:r>
              <w:rPr>
                <w:rFonts w:ascii="Aptos" w:hAnsi="Aptos"/>
                <w:color w:val="2F5496" w:themeColor="accent5" w:themeShade="BF"/>
                <w:sz w:val="24"/>
                <w:szCs w:val="24"/>
              </w:rPr>
              <w:t>Further information can be found in the</w:t>
            </w:r>
            <w:r w:rsidR="00687FDA">
              <w:rPr>
                <w:rFonts w:ascii="Aptos" w:hAnsi="Aptos"/>
                <w:color w:val="2F5496" w:themeColor="accent5" w:themeShade="BF"/>
                <w:sz w:val="24"/>
                <w:szCs w:val="24"/>
              </w:rPr>
              <w:t xml:space="preserve"> </w:t>
            </w:r>
            <w:hyperlink r:id="rId11" w:history="1">
              <w:r w:rsidR="000A2543" w:rsidRPr="000A2543">
                <w:rPr>
                  <w:rStyle w:val="Hyperlink"/>
                  <w:rFonts w:ascii="Aptos" w:hAnsi="Aptos"/>
                  <w:color w:val="2F5496" w:themeColor="accent5" w:themeShade="BF"/>
                  <w:sz w:val="24"/>
                  <w:szCs w:val="24"/>
                </w:rPr>
                <w:t>Terms and Conditions for the Provision of Community Nursing Services</w:t>
              </w:r>
            </w:hyperlink>
            <w:r w:rsidR="000A2543" w:rsidRPr="000A2543">
              <w:rPr>
                <w:rFonts w:ascii="Aptos" w:hAnsi="Aptos"/>
                <w:color w:val="2F5496" w:themeColor="accent5" w:themeShade="BF"/>
                <w:sz w:val="24"/>
                <w:szCs w:val="24"/>
              </w:rPr>
              <w:t xml:space="preserve"> on </w:t>
            </w:r>
            <w:r>
              <w:rPr>
                <w:rFonts w:ascii="Aptos" w:hAnsi="Aptos"/>
                <w:color w:val="2F5496" w:themeColor="accent5" w:themeShade="BF"/>
                <w:sz w:val="24"/>
                <w:szCs w:val="24"/>
              </w:rPr>
              <w:t xml:space="preserve">the </w:t>
            </w:r>
            <w:r w:rsidR="000A2543" w:rsidRPr="000A2543">
              <w:rPr>
                <w:rFonts w:ascii="Aptos" w:hAnsi="Aptos"/>
                <w:color w:val="2F5496" w:themeColor="accent5" w:themeShade="BF"/>
                <w:sz w:val="24"/>
                <w:szCs w:val="24"/>
              </w:rPr>
              <w:t xml:space="preserve">DVA website. </w:t>
            </w:r>
            <w:r w:rsidR="000F3537" w:rsidRPr="00CC03E4">
              <w:rPr>
                <w:rFonts w:ascii="Aptos" w:eastAsia="Times New Roman" w:hAnsi="Aptos"/>
                <w:color w:val="2F5496" w:themeColor="accent5" w:themeShade="BF"/>
                <w:sz w:val="24"/>
                <w:szCs w:val="24"/>
              </w:rPr>
              <w:t xml:space="preserve"> </w:t>
            </w:r>
          </w:p>
        </w:tc>
      </w:tr>
      <w:tr w:rsidR="00CA78F7" w:rsidRPr="00C15C28" w14:paraId="66441ADB" w14:textId="77777777" w:rsidTr="009A6A4F">
        <w:trPr>
          <w:trHeight w:val="2552"/>
        </w:trPr>
        <w:tc>
          <w:tcPr>
            <w:tcW w:w="11194" w:type="dxa"/>
            <w:shd w:val="clear" w:color="auto" w:fill="DEEAF6" w:themeFill="accent1" w:themeFillTint="33"/>
          </w:tcPr>
          <w:p w14:paraId="37582D2A" w14:textId="77777777" w:rsidR="00B14DFC" w:rsidRPr="00B14DFC" w:rsidRDefault="00B14DFC" w:rsidP="004C5CEC">
            <w:pPr>
              <w:rPr>
                <w:rFonts w:ascii="Aptos" w:hAnsi="Aptos" w:cs="Arial"/>
                <w:color w:val="002060"/>
                <w:sz w:val="16"/>
                <w:szCs w:val="16"/>
              </w:rPr>
            </w:pPr>
          </w:p>
          <w:p w14:paraId="029A807A" w14:textId="298D5169" w:rsidR="00BC343B" w:rsidRDefault="00D50E7F" w:rsidP="004C5CEC">
            <w:pPr>
              <w:rPr>
                <w:rFonts w:ascii="Aptos" w:hAnsi="Aptos" w:cs="Arial"/>
                <w:color w:val="002060"/>
                <w:sz w:val="36"/>
                <w:szCs w:val="36"/>
              </w:rPr>
            </w:pPr>
            <w:r>
              <w:rPr>
                <w:rFonts w:ascii="Aptos" w:hAnsi="Aptos" w:cs="Arial"/>
                <w:color w:val="002060"/>
                <w:sz w:val="36"/>
                <w:szCs w:val="36"/>
              </w:rPr>
              <w:t>Open Arms</w:t>
            </w:r>
            <w:r w:rsidR="00C10DDD">
              <w:rPr>
                <w:rFonts w:ascii="Aptos" w:hAnsi="Aptos" w:cs="Arial"/>
                <w:color w:val="002060"/>
                <w:sz w:val="36"/>
                <w:szCs w:val="36"/>
              </w:rPr>
              <w:t xml:space="preserve"> </w:t>
            </w:r>
            <w:r w:rsidR="00181758">
              <w:rPr>
                <w:rFonts w:ascii="Aptos" w:hAnsi="Aptos" w:cs="Arial"/>
                <w:color w:val="002060"/>
                <w:sz w:val="36"/>
                <w:szCs w:val="36"/>
              </w:rPr>
              <w:t>–</w:t>
            </w:r>
            <w:r w:rsidR="00B807CE">
              <w:rPr>
                <w:rFonts w:ascii="Aptos" w:hAnsi="Aptos" w:cs="Arial"/>
                <w:color w:val="002060"/>
                <w:sz w:val="36"/>
                <w:szCs w:val="36"/>
              </w:rPr>
              <w:t xml:space="preserve"> </w:t>
            </w:r>
            <w:r w:rsidR="00E85A32">
              <w:rPr>
                <w:rFonts w:ascii="Aptos" w:hAnsi="Aptos" w:cs="Arial"/>
                <w:color w:val="002060"/>
                <w:sz w:val="36"/>
                <w:szCs w:val="36"/>
              </w:rPr>
              <w:t>Veterans &amp; Families</w:t>
            </w:r>
            <w:r w:rsidR="00140CF6">
              <w:rPr>
                <w:rFonts w:ascii="Aptos" w:hAnsi="Aptos" w:cs="Arial"/>
                <w:color w:val="002060"/>
                <w:sz w:val="36"/>
                <w:szCs w:val="36"/>
              </w:rPr>
              <w:t xml:space="preserve"> Co</w:t>
            </w:r>
            <w:r w:rsidR="00E85A32">
              <w:rPr>
                <w:rFonts w:ascii="Aptos" w:hAnsi="Aptos" w:cs="Arial"/>
                <w:color w:val="002060"/>
                <w:sz w:val="36"/>
                <w:szCs w:val="36"/>
              </w:rPr>
              <w:t xml:space="preserve">unselling </w:t>
            </w:r>
          </w:p>
          <w:p w14:paraId="6699896B" w14:textId="47167868" w:rsidR="00464D8C" w:rsidRDefault="00B807CE" w:rsidP="004C5CEC">
            <w:pPr>
              <w:rPr>
                <w:rFonts w:ascii="Aptos" w:hAnsi="Aptos" w:cs="Arial"/>
                <w:color w:val="002060"/>
                <w:sz w:val="36"/>
                <w:szCs w:val="36"/>
              </w:rPr>
            </w:pPr>
            <w:r>
              <w:rPr>
                <w:noProof/>
              </w:rPr>
              <w:drawing>
                <wp:anchor distT="0" distB="0" distL="114300" distR="114300" simplePos="0" relativeHeight="251661312" behindDoc="0" locked="0" layoutInCell="1" allowOverlap="1" wp14:anchorId="3C6A1047" wp14:editId="1824AFE8">
                  <wp:simplePos x="0" y="0"/>
                  <wp:positionH relativeFrom="column">
                    <wp:posOffset>13970</wp:posOffset>
                  </wp:positionH>
                  <wp:positionV relativeFrom="paragraph">
                    <wp:posOffset>57150</wp:posOffset>
                  </wp:positionV>
                  <wp:extent cx="3046095" cy="923925"/>
                  <wp:effectExtent l="0" t="0" r="1905" b="9525"/>
                  <wp:wrapSquare wrapText="bothSides"/>
                  <wp:docPr id="10" name="Picture 9">
                    <a:extLst xmlns:a="http://schemas.openxmlformats.org/drawingml/2006/main">
                      <a:ext uri="{FF2B5EF4-FFF2-40B4-BE49-F238E27FC236}">
                        <a16:creationId xmlns:a16="http://schemas.microsoft.com/office/drawing/2014/main" id="{4F881E41-AD77-A50B-38CA-8252AA43EF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F881E41-AD77-A50B-38CA-8252AA43EFE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46095" cy="923925"/>
                          </a:xfrm>
                          <a:prstGeom prst="rect">
                            <a:avLst/>
                          </a:prstGeom>
                        </pic:spPr>
                      </pic:pic>
                    </a:graphicData>
                  </a:graphic>
                  <wp14:sizeRelH relativeFrom="margin">
                    <wp14:pctWidth>0</wp14:pctWidth>
                  </wp14:sizeRelH>
                  <wp14:sizeRelV relativeFrom="margin">
                    <wp14:pctHeight>0</wp14:pctHeight>
                  </wp14:sizeRelV>
                </wp:anchor>
              </w:drawing>
            </w:r>
          </w:p>
          <w:p w14:paraId="624D6FF6" w14:textId="77777777" w:rsidR="00464D8C" w:rsidRDefault="00464D8C" w:rsidP="004C5CEC">
            <w:pPr>
              <w:rPr>
                <w:rFonts w:ascii="Aptos" w:hAnsi="Aptos" w:cs="Arial"/>
                <w:color w:val="002060"/>
                <w:sz w:val="36"/>
                <w:szCs w:val="36"/>
              </w:rPr>
            </w:pPr>
          </w:p>
          <w:p w14:paraId="1C611F19" w14:textId="63445A77" w:rsidR="00BC343B" w:rsidRDefault="00BC343B" w:rsidP="004C5CEC">
            <w:pPr>
              <w:rPr>
                <w:rFonts w:ascii="Aptos" w:hAnsi="Aptos" w:cs="Arial"/>
                <w:color w:val="002060"/>
                <w:sz w:val="36"/>
                <w:szCs w:val="36"/>
              </w:rPr>
            </w:pPr>
          </w:p>
          <w:p w14:paraId="7036F7AC" w14:textId="57136C77" w:rsidR="009A6A4F" w:rsidRPr="009A6A4F" w:rsidRDefault="009A6A4F" w:rsidP="004C5CEC">
            <w:pPr>
              <w:rPr>
                <w:rFonts w:ascii="Aptos" w:hAnsi="Aptos" w:cs="Arial"/>
                <w:color w:val="002060"/>
                <w:sz w:val="18"/>
                <w:szCs w:val="18"/>
              </w:rPr>
            </w:pPr>
          </w:p>
          <w:p w14:paraId="303F1C22" w14:textId="24FE9E80" w:rsidR="00BF52F7" w:rsidRDefault="00BF52F7" w:rsidP="004C5CEC">
            <w:pPr>
              <w:rPr>
                <w:rFonts w:ascii="Aptos" w:hAnsi="Aptos" w:cs="Arial"/>
                <w:color w:val="002060"/>
                <w:sz w:val="36"/>
                <w:szCs w:val="36"/>
              </w:rPr>
            </w:pPr>
            <w:r>
              <w:rPr>
                <w:noProof/>
              </w:rPr>
              <w:drawing>
                <wp:inline distT="0" distB="0" distL="0" distR="0" wp14:anchorId="6B1159B2" wp14:editId="7E06B9F0">
                  <wp:extent cx="5791200" cy="2236190"/>
                  <wp:effectExtent l="0" t="0" r="0" b="0"/>
                  <wp:docPr id="1669813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13378" name=""/>
                          <pic:cNvPicPr/>
                        </pic:nvPicPr>
                        <pic:blipFill>
                          <a:blip r:embed="rId13"/>
                          <a:stretch>
                            <a:fillRect/>
                          </a:stretch>
                        </pic:blipFill>
                        <pic:spPr>
                          <a:xfrm>
                            <a:off x="0" y="0"/>
                            <a:ext cx="5807233" cy="2242381"/>
                          </a:xfrm>
                          <a:prstGeom prst="rect">
                            <a:avLst/>
                          </a:prstGeom>
                        </pic:spPr>
                      </pic:pic>
                    </a:graphicData>
                  </a:graphic>
                </wp:inline>
              </w:drawing>
            </w:r>
          </w:p>
          <w:p w14:paraId="2340B30F" w14:textId="77777777" w:rsidR="00B807CE" w:rsidRPr="00B14DFC" w:rsidRDefault="00B807CE" w:rsidP="004C5CEC">
            <w:pPr>
              <w:rPr>
                <w:rFonts w:ascii="Aptos" w:hAnsi="Aptos" w:cs="Arial"/>
                <w:color w:val="002060"/>
                <w:sz w:val="18"/>
                <w:szCs w:val="18"/>
              </w:rPr>
            </w:pPr>
          </w:p>
          <w:p w14:paraId="18481D9F" w14:textId="73B2890D" w:rsidR="00CA78F7" w:rsidRDefault="0057314C" w:rsidP="004C5CEC">
            <w:pPr>
              <w:rPr>
                <w:rFonts w:ascii="Aptos" w:hAnsi="Aptos" w:cs="Arial"/>
                <w:color w:val="002060"/>
                <w:sz w:val="36"/>
                <w:szCs w:val="36"/>
              </w:rPr>
            </w:pPr>
            <w:r>
              <w:rPr>
                <w:rFonts w:ascii="Aptos" w:hAnsi="Aptos" w:cs="Arial"/>
                <w:color w:val="002060"/>
                <w:sz w:val="36"/>
                <w:szCs w:val="36"/>
              </w:rPr>
              <w:t xml:space="preserve">Open Arms - </w:t>
            </w:r>
            <w:r w:rsidR="00137641">
              <w:rPr>
                <w:rFonts w:ascii="Aptos" w:hAnsi="Aptos" w:cs="Arial"/>
                <w:color w:val="002060"/>
                <w:sz w:val="36"/>
                <w:szCs w:val="36"/>
              </w:rPr>
              <w:t xml:space="preserve">Professional Development </w:t>
            </w:r>
            <w:r w:rsidR="00E85A32">
              <w:rPr>
                <w:rFonts w:ascii="Aptos" w:hAnsi="Aptos" w:cs="Arial"/>
                <w:color w:val="002060"/>
                <w:sz w:val="36"/>
                <w:szCs w:val="36"/>
              </w:rPr>
              <w:t xml:space="preserve"> </w:t>
            </w:r>
          </w:p>
          <w:p w14:paraId="49C99AE8" w14:textId="36644DF6" w:rsidR="00254FC7" w:rsidRDefault="00100F0E" w:rsidP="004C5CEC">
            <w:pPr>
              <w:rPr>
                <w:rFonts w:ascii="Aptos" w:hAnsi="Aptos" w:cs="Arial"/>
                <w:color w:val="2F5496" w:themeColor="accent5" w:themeShade="BF"/>
                <w:sz w:val="24"/>
                <w:szCs w:val="24"/>
              </w:rPr>
            </w:pPr>
            <w:r w:rsidRPr="00A8441D">
              <w:rPr>
                <w:rFonts w:ascii="Aptos" w:hAnsi="Aptos" w:cs="Arial"/>
                <w:color w:val="2F5496" w:themeColor="accent5" w:themeShade="BF"/>
                <w:sz w:val="24"/>
                <w:szCs w:val="24"/>
              </w:rPr>
              <w:t>Open Arms assists health providers to understand the military experience and maintain clinical best practice</w:t>
            </w:r>
            <w:r w:rsidR="00254FC7">
              <w:rPr>
                <w:rFonts w:ascii="Aptos" w:hAnsi="Aptos" w:cs="Arial"/>
                <w:color w:val="2F5496" w:themeColor="accent5" w:themeShade="BF"/>
                <w:sz w:val="24"/>
                <w:szCs w:val="24"/>
              </w:rPr>
              <w:t xml:space="preserve"> by offering free online training courses and webinars to help clinicians, practice nurses and other clinical practice staff to better support the mental health needs of veterans.</w:t>
            </w:r>
            <w:r w:rsidR="0051732A">
              <w:rPr>
                <w:rFonts w:ascii="Aptos" w:hAnsi="Aptos" w:cs="Arial"/>
                <w:color w:val="2F5496" w:themeColor="accent5" w:themeShade="BF"/>
                <w:sz w:val="24"/>
                <w:szCs w:val="24"/>
              </w:rPr>
              <w:t xml:space="preserve"> Courses include:</w:t>
            </w:r>
          </w:p>
          <w:p w14:paraId="4BDC5366" w14:textId="4825FFEB" w:rsidR="00100F0E" w:rsidRPr="004208CA" w:rsidRDefault="00C17308" w:rsidP="004208CA">
            <w:pPr>
              <w:numPr>
                <w:ilvl w:val="0"/>
                <w:numId w:val="17"/>
              </w:numPr>
              <w:spacing w:line="256" w:lineRule="auto"/>
              <w:rPr>
                <w:rFonts w:ascii="Aptos" w:eastAsia="Times New Roman" w:hAnsi="Aptos" w:cs="Times New Roman"/>
                <w:sz w:val="24"/>
                <w:szCs w:val="24"/>
                <w:lang w:eastAsia="en-AU"/>
              </w:rPr>
            </w:pPr>
            <w:r w:rsidRPr="00C17308">
              <w:rPr>
                <w:rFonts w:ascii="Aptos" w:eastAsia="Calibri" w:hAnsi="Aptos" w:cs="Times New Roman"/>
                <w:b/>
                <w:bCs/>
                <w:color w:val="2F5496" w:themeColor="accent5" w:themeShade="BF"/>
                <w:kern w:val="24"/>
                <w:sz w:val="24"/>
                <w:szCs w:val="24"/>
                <w:lang w:eastAsia="en-AU"/>
              </w:rPr>
              <w:t>Open Arms Practitioner’s Guide</w:t>
            </w:r>
            <w:r w:rsidRPr="00C17308">
              <w:rPr>
                <w:rFonts w:ascii="Aptos" w:eastAsia="Calibri" w:hAnsi="Aptos" w:cs="Times New Roman"/>
                <w:color w:val="2F5496" w:themeColor="accent5" w:themeShade="BF"/>
                <w:kern w:val="24"/>
                <w:sz w:val="24"/>
                <w:szCs w:val="24"/>
                <w:lang w:eastAsia="en-AU"/>
              </w:rPr>
              <w:t xml:space="preserve"> (1 hr) - A program for counsellors and providers to understand common mental health impacts from military service, clinical treatment expectations, psychological and resilience training used by the A</w:t>
            </w:r>
            <w:r>
              <w:rPr>
                <w:rFonts w:ascii="Aptos" w:eastAsia="Calibri" w:hAnsi="Aptos" w:cs="Times New Roman"/>
                <w:color w:val="2F5496" w:themeColor="accent5" w:themeShade="BF"/>
                <w:kern w:val="24"/>
                <w:sz w:val="24"/>
                <w:szCs w:val="24"/>
                <w:lang w:eastAsia="en-AU"/>
              </w:rPr>
              <w:t xml:space="preserve">ustralian </w:t>
            </w:r>
            <w:r w:rsidRPr="00C17308">
              <w:rPr>
                <w:rFonts w:ascii="Aptos" w:eastAsia="Calibri" w:hAnsi="Aptos" w:cs="Times New Roman"/>
                <w:color w:val="2F5496" w:themeColor="accent5" w:themeShade="BF"/>
                <w:kern w:val="24"/>
                <w:sz w:val="24"/>
                <w:szCs w:val="24"/>
                <w:lang w:eastAsia="en-AU"/>
              </w:rPr>
              <w:t>D</w:t>
            </w:r>
            <w:r>
              <w:rPr>
                <w:rFonts w:ascii="Aptos" w:eastAsia="Calibri" w:hAnsi="Aptos" w:cs="Times New Roman"/>
                <w:color w:val="2F5496" w:themeColor="accent5" w:themeShade="BF"/>
                <w:kern w:val="24"/>
                <w:sz w:val="24"/>
                <w:szCs w:val="24"/>
                <w:lang w:eastAsia="en-AU"/>
              </w:rPr>
              <w:t xml:space="preserve">efence </w:t>
            </w:r>
            <w:r w:rsidRPr="00C17308">
              <w:rPr>
                <w:rFonts w:ascii="Aptos" w:eastAsia="Calibri" w:hAnsi="Aptos" w:cs="Times New Roman"/>
                <w:color w:val="2F5496" w:themeColor="accent5" w:themeShade="BF"/>
                <w:kern w:val="24"/>
                <w:sz w:val="24"/>
                <w:szCs w:val="24"/>
                <w:lang w:eastAsia="en-AU"/>
              </w:rPr>
              <w:t>F</w:t>
            </w:r>
            <w:r>
              <w:rPr>
                <w:rFonts w:ascii="Aptos" w:eastAsia="Calibri" w:hAnsi="Aptos" w:cs="Times New Roman"/>
                <w:color w:val="2F5496" w:themeColor="accent5" w:themeShade="BF"/>
                <w:kern w:val="24"/>
                <w:sz w:val="24"/>
                <w:szCs w:val="24"/>
                <w:lang w:eastAsia="en-AU"/>
              </w:rPr>
              <w:t>orce</w:t>
            </w:r>
            <w:r w:rsidR="004208CA">
              <w:rPr>
                <w:rFonts w:ascii="Aptos" w:eastAsia="Calibri" w:hAnsi="Aptos" w:cs="Times New Roman"/>
                <w:color w:val="2F5496" w:themeColor="accent5" w:themeShade="BF"/>
                <w:kern w:val="24"/>
                <w:sz w:val="24"/>
                <w:szCs w:val="24"/>
                <w:lang w:eastAsia="en-AU"/>
              </w:rPr>
              <w:t xml:space="preserve"> (ADF)</w:t>
            </w:r>
            <w:r w:rsidRPr="00C17308">
              <w:rPr>
                <w:rFonts w:ascii="Aptos" w:eastAsia="Calibri" w:hAnsi="Aptos" w:cs="Times New Roman"/>
                <w:color w:val="2F5496" w:themeColor="accent5" w:themeShade="BF"/>
                <w:kern w:val="24"/>
                <w:sz w:val="24"/>
                <w:szCs w:val="24"/>
                <w:lang w:eastAsia="en-AU"/>
              </w:rPr>
              <w:t>.</w:t>
            </w:r>
          </w:p>
          <w:p w14:paraId="49438BFB" w14:textId="77777777" w:rsidR="004208CA" w:rsidRPr="004208CA" w:rsidRDefault="004208CA" w:rsidP="004208CA">
            <w:pPr>
              <w:numPr>
                <w:ilvl w:val="0"/>
                <w:numId w:val="17"/>
              </w:numPr>
              <w:spacing w:line="256" w:lineRule="auto"/>
              <w:rPr>
                <w:rFonts w:ascii="Aptos" w:eastAsia="Times New Roman" w:hAnsi="Aptos" w:cs="Times New Roman"/>
                <w:color w:val="2F5496" w:themeColor="accent5" w:themeShade="BF"/>
                <w:sz w:val="24"/>
                <w:szCs w:val="24"/>
                <w:lang w:eastAsia="en-AU"/>
              </w:rPr>
            </w:pPr>
            <w:r w:rsidRPr="004208CA">
              <w:rPr>
                <w:rFonts w:ascii="Aptos" w:eastAsia="Calibri" w:hAnsi="Aptos" w:cs="Times New Roman"/>
                <w:b/>
                <w:bCs/>
                <w:color w:val="2F5496" w:themeColor="accent5" w:themeShade="BF"/>
                <w:kern w:val="24"/>
                <w:sz w:val="24"/>
                <w:szCs w:val="24"/>
                <w:lang w:eastAsia="en-AU"/>
              </w:rPr>
              <w:t>Understanding our veterans: the ADF and the people who serve</w:t>
            </w:r>
            <w:r w:rsidRPr="004208CA">
              <w:rPr>
                <w:rFonts w:ascii="Aptos" w:eastAsia="Calibri" w:hAnsi="Aptos" w:cs="Times New Roman"/>
                <w:color w:val="2F5496" w:themeColor="accent5" w:themeShade="BF"/>
                <w:kern w:val="24"/>
                <w:sz w:val="24"/>
                <w:szCs w:val="24"/>
                <w:lang w:eastAsia="en-AU"/>
              </w:rPr>
              <w:t xml:space="preserve"> (2 hrs) - A program to provide an overview of military history, the impact of a veteran's military service, special issues impacting a veteran and DVA support for veterans.</w:t>
            </w:r>
          </w:p>
          <w:p w14:paraId="238FF197" w14:textId="11DBB0C9" w:rsidR="004208CA" w:rsidRPr="004208CA" w:rsidRDefault="004208CA" w:rsidP="004208CA">
            <w:pPr>
              <w:numPr>
                <w:ilvl w:val="0"/>
                <w:numId w:val="17"/>
              </w:numPr>
              <w:spacing w:line="256" w:lineRule="auto"/>
              <w:rPr>
                <w:rFonts w:ascii="Aptos" w:eastAsia="Times New Roman" w:hAnsi="Aptos" w:cs="Times New Roman"/>
                <w:color w:val="2F5496" w:themeColor="accent5" w:themeShade="BF"/>
                <w:sz w:val="24"/>
                <w:szCs w:val="24"/>
                <w:lang w:eastAsia="en-AU"/>
              </w:rPr>
            </w:pPr>
            <w:r w:rsidRPr="004208CA">
              <w:rPr>
                <w:rFonts w:ascii="Aptos" w:eastAsia="Calibri" w:hAnsi="Aptos" w:cs="Times New Roman"/>
                <w:b/>
                <w:bCs/>
                <w:color w:val="2F5496" w:themeColor="accent5" w:themeShade="BF"/>
                <w:kern w:val="24"/>
                <w:sz w:val="24"/>
                <w:szCs w:val="24"/>
                <w:lang w:eastAsia="en-AU"/>
              </w:rPr>
              <w:t xml:space="preserve">Understanding the military experience </w:t>
            </w:r>
            <w:r w:rsidRPr="004208CA">
              <w:rPr>
                <w:rFonts w:ascii="Aptos" w:eastAsia="Calibri" w:hAnsi="Aptos" w:cs="Times New Roman"/>
                <w:color w:val="2F5496" w:themeColor="accent5" w:themeShade="BF"/>
                <w:kern w:val="24"/>
                <w:sz w:val="24"/>
                <w:szCs w:val="24"/>
                <w:lang w:eastAsia="en-AU"/>
              </w:rPr>
              <w:t xml:space="preserve">(2 </w:t>
            </w:r>
            <w:r>
              <w:rPr>
                <w:rFonts w:ascii="Aptos" w:eastAsia="Calibri" w:hAnsi="Aptos" w:cs="Times New Roman"/>
                <w:color w:val="2F5496" w:themeColor="accent5" w:themeShade="BF"/>
                <w:kern w:val="24"/>
                <w:sz w:val="24"/>
                <w:szCs w:val="24"/>
                <w:lang w:eastAsia="en-AU"/>
              </w:rPr>
              <w:t>h</w:t>
            </w:r>
            <w:r w:rsidRPr="004208CA">
              <w:rPr>
                <w:rFonts w:ascii="Aptos" w:eastAsia="Calibri" w:hAnsi="Aptos" w:cs="Times New Roman"/>
                <w:color w:val="2F5496" w:themeColor="accent5" w:themeShade="BF"/>
                <w:kern w:val="24"/>
                <w:sz w:val="24"/>
                <w:szCs w:val="24"/>
                <w:lang w:eastAsia="en-AU"/>
              </w:rPr>
              <w:t>rs)</w:t>
            </w:r>
            <w:r w:rsidRPr="004208CA">
              <w:rPr>
                <w:rFonts w:ascii="Aptos" w:eastAsia="Calibri" w:hAnsi="Aptos" w:cs="Times New Roman"/>
                <w:b/>
                <w:bCs/>
                <w:color w:val="2F5496" w:themeColor="accent5" w:themeShade="BF"/>
                <w:kern w:val="24"/>
                <w:sz w:val="24"/>
                <w:szCs w:val="24"/>
                <w:lang w:eastAsia="en-AU"/>
              </w:rPr>
              <w:t xml:space="preserve"> - </w:t>
            </w:r>
            <w:r w:rsidRPr="004208CA">
              <w:rPr>
                <w:rFonts w:ascii="Aptos" w:eastAsia="Calibri" w:hAnsi="Aptos" w:cs="Times New Roman"/>
                <w:color w:val="2F5496" w:themeColor="accent5" w:themeShade="BF"/>
                <w:kern w:val="24"/>
                <w:sz w:val="24"/>
                <w:szCs w:val="24"/>
                <w:lang w:eastAsia="en-AU"/>
              </w:rPr>
              <w:t>A program for mental health clinicians to better understand veteran patients, the long-term effects of military service on mental health, and how military training and culture shape behaviours after service.</w:t>
            </w:r>
          </w:p>
          <w:p w14:paraId="02F65C6B" w14:textId="77777777" w:rsidR="00D6245C" w:rsidRDefault="00D6245C" w:rsidP="004208CA">
            <w:pPr>
              <w:spacing w:line="256" w:lineRule="auto"/>
              <w:rPr>
                <w:rFonts w:ascii="Aptos" w:eastAsia="Calibri" w:hAnsi="Aptos" w:cs="Times New Roman"/>
                <w:color w:val="2F5496" w:themeColor="accent5" w:themeShade="BF"/>
                <w:kern w:val="24"/>
                <w:sz w:val="24"/>
                <w:szCs w:val="24"/>
                <w:lang w:eastAsia="en-AU"/>
              </w:rPr>
            </w:pPr>
          </w:p>
          <w:p w14:paraId="52348D83" w14:textId="1D13281B" w:rsidR="004208CA" w:rsidRDefault="00D6245C" w:rsidP="004208CA">
            <w:pPr>
              <w:spacing w:line="256" w:lineRule="auto"/>
              <w:rPr>
                <w:rFonts w:ascii="Aptos" w:eastAsia="Calibri" w:hAnsi="Aptos" w:cs="Times New Roman"/>
                <w:color w:val="2F5496" w:themeColor="accent5" w:themeShade="BF"/>
                <w:kern w:val="24"/>
                <w:sz w:val="24"/>
                <w:szCs w:val="24"/>
                <w:lang w:eastAsia="en-AU"/>
              </w:rPr>
            </w:pPr>
            <w:r>
              <w:rPr>
                <w:rFonts w:ascii="Aptos" w:eastAsia="Calibri" w:hAnsi="Aptos" w:cs="Times New Roman"/>
                <w:color w:val="2F5496" w:themeColor="accent5" w:themeShade="BF"/>
                <w:kern w:val="24"/>
                <w:sz w:val="24"/>
                <w:szCs w:val="24"/>
                <w:lang w:eastAsia="en-AU"/>
              </w:rPr>
              <w:t>Where a certificate is awarded through DVA Train, health professionals may use it for Continuing Professional Development Points.</w:t>
            </w:r>
          </w:p>
          <w:p w14:paraId="11DB0F5D" w14:textId="77777777" w:rsidR="00D6245C" w:rsidRDefault="00D6245C" w:rsidP="004208CA">
            <w:pPr>
              <w:spacing w:line="256" w:lineRule="auto"/>
              <w:rPr>
                <w:rFonts w:ascii="Aptos" w:eastAsia="Calibri" w:hAnsi="Aptos" w:cs="Times New Roman"/>
                <w:color w:val="2F5496" w:themeColor="accent5" w:themeShade="BF"/>
                <w:kern w:val="24"/>
                <w:sz w:val="24"/>
                <w:szCs w:val="24"/>
                <w:lang w:eastAsia="en-AU"/>
              </w:rPr>
            </w:pPr>
          </w:p>
          <w:p w14:paraId="64340213" w14:textId="6EAB20AC" w:rsidR="004208CA" w:rsidRPr="004208CA" w:rsidRDefault="004208CA" w:rsidP="004208CA">
            <w:pPr>
              <w:spacing w:line="256" w:lineRule="auto"/>
              <w:rPr>
                <w:rFonts w:ascii="Times New Roman" w:eastAsia="Times New Roman" w:hAnsi="Times New Roman" w:cs="Times New Roman"/>
                <w:sz w:val="24"/>
                <w:szCs w:val="24"/>
                <w:lang w:eastAsia="en-AU"/>
              </w:rPr>
            </w:pPr>
            <w:r w:rsidRPr="004208CA">
              <w:rPr>
                <w:rFonts w:ascii="Aptos" w:eastAsia="Calibri" w:hAnsi="Aptos" w:cs="Times New Roman"/>
                <w:color w:val="2F5496" w:themeColor="accent5" w:themeShade="BF"/>
                <w:kern w:val="24"/>
                <w:sz w:val="24"/>
                <w:szCs w:val="24"/>
                <w:lang w:eastAsia="en-AU"/>
              </w:rPr>
              <w:t>These courses</w:t>
            </w:r>
            <w:r w:rsidR="00991450">
              <w:rPr>
                <w:rFonts w:ascii="Aptos" w:eastAsia="Calibri" w:hAnsi="Aptos" w:cs="Times New Roman"/>
                <w:color w:val="2F5496" w:themeColor="accent5" w:themeShade="BF"/>
                <w:kern w:val="24"/>
                <w:sz w:val="24"/>
                <w:szCs w:val="24"/>
                <w:lang w:eastAsia="en-AU"/>
              </w:rPr>
              <w:t xml:space="preserve"> and others</w:t>
            </w:r>
            <w:r w:rsidRPr="004208CA">
              <w:rPr>
                <w:rFonts w:ascii="Aptos" w:eastAsia="Calibri" w:hAnsi="Aptos" w:cs="Times New Roman"/>
                <w:color w:val="2F5496" w:themeColor="accent5" w:themeShade="BF"/>
                <w:kern w:val="24"/>
                <w:sz w:val="24"/>
                <w:szCs w:val="24"/>
                <w:lang w:eastAsia="en-AU"/>
              </w:rPr>
              <w:t xml:space="preserve"> can be found at </w:t>
            </w:r>
            <w:hyperlink r:id="rId14" w:history="1">
              <w:r w:rsidRPr="004208CA">
                <w:rPr>
                  <w:rFonts w:ascii="Aptos" w:eastAsia="Calibri" w:hAnsi="Aptos" w:cs="Times New Roman"/>
                  <w:b/>
                  <w:bCs/>
                  <w:color w:val="2F5496" w:themeColor="accent5" w:themeShade="BF"/>
                  <w:kern w:val="24"/>
                  <w:sz w:val="24"/>
                  <w:szCs w:val="24"/>
                  <w:u w:val="single"/>
                  <w:lang w:eastAsia="en-AU"/>
                </w:rPr>
                <w:t>www.openarms.gov.au/professionals/professional-development</w:t>
              </w:r>
            </w:hyperlink>
          </w:p>
          <w:p w14:paraId="462AF9B6" w14:textId="77777777" w:rsidR="00100F0E" w:rsidRPr="009A6A4F" w:rsidRDefault="00100F0E" w:rsidP="004C5CEC">
            <w:pPr>
              <w:rPr>
                <w:rFonts w:ascii="Aptos" w:hAnsi="Aptos" w:cs="Arial"/>
                <w:color w:val="002060"/>
                <w:sz w:val="18"/>
                <w:szCs w:val="18"/>
              </w:rPr>
            </w:pPr>
          </w:p>
          <w:p w14:paraId="4774CDE2" w14:textId="40A57BC6" w:rsidR="00274C26" w:rsidRDefault="0057314C" w:rsidP="004C5CEC">
            <w:pPr>
              <w:rPr>
                <w:rFonts w:ascii="Aptos" w:hAnsi="Aptos" w:cs="Arial"/>
                <w:color w:val="002060"/>
                <w:sz w:val="36"/>
                <w:szCs w:val="36"/>
              </w:rPr>
            </w:pPr>
            <w:r>
              <w:rPr>
                <w:rFonts w:ascii="Aptos" w:hAnsi="Aptos" w:cs="Arial"/>
                <w:color w:val="002060"/>
                <w:sz w:val="36"/>
                <w:szCs w:val="36"/>
              </w:rPr>
              <w:t xml:space="preserve">Open Arms - </w:t>
            </w:r>
            <w:r w:rsidR="00274C26">
              <w:rPr>
                <w:rFonts w:ascii="Aptos" w:hAnsi="Aptos" w:cs="Arial"/>
                <w:color w:val="002060"/>
                <w:sz w:val="36"/>
                <w:szCs w:val="36"/>
              </w:rPr>
              <w:t>DVA General Advice Line</w:t>
            </w:r>
          </w:p>
          <w:p w14:paraId="59081A7B" w14:textId="0E4C83DC" w:rsidR="00BD03DE" w:rsidRDefault="00091E47" w:rsidP="004C5CEC">
            <w:pPr>
              <w:rPr>
                <w:rFonts w:ascii="Aptos" w:hAnsi="Aptos" w:cs="Arial"/>
                <w:color w:val="2F5496" w:themeColor="accent5" w:themeShade="BF"/>
                <w:sz w:val="24"/>
                <w:szCs w:val="24"/>
              </w:rPr>
            </w:pPr>
            <w:r w:rsidRPr="00A8441D">
              <w:rPr>
                <w:rFonts w:ascii="Aptos" w:hAnsi="Aptos" w:cs="Arial"/>
                <w:color w:val="2F5496" w:themeColor="accent5" w:themeShade="BF"/>
                <w:sz w:val="24"/>
                <w:szCs w:val="24"/>
              </w:rPr>
              <w:t xml:space="preserve">A free consultation service </w:t>
            </w:r>
            <w:r w:rsidR="00967598" w:rsidRPr="00A8441D">
              <w:rPr>
                <w:rFonts w:ascii="Aptos" w:hAnsi="Aptos" w:cs="Arial"/>
                <w:color w:val="2F5496" w:themeColor="accent5" w:themeShade="BF"/>
                <w:sz w:val="24"/>
                <w:szCs w:val="24"/>
              </w:rPr>
              <w:t xml:space="preserve">(operated by Phoenix Australia) </w:t>
            </w:r>
            <w:r w:rsidRPr="00A8441D">
              <w:rPr>
                <w:rFonts w:ascii="Aptos" w:hAnsi="Aptos" w:cs="Arial"/>
                <w:color w:val="2F5496" w:themeColor="accent5" w:themeShade="BF"/>
                <w:sz w:val="24"/>
                <w:szCs w:val="24"/>
              </w:rPr>
              <w:t>providing mental health-related resources and information about available treatment options</w:t>
            </w:r>
            <w:r w:rsidR="00967598" w:rsidRPr="00A8441D">
              <w:rPr>
                <w:rFonts w:ascii="Aptos" w:hAnsi="Aptos" w:cs="Arial"/>
                <w:color w:val="2F5496" w:themeColor="accent5" w:themeShade="BF"/>
                <w:sz w:val="24"/>
                <w:szCs w:val="24"/>
              </w:rPr>
              <w:t xml:space="preserve"> to individuals and organisations that deliver services to veterans.</w:t>
            </w:r>
          </w:p>
          <w:p w14:paraId="346AFD1B" w14:textId="599477F1" w:rsidR="00171C9C" w:rsidRDefault="00171C9C" w:rsidP="008C0EC7">
            <w:pPr>
              <w:numPr>
                <w:ilvl w:val="0"/>
                <w:numId w:val="12"/>
              </w:numPr>
              <w:rPr>
                <w:rFonts w:ascii="Aptos" w:hAnsi="Aptos" w:cs="Arial"/>
                <w:color w:val="2F5496" w:themeColor="accent5" w:themeShade="BF"/>
                <w:sz w:val="24"/>
                <w:szCs w:val="24"/>
              </w:rPr>
            </w:pPr>
            <w:r>
              <w:rPr>
                <w:rFonts w:ascii="Aptos" w:hAnsi="Aptos" w:cs="Arial"/>
                <w:color w:val="2F5496" w:themeColor="accent5" w:themeShade="BF"/>
                <w:sz w:val="24"/>
                <w:szCs w:val="24"/>
              </w:rPr>
              <w:t>Staffed by mental health cl</w:t>
            </w:r>
            <w:r w:rsidR="008C0EC7">
              <w:rPr>
                <w:rFonts w:ascii="Aptos" w:hAnsi="Aptos" w:cs="Arial"/>
                <w:color w:val="2F5496" w:themeColor="accent5" w:themeShade="BF"/>
                <w:sz w:val="24"/>
                <w:szCs w:val="24"/>
              </w:rPr>
              <w:t>inicians</w:t>
            </w:r>
            <w:r w:rsidR="00F06DDE">
              <w:rPr>
                <w:rFonts w:ascii="Aptos" w:hAnsi="Aptos" w:cs="Arial"/>
                <w:color w:val="2F5496" w:themeColor="accent5" w:themeShade="BF"/>
                <w:sz w:val="24"/>
                <w:szCs w:val="24"/>
              </w:rPr>
              <w:t xml:space="preserve"> with extensive experience</w:t>
            </w:r>
          </w:p>
          <w:p w14:paraId="00E4BEE8" w14:textId="5B6F1F46" w:rsidR="008C0EC7" w:rsidRDefault="008C0EC7" w:rsidP="008C0EC7">
            <w:pPr>
              <w:numPr>
                <w:ilvl w:val="0"/>
                <w:numId w:val="12"/>
              </w:numPr>
              <w:rPr>
                <w:rFonts w:ascii="Aptos" w:hAnsi="Aptos" w:cs="Arial"/>
                <w:color w:val="2F5496" w:themeColor="accent5" w:themeShade="BF"/>
                <w:sz w:val="24"/>
                <w:szCs w:val="24"/>
              </w:rPr>
            </w:pPr>
            <w:r>
              <w:rPr>
                <w:rFonts w:ascii="Aptos" w:hAnsi="Aptos" w:cs="Arial"/>
                <w:color w:val="2F5496" w:themeColor="accent5" w:themeShade="BF"/>
                <w:sz w:val="24"/>
                <w:szCs w:val="24"/>
              </w:rPr>
              <w:t>No query is too simple or too complex</w:t>
            </w:r>
          </w:p>
          <w:p w14:paraId="7DC1F80E" w14:textId="36B52AF7" w:rsidR="00F06DDE" w:rsidRDefault="00F06DDE" w:rsidP="008C0EC7">
            <w:pPr>
              <w:numPr>
                <w:ilvl w:val="0"/>
                <w:numId w:val="12"/>
              </w:numPr>
              <w:rPr>
                <w:rFonts w:ascii="Aptos" w:hAnsi="Aptos" w:cs="Arial"/>
                <w:color w:val="2F5496" w:themeColor="accent5" w:themeShade="BF"/>
                <w:sz w:val="24"/>
                <w:szCs w:val="24"/>
              </w:rPr>
            </w:pPr>
            <w:r>
              <w:rPr>
                <w:rFonts w:ascii="Aptos" w:hAnsi="Aptos" w:cs="Arial"/>
                <w:color w:val="2F5496" w:themeColor="accent5" w:themeShade="BF"/>
                <w:sz w:val="24"/>
                <w:szCs w:val="24"/>
              </w:rPr>
              <w:t>Mental health does not need to be the primary focus of work with a client</w:t>
            </w:r>
          </w:p>
          <w:p w14:paraId="24C64BA3" w14:textId="77777777" w:rsidR="004C5CEC" w:rsidRDefault="00B532D9" w:rsidP="004C5CEC">
            <w:pPr>
              <w:numPr>
                <w:ilvl w:val="0"/>
                <w:numId w:val="12"/>
              </w:numPr>
              <w:rPr>
                <w:rFonts w:ascii="Aptos" w:hAnsi="Aptos" w:cs="Arial"/>
                <w:color w:val="2F5496" w:themeColor="accent5" w:themeShade="BF"/>
                <w:sz w:val="24"/>
                <w:szCs w:val="24"/>
              </w:rPr>
            </w:pPr>
            <w:r w:rsidRPr="00F06DDE">
              <w:rPr>
                <w:rFonts w:ascii="Aptos" w:hAnsi="Aptos" w:cs="Arial"/>
                <w:color w:val="2F5496" w:themeColor="accent5" w:themeShade="BF"/>
                <w:sz w:val="24"/>
                <w:szCs w:val="24"/>
              </w:rPr>
              <w:t xml:space="preserve">Phone </w:t>
            </w:r>
            <w:r w:rsidRPr="00F06DDE">
              <w:rPr>
                <w:rFonts w:ascii="Aptos" w:hAnsi="Aptos" w:cs="Arial"/>
                <w:b/>
                <w:bCs/>
                <w:color w:val="2F5496" w:themeColor="accent5" w:themeShade="BF"/>
                <w:sz w:val="24"/>
                <w:szCs w:val="24"/>
              </w:rPr>
              <w:t>1800 838 777</w:t>
            </w:r>
            <w:r w:rsidRPr="00F06DDE">
              <w:rPr>
                <w:rFonts w:ascii="Aptos" w:hAnsi="Aptos" w:cs="Arial"/>
                <w:color w:val="2F5496" w:themeColor="accent5" w:themeShade="BF"/>
                <w:sz w:val="24"/>
                <w:szCs w:val="24"/>
              </w:rPr>
              <w:t xml:space="preserve"> between 9.00am and 4.00pm AEST Monday to Friday.</w:t>
            </w:r>
          </w:p>
          <w:p w14:paraId="222450FF" w14:textId="6A0E5C88" w:rsidR="00464D8C" w:rsidRPr="006D3F83" w:rsidRDefault="00464D8C" w:rsidP="00464D8C">
            <w:pPr>
              <w:rPr>
                <w:rFonts w:ascii="Aptos" w:hAnsi="Aptos" w:cs="Arial"/>
                <w:color w:val="2F5496" w:themeColor="accent5" w:themeShade="BF"/>
                <w:sz w:val="24"/>
                <w:szCs w:val="24"/>
              </w:rPr>
            </w:pPr>
          </w:p>
        </w:tc>
      </w:tr>
    </w:tbl>
    <w:p w14:paraId="668B50F5" w14:textId="5DFD4138" w:rsidR="00C0740B" w:rsidRDefault="00C0740B" w:rsidP="00473356"/>
    <w:sectPr w:rsidR="00C0740B" w:rsidSect="0009400E">
      <w:pgSz w:w="11906" w:h="16838" w:code="9"/>
      <w:pgMar w:top="720" w:right="28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DC6"/>
    <w:multiLevelType w:val="hybridMultilevel"/>
    <w:tmpl w:val="6C7A2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C0FE4"/>
    <w:multiLevelType w:val="hybridMultilevel"/>
    <w:tmpl w:val="93B8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4E34"/>
    <w:multiLevelType w:val="hybridMultilevel"/>
    <w:tmpl w:val="CA688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D1F67"/>
    <w:multiLevelType w:val="hybridMultilevel"/>
    <w:tmpl w:val="B992B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951842"/>
    <w:multiLevelType w:val="hybridMultilevel"/>
    <w:tmpl w:val="C6C40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205B61"/>
    <w:multiLevelType w:val="hybridMultilevel"/>
    <w:tmpl w:val="E0141A54"/>
    <w:lvl w:ilvl="0" w:tplc="9084B246">
      <w:start w:val="1"/>
      <w:numFmt w:val="bullet"/>
      <w:lvlText w:val=""/>
      <w:lvlJc w:val="left"/>
      <w:pPr>
        <w:tabs>
          <w:tab w:val="num" w:pos="720"/>
        </w:tabs>
        <w:ind w:left="720" w:hanging="360"/>
      </w:pPr>
      <w:rPr>
        <w:rFonts w:ascii="Symbol" w:hAnsi="Symbol" w:hint="default"/>
      </w:rPr>
    </w:lvl>
    <w:lvl w:ilvl="1" w:tplc="D08E73E6" w:tentative="1">
      <w:start w:val="1"/>
      <w:numFmt w:val="bullet"/>
      <w:lvlText w:val=""/>
      <w:lvlJc w:val="left"/>
      <w:pPr>
        <w:tabs>
          <w:tab w:val="num" w:pos="1440"/>
        </w:tabs>
        <w:ind w:left="1440" w:hanging="360"/>
      </w:pPr>
      <w:rPr>
        <w:rFonts w:ascii="Symbol" w:hAnsi="Symbol" w:hint="default"/>
      </w:rPr>
    </w:lvl>
    <w:lvl w:ilvl="2" w:tplc="C02E1B6C" w:tentative="1">
      <w:start w:val="1"/>
      <w:numFmt w:val="bullet"/>
      <w:lvlText w:val=""/>
      <w:lvlJc w:val="left"/>
      <w:pPr>
        <w:tabs>
          <w:tab w:val="num" w:pos="2160"/>
        </w:tabs>
        <w:ind w:left="2160" w:hanging="360"/>
      </w:pPr>
      <w:rPr>
        <w:rFonts w:ascii="Symbol" w:hAnsi="Symbol" w:hint="default"/>
      </w:rPr>
    </w:lvl>
    <w:lvl w:ilvl="3" w:tplc="44A621D4" w:tentative="1">
      <w:start w:val="1"/>
      <w:numFmt w:val="bullet"/>
      <w:lvlText w:val=""/>
      <w:lvlJc w:val="left"/>
      <w:pPr>
        <w:tabs>
          <w:tab w:val="num" w:pos="2880"/>
        </w:tabs>
        <w:ind w:left="2880" w:hanging="360"/>
      </w:pPr>
      <w:rPr>
        <w:rFonts w:ascii="Symbol" w:hAnsi="Symbol" w:hint="default"/>
      </w:rPr>
    </w:lvl>
    <w:lvl w:ilvl="4" w:tplc="33083EA2" w:tentative="1">
      <w:start w:val="1"/>
      <w:numFmt w:val="bullet"/>
      <w:lvlText w:val=""/>
      <w:lvlJc w:val="left"/>
      <w:pPr>
        <w:tabs>
          <w:tab w:val="num" w:pos="3600"/>
        </w:tabs>
        <w:ind w:left="3600" w:hanging="360"/>
      </w:pPr>
      <w:rPr>
        <w:rFonts w:ascii="Symbol" w:hAnsi="Symbol" w:hint="default"/>
      </w:rPr>
    </w:lvl>
    <w:lvl w:ilvl="5" w:tplc="4530CB76" w:tentative="1">
      <w:start w:val="1"/>
      <w:numFmt w:val="bullet"/>
      <w:lvlText w:val=""/>
      <w:lvlJc w:val="left"/>
      <w:pPr>
        <w:tabs>
          <w:tab w:val="num" w:pos="4320"/>
        </w:tabs>
        <w:ind w:left="4320" w:hanging="360"/>
      </w:pPr>
      <w:rPr>
        <w:rFonts w:ascii="Symbol" w:hAnsi="Symbol" w:hint="default"/>
      </w:rPr>
    </w:lvl>
    <w:lvl w:ilvl="6" w:tplc="04907FAA" w:tentative="1">
      <w:start w:val="1"/>
      <w:numFmt w:val="bullet"/>
      <w:lvlText w:val=""/>
      <w:lvlJc w:val="left"/>
      <w:pPr>
        <w:tabs>
          <w:tab w:val="num" w:pos="5040"/>
        </w:tabs>
        <w:ind w:left="5040" w:hanging="360"/>
      </w:pPr>
      <w:rPr>
        <w:rFonts w:ascii="Symbol" w:hAnsi="Symbol" w:hint="default"/>
      </w:rPr>
    </w:lvl>
    <w:lvl w:ilvl="7" w:tplc="2E1098BE" w:tentative="1">
      <w:start w:val="1"/>
      <w:numFmt w:val="bullet"/>
      <w:lvlText w:val=""/>
      <w:lvlJc w:val="left"/>
      <w:pPr>
        <w:tabs>
          <w:tab w:val="num" w:pos="5760"/>
        </w:tabs>
        <w:ind w:left="5760" w:hanging="360"/>
      </w:pPr>
      <w:rPr>
        <w:rFonts w:ascii="Symbol" w:hAnsi="Symbol" w:hint="default"/>
      </w:rPr>
    </w:lvl>
    <w:lvl w:ilvl="8" w:tplc="27926B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423A37"/>
    <w:multiLevelType w:val="hybridMultilevel"/>
    <w:tmpl w:val="11A2D02A"/>
    <w:lvl w:ilvl="0" w:tplc="7DD4A3C2">
      <w:start w:val="1"/>
      <w:numFmt w:val="bullet"/>
      <w:lvlText w:val=""/>
      <w:lvlJc w:val="left"/>
      <w:pPr>
        <w:tabs>
          <w:tab w:val="num" w:pos="720"/>
        </w:tabs>
        <w:ind w:left="720" w:hanging="360"/>
      </w:pPr>
      <w:rPr>
        <w:rFonts w:ascii="Symbol" w:hAnsi="Symbol" w:hint="default"/>
      </w:rPr>
    </w:lvl>
    <w:lvl w:ilvl="1" w:tplc="F956E7C8" w:tentative="1">
      <w:start w:val="1"/>
      <w:numFmt w:val="bullet"/>
      <w:lvlText w:val=""/>
      <w:lvlJc w:val="left"/>
      <w:pPr>
        <w:tabs>
          <w:tab w:val="num" w:pos="1440"/>
        </w:tabs>
        <w:ind w:left="1440" w:hanging="360"/>
      </w:pPr>
      <w:rPr>
        <w:rFonts w:ascii="Symbol" w:hAnsi="Symbol" w:hint="default"/>
      </w:rPr>
    </w:lvl>
    <w:lvl w:ilvl="2" w:tplc="A6D25BF0" w:tentative="1">
      <w:start w:val="1"/>
      <w:numFmt w:val="bullet"/>
      <w:lvlText w:val=""/>
      <w:lvlJc w:val="left"/>
      <w:pPr>
        <w:tabs>
          <w:tab w:val="num" w:pos="2160"/>
        </w:tabs>
        <w:ind w:left="2160" w:hanging="360"/>
      </w:pPr>
      <w:rPr>
        <w:rFonts w:ascii="Symbol" w:hAnsi="Symbol" w:hint="default"/>
      </w:rPr>
    </w:lvl>
    <w:lvl w:ilvl="3" w:tplc="5A62E56C" w:tentative="1">
      <w:start w:val="1"/>
      <w:numFmt w:val="bullet"/>
      <w:lvlText w:val=""/>
      <w:lvlJc w:val="left"/>
      <w:pPr>
        <w:tabs>
          <w:tab w:val="num" w:pos="2880"/>
        </w:tabs>
        <w:ind w:left="2880" w:hanging="360"/>
      </w:pPr>
      <w:rPr>
        <w:rFonts w:ascii="Symbol" w:hAnsi="Symbol" w:hint="default"/>
      </w:rPr>
    </w:lvl>
    <w:lvl w:ilvl="4" w:tplc="DFA2F3FC" w:tentative="1">
      <w:start w:val="1"/>
      <w:numFmt w:val="bullet"/>
      <w:lvlText w:val=""/>
      <w:lvlJc w:val="left"/>
      <w:pPr>
        <w:tabs>
          <w:tab w:val="num" w:pos="3600"/>
        </w:tabs>
        <w:ind w:left="3600" w:hanging="360"/>
      </w:pPr>
      <w:rPr>
        <w:rFonts w:ascii="Symbol" w:hAnsi="Symbol" w:hint="default"/>
      </w:rPr>
    </w:lvl>
    <w:lvl w:ilvl="5" w:tplc="943C3176" w:tentative="1">
      <w:start w:val="1"/>
      <w:numFmt w:val="bullet"/>
      <w:lvlText w:val=""/>
      <w:lvlJc w:val="left"/>
      <w:pPr>
        <w:tabs>
          <w:tab w:val="num" w:pos="4320"/>
        </w:tabs>
        <w:ind w:left="4320" w:hanging="360"/>
      </w:pPr>
      <w:rPr>
        <w:rFonts w:ascii="Symbol" w:hAnsi="Symbol" w:hint="default"/>
      </w:rPr>
    </w:lvl>
    <w:lvl w:ilvl="6" w:tplc="F692E34E" w:tentative="1">
      <w:start w:val="1"/>
      <w:numFmt w:val="bullet"/>
      <w:lvlText w:val=""/>
      <w:lvlJc w:val="left"/>
      <w:pPr>
        <w:tabs>
          <w:tab w:val="num" w:pos="5040"/>
        </w:tabs>
        <w:ind w:left="5040" w:hanging="360"/>
      </w:pPr>
      <w:rPr>
        <w:rFonts w:ascii="Symbol" w:hAnsi="Symbol" w:hint="default"/>
      </w:rPr>
    </w:lvl>
    <w:lvl w:ilvl="7" w:tplc="C0C27196" w:tentative="1">
      <w:start w:val="1"/>
      <w:numFmt w:val="bullet"/>
      <w:lvlText w:val=""/>
      <w:lvlJc w:val="left"/>
      <w:pPr>
        <w:tabs>
          <w:tab w:val="num" w:pos="5760"/>
        </w:tabs>
        <w:ind w:left="5760" w:hanging="360"/>
      </w:pPr>
      <w:rPr>
        <w:rFonts w:ascii="Symbol" w:hAnsi="Symbol" w:hint="default"/>
      </w:rPr>
    </w:lvl>
    <w:lvl w:ilvl="8" w:tplc="2AB8225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5801EE"/>
    <w:multiLevelType w:val="hybridMultilevel"/>
    <w:tmpl w:val="E1DA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4433C5"/>
    <w:multiLevelType w:val="hybridMultilevel"/>
    <w:tmpl w:val="31F87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F06696"/>
    <w:multiLevelType w:val="hybridMultilevel"/>
    <w:tmpl w:val="B9628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6877910"/>
    <w:multiLevelType w:val="hybridMultilevel"/>
    <w:tmpl w:val="C1EE6DFA"/>
    <w:lvl w:ilvl="0" w:tplc="A3F212EA">
      <w:start w:val="1"/>
      <w:numFmt w:val="bullet"/>
      <w:lvlText w:val=""/>
      <w:lvlJc w:val="left"/>
      <w:pPr>
        <w:ind w:left="720" w:hanging="360"/>
      </w:pPr>
      <w:rPr>
        <w:rFonts w:ascii="Symbol" w:hAnsi="Symbol" w:hint="default"/>
        <w:color w:val="2F5496" w:themeColor="accent5"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C272F13"/>
    <w:multiLevelType w:val="hybridMultilevel"/>
    <w:tmpl w:val="686679B2"/>
    <w:lvl w:ilvl="0" w:tplc="262E2320">
      <w:start w:val="1"/>
      <w:numFmt w:val="bullet"/>
      <w:lvlText w:val=""/>
      <w:lvlJc w:val="left"/>
      <w:pPr>
        <w:tabs>
          <w:tab w:val="num" w:pos="346"/>
        </w:tabs>
        <w:ind w:left="346" w:hanging="360"/>
      </w:pPr>
      <w:rPr>
        <w:rFonts w:ascii="Symbol" w:hAnsi="Symbol" w:hint="default"/>
      </w:rPr>
    </w:lvl>
    <w:lvl w:ilvl="1" w:tplc="04601CDC" w:tentative="1">
      <w:start w:val="1"/>
      <w:numFmt w:val="bullet"/>
      <w:lvlText w:val=""/>
      <w:lvlJc w:val="left"/>
      <w:pPr>
        <w:tabs>
          <w:tab w:val="num" w:pos="1066"/>
        </w:tabs>
        <w:ind w:left="1066" w:hanging="360"/>
      </w:pPr>
      <w:rPr>
        <w:rFonts w:ascii="Symbol" w:hAnsi="Symbol" w:hint="default"/>
      </w:rPr>
    </w:lvl>
    <w:lvl w:ilvl="2" w:tplc="8F2C282C" w:tentative="1">
      <w:start w:val="1"/>
      <w:numFmt w:val="bullet"/>
      <w:lvlText w:val=""/>
      <w:lvlJc w:val="left"/>
      <w:pPr>
        <w:tabs>
          <w:tab w:val="num" w:pos="1786"/>
        </w:tabs>
        <w:ind w:left="1786" w:hanging="360"/>
      </w:pPr>
      <w:rPr>
        <w:rFonts w:ascii="Symbol" w:hAnsi="Symbol" w:hint="default"/>
      </w:rPr>
    </w:lvl>
    <w:lvl w:ilvl="3" w:tplc="77A8CC1E" w:tentative="1">
      <w:start w:val="1"/>
      <w:numFmt w:val="bullet"/>
      <w:lvlText w:val=""/>
      <w:lvlJc w:val="left"/>
      <w:pPr>
        <w:tabs>
          <w:tab w:val="num" w:pos="2506"/>
        </w:tabs>
        <w:ind w:left="2506" w:hanging="360"/>
      </w:pPr>
      <w:rPr>
        <w:rFonts w:ascii="Symbol" w:hAnsi="Symbol" w:hint="default"/>
      </w:rPr>
    </w:lvl>
    <w:lvl w:ilvl="4" w:tplc="1252519E" w:tentative="1">
      <w:start w:val="1"/>
      <w:numFmt w:val="bullet"/>
      <w:lvlText w:val=""/>
      <w:lvlJc w:val="left"/>
      <w:pPr>
        <w:tabs>
          <w:tab w:val="num" w:pos="3226"/>
        </w:tabs>
        <w:ind w:left="3226" w:hanging="360"/>
      </w:pPr>
      <w:rPr>
        <w:rFonts w:ascii="Symbol" w:hAnsi="Symbol" w:hint="default"/>
      </w:rPr>
    </w:lvl>
    <w:lvl w:ilvl="5" w:tplc="7CCC212E" w:tentative="1">
      <w:start w:val="1"/>
      <w:numFmt w:val="bullet"/>
      <w:lvlText w:val=""/>
      <w:lvlJc w:val="left"/>
      <w:pPr>
        <w:tabs>
          <w:tab w:val="num" w:pos="3946"/>
        </w:tabs>
        <w:ind w:left="3946" w:hanging="360"/>
      </w:pPr>
      <w:rPr>
        <w:rFonts w:ascii="Symbol" w:hAnsi="Symbol" w:hint="default"/>
      </w:rPr>
    </w:lvl>
    <w:lvl w:ilvl="6" w:tplc="5A028A94" w:tentative="1">
      <w:start w:val="1"/>
      <w:numFmt w:val="bullet"/>
      <w:lvlText w:val=""/>
      <w:lvlJc w:val="left"/>
      <w:pPr>
        <w:tabs>
          <w:tab w:val="num" w:pos="4666"/>
        </w:tabs>
        <w:ind w:left="4666" w:hanging="360"/>
      </w:pPr>
      <w:rPr>
        <w:rFonts w:ascii="Symbol" w:hAnsi="Symbol" w:hint="default"/>
      </w:rPr>
    </w:lvl>
    <w:lvl w:ilvl="7" w:tplc="F522DC3C" w:tentative="1">
      <w:start w:val="1"/>
      <w:numFmt w:val="bullet"/>
      <w:lvlText w:val=""/>
      <w:lvlJc w:val="left"/>
      <w:pPr>
        <w:tabs>
          <w:tab w:val="num" w:pos="5386"/>
        </w:tabs>
        <w:ind w:left="5386" w:hanging="360"/>
      </w:pPr>
      <w:rPr>
        <w:rFonts w:ascii="Symbol" w:hAnsi="Symbol" w:hint="default"/>
      </w:rPr>
    </w:lvl>
    <w:lvl w:ilvl="8" w:tplc="A1F83D34" w:tentative="1">
      <w:start w:val="1"/>
      <w:numFmt w:val="bullet"/>
      <w:lvlText w:val=""/>
      <w:lvlJc w:val="left"/>
      <w:pPr>
        <w:tabs>
          <w:tab w:val="num" w:pos="6106"/>
        </w:tabs>
        <w:ind w:left="6106" w:hanging="360"/>
      </w:pPr>
      <w:rPr>
        <w:rFonts w:ascii="Symbol" w:hAnsi="Symbol" w:hint="default"/>
      </w:rPr>
    </w:lvl>
  </w:abstractNum>
  <w:abstractNum w:abstractNumId="16" w15:restartNumberingAfterBreak="0">
    <w:nsid w:val="7F15237B"/>
    <w:multiLevelType w:val="hybridMultilevel"/>
    <w:tmpl w:val="A8DA5D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290933711">
    <w:abstractNumId w:val="11"/>
  </w:num>
  <w:num w:numId="2" w16cid:durableId="360520388">
    <w:abstractNumId w:val="8"/>
  </w:num>
  <w:num w:numId="3" w16cid:durableId="2018655726">
    <w:abstractNumId w:val="3"/>
  </w:num>
  <w:num w:numId="4" w16cid:durableId="200360421">
    <w:abstractNumId w:val="10"/>
  </w:num>
  <w:num w:numId="5" w16cid:durableId="561990170">
    <w:abstractNumId w:val="4"/>
  </w:num>
  <w:num w:numId="6" w16cid:durableId="1292322022">
    <w:abstractNumId w:val="12"/>
  </w:num>
  <w:num w:numId="7" w16cid:durableId="1373192402">
    <w:abstractNumId w:val="2"/>
  </w:num>
  <w:num w:numId="8" w16cid:durableId="1821389141">
    <w:abstractNumId w:val="5"/>
  </w:num>
  <w:num w:numId="9" w16cid:durableId="1224757497">
    <w:abstractNumId w:val="0"/>
  </w:num>
  <w:num w:numId="10" w16cid:durableId="562956699">
    <w:abstractNumId w:val="13"/>
  </w:num>
  <w:num w:numId="11" w16cid:durableId="1648315761">
    <w:abstractNumId w:val="14"/>
  </w:num>
  <w:num w:numId="12" w16cid:durableId="650599420">
    <w:abstractNumId w:val="1"/>
  </w:num>
  <w:num w:numId="13" w16cid:durableId="272826851">
    <w:abstractNumId w:val="16"/>
  </w:num>
  <w:num w:numId="14" w16cid:durableId="903956634">
    <w:abstractNumId w:val="15"/>
  </w:num>
  <w:num w:numId="15" w16cid:durableId="1522663676">
    <w:abstractNumId w:val="6"/>
  </w:num>
  <w:num w:numId="16" w16cid:durableId="1777754842">
    <w:abstractNumId w:val="7"/>
  </w:num>
  <w:num w:numId="17" w16cid:durableId="1007640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34C58"/>
    <w:rsid w:val="00037BFA"/>
    <w:rsid w:val="00041A17"/>
    <w:rsid w:val="000764F0"/>
    <w:rsid w:val="00091E47"/>
    <w:rsid w:val="0009400E"/>
    <w:rsid w:val="000A2543"/>
    <w:rsid w:val="000C1DAF"/>
    <w:rsid w:val="000E428B"/>
    <w:rsid w:val="000F3537"/>
    <w:rsid w:val="00100F0E"/>
    <w:rsid w:val="00101E67"/>
    <w:rsid w:val="0012303C"/>
    <w:rsid w:val="0013026D"/>
    <w:rsid w:val="001362D6"/>
    <w:rsid w:val="00137641"/>
    <w:rsid w:val="00140CF6"/>
    <w:rsid w:val="001465AB"/>
    <w:rsid w:val="00171C9C"/>
    <w:rsid w:val="00181758"/>
    <w:rsid w:val="00183FF6"/>
    <w:rsid w:val="0019714E"/>
    <w:rsid w:val="001B095D"/>
    <w:rsid w:val="001B17E6"/>
    <w:rsid w:val="001B2B39"/>
    <w:rsid w:val="001B78B3"/>
    <w:rsid w:val="001C1FB6"/>
    <w:rsid w:val="001C315D"/>
    <w:rsid w:val="001C51A3"/>
    <w:rsid w:val="001D307C"/>
    <w:rsid w:val="001F0A58"/>
    <w:rsid w:val="001F46D7"/>
    <w:rsid w:val="001F6112"/>
    <w:rsid w:val="002216EF"/>
    <w:rsid w:val="00254FC7"/>
    <w:rsid w:val="0027078B"/>
    <w:rsid w:val="00274C26"/>
    <w:rsid w:val="00287FD6"/>
    <w:rsid w:val="002A6132"/>
    <w:rsid w:val="002E17BC"/>
    <w:rsid w:val="003016AF"/>
    <w:rsid w:val="0032290F"/>
    <w:rsid w:val="003533DE"/>
    <w:rsid w:val="00380277"/>
    <w:rsid w:val="003A047F"/>
    <w:rsid w:val="003A1BB5"/>
    <w:rsid w:val="003B2965"/>
    <w:rsid w:val="003C7281"/>
    <w:rsid w:val="003C74B3"/>
    <w:rsid w:val="003D0896"/>
    <w:rsid w:val="003E403E"/>
    <w:rsid w:val="003E4EFB"/>
    <w:rsid w:val="00402BB5"/>
    <w:rsid w:val="0041658F"/>
    <w:rsid w:val="004208CA"/>
    <w:rsid w:val="004472BB"/>
    <w:rsid w:val="00464D8C"/>
    <w:rsid w:val="004665BF"/>
    <w:rsid w:val="00473356"/>
    <w:rsid w:val="00483338"/>
    <w:rsid w:val="004C2E0D"/>
    <w:rsid w:val="004C5CEC"/>
    <w:rsid w:val="004C611E"/>
    <w:rsid w:val="004E31C3"/>
    <w:rsid w:val="00510C2B"/>
    <w:rsid w:val="00515957"/>
    <w:rsid w:val="0051732A"/>
    <w:rsid w:val="00530FFD"/>
    <w:rsid w:val="00555906"/>
    <w:rsid w:val="00570B1D"/>
    <w:rsid w:val="0057314C"/>
    <w:rsid w:val="00576C69"/>
    <w:rsid w:val="00587F3A"/>
    <w:rsid w:val="005A4C98"/>
    <w:rsid w:val="005A6EC8"/>
    <w:rsid w:val="005C1191"/>
    <w:rsid w:val="005C4878"/>
    <w:rsid w:val="005D2ED0"/>
    <w:rsid w:val="005E0809"/>
    <w:rsid w:val="005F1B1E"/>
    <w:rsid w:val="005F22AA"/>
    <w:rsid w:val="00607EFA"/>
    <w:rsid w:val="00626AF9"/>
    <w:rsid w:val="00633E2A"/>
    <w:rsid w:val="00644953"/>
    <w:rsid w:val="00662FEB"/>
    <w:rsid w:val="00677A30"/>
    <w:rsid w:val="00687FDA"/>
    <w:rsid w:val="006A6C87"/>
    <w:rsid w:val="006D3F83"/>
    <w:rsid w:val="006E220C"/>
    <w:rsid w:val="006E2900"/>
    <w:rsid w:val="006F5147"/>
    <w:rsid w:val="006F6FD9"/>
    <w:rsid w:val="007175CF"/>
    <w:rsid w:val="00747DBD"/>
    <w:rsid w:val="0075208A"/>
    <w:rsid w:val="0075243B"/>
    <w:rsid w:val="00760E23"/>
    <w:rsid w:val="00796915"/>
    <w:rsid w:val="007A7B9D"/>
    <w:rsid w:val="007B0D3F"/>
    <w:rsid w:val="007C6FC4"/>
    <w:rsid w:val="007D1BFE"/>
    <w:rsid w:val="007D2456"/>
    <w:rsid w:val="007E1204"/>
    <w:rsid w:val="007E27EB"/>
    <w:rsid w:val="0081526A"/>
    <w:rsid w:val="00843642"/>
    <w:rsid w:val="00852960"/>
    <w:rsid w:val="008672A7"/>
    <w:rsid w:val="008A364B"/>
    <w:rsid w:val="008B1B35"/>
    <w:rsid w:val="008B6B93"/>
    <w:rsid w:val="008C0075"/>
    <w:rsid w:val="008C0EC7"/>
    <w:rsid w:val="008C0F3A"/>
    <w:rsid w:val="008C1FEE"/>
    <w:rsid w:val="008C5EC6"/>
    <w:rsid w:val="008C7EEF"/>
    <w:rsid w:val="008D4D8F"/>
    <w:rsid w:val="008F596B"/>
    <w:rsid w:val="0090736B"/>
    <w:rsid w:val="009252A9"/>
    <w:rsid w:val="00931014"/>
    <w:rsid w:val="00937F17"/>
    <w:rsid w:val="009557A2"/>
    <w:rsid w:val="00967598"/>
    <w:rsid w:val="009840AD"/>
    <w:rsid w:val="00991450"/>
    <w:rsid w:val="00997639"/>
    <w:rsid w:val="009A6A4F"/>
    <w:rsid w:val="009B311D"/>
    <w:rsid w:val="009E301C"/>
    <w:rsid w:val="009F09CB"/>
    <w:rsid w:val="00A01EBF"/>
    <w:rsid w:val="00A12B90"/>
    <w:rsid w:val="00A14E37"/>
    <w:rsid w:val="00A20514"/>
    <w:rsid w:val="00A45C7C"/>
    <w:rsid w:val="00A514FB"/>
    <w:rsid w:val="00A55B5E"/>
    <w:rsid w:val="00A55C38"/>
    <w:rsid w:val="00A8441D"/>
    <w:rsid w:val="00A87B14"/>
    <w:rsid w:val="00AD021C"/>
    <w:rsid w:val="00AE339C"/>
    <w:rsid w:val="00AF6A20"/>
    <w:rsid w:val="00B03960"/>
    <w:rsid w:val="00B14DFC"/>
    <w:rsid w:val="00B21941"/>
    <w:rsid w:val="00B40263"/>
    <w:rsid w:val="00B532D9"/>
    <w:rsid w:val="00B7225A"/>
    <w:rsid w:val="00B767A9"/>
    <w:rsid w:val="00B807CE"/>
    <w:rsid w:val="00B80BC9"/>
    <w:rsid w:val="00BB60F3"/>
    <w:rsid w:val="00BC343B"/>
    <w:rsid w:val="00BC487D"/>
    <w:rsid w:val="00BD03DE"/>
    <w:rsid w:val="00BD1483"/>
    <w:rsid w:val="00BD1E0D"/>
    <w:rsid w:val="00BF1725"/>
    <w:rsid w:val="00BF52F7"/>
    <w:rsid w:val="00C0740B"/>
    <w:rsid w:val="00C10DDD"/>
    <w:rsid w:val="00C157DE"/>
    <w:rsid w:val="00C15C28"/>
    <w:rsid w:val="00C17308"/>
    <w:rsid w:val="00C3085D"/>
    <w:rsid w:val="00C51A76"/>
    <w:rsid w:val="00C76015"/>
    <w:rsid w:val="00C8150E"/>
    <w:rsid w:val="00CA78F7"/>
    <w:rsid w:val="00CC03E4"/>
    <w:rsid w:val="00CD1564"/>
    <w:rsid w:val="00CD363D"/>
    <w:rsid w:val="00D0231D"/>
    <w:rsid w:val="00D216C7"/>
    <w:rsid w:val="00D50E7F"/>
    <w:rsid w:val="00D60150"/>
    <w:rsid w:val="00D6245C"/>
    <w:rsid w:val="00D86ADF"/>
    <w:rsid w:val="00DB161E"/>
    <w:rsid w:val="00DE1237"/>
    <w:rsid w:val="00DE21FD"/>
    <w:rsid w:val="00DF36EA"/>
    <w:rsid w:val="00E06A8F"/>
    <w:rsid w:val="00E220B7"/>
    <w:rsid w:val="00E22A42"/>
    <w:rsid w:val="00E5479C"/>
    <w:rsid w:val="00E828FF"/>
    <w:rsid w:val="00E85A32"/>
    <w:rsid w:val="00ED65B1"/>
    <w:rsid w:val="00EE3826"/>
    <w:rsid w:val="00EF3E1C"/>
    <w:rsid w:val="00F00287"/>
    <w:rsid w:val="00F0213A"/>
    <w:rsid w:val="00F06DDE"/>
    <w:rsid w:val="00F25652"/>
    <w:rsid w:val="00F3209F"/>
    <w:rsid w:val="00F90F7F"/>
    <w:rsid w:val="00FB0C51"/>
    <w:rsid w:val="00FB4B26"/>
    <w:rsid w:val="00FD462B"/>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6E2"/>
  <w15:chartTrackingRefBased/>
  <w15:docId w15:val="{253282DB-1766-4882-8F3B-777DBDA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Revision">
    <w:name w:val="Revision"/>
    <w:hidden/>
    <w:uiPriority w:val="99"/>
    <w:semiHidden/>
    <w:rsid w:val="005D2ED0"/>
    <w:pPr>
      <w:spacing w:after="0" w:line="240" w:lineRule="auto"/>
    </w:pPr>
  </w:style>
  <w:style w:type="character" w:styleId="UnresolvedMention">
    <w:name w:val="Unresolved Mention"/>
    <w:basedOn w:val="DefaultParagraphFont"/>
    <w:uiPriority w:val="99"/>
    <w:semiHidden/>
    <w:unhideWhenUsed/>
    <w:rsid w:val="007C6FC4"/>
    <w:rPr>
      <w:color w:val="605E5C"/>
      <w:shd w:val="clear" w:color="auto" w:fill="E1DFDD"/>
    </w:rPr>
  </w:style>
  <w:style w:type="paragraph" w:styleId="NormalWeb">
    <w:name w:val="Normal (Web)"/>
    <w:basedOn w:val="Normal"/>
    <w:uiPriority w:val="99"/>
    <w:semiHidden/>
    <w:unhideWhenUsed/>
    <w:rsid w:val="004208C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2794">
      <w:bodyDiv w:val="1"/>
      <w:marLeft w:val="0"/>
      <w:marRight w:val="0"/>
      <w:marTop w:val="0"/>
      <w:marBottom w:val="0"/>
      <w:divBdr>
        <w:top w:val="none" w:sz="0" w:space="0" w:color="auto"/>
        <w:left w:val="none" w:sz="0" w:space="0" w:color="auto"/>
        <w:bottom w:val="none" w:sz="0" w:space="0" w:color="auto"/>
        <w:right w:val="none" w:sz="0" w:space="0" w:color="auto"/>
      </w:divBdr>
      <w:divsChild>
        <w:div w:id="234360513">
          <w:marLeft w:val="547"/>
          <w:marRight w:val="0"/>
          <w:marTop w:val="0"/>
          <w:marBottom w:val="160"/>
          <w:divBdr>
            <w:top w:val="none" w:sz="0" w:space="0" w:color="auto"/>
            <w:left w:val="none" w:sz="0" w:space="0" w:color="auto"/>
            <w:bottom w:val="none" w:sz="0" w:space="0" w:color="auto"/>
            <w:right w:val="none" w:sz="0" w:space="0" w:color="auto"/>
          </w:divBdr>
        </w:div>
      </w:divsChild>
    </w:div>
    <w:div w:id="448746456">
      <w:bodyDiv w:val="1"/>
      <w:marLeft w:val="0"/>
      <w:marRight w:val="0"/>
      <w:marTop w:val="0"/>
      <w:marBottom w:val="0"/>
      <w:divBdr>
        <w:top w:val="none" w:sz="0" w:space="0" w:color="auto"/>
        <w:left w:val="none" w:sz="0" w:space="0" w:color="auto"/>
        <w:bottom w:val="none" w:sz="0" w:space="0" w:color="auto"/>
        <w:right w:val="none" w:sz="0" w:space="0" w:color="auto"/>
      </w:divBdr>
    </w:div>
    <w:div w:id="680477523">
      <w:bodyDiv w:val="1"/>
      <w:marLeft w:val="0"/>
      <w:marRight w:val="0"/>
      <w:marTop w:val="0"/>
      <w:marBottom w:val="0"/>
      <w:divBdr>
        <w:top w:val="none" w:sz="0" w:space="0" w:color="auto"/>
        <w:left w:val="none" w:sz="0" w:space="0" w:color="auto"/>
        <w:bottom w:val="none" w:sz="0" w:space="0" w:color="auto"/>
        <w:right w:val="none" w:sz="0" w:space="0" w:color="auto"/>
      </w:divBdr>
    </w:div>
    <w:div w:id="711655512">
      <w:bodyDiv w:val="1"/>
      <w:marLeft w:val="0"/>
      <w:marRight w:val="0"/>
      <w:marTop w:val="0"/>
      <w:marBottom w:val="0"/>
      <w:divBdr>
        <w:top w:val="none" w:sz="0" w:space="0" w:color="auto"/>
        <w:left w:val="none" w:sz="0" w:space="0" w:color="auto"/>
        <w:bottom w:val="none" w:sz="0" w:space="0" w:color="auto"/>
        <w:right w:val="none" w:sz="0" w:space="0" w:color="auto"/>
      </w:divBdr>
      <w:divsChild>
        <w:div w:id="1960525589">
          <w:marLeft w:val="547"/>
          <w:marRight w:val="0"/>
          <w:marTop w:val="0"/>
          <w:marBottom w:val="160"/>
          <w:divBdr>
            <w:top w:val="none" w:sz="0" w:space="0" w:color="auto"/>
            <w:left w:val="none" w:sz="0" w:space="0" w:color="auto"/>
            <w:bottom w:val="none" w:sz="0" w:space="0" w:color="auto"/>
            <w:right w:val="none" w:sz="0" w:space="0" w:color="auto"/>
          </w:divBdr>
        </w:div>
      </w:divsChild>
    </w:div>
    <w:div w:id="1850168903">
      <w:bodyDiv w:val="1"/>
      <w:marLeft w:val="0"/>
      <w:marRight w:val="0"/>
      <w:marTop w:val="0"/>
      <w:marBottom w:val="0"/>
      <w:divBdr>
        <w:top w:val="none" w:sz="0" w:space="0" w:color="auto"/>
        <w:left w:val="none" w:sz="0" w:space="0" w:color="auto"/>
        <w:bottom w:val="none" w:sz="0" w:space="0" w:color="auto"/>
        <w:right w:val="none" w:sz="0" w:space="0" w:color="auto"/>
      </w:divBdr>
    </w:div>
    <w:div w:id="2050910118">
      <w:bodyDiv w:val="1"/>
      <w:marLeft w:val="0"/>
      <w:marRight w:val="0"/>
      <w:marTop w:val="0"/>
      <w:marBottom w:val="0"/>
      <w:divBdr>
        <w:top w:val="none" w:sz="0" w:space="0" w:color="auto"/>
        <w:left w:val="none" w:sz="0" w:space="0" w:color="auto"/>
        <w:bottom w:val="none" w:sz="0" w:space="0" w:color="auto"/>
        <w:right w:val="none" w:sz="0" w:space="0" w:color="auto"/>
      </w:divBdr>
    </w:div>
    <w:div w:id="2071417137">
      <w:bodyDiv w:val="1"/>
      <w:marLeft w:val="0"/>
      <w:marRight w:val="0"/>
      <w:marTop w:val="0"/>
      <w:marBottom w:val="0"/>
      <w:divBdr>
        <w:top w:val="none" w:sz="0" w:space="0" w:color="auto"/>
        <w:left w:val="none" w:sz="0" w:space="0" w:color="auto"/>
        <w:bottom w:val="none" w:sz="0" w:space="0" w:color="auto"/>
        <w:right w:val="none" w:sz="0" w:space="0" w:color="auto"/>
      </w:divBdr>
      <w:divsChild>
        <w:div w:id="34236161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a.gov.au/sites/default/files/files/providers/cn/CNO/cn-terms-and-conditions-april-20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ommunity.nursing.contracts@dva.gov.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openarms.gov.au/professionals/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71C7F1378B84088F13A35C8967DED" ma:contentTypeVersion="2" ma:contentTypeDescription="Create a new document." ma:contentTypeScope="" ma:versionID="bbf93bd1cb5845bb01a249cf9cc4e47a">
  <xsd:schema xmlns:xsd="http://www.w3.org/2001/XMLSchema" xmlns:xs="http://www.w3.org/2001/XMLSchema" xmlns:p="http://schemas.microsoft.com/office/2006/metadata/properties" xmlns:ns2="d5697dec-5713-4750-a7db-367ce84fc702" targetNamespace="http://schemas.microsoft.com/office/2006/metadata/properties" ma:root="true" ma:fieldsID="7e018001ec7ca6716fdb41bbc351a560" ns2:_="">
    <xsd:import namespace="d5697dec-5713-4750-a7db-367ce84fc7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97dec-5713-4750-a7db-367ce84fc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BF985-2131-4248-B527-025BC765EE0B}">
  <ds:schemaRefs>
    <ds:schemaRef ds:uri="http://schemas.openxmlformats.org/officeDocument/2006/bibliography"/>
  </ds:schemaRefs>
</ds:datastoreItem>
</file>

<file path=customXml/itemProps2.xml><?xml version="1.0" encoding="utf-8"?>
<ds:datastoreItem xmlns:ds="http://schemas.openxmlformats.org/officeDocument/2006/customXml" ds:itemID="{BD12ED40-237D-4287-8DB6-2D8475907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C7282-8E35-453D-86EC-D6F47CD4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97dec-5713-4750-a7db-367ce84fc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6EF1F-2673-435B-8B42-509DE0EC6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1089</Words>
  <Characters>6212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Nursing Newsletter 51 - January 2025</dc:title>
  <dc:subject/>
  <dc:creator>Department of Veterans' Affairs</dc:creator>
  <cp:keywords/>
  <dc:description/>
  <dcterms:created xsi:type="dcterms:W3CDTF">2025-01-16T01:30:00Z</dcterms:created>
  <dcterms:modified xsi:type="dcterms:W3CDTF">2025-03-13T01:21:00Z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0x010100C5671C7F1378B84088F13A35C8967DED</vt:lpwstr>
  </property>
</Properties>
</file>