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67EB" w14:textId="0F3E1487" w:rsidR="002D7F24" w:rsidRPr="00AA513D" w:rsidRDefault="00AA513D" w:rsidP="000A4BB6">
      <w:pPr>
        <w:pStyle w:val="Body"/>
        <w:tabs>
          <w:tab w:val="left" w:pos="2865"/>
        </w:tabs>
        <w:spacing w:line="276" w:lineRule="auto"/>
        <w:rPr>
          <w:noProof/>
          <w:lang w:val="en-AU" w:eastAsia="en-AU"/>
        </w:rPr>
      </w:pPr>
      <w:r w:rsidRPr="00417ADC">
        <w:rPr>
          <w:noProof/>
          <w:lang w:val="en-AU" w:eastAsia="en-AU"/>
        </w:rPr>
        <mc:AlternateContent>
          <mc:Choice Requires="wps">
            <w:drawing>
              <wp:anchor distT="45720" distB="900430" distL="114300" distR="114300" simplePos="0" relativeHeight="251662336" behindDoc="0" locked="1" layoutInCell="1" allowOverlap="1" wp14:anchorId="6447C239" wp14:editId="32836ED5">
                <wp:simplePos x="0" y="0"/>
                <wp:positionH relativeFrom="column">
                  <wp:posOffset>-467360</wp:posOffset>
                </wp:positionH>
                <wp:positionV relativeFrom="page">
                  <wp:posOffset>1055370</wp:posOffset>
                </wp:positionV>
                <wp:extent cx="5903595" cy="1680845"/>
                <wp:effectExtent l="0" t="0" r="0" b="0"/>
                <wp:wrapTopAndBottom/>
                <wp:docPr id="1409228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80845"/>
                        </a:xfrm>
                        <a:prstGeom prst="rect">
                          <a:avLst/>
                        </a:prstGeom>
                        <a:noFill/>
                        <a:ln w="9525">
                          <a:noFill/>
                          <a:miter lim="800000"/>
                          <a:headEnd/>
                          <a:tailEnd/>
                        </a:ln>
                      </wps:spPr>
                      <wps:txbx>
                        <w:txbxContent>
                          <w:p w14:paraId="54BD09C2" w14:textId="6C851DEF" w:rsidR="00AA513D" w:rsidRDefault="00AA513D" w:rsidP="00AA513D">
                            <w:pPr>
                              <w:pStyle w:val="Title"/>
                              <w:rPr>
                                <w:sz w:val="48"/>
                              </w:rPr>
                            </w:pPr>
                            <w:r>
                              <w:rPr>
                                <w:sz w:val="48"/>
                              </w:rPr>
                              <w:t>Operati</w:t>
                            </w:r>
                            <w:r w:rsidR="005531DB">
                              <w:rPr>
                                <w:sz w:val="48"/>
                              </w:rPr>
                              <w:t xml:space="preserve">onal </w:t>
                            </w:r>
                            <w:r>
                              <w:rPr>
                                <w:sz w:val="48"/>
                              </w:rPr>
                              <w:t>Working Party</w:t>
                            </w:r>
                          </w:p>
                          <w:p w14:paraId="1046D694" w14:textId="10195E03" w:rsidR="00AA513D" w:rsidRPr="006B65DF" w:rsidRDefault="00AB35E0" w:rsidP="00AA513D">
                            <w:pPr>
                              <w:pStyle w:val="Title"/>
                              <w:rPr>
                                <w:sz w:val="48"/>
                              </w:rPr>
                            </w:pPr>
                            <w:r>
                              <w:rPr>
                                <w:sz w:val="48"/>
                              </w:rPr>
                              <w:t>February 2025</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447C239" id="_x0000_t202" coordsize="21600,21600" o:spt="202" path="m,l,21600r21600,l21600,xe">
                <v:stroke joinstyle="miter"/>
                <v:path gradientshapeok="t" o:connecttype="rect"/>
              </v:shapetype>
              <v:shape id="Text Box 2" o:spid="_x0000_s1026" type="#_x0000_t202" style="position:absolute;margin-left:-36.8pt;margin-top:83.1pt;width:464.85pt;height:132.35pt;z-index:251662336;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tH+g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" filled="f" stroked="f">
                <v:textbox>
                  <w:txbxContent>
                    <w:p w14:paraId="54BD09C2" w14:textId="6C851DEF" w:rsidR="00AA513D" w:rsidRDefault="00AA513D" w:rsidP="00AA513D">
                      <w:pPr>
                        <w:pStyle w:val="Title"/>
                        <w:rPr>
                          <w:sz w:val="48"/>
                        </w:rPr>
                      </w:pPr>
                      <w:r>
                        <w:rPr>
                          <w:sz w:val="48"/>
                        </w:rPr>
                        <w:t>Operati</w:t>
                      </w:r>
                      <w:r w:rsidR="005531DB">
                        <w:rPr>
                          <w:sz w:val="48"/>
                        </w:rPr>
                        <w:t xml:space="preserve">onal </w:t>
                      </w:r>
                      <w:r>
                        <w:rPr>
                          <w:sz w:val="48"/>
                        </w:rPr>
                        <w:t>Working Party</w:t>
                      </w:r>
                    </w:p>
                    <w:p w14:paraId="1046D694" w14:textId="10195E03" w:rsidR="00AA513D" w:rsidRPr="006B65DF" w:rsidRDefault="00AB35E0" w:rsidP="00AA513D">
                      <w:pPr>
                        <w:pStyle w:val="Title"/>
                        <w:rPr>
                          <w:sz w:val="48"/>
                        </w:rPr>
                      </w:pPr>
                      <w:r>
                        <w:rPr>
                          <w:sz w:val="48"/>
                        </w:rPr>
                        <w:t>February 2025</w:t>
                      </w:r>
                    </w:p>
                  </w:txbxContent>
                </v:textbox>
                <w10:wrap type="topAndBottom" anchory="page"/>
                <w10:anchorlock/>
              </v:shape>
            </w:pict>
          </mc:Fallback>
        </mc:AlternateContent>
      </w:r>
      <w:r w:rsidR="00445555">
        <w:rPr>
          <w:noProof/>
          <w:lang w:val="en-AU" w:eastAsia="en-AU"/>
        </w:rPr>
        <w:drawing>
          <wp:anchor distT="0" distB="0" distL="114300" distR="114300" simplePos="0" relativeHeight="251660288" behindDoc="1" locked="0" layoutInCell="1" allowOverlap="1" wp14:anchorId="6E75FCC4" wp14:editId="581E29C7">
            <wp:simplePos x="0" y="0"/>
            <wp:positionH relativeFrom="page">
              <wp:align>right</wp:align>
            </wp:positionH>
            <wp:positionV relativeFrom="paragraph">
              <wp:posOffset>-1620520</wp:posOffset>
            </wp:positionV>
            <wp:extent cx="8036115" cy="10865796"/>
            <wp:effectExtent l="0" t="0" r="317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11">
                      <a:extLst>
                        <a:ext uri="{28A0092B-C50C-407E-A947-70E740481C1C}">
                          <a14:useLocalDpi xmlns:a14="http://schemas.microsoft.com/office/drawing/2010/main" val="0"/>
                        </a:ext>
                      </a:extLst>
                    </a:blip>
                    <a:stretch>
                      <a:fillRect/>
                    </a:stretch>
                  </pic:blipFill>
                  <pic:spPr>
                    <a:xfrm>
                      <a:off x="0" y="0"/>
                      <a:ext cx="8036115" cy="10865796"/>
                    </a:xfrm>
                    <a:prstGeom prst="rect">
                      <a:avLst/>
                    </a:prstGeom>
                  </pic:spPr>
                </pic:pic>
              </a:graphicData>
            </a:graphic>
            <wp14:sizeRelH relativeFrom="margin">
              <wp14:pctWidth>0</wp14:pctWidth>
            </wp14:sizeRelH>
            <wp14:sizeRelV relativeFrom="margin">
              <wp14:pctHeight>0</wp14:pctHeight>
            </wp14:sizeRelV>
          </wp:anchor>
        </w:drawing>
      </w:r>
      <w:bookmarkStart w:id="0" w:name="_Toc143684630"/>
      <w:bookmarkStart w:id="1" w:name="_Toc143777432"/>
      <w:r>
        <w:rPr>
          <w:rFonts w:ascii="Rockwell" w:hAnsi="Rockwell" w:cs="Calibri"/>
          <w:b/>
          <w:bCs/>
          <w:color w:val="44546A" w:themeColor="text2"/>
          <w:sz w:val="32"/>
          <w:szCs w:val="32"/>
        </w:rPr>
        <w:t>Operati</w:t>
      </w:r>
      <w:r w:rsidR="005531DB">
        <w:rPr>
          <w:rFonts w:ascii="Rockwell" w:hAnsi="Rockwell" w:cs="Calibri"/>
          <w:b/>
          <w:bCs/>
          <w:color w:val="44546A" w:themeColor="text2"/>
          <w:sz w:val="32"/>
          <w:szCs w:val="32"/>
        </w:rPr>
        <w:t>onal</w:t>
      </w:r>
      <w:r>
        <w:rPr>
          <w:rFonts w:ascii="Rockwell" w:hAnsi="Rockwell" w:cs="Calibri"/>
          <w:b/>
          <w:bCs/>
          <w:color w:val="44546A" w:themeColor="text2"/>
          <w:sz w:val="32"/>
          <w:szCs w:val="32"/>
        </w:rPr>
        <w:t xml:space="preserve"> Working Party</w:t>
      </w:r>
      <w:r w:rsidR="002D7F24" w:rsidRPr="002D7F24">
        <w:rPr>
          <w:rFonts w:ascii="Rockwell" w:hAnsi="Rockwell" w:cs="Calibri"/>
          <w:b/>
          <w:bCs/>
          <w:color w:val="44546A" w:themeColor="text2"/>
          <w:sz w:val="32"/>
          <w:szCs w:val="32"/>
        </w:rPr>
        <w:t xml:space="preserve"> Meeting</w:t>
      </w:r>
    </w:p>
    <w:p w14:paraId="43CFFDCC" w14:textId="5CD15AE1" w:rsidR="002D7F24" w:rsidRDefault="002D7F24" w:rsidP="000A4BB6">
      <w:pPr>
        <w:spacing w:after="120" w:line="276" w:lineRule="auto"/>
        <w:rPr>
          <w:rFonts w:ascii="Calibri" w:hAnsi="Calibri" w:cs="Calibri"/>
          <w:sz w:val="28"/>
          <w:szCs w:val="28"/>
        </w:rPr>
      </w:pPr>
      <w:r>
        <w:rPr>
          <w:rFonts w:ascii="Calibri" w:hAnsi="Calibri" w:cs="Calibri"/>
          <w:sz w:val="28"/>
          <w:szCs w:val="28"/>
        </w:rPr>
        <w:t>T</w:t>
      </w:r>
      <w:r w:rsidRPr="006B65DF">
        <w:rPr>
          <w:rFonts w:ascii="Calibri" w:hAnsi="Calibri" w:cs="Calibri"/>
          <w:sz w:val="28"/>
          <w:szCs w:val="28"/>
        </w:rPr>
        <w:t xml:space="preserve">he </w:t>
      </w:r>
      <w:r w:rsidR="00AA513D">
        <w:rPr>
          <w:rFonts w:ascii="Calibri" w:hAnsi="Calibri" w:cs="Calibri"/>
          <w:sz w:val="28"/>
          <w:szCs w:val="28"/>
        </w:rPr>
        <w:t>Operat</w:t>
      </w:r>
      <w:r w:rsidR="005531DB">
        <w:rPr>
          <w:rFonts w:ascii="Calibri" w:hAnsi="Calibri" w:cs="Calibri"/>
          <w:sz w:val="28"/>
          <w:szCs w:val="28"/>
        </w:rPr>
        <w:t>ional</w:t>
      </w:r>
      <w:r w:rsidR="00AA513D">
        <w:rPr>
          <w:rFonts w:ascii="Calibri" w:hAnsi="Calibri" w:cs="Calibri"/>
          <w:sz w:val="28"/>
          <w:szCs w:val="28"/>
        </w:rPr>
        <w:t xml:space="preserve"> Working Party (OWP)</w:t>
      </w:r>
      <w:r>
        <w:rPr>
          <w:rFonts w:ascii="Calibri" w:hAnsi="Calibri" w:cs="Calibri"/>
          <w:sz w:val="28"/>
          <w:szCs w:val="28"/>
        </w:rPr>
        <w:t xml:space="preserve"> met</w:t>
      </w:r>
      <w:r w:rsidRPr="006B65DF">
        <w:rPr>
          <w:rFonts w:ascii="Calibri" w:hAnsi="Calibri" w:cs="Calibri"/>
          <w:sz w:val="28"/>
          <w:szCs w:val="28"/>
        </w:rPr>
        <w:t xml:space="preserve"> on </w:t>
      </w:r>
      <w:r w:rsidR="00AB35E0">
        <w:rPr>
          <w:rFonts w:ascii="Calibri" w:hAnsi="Calibri" w:cs="Calibri"/>
          <w:sz w:val="28"/>
          <w:szCs w:val="28"/>
        </w:rPr>
        <w:t>Friday, 21 February 2025</w:t>
      </w:r>
      <w:r>
        <w:rPr>
          <w:rFonts w:ascii="Calibri" w:hAnsi="Calibri" w:cs="Calibri"/>
          <w:sz w:val="28"/>
          <w:szCs w:val="28"/>
        </w:rPr>
        <w:t xml:space="preserve">. </w:t>
      </w:r>
    </w:p>
    <w:p w14:paraId="1911A6E2" w14:textId="77777777" w:rsidR="00FA7CF9" w:rsidRPr="00FA7CF9" w:rsidRDefault="00FA7CF9" w:rsidP="000A4BB6">
      <w:pPr>
        <w:spacing w:after="120" w:line="276" w:lineRule="auto"/>
        <w:rPr>
          <w:rFonts w:asciiTheme="minorHAnsi" w:hAnsiTheme="minorHAnsi" w:cstheme="minorHAnsi"/>
          <w:sz w:val="28"/>
          <w:szCs w:val="28"/>
          <w:lang w:val="en-AU"/>
        </w:rPr>
      </w:pPr>
    </w:p>
    <w:p w14:paraId="1A8B09B8" w14:textId="5D9988CA" w:rsidR="002D7F24" w:rsidRPr="00FA7CF9" w:rsidRDefault="00FA7CF9" w:rsidP="000A4BB6">
      <w:pPr>
        <w:spacing w:after="120" w:line="276" w:lineRule="auto"/>
        <w:rPr>
          <w:rFonts w:ascii="Rockwell" w:eastAsiaTheme="majorEastAsia" w:hAnsi="Rockwell" w:cstheme="majorBidi"/>
          <w:b/>
          <w:color w:val="223C72"/>
          <w:sz w:val="36"/>
          <w:szCs w:val="36"/>
        </w:rPr>
      </w:pPr>
      <w:r w:rsidRPr="00FA7CF9">
        <w:rPr>
          <w:rFonts w:ascii="Rockwell" w:eastAsiaTheme="majorEastAsia" w:hAnsi="Rockwell" w:cstheme="majorBidi"/>
          <w:b/>
          <w:color w:val="223C72"/>
          <w:sz w:val="36"/>
          <w:szCs w:val="36"/>
        </w:rPr>
        <w:t>Member Submissions</w:t>
      </w:r>
    </w:p>
    <w:p w14:paraId="630088D8" w14:textId="2D4A6716" w:rsidR="002D7F24" w:rsidRPr="007E4BE3" w:rsidRDefault="00AB35E0" w:rsidP="000A4BB6">
      <w:pPr>
        <w:spacing w:after="120" w:line="276" w:lineRule="auto"/>
        <w:rPr>
          <w:rFonts w:ascii="Rockwell" w:hAnsi="Rockwell" w:cs="Calibri"/>
          <w:b/>
          <w:bCs/>
          <w:color w:val="44546A" w:themeColor="text2"/>
          <w:sz w:val="28"/>
          <w:szCs w:val="28"/>
        </w:rPr>
      </w:pPr>
      <w:r w:rsidRPr="0097002E">
        <w:rPr>
          <w:rFonts w:ascii="Rockwell" w:hAnsi="Rockwell" w:cs="Calibri"/>
          <w:b/>
          <w:bCs/>
          <w:color w:val="44546A" w:themeColor="text2"/>
          <w:sz w:val="28"/>
          <w:szCs w:val="28"/>
        </w:rPr>
        <w:t xml:space="preserve">mTBI (Mild Traumatic Brain Injuries) Update on DVA Actions to date and planned for the future </w:t>
      </w:r>
      <w:r w:rsidR="00FA7CF9" w:rsidRPr="0097002E">
        <w:rPr>
          <w:rFonts w:ascii="Rockwell" w:hAnsi="Rockwell" w:cs="Calibri"/>
          <w:color w:val="44546A" w:themeColor="text2"/>
          <w:sz w:val="28"/>
          <w:szCs w:val="28"/>
        </w:rPr>
        <w:t>(</w:t>
      </w:r>
      <w:r w:rsidRPr="0097002E">
        <w:rPr>
          <w:rFonts w:ascii="Rockwell" w:hAnsi="Rockwell" w:cs="Calibri"/>
          <w:color w:val="44546A" w:themeColor="text2"/>
          <w:sz w:val="28"/>
          <w:szCs w:val="28"/>
        </w:rPr>
        <w:t>The Australian Special Air Service Association)</w:t>
      </w:r>
    </w:p>
    <w:p w14:paraId="323B390F" w14:textId="31DA8A84" w:rsidR="001C4D17" w:rsidRPr="0097002E" w:rsidRDefault="001C4D17" w:rsidP="0097002E">
      <w:pPr>
        <w:spacing w:after="120" w:line="276" w:lineRule="auto"/>
        <w:rPr>
          <w:rFonts w:asciiTheme="minorHAnsi" w:hAnsiTheme="minorHAnsi" w:cstheme="minorHAnsi"/>
          <w:sz w:val="28"/>
          <w:szCs w:val="28"/>
        </w:rPr>
      </w:pPr>
      <w:r w:rsidRPr="0097002E">
        <w:rPr>
          <w:rFonts w:asciiTheme="minorHAnsi" w:hAnsiTheme="minorHAnsi" w:cstheme="minorHAnsi"/>
          <w:sz w:val="28"/>
          <w:szCs w:val="28"/>
        </w:rPr>
        <w:t>Members noted the Department of Veterans’ Affairs engagement and actions with respect to new or emerging research on the effects of repetitive low-level blast</w:t>
      </w:r>
      <w:r w:rsidR="008D42B5">
        <w:rPr>
          <w:rFonts w:asciiTheme="minorHAnsi" w:hAnsiTheme="minorHAnsi" w:cstheme="minorHAnsi"/>
          <w:sz w:val="28"/>
          <w:szCs w:val="28"/>
        </w:rPr>
        <w:t xml:space="preserve"> (rLLB)</w:t>
      </w:r>
      <w:r w:rsidRPr="0097002E">
        <w:rPr>
          <w:rFonts w:asciiTheme="minorHAnsi" w:hAnsiTheme="minorHAnsi" w:cstheme="minorHAnsi"/>
          <w:sz w:val="28"/>
          <w:szCs w:val="28"/>
        </w:rPr>
        <w:t xml:space="preserve"> overpressure and links to mild traumatic brain injury (mTBI). Members noted DVA will provide Members with an update regarding outcomes from a rolling international literature review and any research which provides significant evidence of a causal relationship between rLLB and neurocognitive conditions, will be referred to the RMA. Commissions will also brief the RMA on this work in coming months. </w:t>
      </w:r>
    </w:p>
    <w:p w14:paraId="02E7FDB4" w14:textId="085B12DE" w:rsidR="002D7F24" w:rsidRPr="0026492D" w:rsidRDefault="002D7F24" w:rsidP="000A4BB6">
      <w:pPr>
        <w:spacing w:after="120" w:line="276" w:lineRule="auto"/>
        <w:rPr>
          <w:rFonts w:asciiTheme="minorHAnsi" w:hAnsiTheme="minorHAnsi" w:cstheme="minorHAnsi"/>
          <w:sz w:val="28"/>
          <w:szCs w:val="28"/>
          <w:lang w:val="en-AU"/>
        </w:rPr>
      </w:pPr>
    </w:p>
    <w:p w14:paraId="7EBCA168" w14:textId="77777777" w:rsidR="002D7F24" w:rsidRPr="00821CFD" w:rsidRDefault="002D7F24" w:rsidP="000A4BB6">
      <w:pPr>
        <w:spacing w:after="120" w:line="276"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DV</w:t>
      </w:r>
      <w:r w:rsidRPr="00821CFD">
        <w:rPr>
          <w:rFonts w:ascii="Rockwell" w:eastAsiaTheme="majorEastAsia" w:hAnsi="Rockwell" w:cstheme="majorBidi"/>
          <w:b/>
          <w:color w:val="223C72"/>
          <w:sz w:val="36"/>
          <w:szCs w:val="36"/>
        </w:rPr>
        <w:t>A Critical Initiatives</w:t>
      </w:r>
    </w:p>
    <w:p w14:paraId="2588FC5B" w14:textId="79BA1F8A" w:rsidR="002D7F24"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Advocacy Update</w:t>
      </w:r>
    </w:p>
    <w:p w14:paraId="7A337343" w14:textId="6CFD1554" w:rsidR="002D7F24" w:rsidRDefault="00FB4E2F" w:rsidP="00FB4E2F">
      <w:pPr>
        <w:spacing w:after="120" w:line="276" w:lineRule="auto"/>
        <w:rPr>
          <w:rFonts w:ascii="Calibri" w:hAnsi="Calibri" w:cs="Calibri"/>
          <w:sz w:val="28"/>
          <w:szCs w:val="28"/>
        </w:rPr>
      </w:pPr>
      <w:r w:rsidRPr="00FB4E2F">
        <w:rPr>
          <w:rFonts w:asciiTheme="minorHAnsi" w:hAnsiTheme="minorHAnsi" w:cstheme="minorHAnsi"/>
          <w:sz w:val="28"/>
          <w:szCs w:val="28"/>
        </w:rPr>
        <w:t>Members noted the update on the public consultation for the Institute of Veteran’s Advocates; and the motion passed in the Parliament for referral of matters regarding veteran advocacy to the Foreign Affairs, Defence and Trade References Committee for inquiry and report by 5 August 2025.</w:t>
      </w:r>
      <w:r w:rsidR="00AA513D">
        <w:rPr>
          <w:rFonts w:ascii="Calibri" w:hAnsi="Calibri" w:cs="Calibri"/>
          <w:sz w:val="28"/>
          <w:szCs w:val="28"/>
        </w:rPr>
        <w:tab/>
      </w:r>
    </w:p>
    <w:p w14:paraId="6E5E132A" w14:textId="77777777" w:rsidR="00FB4E2F" w:rsidRDefault="00FB4E2F" w:rsidP="00FB4E2F">
      <w:pPr>
        <w:spacing w:after="120" w:line="276" w:lineRule="auto"/>
        <w:rPr>
          <w:rFonts w:ascii="Calibri" w:hAnsi="Calibri" w:cs="Calibri"/>
          <w:sz w:val="28"/>
          <w:szCs w:val="28"/>
        </w:rPr>
      </w:pPr>
    </w:p>
    <w:p w14:paraId="37FF69D8" w14:textId="192984DF" w:rsidR="00FA7CF9"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Defence and Veteran Mental Health and Wellbeing Strategy 2024-2029</w:t>
      </w:r>
    </w:p>
    <w:bookmarkEnd w:id="0"/>
    <w:bookmarkEnd w:id="1"/>
    <w:p w14:paraId="1EE37638" w14:textId="06B86D13" w:rsidR="00401232" w:rsidRPr="00401232" w:rsidRDefault="00401232" w:rsidP="00401232">
      <w:pPr>
        <w:spacing w:after="120" w:line="276" w:lineRule="auto"/>
        <w:rPr>
          <w:rFonts w:asciiTheme="minorHAnsi" w:hAnsiTheme="minorHAnsi" w:cstheme="minorHAnsi"/>
          <w:sz w:val="28"/>
          <w:szCs w:val="28"/>
          <w:lang w:val="en-AU"/>
        </w:rPr>
      </w:pPr>
      <w:r w:rsidRPr="00401232">
        <w:rPr>
          <w:rFonts w:asciiTheme="minorHAnsi" w:hAnsiTheme="minorHAnsi" w:cstheme="minorHAnsi"/>
          <w:sz w:val="28"/>
          <w:szCs w:val="28"/>
        </w:rPr>
        <w:t>Members noted the update on the joint Defence and Veteran Mental Health and Wellbeing Strategy, and the current public consultation process underway</w:t>
      </w:r>
      <w:r>
        <w:rPr>
          <w:rFonts w:asciiTheme="minorHAnsi" w:hAnsiTheme="minorHAnsi" w:cstheme="minorHAnsi"/>
          <w:sz w:val="28"/>
          <w:szCs w:val="28"/>
        </w:rPr>
        <w:t>.</w:t>
      </w:r>
    </w:p>
    <w:p w14:paraId="67D00C35" w14:textId="77777777" w:rsidR="00AB35E0" w:rsidRDefault="00AB35E0" w:rsidP="000A4BB6">
      <w:pPr>
        <w:spacing w:after="120" w:line="276" w:lineRule="auto"/>
        <w:rPr>
          <w:rFonts w:asciiTheme="minorHAnsi" w:hAnsiTheme="minorHAnsi" w:cstheme="minorHAnsi"/>
          <w:sz w:val="28"/>
          <w:szCs w:val="28"/>
          <w:lang w:val="en-AU"/>
        </w:rPr>
      </w:pPr>
    </w:p>
    <w:p w14:paraId="780B6FB8" w14:textId="3F817233" w:rsidR="00AB35E0"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Upcoming proposed amendments to Chapter 23 and 25 of GARP M</w:t>
      </w:r>
    </w:p>
    <w:p w14:paraId="13AF66C4" w14:textId="77777777" w:rsidR="00AB35E0" w:rsidRPr="00AB35E0" w:rsidRDefault="00AB35E0" w:rsidP="000A4BB6">
      <w:pPr>
        <w:spacing w:after="120" w:line="276" w:lineRule="auto"/>
        <w:rPr>
          <w:rFonts w:asciiTheme="minorHAnsi" w:hAnsiTheme="minorHAnsi" w:cstheme="minorHAnsi"/>
          <w:sz w:val="28"/>
          <w:szCs w:val="28"/>
          <w:lang w:val="en-AU"/>
        </w:rPr>
      </w:pPr>
      <w:r w:rsidRPr="00AB35E0">
        <w:rPr>
          <w:rFonts w:asciiTheme="minorHAnsi" w:hAnsiTheme="minorHAnsi" w:cstheme="minorHAnsi"/>
          <w:sz w:val="28"/>
          <w:szCs w:val="28"/>
          <w:lang w:val="en-AU"/>
        </w:rPr>
        <w:t xml:space="preserve">The Department of Veterans’ Affairs (DVA) provided an update to the Operational Working Party on 21 February 2025 on the new Guide to Determining Impairment and Compensation Amendment Instrument 2025 which amends Chapter 23 and Chapter 25 of the Guide to Determining Impairment and Compensation 2016 (GARP M).  </w:t>
      </w:r>
    </w:p>
    <w:p w14:paraId="4B063BCD" w14:textId="77777777" w:rsidR="00AB35E0" w:rsidRPr="00AB35E0" w:rsidRDefault="00AB35E0" w:rsidP="000A4BB6">
      <w:pPr>
        <w:spacing w:after="120" w:line="276" w:lineRule="auto"/>
        <w:rPr>
          <w:rFonts w:asciiTheme="minorHAnsi" w:hAnsiTheme="minorHAnsi" w:cstheme="minorHAnsi"/>
          <w:sz w:val="28"/>
          <w:szCs w:val="28"/>
          <w:lang w:val="en-AU"/>
        </w:rPr>
      </w:pPr>
      <w:r w:rsidRPr="00AB35E0">
        <w:rPr>
          <w:rFonts w:asciiTheme="minorHAnsi" w:hAnsiTheme="minorHAnsi" w:cstheme="minorHAnsi"/>
          <w:sz w:val="28"/>
          <w:szCs w:val="28"/>
          <w:lang w:val="en-AU"/>
        </w:rPr>
        <w:t xml:space="preserve">GARP M is used for determining the amount of permanent impairment (PI) compensation payable under the Military, Rehabilitation and Compensation Act 2004 (MRCA). The proposed amendments include instructions to guide decision makers in the correct application of the formulas in Chapters 23 and Chapter 25. This ensures the correct application of the formulas for consistent outcomes for veterans. </w:t>
      </w:r>
    </w:p>
    <w:p w14:paraId="17AD8D1E" w14:textId="49311611" w:rsidR="00AB35E0" w:rsidRDefault="00AB35E0" w:rsidP="000A4BB6">
      <w:pPr>
        <w:spacing w:after="120" w:line="276" w:lineRule="auto"/>
        <w:rPr>
          <w:rFonts w:asciiTheme="minorHAnsi" w:hAnsiTheme="minorHAnsi" w:cstheme="minorHAnsi"/>
          <w:sz w:val="28"/>
          <w:szCs w:val="28"/>
          <w:lang w:val="en-AU"/>
        </w:rPr>
      </w:pPr>
      <w:r w:rsidRPr="00AB35E0">
        <w:rPr>
          <w:rFonts w:asciiTheme="minorHAnsi" w:hAnsiTheme="minorHAnsi" w:cstheme="minorHAnsi"/>
          <w:sz w:val="28"/>
          <w:szCs w:val="28"/>
          <w:lang w:val="en-AU"/>
        </w:rPr>
        <w:t xml:space="preserve">DVA will seek approval of additional changes to GARP M relating to the Veterans’ Entitlements, Treatment and Support (Simplification and Harmonisation) Bill 2024 (VETS Bill) which will be required prior to the proposed new arrangements from 1 July 2026. DVA will engage with the ex-service community where appropriate to ensure community views are taken into account.   </w:t>
      </w:r>
    </w:p>
    <w:p w14:paraId="3DB972C5" w14:textId="77777777" w:rsidR="00AB35E0" w:rsidRDefault="00AB35E0" w:rsidP="000A4BB6">
      <w:pPr>
        <w:spacing w:after="120" w:line="276" w:lineRule="auto"/>
        <w:rPr>
          <w:rFonts w:asciiTheme="minorHAnsi" w:hAnsiTheme="minorHAnsi" w:cstheme="minorHAnsi"/>
          <w:sz w:val="28"/>
          <w:szCs w:val="28"/>
          <w:lang w:val="en-AU"/>
        </w:rPr>
      </w:pPr>
    </w:p>
    <w:p w14:paraId="7F8C169D" w14:textId="5016D170" w:rsidR="00AB35E0" w:rsidRDefault="00180989"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Expansion To Who Can Diagnose Depression and Anxiety For Initial Liability Claims</w:t>
      </w:r>
    </w:p>
    <w:p w14:paraId="055021A5" w14:textId="58130975" w:rsidR="00180989" w:rsidRPr="00180989" w:rsidRDefault="00180989" w:rsidP="00180989">
      <w:pPr>
        <w:pStyle w:val="Header"/>
        <w:rPr>
          <w:rFonts w:asciiTheme="minorHAnsi" w:hAnsiTheme="minorHAnsi" w:cstheme="minorHAnsi"/>
          <w:sz w:val="28"/>
          <w:szCs w:val="28"/>
          <w:lang w:val="en-AU"/>
        </w:rPr>
      </w:pPr>
      <w:r w:rsidRPr="00180989">
        <w:rPr>
          <w:rFonts w:asciiTheme="minorHAnsi" w:hAnsiTheme="minorHAnsi" w:cstheme="minorHAnsi"/>
          <w:sz w:val="28"/>
          <w:szCs w:val="28"/>
          <w:lang w:val="en-AU"/>
        </w:rPr>
        <w:t>There has long been advocacy to expand who can diagnose mental health conditions for initial liability claims.</w:t>
      </w:r>
      <w:r>
        <w:rPr>
          <w:rFonts w:asciiTheme="minorHAnsi" w:hAnsiTheme="minorHAnsi" w:cstheme="minorHAnsi"/>
          <w:sz w:val="28"/>
          <w:szCs w:val="28"/>
          <w:lang w:val="en-AU"/>
        </w:rPr>
        <w:t xml:space="preserve"> </w:t>
      </w:r>
      <w:r w:rsidRPr="00180989">
        <w:rPr>
          <w:rFonts w:asciiTheme="minorHAnsi" w:hAnsiTheme="minorHAnsi" w:cstheme="minorHAnsi"/>
          <w:sz w:val="28"/>
          <w:szCs w:val="28"/>
          <w:lang w:val="en-AU"/>
        </w:rPr>
        <w:t xml:space="preserve">Now, in addition to diagnoses from psychiatrists, </w:t>
      </w:r>
      <w:r>
        <w:rPr>
          <w:rFonts w:asciiTheme="minorHAnsi" w:hAnsiTheme="minorHAnsi" w:cstheme="minorHAnsi"/>
          <w:sz w:val="28"/>
          <w:szCs w:val="28"/>
          <w:lang w:val="en-AU"/>
        </w:rPr>
        <w:t xml:space="preserve">DVA </w:t>
      </w:r>
      <w:r w:rsidRPr="00180989">
        <w:rPr>
          <w:rFonts w:asciiTheme="minorHAnsi" w:hAnsiTheme="minorHAnsi" w:cstheme="minorHAnsi"/>
          <w:sz w:val="28"/>
          <w:szCs w:val="28"/>
          <w:lang w:val="en-AU"/>
        </w:rPr>
        <w:t xml:space="preserve">will also accept a diagnosis of anxiety and depressive disorders from a treating Clinical Psychologist and be able to utilise clinical </w:t>
      </w:r>
      <w:r w:rsidRPr="00180989">
        <w:rPr>
          <w:rFonts w:asciiTheme="minorHAnsi" w:hAnsiTheme="minorHAnsi" w:cstheme="minorHAnsi"/>
          <w:sz w:val="28"/>
          <w:szCs w:val="28"/>
          <w:lang w:val="en-AU"/>
        </w:rPr>
        <w:lastRenderedPageBreak/>
        <w:t>psychologist reports obtained during and immediately after service for anxiety and depressive disorders.</w:t>
      </w:r>
      <w:r>
        <w:rPr>
          <w:rFonts w:asciiTheme="minorHAnsi" w:hAnsiTheme="minorHAnsi" w:cstheme="minorHAnsi"/>
          <w:sz w:val="28"/>
          <w:szCs w:val="28"/>
          <w:lang w:val="en-AU"/>
        </w:rPr>
        <w:t xml:space="preserve"> </w:t>
      </w:r>
      <w:r w:rsidRPr="00180989">
        <w:rPr>
          <w:rFonts w:asciiTheme="minorHAnsi" w:hAnsiTheme="minorHAnsi" w:cstheme="minorHAnsi"/>
          <w:sz w:val="28"/>
          <w:szCs w:val="28"/>
          <w:lang w:val="en-AU"/>
        </w:rPr>
        <w:t>This will help reduce the workload for psychiatrists, improve access to a broader range of providers to assist with claims and help simplify the liability process.</w:t>
      </w:r>
    </w:p>
    <w:p w14:paraId="35DC17D6" w14:textId="77777777" w:rsidR="00AB35E0" w:rsidRDefault="00AB35E0" w:rsidP="000A4BB6">
      <w:pPr>
        <w:spacing w:after="120" w:line="276" w:lineRule="auto"/>
        <w:rPr>
          <w:rFonts w:asciiTheme="minorHAnsi" w:hAnsiTheme="minorHAnsi" w:cstheme="minorHAnsi"/>
          <w:sz w:val="28"/>
          <w:szCs w:val="28"/>
          <w:lang w:val="en-AU"/>
        </w:rPr>
      </w:pPr>
    </w:p>
    <w:p w14:paraId="27146F96" w14:textId="50E90119" w:rsidR="00AB35E0" w:rsidRPr="00AB35E0" w:rsidRDefault="00CB7CFB" w:rsidP="000A4BB6">
      <w:pPr>
        <w:spacing w:after="120" w:line="276" w:lineRule="auto"/>
        <w:rPr>
          <w:rFonts w:ascii="Rockwell" w:eastAsiaTheme="majorEastAsia" w:hAnsi="Rockwell" w:cstheme="majorBidi"/>
          <w:b/>
          <w:color w:val="223C72"/>
          <w:sz w:val="36"/>
          <w:szCs w:val="36"/>
        </w:rPr>
      </w:pPr>
      <w:r>
        <w:rPr>
          <w:rFonts w:ascii="Rockwell" w:eastAsiaTheme="majorEastAsia" w:hAnsi="Rockwell" w:cstheme="majorBidi"/>
          <w:b/>
          <w:color w:val="223C72"/>
          <w:sz w:val="36"/>
          <w:szCs w:val="36"/>
        </w:rPr>
        <w:t>Updates provided for Information</w:t>
      </w:r>
    </w:p>
    <w:p w14:paraId="35181732" w14:textId="792EDA8E" w:rsidR="00AB35E0"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Claims Processing Update</w:t>
      </w:r>
    </w:p>
    <w:p w14:paraId="783EA4D7" w14:textId="69A243FD" w:rsidR="00AB35E0" w:rsidRDefault="00CF0E12" w:rsidP="000A4BB6">
      <w:pPr>
        <w:spacing w:after="120" w:line="276" w:lineRule="auto"/>
        <w:rPr>
          <w:rFonts w:asciiTheme="minorHAnsi" w:hAnsiTheme="minorHAnsi" w:cstheme="minorHAnsi"/>
          <w:sz w:val="28"/>
          <w:szCs w:val="28"/>
        </w:rPr>
      </w:pPr>
      <w:r>
        <w:rPr>
          <w:rFonts w:asciiTheme="minorHAnsi" w:hAnsiTheme="minorHAnsi" w:cstheme="minorHAnsi"/>
          <w:sz w:val="28"/>
          <w:szCs w:val="28"/>
          <w:lang w:val="en-AU"/>
        </w:rPr>
        <w:t>The most recent claims reporting data can be accessed through the DVA Claims Processing Webpage:</w:t>
      </w:r>
      <w:r w:rsidRPr="00CF0E12">
        <w:rPr>
          <w:rFonts w:asciiTheme="minorHAnsi" w:hAnsiTheme="minorHAnsi" w:cstheme="minorHAnsi"/>
          <w:sz w:val="28"/>
          <w:szCs w:val="28"/>
          <w:lang w:val="en-AU"/>
        </w:rPr>
        <w:t xml:space="preserve"> </w:t>
      </w:r>
      <w:hyperlink r:id="rId12" w:tgtFrame="_blank" w:tooltip="https://www.dva.gov.au/claim-processing" w:history="1">
        <w:r w:rsidRPr="00CF0E12">
          <w:rPr>
            <w:rStyle w:val="Hyperlink"/>
            <w:rFonts w:asciiTheme="minorHAnsi" w:hAnsiTheme="minorHAnsi" w:cstheme="minorHAnsi"/>
            <w:sz w:val="28"/>
            <w:szCs w:val="28"/>
          </w:rPr>
          <w:t>https://www.dva.gov.au/claim-processing</w:t>
        </w:r>
      </w:hyperlink>
      <w:r>
        <w:rPr>
          <w:rFonts w:asciiTheme="minorHAnsi" w:hAnsiTheme="minorHAnsi" w:cstheme="minorHAnsi"/>
          <w:sz w:val="28"/>
          <w:szCs w:val="28"/>
        </w:rPr>
        <w:t xml:space="preserve">, which encompasses all key metrics relating to the claims process. </w:t>
      </w:r>
    </w:p>
    <w:p w14:paraId="1198FC6A" w14:textId="41583FD3" w:rsidR="00AB35E0" w:rsidRDefault="00CF0E12" w:rsidP="000A4BB6">
      <w:pPr>
        <w:spacing w:after="120" w:line="276" w:lineRule="auto"/>
        <w:rPr>
          <w:rFonts w:asciiTheme="minorHAnsi" w:hAnsiTheme="minorHAnsi" w:cstheme="minorHAnsi"/>
          <w:sz w:val="28"/>
          <w:szCs w:val="28"/>
        </w:rPr>
      </w:pPr>
      <w:r>
        <w:rPr>
          <w:rFonts w:asciiTheme="minorHAnsi" w:hAnsiTheme="minorHAnsi" w:cstheme="minorHAnsi"/>
          <w:sz w:val="28"/>
          <w:szCs w:val="28"/>
        </w:rPr>
        <w:t xml:space="preserve">Should you encounter any difficulties in viewing or downloading the data, please do not hesitate to reach out to us for assistance. </w:t>
      </w:r>
    </w:p>
    <w:p w14:paraId="0E4F3B9E" w14:textId="77777777" w:rsidR="005E3FCC" w:rsidRDefault="005E3FCC" w:rsidP="000A4BB6">
      <w:pPr>
        <w:spacing w:after="120" w:line="276" w:lineRule="auto"/>
        <w:rPr>
          <w:rFonts w:asciiTheme="minorHAnsi" w:hAnsiTheme="minorHAnsi" w:cstheme="minorHAnsi"/>
          <w:sz w:val="28"/>
          <w:szCs w:val="28"/>
          <w:lang w:val="en-AU"/>
        </w:rPr>
      </w:pPr>
    </w:p>
    <w:p w14:paraId="587D427A" w14:textId="75E3F682" w:rsidR="00AB35E0" w:rsidRDefault="00AB35E0"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Transport – Booked Car with Driver update</w:t>
      </w:r>
    </w:p>
    <w:p w14:paraId="536892F5" w14:textId="39AAA33C" w:rsidR="00FA7CF9" w:rsidRDefault="00180989" w:rsidP="000A4BB6">
      <w:pPr>
        <w:spacing w:after="120" w:line="276" w:lineRule="auto"/>
        <w:rPr>
          <w:rFonts w:asciiTheme="minorHAnsi" w:hAnsiTheme="minorHAnsi" w:cstheme="minorHAnsi"/>
          <w:sz w:val="28"/>
          <w:szCs w:val="28"/>
          <w:lang w:val="en-AU"/>
        </w:rPr>
      </w:pPr>
      <w:r>
        <w:rPr>
          <w:rFonts w:asciiTheme="minorHAnsi" w:hAnsiTheme="minorHAnsi" w:cstheme="minorHAnsi"/>
          <w:sz w:val="28"/>
          <w:szCs w:val="28"/>
          <w:lang w:val="en-AU"/>
        </w:rPr>
        <w:t>DVA</w:t>
      </w:r>
      <w:r w:rsidR="00F67CC5" w:rsidRPr="00F67CC5">
        <w:rPr>
          <w:rFonts w:asciiTheme="minorHAnsi" w:hAnsiTheme="minorHAnsi" w:cstheme="minorHAnsi"/>
          <w:sz w:val="28"/>
          <w:szCs w:val="28"/>
          <w:lang w:val="en-AU"/>
        </w:rPr>
        <w:t xml:space="preserve"> is pleased to announce an update to the access criteria for clients aged 79 years or younger who use the Booked Car with Driver (BCWD) service. The ‘Treatment Location’ criterion has been removed, which means younger clients with access to BCWD can use the service to travel to a broader range of health appointments, including general practice and allied health clinics. This was a criterion that applied only to clients aged 79 years or younger; there is no change in access for clients who are: aged 80 years or older, living with dementia (any age) or legally blind (any age). An updated infographic outlining the improved criteria is available on the DVA Website.</w:t>
      </w:r>
    </w:p>
    <w:p w14:paraId="6436C6E4" w14:textId="77777777" w:rsidR="00F67CC5" w:rsidRPr="00F67CC5" w:rsidRDefault="00F67CC5" w:rsidP="000A4BB6">
      <w:pPr>
        <w:spacing w:after="120" w:line="276" w:lineRule="auto"/>
        <w:rPr>
          <w:rFonts w:asciiTheme="minorHAnsi" w:hAnsiTheme="minorHAnsi" w:cstheme="minorHAnsi"/>
          <w:sz w:val="28"/>
          <w:szCs w:val="28"/>
          <w:lang w:val="en-AU"/>
        </w:rPr>
      </w:pPr>
    </w:p>
    <w:p w14:paraId="59E8468C" w14:textId="243391F9" w:rsidR="00AB35E0" w:rsidRDefault="000A4BB6"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Veteran Wellbeing Grants Program and Saluting their Service Commemorative Grants Program Update</w:t>
      </w:r>
    </w:p>
    <w:p w14:paraId="11910BE2" w14:textId="1C58C1B7" w:rsidR="003A2C5C" w:rsidRPr="003A2C5C" w:rsidRDefault="003A2C5C" w:rsidP="003A2C5C">
      <w:pPr>
        <w:spacing w:after="120" w:line="276" w:lineRule="auto"/>
        <w:rPr>
          <w:rFonts w:asciiTheme="minorHAnsi" w:hAnsiTheme="minorHAnsi" w:cstheme="minorHAnsi"/>
          <w:b/>
          <w:bCs/>
          <w:sz w:val="28"/>
          <w:szCs w:val="28"/>
          <w:lang w:val="en-AU"/>
        </w:rPr>
      </w:pPr>
      <w:r w:rsidRPr="003A2C5C">
        <w:rPr>
          <w:rFonts w:asciiTheme="minorHAnsi" w:hAnsiTheme="minorHAnsi" w:cstheme="minorHAnsi"/>
          <w:b/>
          <w:bCs/>
          <w:sz w:val="28"/>
          <w:szCs w:val="28"/>
          <w:lang w:val="en-AU"/>
        </w:rPr>
        <w:t>The Veteran Wellbeing Grants Program</w:t>
      </w:r>
      <w:r w:rsidRPr="003A2C5C">
        <w:rPr>
          <w:rFonts w:asciiTheme="minorHAnsi" w:hAnsiTheme="minorHAnsi" w:cstheme="minorHAnsi"/>
          <w:sz w:val="28"/>
          <w:szCs w:val="28"/>
          <w:lang w:val="en-AU"/>
        </w:rPr>
        <w:t xml:space="preserve"> offers funding of up to $200,000 for ex-service organisations (ESOs) or non-ESOs in a consortium with at least one ESO to undertake projects and activities that sustain or enhance health and social wellbeing, build community capacity, potentially expand on existing </w:t>
      </w:r>
      <w:r w:rsidRPr="003A2C5C">
        <w:rPr>
          <w:rFonts w:asciiTheme="minorHAnsi" w:hAnsiTheme="minorHAnsi" w:cstheme="minorHAnsi"/>
          <w:sz w:val="28"/>
          <w:szCs w:val="28"/>
          <w:lang w:val="en-AU"/>
        </w:rPr>
        <w:lastRenderedPageBreak/>
        <w:t xml:space="preserve">projects, and raise awareness of important issues faced by the veteran community. For further information, visit </w:t>
      </w:r>
      <w:hyperlink r:id="rId13" w:history="1">
        <w:r w:rsidRPr="003A2C5C">
          <w:rPr>
            <w:rStyle w:val="Hyperlink"/>
            <w:rFonts w:asciiTheme="minorHAnsi" w:hAnsiTheme="minorHAnsi" w:cstheme="minorHAnsi"/>
            <w:b/>
            <w:bCs/>
            <w:sz w:val="28"/>
            <w:szCs w:val="28"/>
            <w:lang w:val="en-AU"/>
          </w:rPr>
          <w:t>www.dva.gov.au/VWG</w:t>
        </w:r>
      </w:hyperlink>
      <w:r>
        <w:rPr>
          <w:rFonts w:asciiTheme="minorHAnsi" w:hAnsiTheme="minorHAnsi" w:cstheme="minorHAnsi"/>
          <w:sz w:val="28"/>
          <w:szCs w:val="28"/>
          <w:lang w:val="en-AU"/>
        </w:rPr>
        <w:t>.</w:t>
      </w:r>
    </w:p>
    <w:p w14:paraId="7BA81782" w14:textId="312610A1" w:rsidR="003A2C5C" w:rsidRPr="003A2C5C" w:rsidRDefault="003A2C5C" w:rsidP="003A2C5C">
      <w:pPr>
        <w:spacing w:after="120" w:line="276" w:lineRule="auto"/>
        <w:rPr>
          <w:rFonts w:asciiTheme="minorHAnsi" w:hAnsiTheme="minorHAnsi" w:cstheme="minorHAnsi"/>
          <w:sz w:val="28"/>
          <w:szCs w:val="28"/>
          <w:lang w:val="en-AU"/>
        </w:rPr>
      </w:pPr>
      <w:r w:rsidRPr="003A2C5C">
        <w:rPr>
          <w:rFonts w:asciiTheme="minorHAnsi" w:hAnsiTheme="minorHAnsi" w:cstheme="minorHAnsi"/>
          <w:b/>
          <w:bCs/>
          <w:sz w:val="28"/>
          <w:szCs w:val="28"/>
          <w:lang w:val="en-AU"/>
        </w:rPr>
        <w:t xml:space="preserve">The Saluting Their Service Commemorative Grants Program </w:t>
      </w:r>
      <w:r w:rsidRPr="003A2C5C">
        <w:rPr>
          <w:rFonts w:asciiTheme="minorHAnsi" w:hAnsiTheme="minorHAnsi" w:cstheme="minorHAnsi"/>
          <w:sz w:val="28"/>
          <w:szCs w:val="28"/>
          <w:lang w:val="en-AU"/>
        </w:rPr>
        <w:t xml:space="preserve">commemorates the service and sacrifice of Australia’s service personnel in wars, conflicts and peace operations, and their families. Grants of up to $150,000 are available under the program. For further information, visit </w:t>
      </w:r>
      <w:hyperlink r:id="rId14" w:history="1">
        <w:r w:rsidRPr="003A2C5C">
          <w:rPr>
            <w:rStyle w:val="Hyperlink"/>
            <w:rFonts w:asciiTheme="minorHAnsi" w:hAnsiTheme="minorHAnsi" w:cstheme="minorHAnsi"/>
            <w:b/>
            <w:bCs/>
            <w:sz w:val="28"/>
            <w:szCs w:val="28"/>
            <w:lang w:val="en-AU"/>
          </w:rPr>
          <w:t>www.dva.gov.au/STSgrants</w:t>
        </w:r>
      </w:hyperlink>
      <w:r>
        <w:rPr>
          <w:rFonts w:asciiTheme="minorHAnsi" w:hAnsiTheme="minorHAnsi" w:cstheme="minorHAnsi"/>
          <w:sz w:val="28"/>
          <w:szCs w:val="28"/>
          <w:lang w:val="en-AU"/>
        </w:rPr>
        <w:t>.</w:t>
      </w:r>
    </w:p>
    <w:p w14:paraId="2D7C04C5" w14:textId="77777777" w:rsidR="00064BF0" w:rsidRDefault="00064BF0" w:rsidP="000A4BB6">
      <w:pPr>
        <w:spacing w:after="120" w:line="276" w:lineRule="auto"/>
        <w:rPr>
          <w:rFonts w:ascii="Rockwell" w:hAnsi="Rockwell" w:cs="Calibri"/>
          <w:b/>
          <w:bCs/>
          <w:color w:val="44546A" w:themeColor="text2"/>
          <w:sz w:val="28"/>
          <w:szCs w:val="28"/>
        </w:rPr>
      </w:pPr>
    </w:p>
    <w:p w14:paraId="449F6E8B" w14:textId="3851998A" w:rsidR="000A4BB6" w:rsidRPr="000A4BB6" w:rsidRDefault="000A4BB6" w:rsidP="000A4BB6">
      <w:pPr>
        <w:spacing w:after="120" w:line="276" w:lineRule="auto"/>
        <w:rPr>
          <w:rFonts w:ascii="Rockwell" w:hAnsi="Rockwell" w:cs="Calibri"/>
          <w:b/>
          <w:bCs/>
          <w:color w:val="44546A" w:themeColor="text2"/>
          <w:sz w:val="28"/>
          <w:szCs w:val="28"/>
        </w:rPr>
      </w:pPr>
      <w:r>
        <w:rPr>
          <w:rFonts w:ascii="Rockwell" w:hAnsi="Rockwell" w:cs="Calibri"/>
          <w:b/>
          <w:bCs/>
          <w:color w:val="44546A" w:themeColor="text2"/>
          <w:sz w:val="28"/>
          <w:szCs w:val="28"/>
        </w:rPr>
        <w:t>Update on Handling of Personal Information Project</w:t>
      </w:r>
    </w:p>
    <w:p w14:paraId="16BC1384" w14:textId="77777777" w:rsidR="000A4BB6" w:rsidRPr="000A4BB6" w:rsidRDefault="000A4BB6" w:rsidP="000A4BB6">
      <w:pPr>
        <w:spacing w:after="120" w:line="276" w:lineRule="auto"/>
        <w:rPr>
          <w:rFonts w:asciiTheme="minorHAnsi" w:hAnsiTheme="minorHAnsi" w:cstheme="minorHAnsi"/>
          <w:sz w:val="28"/>
          <w:szCs w:val="28"/>
          <w:lang w:val="en-AU"/>
        </w:rPr>
      </w:pPr>
      <w:r w:rsidRPr="000A4BB6">
        <w:rPr>
          <w:rFonts w:asciiTheme="minorHAnsi" w:hAnsiTheme="minorHAnsi" w:cstheme="minorHAnsi"/>
          <w:sz w:val="28"/>
          <w:szCs w:val="28"/>
          <w:lang w:val="en-AU"/>
        </w:rPr>
        <w:t>The Handling of Personal Information (HOPI) Project was initiated to ensure DVA’s handling of personal information (collection, use and disclosure) is best practice and compliant with relevant requirements such as:</w:t>
      </w:r>
    </w:p>
    <w:p w14:paraId="48457802" w14:textId="77777777" w:rsidR="000A4BB6" w:rsidRPr="000A4BB6" w:rsidRDefault="000A4BB6" w:rsidP="000A4BB6">
      <w:pPr>
        <w:pStyle w:val="ListParagraph0"/>
        <w:numPr>
          <w:ilvl w:val="0"/>
          <w:numId w:val="19"/>
        </w:numPr>
        <w:spacing w:line="276" w:lineRule="auto"/>
        <w:rPr>
          <w:rFonts w:asciiTheme="minorHAnsi" w:hAnsiTheme="minorHAnsi" w:cstheme="minorHAnsi"/>
          <w:sz w:val="28"/>
          <w:szCs w:val="28"/>
        </w:rPr>
      </w:pPr>
      <w:r w:rsidRPr="000A4BB6">
        <w:rPr>
          <w:rFonts w:asciiTheme="minorHAnsi" w:hAnsiTheme="minorHAnsi" w:cstheme="minorHAnsi"/>
          <w:sz w:val="28"/>
          <w:szCs w:val="28"/>
        </w:rPr>
        <w:t>The Australian Privacy Principles (APPs) – a set of 13 rules within the Privacy Act 1988 (Cth) that regulate handling of personal information; and</w:t>
      </w:r>
    </w:p>
    <w:p w14:paraId="2C19C263" w14:textId="77777777" w:rsidR="000A4BB6" w:rsidRPr="000A4BB6" w:rsidRDefault="000A4BB6" w:rsidP="000A4BB6">
      <w:pPr>
        <w:pStyle w:val="ListParagraph0"/>
        <w:numPr>
          <w:ilvl w:val="0"/>
          <w:numId w:val="19"/>
        </w:numPr>
        <w:spacing w:line="276" w:lineRule="auto"/>
        <w:rPr>
          <w:rFonts w:asciiTheme="minorHAnsi" w:hAnsiTheme="minorHAnsi" w:cstheme="minorHAnsi"/>
          <w:sz w:val="28"/>
          <w:szCs w:val="28"/>
        </w:rPr>
      </w:pPr>
      <w:r w:rsidRPr="000A4BB6">
        <w:rPr>
          <w:rFonts w:asciiTheme="minorHAnsi" w:hAnsiTheme="minorHAnsi" w:cstheme="minorHAnsi"/>
          <w:sz w:val="28"/>
          <w:szCs w:val="28"/>
        </w:rPr>
        <w:t>The Australian Government Agencies Privacy Code – a binding legislative instrument applied to all Australian Government agencies subject to the Privacy Act, including adherence to the APPs.</w:t>
      </w:r>
    </w:p>
    <w:p w14:paraId="73432BC0" w14:textId="77777777" w:rsidR="000A4BB6" w:rsidRPr="000A4BB6" w:rsidRDefault="000A4BB6" w:rsidP="000A4BB6">
      <w:pPr>
        <w:spacing w:before="120" w:after="120" w:line="276" w:lineRule="auto"/>
        <w:rPr>
          <w:rFonts w:asciiTheme="minorHAnsi" w:hAnsiTheme="minorHAnsi" w:cstheme="minorHAnsi"/>
          <w:sz w:val="28"/>
          <w:szCs w:val="28"/>
          <w:lang w:val="en-AU"/>
        </w:rPr>
      </w:pPr>
      <w:r w:rsidRPr="000A4BB6">
        <w:rPr>
          <w:rFonts w:asciiTheme="minorHAnsi" w:hAnsiTheme="minorHAnsi" w:cstheme="minorHAnsi"/>
          <w:sz w:val="28"/>
          <w:szCs w:val="28"/>
          <w:lang w:val="en-AU"/>
        </w:rPr>
        <w:t>The HOPI Project also aims to ensure that DVA stakeholders, including veterans and families, researchers and other government agencies, have confidence in DVA’s handling of personal information.</w:t>
      </w:r>
    </w:p>
    <w:p w14:paraId="72F25224" w14:textId="77777777" w:rsidR="000A4BB6" w:rsidRPr="000A4BB6" w:rsidRDefault="000A4BB6" w:rsidP="000A4BB6">
      <w:pPr>
        <w:spacing w:after="120" w:line="276" w:lineRule="auto"/>
        <w:rPr>
          <w:rFonts w:asciiTheme="minorHAnsi" w:hAnsiTheme="minorHAnsi" w:cstheme="minorHAnsi"/>
          <w:sz w:val="28"/>
          <w:szCs w:val="28"/>
          <w:lang w:val="en-AU"/>
        </w:rPr>
      </w:pPr>
      <w:r w:rsidRPr="000A4BB6">
        <w:rPr>
          <w:rFonts w:asciiTheme="minorHAnsi" w:hAnsiTheme="minorHAnsi" w:cstheme="minorHAnsi"/>
          <w:sz w:val="28"/>
          <w:szCs w:val="28"/>
          <w:lang w:val="en-AU"/>
        </w:rPr>
        <w:t>Phase 1 of the project ran from April 2024 to November 2024, focusing on work including to update internal guidance documents:</w:t>
      </w:r>
    </w:p>
    <w:p w14:paraId="554636C6" w14:textId="77777777" w:rsidR="000A4BB6" w:rsidRPr="000A4BB6" w:rsidRDefault="000A4BB6" w:rsidP="000A4BB6">
      <w:pPr>
        <w:pStyle w:val="ListParagraph0"/>
        <w:numPr>
          <w:ilvl w:val="0"/>
          <w:numId w:val="20"/>
        </w:numPr>
        <w:spacing w:line="276" w:lineRule="auto"/>
        <w:rPr>
          <w:rFonts w:asciiTheme="minorHAnsi" w:hAnsiTheme="minorHAnsi" w:cstheme="minorHAnsi"/>
          <w:sz w:val="28"/>
          <w:szCs w:val="28"/>
        </w:rPr>
      </w:pPr>
      <w:r w:rsidRPr="000A4BB6">
        <w:rPr>
          <w:rFonts w:asciiTheme="minorHAnsi" w:hAnsiTheme="minorHAnsi" w:cstheme="minorHAnsi"/>
          <w:sz w:val="28"/>
          <w:szCs w:val="28"/>
        </w:rPr>
        <w:t>Establishing a comprehensive draft blueprint to guide DVA’s activities in best practice in privacy management;</w:t>
      </w:r>
    </w:p>
    <w:p w14:paraId="01B021F9" w14:textId="77777777" w:rsidR="000A4BB6" w:rsidRPr="000A4BB6" w:rsidRDefault="000A4BB6" w:rsidP="000A4BB6">
      <w:pPr>
        <w:pStyle w:val="ListParagraph0"/>
        <w:numPr>
          <w:ilvl w:val="0"/>
          <w:numId w:val="20"/>
        </w:numPr>
        <w:spacing w:line="276" w:lineRule="auto"/>
        <w:rPr>
          <w:rFonts w:asciiTheme="minorHAnsi" w:hAnsiTheme="minorHAnsi" w:cstheme="minorHAnsi"/>
          <w:sz w:val="28"/>
          <w:szCs w:val="28"/>
        </w:rPr>
      </w:pPr>
      <w:r w:rsidRPr="000A4BB6">
        <w:rPr>
          <w:rFonts w:asciiTheme="minorHAnsi" w:hAnsiTheme="minorHAnsi" w:cstheme="minorHAnsi"/>
          <w:sz w:val="28"/>
          <w:szCs w:val="28"/>
        </w:rPr>
        <w:t>Conducting a stocktake and analysis of personal information collection processes that includes collection method, storage, use and disclosure;</w:t>
      </w:r>
    </w:p>
    <w:p w14:paraId="5D141157" w14:textId="77777777" w:rsidR="000A4BB6" w:rsidRPr="000A4BB6" w:rsidRDefault="000A4BB6" w:rsidP="000A4BB6">
      <w:pPr>
        <w:pStyle w:val="ListParagraph0"/>
        <w:numPr>
          <w:ilvl w:val="0"/>
          <w:numId w:val="20"/>
        </w:numPr>
        <w:spacing w:line="276" w:lineRule="auto"/>
        <w:rPr>
          <w:rFonts w:asciiTheme="minorHAnsi" w:hAnsiTheme="minorHAnsi" w:cstheme="minorHAnsi"/>
          <w:sz w:val="28"/>
          <w:szCs w:val="28"/>
        </w:rPr>
      </w:pPr>
      <w:r w:rsidRPr="000A4BB6">
        <w:rPr>
          <w:rFonts w:asciiTheme="minorHAnsi" w:hAnsiTheme="minorHAnsi" w:cstheme="minorHAnsi"/>
          <w:sz w:val="28"/>
          <w:szCs w:val="28"/>
        </w:rPr>
        <w:t>Developing capability development plans for both privacy and data to provide consistent, systematic and tailored training and support; and</w:t>
      </w:r>
    </w:p>
    <w:p w14:paraId="65EA262D" w14:textId="77777777" w:rsidR="000A4BB6" w:rsidRPr="000A4BB6" w:rsidRDefault="000A4BB6" w:rsidP="000A4BB6">
      <w:pPr>
        <w:pStyle w:val="ListParagraph0"/>
        <w:numPr>
          <w:ilvl w:val="0"/>
          <w:numId w:val="20"/>
        </w:numPr>
        <w:spacing w:line="276" w:lineRule="auto"/>
        <w:rPr>
          <w:rFonts w:asciiTheme="minorHAnsi" w:hAnsiTheme="minorHAnsi" w:cstheme="minorHAnsi"/>
          <w:sz w:val="28"/>
          <w:szCs w:val="28"/>
        </w:rPr>
      </w:pPr>
      <w:r w:rsidRPr="000A4BB6">
        <w:rPr>
          <w:rFonts w:asciiTheme="minorHAnsi" w:hAnsiTheme="minorHAnsi" w:cstheme="minorHAnsi"/>
          <w:sz w:val="28"/>
          <w:szCs w:val="28"/>
        </w:rPr>
        <w:t>Developing a Communication, Change and Culture Management Strategy</w:t>
      </w:r>
    </w:p>
    <w:p w14:paraId="62C76895" w14:textId="77777777" w:rsidR="000A4BB6" w:rsidRPr="000A4BB6" w:rsidRDefault="000A4BB6" w:rsidP="000A4BB6">
      <w:pPr>
        <w:spacing w:before="120" w:after="120" w:line="276" w:lineRule="auto"/>
        <w:rPr>
          <w:rFonts w:asciiTheme="minorHAnsi" w:hAnsiTheme="minorHAnsi" w:cstheme="minorHAnsi"/>
          <w:sz w:val="28"/>
          <w:szCs w:val="28"/>
          <w:lang w:val="en-AU"/>
        </w:rPr>
      </w:pPr>
      <w:r w:rsidRPr="000A4BB6">
        <w:rPr>
          <w:rFonts w:asciiTheme="minorHAnsi" w:hAnsiTheme="minorHAnsi" w:cstheme="minorHAnsi"/>
          <w:sz w:val="28"/>
          <w:szCs w:val="28"/>
          <w:lang w:val="en-AU"/>
        </w:rPr>
        <w:lastRenderedPageBreak/>
        <w:t>Phase 2 of the HOPI Project commenced on 2 December 2024 and is expected to be completed in late 2025. Phase 2 will continue to progress the Department towards:</w:t>
      </w:r>
    </w:p>
    <w:p w14:paraId="17040CF9" w14:textId="77777777" w:rsidR="000A4BB6" w:rsidRPr="000A4BB6" w:rsidRDefault="000A4BB6" w:rsidP="000A4BB6">
      <w:pPr>
        <w:pStyle w:val="ListParagraph0"/>
        <w:numPr>
          <w:ilvl w:val="0"/>
          <w:numId w:val="21"/>
        </w:numPr>
        <w:spacing w:before="120" w:line="276" w:lineRule="auto"/>
        <w:rPr>
          <w:rFonts w:asciiTheme="minorHAnsi" w:hAnsiTheme="minorHAnsi" w:cstheme="minorHAnsi"/>
          <w:sz w:val="28"/>
          <w:szCs w:val="28"/>
        </w:rPr>
      </w:pPr>
      <w:r w:rsidRPr="000A4BB6">
        <w:rPr>
          <w:rFonts w:asciiTheme="minorHAnsi" w:hAnsiTheme="minorHAnsi" w:cstheme="minorHAnsi"/>
          <w:sz w:val="28"/>
          <w:szCs w:val="28"/>
        </w:rPr>
        <w:t>Implementing and embedding a comprehensive compliance framework regarding the collection, consent management, use, sharing, storage and retention of personal information.</w:t>
      </w:r>
    </w:p>
    <w:p w14:paraId="11727511" w14:textId="77777777" w:rsidR="000A4BB6" w:rsidRPr="000A4BB6" w:rsidRDefault="000A4BB6" w:rsidP="000A4BB6">
      <w:pPr>
        <w:pStyle w:val="ListParagraph0"/>
        <w:numPr>
          <w:ilvl w:val="0"/>
          <w:numId w:val="21"/>
        </w:numPr>
        <w:spacing w:line="276" w:lineRule="auto"/>
        <w:rPr>
          <w:rFonts w:asciiTheme="minorHAnsi" w:hAnsiTheme="minorHAnsi" w:cstheme="minorHAnsi"/>
          <w:sz w:val="28"/>
          <w:szCs w:val="28"/>
        </w:rPr>
      </w:pPr>
      <w:r w:rsidRPr="000A4BB6">
        <w:rPr>
          <w:rFonts w:asciiTheme="minorHAnsi" w:hAnsiTheme="minorHAnsi" w:cstheme="minorHAnsi"/>
          <w:sz w:val="28"/>
          <w:szCs w:val="28"/>
        </w:rPr>
        <w:t>Continuing to strengthen trust with veterans, families, researchers, and other stakeholders by demonstrating transparency, ethical data use, and robust privacy protections.</w:t>
      </w:r>
    </w:p>
    <w:p w14:paraId="1FB25037" w14:textId="6F01C106" w:rsidR="000A4BB6" w:rsidRPr="000A4BB6" w:rsidRDefault="000A4BB6" w:rsidP="000A4BB6">
      <w:pPr>
        <w:pStyle w:val="ListParagraph0"/>
        <w:numPr>
          <w:ilvl w:val="0"/>
          <w:numId w:val="21"/>
        </w:numPr>
        <w:spacing w:line="276" w:lineRule="auto"/>
        <w:rPr>
          <w:rFonts w:asciiTheme="minorHAnsi" w:hAnsiTheme="minorHAnsi" w:cstheme="minorHAnsi"/>
          <w:sz w:val="28"/>
          <w:szCs w:val="28"/>
        </w:rPr>
      </w:pPr>
      <w:r w:rsidRPr="000A4BB6">
        <w:rPr>
          <w:rFonts w:asciiTheme="minorHAnsi" w:hAnsiTheme="minorHAnsi" w:cstheme="minorHAnsi"/>
          <w:sz w:val="28"/>
          <w:szCs w:val="28"/>
        </w:rPr>
        <w:t>Establishment of a privacy-by-design approach, embedding data literacy and privacy capabilities for all staff.</w:t>
      </w:r>
    </w:p>
    <w:p w14:paraId="6F02CFBC" w14:textId="77777777" w:rsidR="00AB35E0" w:rsidRDefault="00AB35E0" w:rsidP="000A4BB6">
      <w:pPr>
        <w:spacing w:after="120" w:line="276" w:lineRule="auto"/>
        <w:rPr>
          <w:rFonts w:asciiTheme="minorHAnsi" w:eastAsia="Times New Roman" w:hAnsiTheme="minorHAnsi" w:cstheme="minorHAnsi"/>
          <w:sz w:val="28"/>
          <w:szCs w:val="28"/>
          <w:lang w:val="en-AU" w:eastAsia="en-AU"/>
        </w:rPr>
      </w:pPr>
    </w:p>
    <w:p w14:paraId="5480DCBD" w14:textId="6E1FC229" w:rsidR="002D7F24" w:rsidRDefault="002D7F24" w:rsidP="000A4BB6">
      <w:pPr>
        <w:spacing w:after="120" w:line="276" w:lineRule="auto"/>
        <w:rPr>
          <w:rFonts w:ascii="Rockwell" w:hAnsi="Rockwell" w:cs="Calibri"/>
          <w:b/>
          <w:bCs/>
          <w:color w:val="44546A" w:themeColor="text2"/>
          <w:sz w:val="28"/>
          <w:szCs w:val="28"/>
        </w:rPr>
      </w:pPr>
      <w:r w:rsidRPr="0018745C">
        <w:rPr>
          <w:rFonts w:ascii="Rockwell" w:hAnsi="Rockwell" w:cs="Calibri"/>
          <w:b/>
          <w:bCs/>
          <w:color w:val="44546A" w:themeColor="text2"/>
          <w:sz w:val="28"/>
          <w:szCs w:val="28"/>
        </w:rPr>
        <w:t>Other Business</w:t>
      </w:r>
    </w:p>
    <w:p w14:paraId="6EA125C2" w14:textId="77777777" w:rsidR="002D7F24" w:rsidRDefault="002D7F24" w:rsidP="000A4BB6">
      <w:pPr>
        <w:spacing w:after="120" w:line="276" w:lineRule="auto"/>
        <w:rPr>
          <w:rFonts w:asciiTheme="minorHAnsi" w:eastAsia="Times New Roman" w:hAnsiTheme="minorHAnsi" w:cstheme="minorHAnsi"/>
          <w:sz w:val="28"/>
          <w:szCs w:val="28"/>
          <w:lang w:val="en-AU" w:eastAsia="en-AU"/>
        </w:rPr>
      </w:pPr>
      <w:r>
        <w:rPr>
          <w:rFonts w:asciiTheme="minorHAnsi" w:eastAsia="Times New Roman" w:hAnsiTheme="minorHAnsi" w:cstheme="minorHAnsi"/>
          <w:sz w:val="28"/>
          <w:szCs w:val="28"/>
          <w:lang w:val="en-AU" w:eastAsia="en-AU"/>
        </w:rPr>
        <w:t>The following items were discussed under Other Business:</w:t>
      </w:r>
    </w:p>
    <w:p w14:paraId="37328148" w14:textId="08A5D999" w:rsidR="002D7F24" w:rsidRPr="005E3FCC" w:rsidRDefault="004C3DCC" w:rsidP="000A4BB6">
      <w:pPr>
        <w:pStyle w:val="ListParagraph0"/>
        <w:numPr>
          <w:ilvl w:val="0"/>
          <w:numId w:val="7"/>
        </w:numPr>
        <w:spacing w:line="276" w:lineRule="auto"/>
        <w:rPr>
          <w:rFonts w:asciiTheme="minorHAnsi" w:hAnsiTheme="minorHAnsi" w:cstheme="minorHAnsi"/>
          <w:sz w:val="28"/>
          <w:szCs w:val="28"/>
        </w:rPr>
      </w:pPr>
      <w:r>
        <w:rPr>
          <w:rFonts w:asciiTheme="minorHAnsi" w:hAnsiTheme="minorHAnsi" w:cstheme="minorHAnsi"/>
          <w:sz w:val="28"/>
          <w:szCs w:val="28"/>
        </w:rPr>
        <w:t>Approval for Medical Procedures</w:t>
      </w:r>
    </w:p>
    <w:p w14:paraId="3275315A" w14:textId="4034CD7B" w:rsidR="00FA7CF9" w:rsidRPr="005E3FCC" w:rsidRDefault="005E4B11" w:rsidP="000A4BB6">
      <w:pPr>
        <w:pStyle w:val="ListParagraph0"/>
        <w:numPr>
          <w:ilvl w:val="0"/>
          <w:numId w:val="7"/>
        </w:numPr>
        <w:spacing w:line="276" w:lineRule="auto"/>
        <w:rPr>
          <w:rFonts w:asciiTheme="minorHAnsi" w:hAnsiTheme="minorHAnsi" w:cstheme="minorHAnsi"/>
          <w:sz w:val="28"/>
          <w:szCs w:val="28"/>
        </w:rPr>
      </w:pPr>
      <w:r>
        <w:rPr>
          <w:rFonts w:asciiTheme="minorHAnsi" w:hAnsiTheme="minorHAnsi" w:cstheme="minorHAnsi"/>
          <w:sz w:val="28"/>
          <w:szCs w:val="28"/>
        </w:rPr>
        <w:t>The ongoing role of the Operational Working Party</w:t>
      </w:r>
    </w:p>
    <w:p w14:paraId="16302167" w14:textId="77777777" w:rsidR="002D7F24" w:rsidRPr="00FD2B3C" w:rsidRDefault="002D7F24" w:rsidP="000A4BB6">
      <w:pPr>
        <w:spacing w:line="276" w:lineRule="auto"/>
        <w:rPr>
          <w:rFonts w:asciiTheme="minorHAnsi" w:hAnsiTheme="minorHAnsi" w:cstheme="minorHAnsi"/>
          <w:sz w:val="28"/>
          <w:szCs w:val="28"/>
        </w:rPr>
      </w:pPr>
    </w:p>
    <w:p w14:paraId="7216EB30" w14:textId="37F01F74" w:rsidR="00445555" w:rsidRDefault="00445555" w:rsidP="000A4BB6">
      <w:pPr>
        <w:pStyle w:val="Body"/>
        <w:spacing w:line="276" w:lineRule="auto"/>
        <w:rPr>
          <w:rFonts w:ascii="Arial" w:hAnsi="Arial" w:cs="Arial"/>
        </w:rPr>
      </w:pPr>
    </w:p>
    <w:sectPr w:rsidR="00445555" w:rsidSect="00D64822">
      <w:headerReference w:type="default" r:id="rId15"/>
      <w:footerReference w:type="default" r:id="rId16"/>
      <w:footerReference w:type="first" r:id="rId17"/>
      <w:pgSz w:w="11907" w:h="16839" w:code="9"/>
      <w:pgMar w:top="2268" w:right="1134" w:bottom="1134" w:left="1701" w:header="25"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6783A" w14:textId="77777777" w:rsidR="008F41D1" w:rsidRDefault="008F41D1" w:rsidP="00445555">
      <w:pPr>
        <w:spacing w:after="0" w:line="240" w:lineRule="auto"/>
      </w:pPr>
      <w:r>
        <w:separator/>
      </w:r>
    </w:p>
  </w:endnote>
  <w:endnote w:type="continuationSeparator" w:id="0">
    <w:p w14:paraId="2FFF717A" w14:textId="77777777" w:rsidR="008F41D1" w:rsidRDefault="008F41D1"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444F71CA" w14:textId="0BE3EA05" w:rsidR="00E95799" w:rsidRPr="001C453A" w:rsidRDefault="00FA7CF9" w:rsidP="00FA7CF9">
        <w:pPr>
          <w:pStyle w:val="Footer"/>
          <w:spacing w:before="240"/>
        </w:pPr>
        <w:r>
          <w:rPr>
            <w:noProof/>
            <w:lang w:val="en-AU" w:eastAsia="en-AU"/>
          </w:rPr>
          <w:drawing>
            <wp:anchor distT="0" distB="0" distL="114300" distR="114300" simplePos="0" relativeHeight="251662336" behindDoc="1" locked="0" layoutInCell="1" allowOverlap="1" wp14:anchorId="4AA2D477" wp14:editId="4D10345C">
              <wp:simplePos x="0" y="0"/>
              <wp:positionH relativeFrom="page">
                <wp:posOffset>-657013</wp:posOffset>
              </wp:positionH>
              <wp:positionV relativeFrom="paragraph">
                <wp:posOffset>-68729</wp:posOffset>
              </wp:positionV>
              <wp:extent cx="8211185" cy="774452"/>
              <wp:effectExtent l="0" t="0" r="0" b="6985"/>
              <wp:wrapNone/>
              <wp:docPr id="746625254" name="Picture 74662525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rsidR="00C55A04">
          <w:fldChar w:fldCharType="begin"/>
        </w:r>
        <w:r w:rsidR="00C55A04">
          <w:instrText xml:space="preserve"> PAGE   \* MERGEFORMAT </w:instrText>
        </w:r>
        <w:r w:rsidR="00C55A04">
          <w:fldChar w:fldCharType="separate"/>
        </w:r>
        <w:r w:rsidR="00815641">
          <w:rPr>
            <w:noProof/>
          </w:rPr>
          <w:t>3</w:t>
        </w:r>
        <w:r w:rsidR="00C55A04">
          <w:rPr>
            <w:noProof/>
          </w:rPr>
          <w:fldChar w:fldCharType="end"/>
        </w:r>
        <w:r w:rsidR="00C55A04">
          <w:rPr>
            <w:noProof/>
          </w:rPr>
          <w:tab/>
        </w:r>
        <w:r w:rsidR="00C55A04">
          <w:rPr>
            <w:noProof/>
          </w:rPr>
          <w:tab/>
        </w:r>
        <w:r w:rsidR="003976E1">
          <w:rPr>
            <w:noProof/>
          </w:rPr>
          <w:t>OWP</w:t>
        </w:r>
        <w:r w:rsidR="00C55A04">
          <w:rPr>
            <w:noProof/>
          </w:rPr>
          <w:t xml:space="preserve"> Communique – </w:t>
        </w:r>
        <w:r w:rsidR="005531DB">
          <w:rPr>
            <w:noProof/>
          </w:rPr>
          <w:t>February</w:t>
        </w:r>
        <w:r>
          <w:rPr>
            <w:noProof/>
          </w:rPr>
          <w:t xml:space="preserve"> </w:t>
        </w:r>
        <w:r w:rsidR="005531DB">
          <w:rPr>
            <w:noProof/>
          </w:rPr>
          <w:t>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94D5" w14:textId="33CE8981" w:rsidR="00FA7CF9" w:rsidRPr="00FA7CF9" w:rsidRDefault="00FA7CF9" w:rsidP="00FA7CF9">
    <w:pPr>
      <w:pStyle w:val="Footer"/>
      <w:spacing w:before="240"/>
      <w:rPr>
        <w:rFonts w:ascii="Georgia" w:hAnsi="Georgia"/>
        <w:b w:val="0"/>
        <w:noProof/>
        <w:color w:val="auto"/>
        <w:sz w:val="20"/>
      </w:rPr>
    </w:pPr>
    <w:r>
      <w:rPr>
        <w:noProof/>
        <w:lang w:val="en-AU" w:eastAsia="en-AU"/>
      </w:rPr>
      <w:drawing>
        <wp:anchor distT="0" distB="0" distL="114300" distR="114300" simplePos="0" relativeHeight="251659264" behindDoc="1" locked="0" layoutInCell="1" allowOverlap="1" wp14:anchorId="1F4C6506" wp14:editId="76209CF9">
          <wp:simplePos x="0" y="0"/>
          <wp:positionH relativeFrom="page">
            <wp:posOffset>-646889</wp:posOffset>
          </wp:positionH>
          <wp:positionV relativeFrom="paragraph">
            <wp:posOffset>-46720</wp:posOffset>
          </wp:positionV>
          <wp:extent cx="8207082" cy="598967"/>
          <wp:effectExtent l="0" t="0" r="3810" b="0"/>
          <wp:wrapNone/>
          <wp:docPr id="59111544" name="Picture 59111544"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99308" cy="605698"/>
                  </a:xfrm>
                  <a:prstGeom prst="rect">
                    <a:avLst/>
                  </a:prstGeom>
                </pic:spPr>
              </pic:pic>
            </a:graphicData>
          </a:graphic>
          <wp14:sizeRelH relativeFrom="page">
            <wp14:pctWidth>0</wp14:pctWidth>
          </wp14:sizeRelH>
          <wp14:sizeRelV relativeFrom="page">
            <wp14:pctHeight>0</wp14:pctHeight>
          </wp14:sizeRelV>
        </wp:anchor>
      </w:drawing>
    </w:r>
    <w:sdt>
      <w:sdtPr>
        <w:id w:val="1887529535"/>
        <w:docPartObj>
          <w:docPartGallery w:val="Page Numbers (Bottom of Page)"/>
          <w:docPartUnique/>
        </w:docPartObj>
      </w:sdtPr>
      <w:sdtEndPr>
        <w:rPr>
          <w:noProof/>
        </w:rPr>
      </w:sdtEndPr>
      <w:sdtContent>
        <w:r>
          <w:rPr>
            <w:noProof/>
            <w:lang w:val="en-AU" w:eastAsia="en-AU"/>
          </w:rPr>
          <w:drawing>
            <wp:anchor distT="0" distB="0" distL="114300" distR="114300" simplePos="0" relativeHeight="251664384" behindDoc="1" locked="0" layoutInCell="1" allowOverlap="1" wp14:anchorId="1A9742BE" wp14:editId="37E84359">
              <wp:simplePos x="0" y="0"/>
              <wp:positionH relativeFrom="page">
                <wp:posOffset>-657013</wp:posOffset>
              </wp:positionH>
              <wp:positionV relativeFrom="paragraph">
                <wp:posOffset>-68729</wp:posOffset>
              </wp:positionV>
              <wp:extent cx="8211185" cy="774452"/>
              <wp:effectExtent l="0" t="0" r="0" b="6985"/>
              <wp:wrapNone/>
              <wp:docPr id="2084547297" name="Picture 2084547297" descr="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sidR="00AA513D">
          <w:rPr>
            <w:noProof/>
          </w:rPr>
          <w:t>OWP</w:t>
        </w:r>
        <w:r>
          <w:rPr>
            <w:noProof/>
          </w:rPr>
          <w:t xml:space="preserve"> Communique – </w:t>
        </w:r>
        <w:r w:rsidR="005531DB">
          <w:rPr>
            <w:noProof/>
          </w:rPr>
          <w:t>February</w:t>
        </w:r>
        <w:r>
          <w:rPr>
            <w:noProof/>
          </w:rPr>
          <w:t xml:space="preserve"> </w:t>
        </w:r>
        <w:r w:rsidR="005531DB">
          <w:rPr>
            <w:noProof/>
          </w:rPr>
          <w:t>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0060" w14:textId="77777777" w:rsidR="008F41D1" w:rsidRDefault="008F41D1" w:rsidP="00445555">
      <w:pPr>
        <w:spacing w:after="0" w:line="240" w:lineRule="auto"/>
      </w:pPr>
      <w:r>
        <w:separator/>
      </w:r>
    </w:p>
  </w:footnote>
  <w:footnote w:type="continuationSeparator" w:id="0">
    <w:p w14:paraId="697FD122" w14:textId="77777777" w:rsidR="008F41D1" w:rsidRDefault="008F41D1"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9285" w14:textId="6139D3F6" w:rsidR="00E95799" w:rsidRDefault="00C55A04">
    <w:pPr>
      <w:pStyle w:val="Header"/>
    </w:pPr>
    <w:r>
      <w:rPr>
        <w:noProof/>
        <w:lang w:val="en-AU" w:eastAsia="en-AU"/>
      </w:rPr>
      <mc:AlternateContent>
        <mc:Choice Requires="wps">
          <w:drawing>
            <wp:anchor distT="0" distB="0" distL="114300" distR="114300" simplePos="0" relativeHeight="251660288" behindDoc="0" locked="0" layoutInCell="1" allowOverlap="1" wp14:anchorId="0E442B1F" wp14:editId="43DC1D04">
              <wp:simplePos x="0" y="0"/>
              <wp:positionH relativeFrom="column">
                <wp:posOffset>-1078853</wp:posOffset>
              </wp:positionH>
              <wp:positionV relativeFrom="paragraph">
                <wp:posOffset>879475</wp:posOffset>
              </wp:positionV>
              <wp:extent cx="7543800" cy="0"/>
              <wp:effectExtent l="0" t="12700" r="12700" b="12700"/>
              <wp:wrapNone/>
              <wp:docPr id="17" name="Straight Connector 17"/>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883DDDE" id="Straight Connector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95pt,69.25pt" to="509.0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" strokecolor="#bfbfbf [2412]"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9C7"/>
    <w:multiLevelType w:val="hybridMultilevel"/>
    <w:tmpl w:val="174C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D1D60"/>
    <w:multiLevelType w:val="hybridMultilevel"/>
    <w:tmpl w:val="4D24DCC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4D3715"/>
    <w:multiLevelType w:val="hybridMultilevel"/>
    <w:tmpl w:val="B1465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71B0D"/>
    <w:multiLevelType w:val="hybridMultilevel"/>
    <w:tmpl w:val="3FF4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178C6"/>
    <w:multiLevelType w:val="hybridMultilevel"/>
    <w:tmpl w:val="4464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E3E3F"/>
    <w:multiLevelType w:val="hybridMultilevel"/>
    <w:tmpl w:val="1C02D782"/>
    <w:lvl w:ilvl="0" w:tplc="36EA41BE">
      <w:start w:val="1"/>
      <w:numFmt w:val="bullet"/>
      <w:lvlText w:val=""/>
      <w:lvlJc w:val="left"/>
      <w:pPr>
        <w:ind w:left="360" w:hanging="360"/>
      </w:pPr>
      <w:rPr>
        <w:rFonts w:ascii="Symbol" w:hAnsi="Symbol" w:hint="default"/>
        <w:color w:val="auto"/>
      </w:rPr>
    </w:lvl>
    <w:lvl w:ilvl="1" w:tplc="201C2C36">
      <w:start w:val="1"/>
      <w:numFmt w:val="bullet"/>
      <w:lvlText w:val="o"/>
      <w:lvlJc w:val="left"/>
      <w:pPr>
        <w:ind w:left="1080" w:hanging="360"/>
      </w:pPr>
      <w:rPr>
        <w:rFonts w:ascii="Courier New" w:hAnsi="Courier New" w:cs="Courier New" w:hint="default"/>
      </w:rPr>
    </w:lvl>
    <w:lvl w:ilvl="2" w:tplc="7F24EADE" w:tentative="1">
      <w:start w:val="1"/>
      <w:numFmt w:val="bullet"/>
      <w:lvlText w:val=""/>
      <w:lvlJc w:val="left"/>
      <w:pPr>
        <w:ind w:left="1800" w:hanging="360"/>
      </w:pPr>
      <w:rPr>
        <w:rFonts w:ascii="Wingdings" w:hAnsi="Wingdings" w:hint="default"/>
      </w:rPr>
    </w:lvl>
    <w:lvl w:ilvl="3" w:tplc="F9863B80" w:tentative="1">
      <w:start w:val="1"/>
      <w:numFmt w:val="bullet"/>
      <w:lvlText w:val=""/>
      <w:lvlJc w:val="left"/>
      <w:pPr>
        <w:ind w:left="2520" w:hanging="360"/>
      </w:pPr>
      <w:rPr>
        <w:rFonts w:ascii="Symbol" w:hAnsi="Symbol" w:hint="default"/>
      </w:rPr>
    </w:lvl>
    <w:lvl w:ilvl="4" w:tplc="26C4A6D8" w:tentative="1">
      <w:start w:val="1"/>
      <w:numFmt w:val="bullet"/>
      <w:lvlText w:val="o"/>
      <w:lvlJc w:val="left"/>
      <w:pPr>
        <w:ind w:left="3240" w:hanging="360"/>
      </w:pPr>
      <w:rPr>
        <w:rFonts w:ascii="Courier New" w:hAnsi="Courier New" w:cs="Courier New" w:hint="default"/>
      </w:rPr>
    </w:lvl>
    <w:lvl w:ilvl="5" w:tplc="4BEC2A2A" w:tentative="1">
      <w:start w:val="1"/>
      <w:numFmt w:val="bullet"/>
      <w:lvlText w:val=""/>
      <w:lvlJc w:val="left"/>
      <w:pPr>
        <w:ind w:left="3960" w:hanging="360"/>
      </w:pPr>
      <w:rPr>
        <w:rFonts w:ascii="Wingdings" w:hAnsi="Wingdings" w:hint="default"/>
      </w:rPr>
    </w:lvl>
    <w:lvl w:ilvl="6" w:tplc="04AEFDF6" w:tentative="1">
      <w:start w:val="1"/>
      <w:numFmt w:val="bullet"/>
      <w:lvlText w:val=""/>
      <w:lvlJc w:val="left"/>
      <w:pPr>
        <w:ind w:left="4680" w:hanging="360"/>
      </w:pPr>
      <w:rPr>
        <w:rFonts w:ascii="Symbol" w:hAnsi="Symbol" w:hint="default"/>
      </w:rPr>
    </w:lvl>
    <w:lvl w:ilvl="7" w:tplc="51C09F2C" w:tentative="1">
      <w:start w:val="1"/>
      <w:numFmt w:val="bullet"/>
      <w:lvlText w:val="o"/>
      <w:lvlJc w:val="left"/>
      <w:pPr>
        <w:ind w:left="5400" w:hanging="360"/>
      </w:pPr>
      <w:rPr>
        <w:rFonts w:ascii="Courier New" w:hAnsi="Courier New" w:cs="Courier New" w:hint="default"/>
      </w:rPr>
    </w:lvl>
    <w:lvl w:ilvl="8" w:tplc="F230CAFA" w:tentative="1">
      <w:start w:val="1"/>
      <w:numFmt w:val="bullet"/>
      <w:lvlText w:val=""/>
      <w:lvlJc w:val="left"/>
      <w:pPr>
        <w:ind w:left="6120" w:hanging="360"/>
      </w:pPr>
      <w:rPr>
        <w:rFonts w:ascii="Wingdings" w:hAnsi="Wingdings" w:hint="default"/>
      </w:rPr>
    </w:lvl>
  </w:abstractNum>
  <w:abstractNum w:abstractNumId="8"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D6079"/>
    <w:multiLevelType w:val="hybridMultilevel"/>
    <w:tmpl w:val="8C64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E25BC5"/>
    <w:multiLevelType w:val="multilevel"/>
    <w:tmpl w:val="A6E087A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65791A"/>
    <w:multiLevelType w:val="hybridMultilevel"/>
    <w:tmpl w:val="9B9A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92A94"/>
    <w:multiLevelType w:val="hybridMultilevel"/>
    <w:tmpl w:val="70E6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3B664C"/>
    <w:multiLevelType w:val="hybridMultilevel"/>
    <w:tmpl w:val="7E78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68157E"/>
    <w:multiLevelType w:val="hybridMultilevel"/>
    <w:tmpl w:val="878EE5D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61EC5E87"/>
    <w:multiLevelType w:val="hybridMultilevel"/>
    <w:tmpl w:val="E1A8A51E"/>
    <w:lvl w:ilvl="0" w:tplc="0F2A3314">
      <w:numFmt w:val="bullet"/>
      <w:lvlText w:val=""/>
      <w:lvlJc w:val="left"/>
      <w:pPr>
        <w:ind w:left="360" w:hanging="360"/>
      </w:pPr>
      <w:rPr>
        <w:rFonts w:ascii="Symbol" w:eastAsia="Times New Roman"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AB33F0"/>
    <w:multiLevelType w:val="hybridMultilevel"/>
    <w:tmpl w:val="7D5EE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39706E"/>
    <w:multiLevelType w:val="multilevel"/>
    <w:tmpl w:val="11C64328"/>
    <w:numStyleLink w:val="ListParagraph"/>
  </w:abstractNum>
  <w:abstractNum w:abstractNumId="18" w15:restartNumberingAfterBreak="0">
    <w:nsid w:val="717C6148"/>
    <w:multiLevelType w:val="hybridMultilevel"/>
    <w:tmpl w:val="9CB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8345CA"/>
    <w:multiLevelType w:val="hybridMultilevel"/>
    <w:tmpl w:val="C30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DE4EF5"/>
    <w:multiLevelType w:val="hybridMultilevel"/>
    <w:tmpl w:val="02B42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77613048">
    <w:abstractNumId w:val="2"/>
  </w:num>
  <w:num w:numId="2" w16cid:durableId="721251777">
    <w:abstractNumId w:val="17"/>
  </w:num>
  <w:num w:numId="3" w16cid:durableId="1349795452">
    <w:abstractNumId w:val="8"/>
  </w:num>
  <w:num w:numId="4" w16cid:durableId="383412567">
    <w:abstractNumId w:val="15"/>
  </w:num>
  <w:num w:numId="5" w16cid:durableId="1684475321">
    <w:abstractNumId w:val="3"/>
  </w:num>
  <w:num w:numId="6" w16cid:durableId="1111902618">
    <w:abstractNumId w:val="10"/>
  </w:num>
  <w:num w:numId="7" w16cid:durableId="1643072285">
    <w:abstractNumId w:val="13"/>
  </w:num>
  <w:num w:numId="8" w16cid:durableId="764957878">
    <w:abstractNumId w:val="4"/>
  </w:num>
  <w:num w:numId="9" w16cid:durableId="965966076">
    <w:abstractNumId w:val="6"/>
  </w:num>
  <w:num w:numId="10" w16cid:durableId="1915427998">
    <w:abstractNumId w:val="0"/>
  </w:num>
  <w:num w:numId="11" w16cid:durableId="1525053560">
    <w:abstractNumId w:val="19"/>
  </w:num>
  <w:num w:numId="12" w16cid:durableId="78528720">
    <w:abstractNumId w:val="20"/>
  </w:num>
  <w:num w:numId="13" w16cid:durableId="2139102558">
    <w:abstractNumId w:val="12"/>
  </w:num>
  <w:num w:numId="14" w16cid:durableId="1562249459">
    <w:abstractNumId w:val="18"/>
  </w:num>
  <w:num w:numId="15" w16cid:durableId="818349720">
    <w:abstractNumId w:val="14"/>
  </w:num>
  <w:num w:numId="16" w16cid:durableId="284044882">
    <w:abstractNumId w:val="1"/>
  </w:num>
  <w:num w:numId="17" w16cid:durableId="128010811">
    <w:abstractNumId w:val="16"/>
  </w:num>
  <w:num w:numId="18" w16cid:durableId="548686596">
    <w:abstractNumId w:val="7"/>
  </w:num>
  <w:num w:numId="19" w16cid:durableId="1946501873">
    <w:abstractNumId w:val="11"/>
  </w:num>
  <w:num w:numId="20" w16cid:durableId="22024483">
    <w:abstractNumId w:val="5"/>
  </w:num>
  <w:num w:numId="21" w16cid:durableId="878125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5"/>
    <w:rsid w:val="0000018E"/>
    <w:rsid w:val="0001143A"/>
    <w:rsid w:val="00012EC9"/>
    <w:rsid w:val="00014269"/>
    <w:rsid w:val="00015E5B"/>
    <w:rsid w:val="00025EE1"/>
    <w:rsid w:val="0004058F"/>
    <w:rsid w:val="0004410B"/>
    <w:rsid w:val="00050264"/>
    <w:rsid w:val="00050585"/>
    <w:rsid w:val="00054E59"/>
    <w:rsid w:val="00056161"/>
    <w:rsid w:val="00064BF0"/>
    <w:rsid w:val="00090F5C"/>
    <w:rsid w:val="00095787"/>
    <w:rsid w:val="000A4602"/>
    <w:rsid w:val="000A4BB6"/>
    <w:rsid w:val="000B4605"/>
    <w:rsid w:val="000C4ABE"/>
    <w:rsid w:val="000C5100"/>
    <w:rsid w:val="000C699D"/>
    <w:rsid w:val="000D1299"/>
    <w:rsid w:val="000E12C3"/>
    <w:rsid w:val="000E47BC"/>
    <w:rsid w:val="000F6E9A"/>
    <w:rsid w:val="001015B2"/>
    <w:rsid w:val="00106AD2"/>
    <w:rsid w:val="00121F78"/>
    <w:rsid w:val="001331CD"/>
    <w:rsid w:val="00135BC9"/>
    <w:rsid w:val="001427C9"/>
    <w:rsid w:val="00153D61"/>
    <w:rsid w:val="0015676B"/>
    <w:rsid w:val="001666F5"/>
    <w:rsid w:val="00180989"/>
    <w:rsid w:val="00182E5A"/>
    <w:rsid w:val="0018745C"/>
    <w:rsid w:val="0019259D"/>
    <w:rsid w:val="00195048"/>
    <w:rsid w:val="001A4157"/>
    <w:rsid w:val="001A6E24"/>
    <w:rsid w:val="001B0736"/>
    <w:rsid w:val="001B07A9"/>
    <w:rsid w:val="001B42FE"/>
    <w:rsid w:val="001B4C8C"/>
    <w:rsid w:val="001B5A84"/>
    <w:rsid w:val="001C4D17"/>
    <w:rsid w:val="001C67F9"/>
    <w:rsid w:val="001D1B15"/>
    <w:rsid w:val="001E0DBD"/>
    <w:rsid w:val="001E55AE"/>
    <w:rsid w:val="002021E0"/>
    <w:rsid w:val="002130CC"/>
    <w:rsid w:val="00216A46"/>
    <w:rsid w:val="00217F6D"/>
    <w:rsid w:val="00224B17"/>
    <w:rsid w:val="00234584"/>
    <w:rsid w:val="00234620"/>
    <w:rsid w:val="00237C07"/>
    <w:rsid w:val="00255ADC"/>
    <w:rsid w:val="00264B25"/>
    <w:rsid w:val="002679AA"/>
    <w:rsid w:val="00270DD3"/>
    <w:rsid w:val="002710BF"/>
    <w:rsid w:val="0027468D"/>
    <w:rsid w:val="0027693C"/>
    <w:rsid w:val="0028054F"/>
    <w:rsid w:val="00280AED"/>
    <w:rsid w:val="0028777F"/>
    <w:rsid w:val="00291D39"/>
    <w:rsid w:val="002978F9"/>
    <w:rsid w:val="002A76B9"/>
    <w:rsid w:val="002B7DD3"/>
    <w:rsid w:val="002C1BE4"/>
    <w:rsid w:val="002C6550"/>
    <w:rsid w:val="002D1200"/>
    <w:rsid w:val="002D2139"/>
    <w:rsid w:val="002D5460"/>
    <w:rsid w:val="002D54D7"/>
    <w:rsid w:val="002D7A4B"/>
    <w:rsid w:val="002D7F24"/>
    <w:rsid w:val="002E0C43"/>
    <w:rsid w:val="002F1DBA"/>
    <w:rsid w:val="003019C6"/>
    <w:rsid w:val="0030426F"/>
    <w:rsid w:val="00323D8B"/>
    <w:rsid w:val="00325CD8"/>
    <w:rsid w:val="00330D3A"/>
    <w:rsid w:val="003454B1"/>
    <w:rsid w:val="003553FD"/>
    <w:rsid w:val="00357185"/>
    <w:rsid w:val="003613FD"/>
    <w:rsid w:val="00370499"/>
    <w:rsid w:val="00376CD1"/>
    <w:rsid w:val="00396125"/>
    <w:rsid w:val="003976E1"/>
    <w:rsid w:val="003A1218"/>
    <w:rsid w:val="003A1F4A"/>
    <w:rsid w:val="003A2C5C"/>
    <w:rsid w:val="003A2E25"/>
    <w:rsid w:val="003A64F3"/>
    <w:rsid w:val="003B0CAA"/>
    <w:rsid w:val="003B2885"/>
    <w:rsid w:val="003B328B"/>
    <w:rsid w:val="003B6F29"/>
    <w:rsid w:val="003C1EC2"/>
    <w:rsid w:val="003F3218"/>
    <w:rsid w:val="003F6CFC"/>
    <w:rsid w:val="003F73D9"/>
    <w:rsid w:val="00400D39"/>
    <w:rsid w:val="00401232"/>
    <w:rsid w:val="00401F18"/>
    <w:rsid w:val="004059D1"/>
    <w:rsid w:val="00415501"/>
    <w:rsid w:val="00415EBB"/>
    <w:rsid w:val="004216A2"/>
    <w:rsid w:val="00421997"/>
    <w:rsid w:val="004304B4"/>
    <w:rsid w:val="0043365A"/>
    <w:rsid w:val="004357B7"/>
    <w:rsid w:val="00440371"/>
    <w:rsid w:val="00445555"/>
    <w:rsid w:val="00467FA4"/>
    <w:rsid w:val="004729CE"/>
    <w:rsid w:val="00476282"/>
    <w:rsid w:val="0048595E"/>
    <w:rsid w:val="004A3A37"/>
    <w:rsid w:val="004B2A05"/>
    <w:rsid w:val="004B5F9F"/>
    <w:rsid w:val="004C1427"/>
    <w:rsid w:val="004C3DCC"/>
    <w:rsid w:val="004E6BFE"/>
    <w:rsid w:val="004F3466"/>
    <w:rsid w:val="00511E3B"/>
    <w:rsid w:val="00520E58"/>
    <w:rsid w:val="00522FC7"/>
    <w:rsid w:val="00525CFD"/>
    <w:rsid w:val="00526241"/>
    <w:rsid w:val="005262EA"/>
    <w:rsid w:val="00535054"/>
    <w:rsid w:val="00541F43"/>
    <w:rsid w:val="005531DB"/>
    <w:rsid w:val="0055408D"/>
    <w:rsid w:val="005543AA"/>
    <w:rsid w:val="00561AD0"/>
    <w:rsid w:val="0056449D"/>
    <w:rsid w:val="00565B25"/>
    <w:rsid w:val="00566486"/>
    <w:rsid w:val="00584FF0"/>
    <w:rsid w:val="00594A2F"/>
    <w:rsid w:val="005A3146"/>
    <w:rsid w:val="005A521F"/>
    <w:rsid w:val="005B009C"/>
    <w:rsid w:val="005B1537"/>
    <w:rsid w:val="005C2A9D"/>
    <w:rsid w:val="005C357C"/>
    <w:rsid w:val="005C4ACC"/>
    <w:rsid w:val="005C5112"/>
    <w:rsid w:val="005D578C"/>
    <w:rsid w:val="005E045B"/>
    <w:rsid w:val="005E1295"/>
    <w:rsid w:val="005E3FCC"/>
    <w:rsid w:val="005E4B11"/>
    <w:rsid w:val="005F5750"/>
    <w:rsid w:val="005F675E"/>
    <w:rsid w:val="00616882"/>
    <w:rsid w:val="006270A8"/>
    <w:rsid w:val="00631A35"/>
    <w:rsid w:val="00631C26"/>
    <w:rsid w:val="00634F28"/>
    <w:rsid w:val="006411C9"/>
    <w:rsid w:val="0065294E"/>
    <w:rsid w:val="00664294"/>
    <w:rsid w:val="00680F8D"/>
    <w:rsid w:val="00683211"/>
    <w:rsid w:val="006B1645"/>
    <w:rsid w:val="006B6D19"/>
    <w:rsid w:val="006C30C7"/>
    <w:rsid w:val="006C5E97"/>
    <w:rsid w:val="006C73B2"/>
    <w:rsid w:val="006D3B9B"/>
    <w:rsid w:val="006E1B30"/>
    <w:rsid w:val="006E7CA7"/>
    <w:rsid w:val="006E7D67"/>
    <w:rsid w:val="006F3350"/>
    <w:rsid w:val="006F5E91"/>
    <w:rsid w:val="006F7305"/>
    <w:rsid w:val="007068F5"/>
    <w:rsid w:val="00711BB8"/>
    <w:rsid w:val="0072315B"/>
    <w:rsid w:val="00736297"/>
    <w:rsid w:val="007542DA"/>
    <w:rsid w:val="00756DDE"/>
    <w:rsid w:val="00763CF1"/>
    <w:rsid w:val="00767B84"/>
    <w:rsid w:val="00776A45"/>
    <w:rsid w:val="00781B59"/>
    <w:rsid w:val="00786BF5"/>
    <w:rsid w:val="007A0C6D"/>
    <w:rsid w:val="007A6203"/>
    <w:rsid w:val="007C0B06"/>
    <w:rsid w:val="007E2F55"/>
    <w:rsid w:val="007E3E9D"/>
    <w:rsid w:val="007E4BE3"/>
    <w:rsid w:val="007E5313"/>
    <w:rsid w:val="0080667E"/>
    <w:rsid w:val="00810F00"/>
    <w:rsid w:val="00811835"/>
    <w:rsid w:val="00812395"/>
    <w:rsid w:val="00814959"/>
    <w:rsid w:val="00815641"/>
    <w:rsid w:val="00820BF7"/>
    <w:rsid w:val="00821CFD"/>
    <w:rsid w:val="00822D30"/>
    <w:rsid w:val="008300A4"/>
    <w:rsid w:val="008360C1"/>
    <w:rsid w:val="00847465"/>
    <w:rsid w:val="00851A39"/>
    <w:rsid w:val="00854675"/>
    <w:rsid w:val="00855A40"/>
    <w:rsid w:val="00865AC4"/>
    <w:rsid w:val="008736C7"/>
    <w:rsid w:val="00873ACF"/>
    <w:rsid w:val="00876525"/>
    <w:rsid w:val="00876D3D"/>
    <w:rsid w:val="0088107E"/>
    <w:rsid w:val="00894C04"/>
    <w:rsid w:val="008A2994"/>
    <w:rsid w:val="008B06E5"/>
    <w:rsid w:val="008B668D"/>
    <w:rsid w:val="008C54FF"/>
    <w:rsid w:val="008C5C8B"/>
    <w:rsid w:val="008D0B42"/>
    <w:rsid w:val="008D42B5"/>
    <w:rsid w:val="008E05C2"/>
    <w:rsid w:val="008E1E28"/>
    <w:rsid w:val="008E7697"/>
    <w:rsid w:val="008F2C96"/>
    <w:rsid w:val="008F41D1"/>
    <w:rsid w:val="008F62CA"/>
    <w:rsid w:val="0090139D"/>
    <w:rsid w:val="009176D9"/>
    <w:rsid w:val="009308DB"/>
    <w:rsid w:val="009408B6"/>
    <w:rsid w:val="0095317B"/>
    <w:rsid w:val="009564AD"/>
    <w:rsid w:val="0097002E"/>
    <w:rsid w:val="009722CF"/>
    <w:rsid w:val="00982130"/>
    <w:rsid w:val="00986B25"/>
    <w:rsid w:val="00990BAC"/>
    <w:rsid w:val="00994762"/>
    <w:rsid w:val="009977D2"/>
    <w:rsid w:val="009A1A96"/>
    <w:rsid w:val="009B0D3B"/>
    <w:rsid w:val="009D5DE4"/>
    <w:rsid w:val="009D68BE"/>
    <w:rsid w:val="009F5815"/>
    <w:rsid w:val="00A0283F"/>
    <w:rsid w:val="00A02D28"/>
    <w:rsid w:val="00A04B64"/>
    <w:rsid w:val="00A11D6F"/>
    <w:rsid w:val="00A13D3E"/>
    <w:rsid w:val="00A145A5"/>
    <w:rsid w:val="00A205E1"/>
    <w:rsid w:val="00A2191D"/>
    <w:rsid w:val="00A23F11"/>
    <w:rsid w:val="00A304F8"/>
    <w:rsid w:val="00A33C0F"/>
    <w:rsid w:val="00A3779C"/>
    <w:rsid w:val="00A40919"/>
    <w:rsid w:val="00A444D2"/>
    <w:rsid w:val="00A46259"/>
    <w:rsid w:val="00A5081C"/>
    <w:rsid w:val="00A540FA"/>
    <w:rsid w:val="00A61E1A"/>
    <w:rsid w:val="00A70767"/>
    <w:rsid w:val="00A716E0"/>
    <w:rsid w:val="00A73F49"/>
    <w:rsid w:val="00A7706F"/>
    <w:rsid w:val="00A82D80"/>
    <w:rsid w:val="00A9066B"/>
    <w:rsid w:val="00AA4A7B"/>
    <w:rsid w:val="00AA513D"/>
    <w:rsid w:val="00AA7C88"/>
    <w:rsid w:val="00AB2A4C"/>
    <w:rsid w:val="00AB35E0"/>
    <w:rsid w:val="00AB49AF"/>
    <w:rsid w:val="00AC6F36"/>
    <w:rsid w:val="00AE1EA2"/>
    <w:rsid w:val="00B0029A"/>
    <w:rsid w:val="00B1091D"/>
    <w:rsid w:val="00B26F53"/>
    <w:rsid w:val="00B41F96"/>
    <w:rsid w:val="00B45144"/>
    <w:rsid w:val="00B468A4"/>
    <w:rsid w:val="00B52E9E"/>
    <w:rsid w:val="00B553BA"/>
    <w:rsid w:val="00B55763"/>
    <w:rsid w:val="00B709DE"/>
    <w:rsid w:val="00B849A6"/>
    <w:rsid w:val="00B849D5"/>
    <w:rsid w:val="00B97579"/>
    <w:rsid w:val="00BA0CE0"/>
    <w:rsid w:val="00BA29EE"/>
    <w:rsid w:val="00BB7747"/>
    <w:rsid w:val="00BD4393"/>
    <w:rsid w:val="00BF5E07"/>
    <w:rsid w:val="00BF6F14"/>
    <w:rsid w:val="00C03A6A"/>
    <w:rsid w:val="00C117EF"/>
    <w:rsid w:val="00C131A2"/>
    <w:rsid w:val="00C2374B"/>
    <w:rsid w:val="00C309A1"/>
    <w:rsid w:val="00C36E4C"/>
    <w:rsid w:val="00C41491"/>
    <w:rsid w:val="00C44557"/>
    <w:rsid w:val="00C4619C"/>
    <w:rsid w:val="00C4752D"/>
    <w:rsid w:val="00C47AD8"/>
    <w:rsid w:val="00C522A8"/>
    <w:rsid w:val="00C53135"/>
    <w:rsid w:val="00C53ADE"/>
    <w:rsid w:val="00C55A04"/>
    <w:rsid w:val="00C6423C"/>
    <w:rsid w:val="00C706AE"/>
    <w:rsid w:val="00C83A46"/>
    <w:rsid w:val="00C84784"/>
    <w:rsid w:val="00C9724F"/>
    <w:rsid w:val="00CA5EB3"/>
    <w:rsid w:val="00CB7CFB"/>
    <w:rsid w:val="00CB7FDA"/>
    <w:rsid w:val="00CC1BF7"/>
    <w:rsid w:val="00CC24D8"/>
    <w:rsid w:val="00CC3636"/>
    <w:rsid w:val="00CE42B5"/>
    <w:rsid w:val="00CE4B83"/>
    <w:rsid w:val="00CE627A"/>
    <w:rsid w:val="00CF0E12"/>
    <w:rsid w:val="00CF4BAC"/>
    <w:rsid w:val="00CF4E96"/>
    <w:rsid w:val="00CF7E68"/>
    <w:rsid w:val="00D03ECE"/>
    <w:rsid w:val="00D061AC"/>
    <w:rsid w:val="00D11B08"/>
    <w:rsid w:val="00D310C3"/>
    <w:rsid w:val="00D33D77"/>
    <w:rsid w:val="00D40AD8"/>
    <w:rsid w:val="00D56778"/>
    <w:rsid w:val="00D64822"/>
    <w:rsid w:val="00D67E6D"/>
    <w:rsid w:val="00D9221A"/>
    <w:rsid w:val="00D9260D"/>
    <w:rsid w:val="00DA2CE6"/>
    <w:rsid w:val="00DA4C92"/>
    <w:rsid w:val="00DB32D3"/>
    <w:rsid w:val="00DB4B63"/>
    <w:rsid w:val="00DC4A9B"/>
    <w:rsid w:val="00DD3A58"/>
    <w:rsid w:val="00DD4B23"/>
    <w:rsid w:val="00DE1ACE"/>
    <w:rsid w:val="00E202E2"/>
    <w:rsid w:val="00E31146"/>
    <w:rsid w:val="00E41291"/>
    <w:rsid w:val="00E42E4B"/>
    <w:rsid w:val="00E46D0E"/>
    <w:rsid w:val="00E55075"/>
    <w:rsid w:val="00E63CAF"/>
    <w:rsid w:val="00E63CC4"/>
    <w:rsid w:val="00E6766E"/>
    <w:rsid w:val="00E73373"/>
    <w:rsid w:val="00E76144"/>
    <w:rsid w:val="00E95799"/>
    <w:rsid w:val="00EC0F73"/>
    <w:rsid w:val="00EC50CF"/>
    <w:rsid w:val="00EC5702"/>
    <w:rsid w:val="00EE4E24"/>
    <w:rsid w:val="00EE5572"/>
    <w:rsid w:val="00EE6909"/>
    <w:rsid w:val="00EF0032"/>
    <w:rsid w:val="00EF4BFC"/>
    <w:rsid w:val="00EF7BD1"/>
    <w:rsid w:val="00F108A0"/>
    <w:rsid w:val="00F229C8"/>
    <w:rsid w:val="00F35382"/>
    <w:rsid w:val="00F37F2B"/>
    <w:rsid w:val="00F42F3D"/>
    <w:rsid w:val="00F43500"/>
    <w:rsid w:val="00F5328A"/>
    <w:rsid w:val="00F57AD4"/>
    <w:rsid w:val="00F6653D"/>
    <w:rsid w:val="00F67A78"/>
    <w:rsid w:val="00F67CC5"/>
    <w:rsid w:val="00F75620"/>
    <w:rsid w:val="00F8347A"/>
    <w:rsid w:val="00F84E2D"/>
    <w:rsid w:val="00F92BB5"/>
    <w:rsid w:val="00FA15C8"/>
    <w:rsid w:val="00FA53E5"/>
    <w:rsid w:val="00FA7CF9"/>
    <w:rsid w:val="00FB32E0"/>
    <w:rsid w:val="00FB4E2F"/>
    <w:rsid w:val="00FC0126"/>
    <w:rsid w:val="00FC4F2A"/>
    <w:rsid w:val="00FD1733"/>
    <w:rsid w:val="00FD72A4"/>
    <w:rsid w:val="00FE1931"/>
    <w:rsid w:val="00FE6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1A4C"/>
  <w15:chartTrackingRefBased/>
  <w15:docId w15:val="{3148D7A6-23F1-4942-B5B6-4FB5930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aliases w:val="AR bullet 1,Bullet 1,Bullet Number,Bullet list,FooterText,Highlight Bold,L,List Paragraph1,List Paragraph11,NFP GP Bulleted List,Normal Numbered,Num Bullet 1,Num List Paragraph,Number Paragraph,Recommendation,Use Case List Paragraph,lp1,列"/>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aliases w:val="AR bullet 1 Char,Bullet 1 Char,Bullet Number Char,Bullet list Char,FooterText Char,Highlight Bold Char,L Char,List Paragraph1 Char,List Paragraph11 Char,NFP GP Bulleted List Char,Normal Numbered Char,Num Bullet 1 Char,lp1 Char,列 Char"/>
    <w:basedOn w:val="DefaultParagraphFont"/>
    <w:link w:val="ListParagraph0"/>
    <w:uiPriority w:val="34"/>
    <w:qFormat/>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unhideWhenUsed/>
    <w:rsid w:val="00182E5A"/>
    <w:pPr>
      <w:spacing w:line="240" w:lineRule="auto"/>
    </w:pPr>
  </w:style>
  <w:style w:type="character" w:customStyle="1" w:styleId="CommentTextChar">
    <w:name w:val="Comment Text Char"/>
    <w:basedOn w:val="DefaultParagraphFont"/>
    <w:link w:val="CommentText"/>
    <w:uiPriority w:val="99"/>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 w:type="character" w:styleId="Emphasis">
    <w:name w:val="Emphasis"/>
    <w:basedOn w:val="DefaultParagraphFont"/>
    <w:uiPriority w:val="20"/>
    <w:qFormat/>
    <w:rsid w:val="00A5081C"/>
    <w:rPr>
      <w:i/>
      <w:iCs/>
    </w:rPr>
  </w:style>
  <w:style w:type="paragraph" w:styleId="Revision">
    <w:name w:val="Revision"/>
    <w:hidden/>
    <w:uiPriority w:val="99"/>
    <w:semiHidden/>
    <w:rsid w:val="009A1A96"/>
    <w:pPr>
      <w:spacing w:after="0" w:line="240" w:lineRule="auto"/>
    </w:pPr>
    <w:rPr>
      <w:rFonts w:ascii="Georgia" w:hAnsi="Georgia"/>
      <w:sz w:val="20"/>
      <w:szCs w:val="20"/>
      <w:lang w:val="en-US"/>
    </w:rPr>
  </w:style>
  <w:style w:type="character" w:styleId="Hyperlink">
    <w:name w:val="Hyperlink"/>
    <w:basedOn w:val="DefaultParagraphFont"/>
    <w:uiPriority w:val="99"/>
    <w:unhideWhenUsed/>
    <w:rsid w:val="00EF7BD1"/>
    <w:rPr>
      <w:color w:val="0563C1" w:themeColor="hyperlink"/>
      <w:u w:val="single"/>
    </w:rPr>
  </w:style>
  <w:style w:type="paragraph" w:styleId="ListBullet4">
    <w:name w:val="List Bullet 4"/>
    <w:basedOn w:val="ListBullet"/>
    <w:uiPriority w:val="20"/>
    <w:rsid w:val="00A145A5"/>
    <w:pPr>
      <w:numPr>
        <w:ilvl w:val="3"/>
      </w:numPr>
    </w:pPr>
  </w:style>
  <w:style w:type="paragraph" w:styleId="ListBullet">
    <w:name w:val="List Bullet"/>
    <w:basedOn w:val="Normal"/>
    <w:next w:val="ListBullet2"/>
    <w:uiPriority w:val="20"/>
    <w:qFormat/>
    <w:rsid w:val="00A145A5"/>
    <w:pPr>
      <w:numPr>
        <w:numId w:val="5"/>
      </w:numPr>
      <w:spacing w:after="60" w:line="264" w:lineRule="auto"/>
    </w:pPr>
    <w:rPr>
      <w:rFonts w:ascii="Calibri" w:hAnsi="Calibri"/>
      <w:sz w:val="22"/>
      <w:szCs w:val="22"/>
      <w:lang w:val="en-AU"/>
    </w:rPr>
  </w:style>
  <w:style w:type="paragraph" w:styleId="ListBullet2">
    <w:name w:val="List Bullet 2"/>
    <w:basedOn w:val="Normal"/>
    <w:uiPriority w:val="99"/>
    <w:semiHidden/>
    <w:unhideWhenUsed/>
    <w:rsid w:val="00A145A5"/>
    <w:pPr>
      <w:numPr>
        <w:numId w:val="6"/>
      </w:numPr>
      <w:contextualSpacing/>
    </w:pPr>
  </w:style>
  <w:style w:type="character" w:styleId="UnresolvedMention">
    <w:name w:val="Unresolved Mention"/>
    <w:basedOn w:val="DefaultParagraphFont"/>
    <w:uiPriority w:val="99"/>
    <w:semiHidden/>
    <w:unhideWhenUsed/>
    <w:rsid w:val="00CF7E68"/>
    <w:rPr>
      <w:color w:val="605E5C"/>
      <w:shd w:val="clear" w:color="auto" w:fill="E1DFDD"/>
    </w:rPr>
  </w:style>
  <w:style w:type="character" w:styleId="FollowedHyperlink">
    <w:name w:val="FollowedHyperlink"/>
    <w:basedOn w:val="DefaultParagraphFont"/>
    <w:uiPriority w:val="99"/>
    <w:semiHidden/>
    <w:unhideWhenUsed/>
    <w:rsid w:val="00CF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58753">
      <w:bodyDiv w:val="1"/>
      <w:marLeft w:val="0"/>
      <w:marRight w:val="0"/>
      <w:marTop w:val="0"/>
      <w:marBottom w:val="0"/>
      <w:divBdr>
        <w:top w:val="none" w:sz="0" w:space="0" w:color="auto"/>
        <w:left w:val="none" w:sz="0" w:space="0" w:color="auto"/>
        <w:bottom w:val="none" w:sz="0" w:space="0" w:color="auto"/>
        <w:right w:val="none" w:sz="0" w:space="0" w:color="auto"/>
      </w:divBdr>
    </w:div>
    <w:div w:id="83499969">
      <w:bodyDiv w:val="1"/>
      <w:marLeft w:val="0"/>
      <w:marRight w:val="0"/>
      <w:marTop w:val="0"/>
      <w:marBottom w:val="0"/>
      <w:divBdr>
        <w:top w:val="none" w:sz="0" w:space="0" w:color="auto"/>
        <w:left w:val="none" w:sz="0" w:space="0" w:color="auto"/>
        <w:bottom w:val="none" w:sz="0" w:space="0" w:color="auto"/>
        <w:right w:val="none" w:sz="0" w:space="0" w:color="auto"/>
      </w:divBdr>
    </w:div>
    <w:div w:id="209610786">
      <w:bodyDiv w:val="1"/>
      <w:marLeft w:val="0"/>
      <w:marRight w:val="0"/>
      <w:marTop w:val="0"/>
      <w:marBottom w:val="0"/>
      <w:divBdr>
        <w:top w:val="none" w:sz="0" w:space="0" w:color="auto"/>
        <w:left w:val="none" w:sz="0" w:space="0" w:color="auto"/>
        <w:bottom w:val="none" w:sz="0" w:space="0" w:color="auto"/>
        <w:right w:val="none" w:sz="0" w:space="0" w:color="auto"/>
      </w:divBdr>
    </w:div>
    <w:div w:id="790974361">
      <w:bodyDiv w:val="1"/>
      <w:marLeft w:val="0"/>
      <w:marRight w:val="0"/>
      <w:marTop w:val="0"/>
      <w:marBottom w:val="0"/>
      <w:divBdr>
        <w:top w:val="none" w:sz="0" w:space="0" w:color="auto"/>
        <w:left w:val="none" w:sz="0" w:space="0" w:color="auto"/>
        <w:bottom w:val="none" w:sz="0" w:space="0" w:color="auto"/>
        <w:right w:val="none" w:sz="0" w:space="0" w:color="auto"/>
      </w:divBdr>
    </w:div>
    <w:div w:id="1055589690">
      <w:bodyDiv w:val="1"/>
      <w:marLeft w:val="0"/>
      <w:marRight w:val="0"/>
      <w:marTop w:val="0"/>
      <w:marBottom w:val="0"/>
      <w:divBdr>
        <w:top w:val="none" w:sz="0" w:space="0" w:color="auto"/>
        <w:left w:val="none" w:sz="0" w:space="0" w:color="auto"/>
        <w:bottom w:val="none" w:sz="0" w:space="0" w:color="auto"/>
        <w:right w:val="none" w:sz="0" w:space="0" w:color="auto"/>
      </w:divBdr>
    </w:div>
    <w:div w:id="1317606607">
      <w:bodyDiv w:val="1"/>
      <w:marLeft w:val="0"/>
      <w:marRight w:val="0"/>
      <w:marTop w:val="0"/>
      <w:marBottom w:val="0"/>
      <w:divBdr>
        <w:top w:val="none" w:sz="0" w:space="0" w:color="auto"/>
        <w:left w:val="none" w:sz="0" w:space="0" w:color="auto"/>
        <w:bottom w:val="none" w:sz="0" w:space="0" w:color="auto"/>
        <w:right w:val="none" w:sz="0" w:space="0" w:color="auto"/>
      </w:divBdr>
    </w:div>
    <w:div w:id="1384133875">
      <w:bodyDiv w:val="1"/>
      <w:marLeft w:val="0"/>
      <w:marRight w:val="0"/>
      <w:marTop w:val="0"/>
      <w:marBottom w:val="0"/>
      <w:divBdr>
        <w:top w:val="none" w:sz="0" w:space="0" w:color="auto"/>
        <w:left w:val="none" w:sz="0" w:space="0" w:color="auto"/>
        <w:bottom w:val="none" w:sz="0" w:space="0" w:color="auto"/>
        <w:right w:val="none" w:sz="0" w:space="0" w:color="auto"/>
      </w:divBdr>
      <w:divsChild>
        <w:div w:id="1421099895">
          <w:marLeft w:val="1267"/>
          <w:marRight w:val="0"/>
          <w:marTop w:val="0"/>
          <w:marBottom w:val="360"/>
          <w:divBdr>
            <w:top w:val="none" w:sz="0" w:space="0" w:color="auto"/>
            <w:left w:val="none" w:sz="0" w:space="0" w:color="auto"/>
            <w:bottom w:val="none" w:sz="0" w:space="0" w:color="auto"/>
            <w:right w:val="none" w:sz="0" w:space="0" w:color="auto"/>
          </w:divBdr>
        </w:div>
      </w:divsChild>
    </w:div>
    <w:div w:id="1504783725">
      <w:bodyDiv w:val="1"/>
      <w:marLeft w:val="0"/>
      <w:marRight w:val="0"/>
      <w:marTop w:val="0"/>
      <w:marBottom w:val="0"/>
      <w:divBdr>
        <w:top w:val="none" w:sz="0" w:space="0" w:color="auto"/>
        <w:left w:val="none" w:sz="0" w:space="0" w:color="auto"/>
        <w:bottom w:val="none" w:sz="0" w:space="0" w:color="auto"/>
        <w:right w:val="none" w:sz="0" w:space="0" w:color="auto"/>
      </w:divBdr>
      <w:divsChild>
        <w:div w:id="966619629">
          <w:marLeft w:val="1267"/>
          <w:marRight w:val="0"/>
          <w:marTop w:val="0"/>
          <w:marBottom w:val="360"/>
          <w:divBdr>
            <w:top w:val="none" w:sz="0" w:space="0" w:color="auto"/>
            <w:left w:val="none" w:sz="0" w:space="0" w:color="auto"/>
            <w:bottom w:val="none" w:sz="0" w:space="0" w:color="auto"/>
            <w:right w:val="none" w:sz="0" w:space="0" w:color="auto"/>
          </w:divBdr>
        </w:div>
        <w:div w:id="140464075">
          <w:marLeft w:val="1267"/>
          <w:marRight w:val="0"/>
          <w:marTop w:val="0"/>
          <w:marBottom w:val="360"/>
          <w:divBdr>
            <w:top w:val="none" w:sz="0" w:space="0" w:color="auto"/>
            <w:left w:val="none" w:sz="0" w:space="0" w:color="auto"/>
            <w:bottom w:val="none" w:sz="0" w:space="0" w:color="auto"/>
            <w:right w:val="none" w:sz="0" w:space="0" w:color="auto"/>
          </w:divBdr>
        </w:div>
        <w:div w:id="337268804">
          <w:marLeft w:val="1987"/>
          <w:marRight w:val="0"/>
          <w:marTop w:val="0"/>
          <w:marBottom w:val="360"/>
          <w:divBdr>
            <w:top w:val="none" w:sz="0" w:space="0" w:color="auto"/>
            <w:left w:val="none" w:sz="0" w:space="0" w:color="auto"/>
            <w:bottom w:val="none" w:sz="0" w:space="0" w:color="auto"/>
            <w:right w:val="none" w:sz="0" w:space="0" w:color="auto"/>
          </w:divBdr>
        </w:div>
        <w:div w:id="124587658">
          <w:marLeft w:val="1987"/>
          <w:marRight w:val="0"/>
          <w:marTop w:val="0"/>
          <w:marBottom w:val="360"/>
          <w:divBdr>
            <w:top w:val="none" w:sz="0" w:space="0" w:color="auto"/>
            <w:left w:val="none" w:sz="0" w:space="0" w:color="auto"/>
            <w:bottom w:val="none" w:sz="0" w:space="0" w:color="auto"/>
            <w:right w:val="none" w:sz="0" w:space="0" w:color="auto"/>
          </w:divBdr>
        </w:div>
        <w:div w:id="111630470">
          <w:marLeft w:val="1987"/>
          <w:marRight w:val="0"/>
          <w:marTop w:val="0"/>
          <w:marBottom w:val="360"/>
          <w:divBdr>
            <w:top w:val="none" w:sz="0" w:space="0" w:color="auto"/>
            <w:left w:val="none" w:sz="0" w:space="0" w:color="auto"/>
            <w:bottom w:val="none" w:sz="0" w:space="0" w:color="auto"/>
            <w:right w:val="none" w:sz="0" w:space="0" w:color="auto"/>
          </w:divBdr>
        </w:div>
        <w:div w:id="986281483">
          <w:marLeft w:val="1987"/>
          <w:marRight w:val="0"/>
          <w:marTop w:val="0"/>
          <w:marBottom w:val="360"/>
          <w:divBdr>
            <w:top w:val="none" w:sz="0" w:space="0" w:color="auto"/>
            <w:left w:val="none" w:sz="0" w:space="0" w:color="auto"/>
            <w:bottom w:val="none" w:sz="0" w:space="0" w:color="auto"/>
            <w:right w:val="none" w:sz="0" w:space="0" w:color="auto"/>
          </w:divBdr>
        </w:div>
        <w:div w:id="11155344">
          <w:marLeft w:val="1267"/>
          <w:marRight w:val="0"/>
          <w:marTop w:val="0"/>
          <w:marBottom w:val="360"/>
          <w:divBdr>
            <w:top w:val="none" w:sz="0" w:space="0" w:color="auto"/>
            <w:left w:val="none" w:sz="0" w:space="0" w:color="auto"/>
            <w:bottom w:val="none" w:sz="0" w:space="0" w:color="auto"/>
            <w:right w:val="none" w:sz="0" w:space="0" w:color="auto"/>
          </w:divBdr>
        </w:div>
        <w:div w:id="1794857686">
          <w:marLeft w:val="1267"/>
          <w:marRight w:val="0"/>
          <w:marTop w:val="0"/>
          <w:marBottom w:val="360"/>
          <w:divBdr>
            <w:top w:val="none" w:sz="0" w:space="0" w:color="auto"/>
            <w:left w:val="none" w:sz="0" w:space="0" w:color="auto"/>
            <w:bottom w:val="none" w:sz="0" w:space="0" w:color="auto"/>
            <w:right w:val="none" w:sz="0" w:space="0" w:color="auto"/>
          </w:divBdr>
        </w:div>
      </w:divsChild>
    </w:div>
    <w:div w:id="1598639306">
      <w:bodyDiv w:val="1"/>
      <w:marLeft w:val="0"/>
      <w:marRight w:val="0"/>
      <w:marTop w:val="0"/>
      <w:marBottom w:val="0"/>
      <w:divBdr>
        <w:top w:val="none" w:sz="0" w:space="0" w:color="auto"/>
        <w:left w:val="none" w:sz="0" w:space="0" w:color="auto"/>
        <w:bottom w:val="none" w:sz="0" w:space="0" w:color="auto"/>
        <w:right w:val="none" w:sz="0" w:space="0" w:color="auto"/>
      </w:divBdr>
    </w:div>
    <w:div w:id="1646204827">
      <w:bodyDiv w:val="1"/>
      <w:marLeft w:val="0"/>
      <w:marRight w:val="0"/>
      <w:marTop w:val="0"/>
      <w:marBottom w:val="0"/>
      <w:divBdr>
        <w:top w:val="none" w:sz="0" w:space="0" w:color="auto"/>
        <w:left w:val="none" w:sz="0" w:space="0" w:color="auto"/>
        <w:bottom w:val="none" w:sz="0" w:space="0" w:color="auto"/>
        <w:right w:val="none" w:sz="0" w:space="0" w:color="auto"/>
      </w:divBdr>
    </w:div>
    <w:div w:id="1848666265">
      <w:bodyDiv w:val="1"/>
      <w:marLeft w:val="0"/>
      <w:marRight w:val="0"/>
      <w:marTop w:val="0"/>
      <w:marBottom w:val="0"/>
      <w:divBdr>
        <w:top w:val="none" w:sz="0" w:space="0" w:color="auto"/>
        <w:left w:val="none" w:sz="0" w:space="0" w:color="auto"/>
        <w:bottom w:val="none" w:sz="0" w:space="0" w:color="auto"/>
        <w:right w:val="none" w:sz="0" w:space="0" w:color="auto"/>
      </w:divBdr>
    </w:div>
    <w:div w:id="1981768973">
      <w:bodyDiv w:val="1"/>
      <w:marLeft w:val="0"/>
      <w:marRight w:val="0"/>
      <w:marTop w:val="0"/>
      <w:marBottom w:val="0"/>
      <w:divBdr>
        <w:top w:val="none" w:sz="0" w:space="0" w:color="auto"/>
        <w:left w:val="none" w:sz="0" w:space="0" w:color="auto"/>
        <w:bottom w:val="none" w:sz="0" w:space="0" w:color="auto"/>
        <w:right w:val="none" w:sz="0" w:space="0" w:color="auto"/>
      </w:divBdr>
    </w:div>
    <w:div w:id="20302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va.gov.au/VW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va.gov.au/claim-proces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a.gov.au/STS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8" ma:contentTypeDescription="Create a new document." ma:contentTypeScope="" ma:versionID="a3b0d06ab51f0989fbf1252ed2f988c9">
  <xsd:schema xmlns:xsd="http://www.w3.org/2001/XMLSchema" xmlns:xs="http://www.w3.org/2001/XMLSchema" xmlns:p="http://schemas.microsoft.com/office/2006/metadata/properties" xmlns:ns3="15cc9570-0896-4ef5-85c7-b6e3ccbfa190" xmlns:ns4="e699a0c9-f1d3-4311-a74f-bf442b018b3f" targetNamespace="http://schemas.microsoft.com/office/2006/metadata/properties" ma:root="true" ma:fieldsID="5fcc49f46ba7655778f74a6451f91023" ns3:_="" ns4:_="">
    <xsd:import namespace="15cc9570-0896-4ef5-85c7-b6e3ccbfa190"/>
    <xsd:import namespace="e699a0c9-f1d3-4311-a74f-bf442b018b3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99a0c9-f1d3-4311-a74f-bf442b018b3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Props1.xml><?xml version="1.0" encoding="utf-8"?>
<ds:datastoreItem xmlns:ds="http://schemas.openxmlformats.org/officeDocument/2006/customXml" ds:itemID="{38920B46-E3D6-4362-B313-A16D869C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e699a0c9-f1d3-4311-a74f-bf442b01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25640-4082-442B-A48F-21430F32DFAE}">
  <ds:schemaRefs>
    <ds:schemaRef ds:uri="http://schemas.openxmlformats.org/officeDocument/2006/bibliography"/>
  </ds:schemaRefs>
</ds:datastoreItem>
</file>

<file path=customXml/itemProps3.xml><?xml version="1.0" encoding="utf-8"?>
<ds:datastoreItem xmlns:ds="http://schemas.openxmlformats.org/officeDocument/2006/customXml" ds:itemID="{98664C1F-83E3-4300-819F-D1824D9A4DB3}">
  <ds:schemaRefs>
    <ds:schemaRef ds:uri="http://schemas.microsoft.com/sharepoint/v3/contenttype/forms"/>
  </ds:schemaRefs>
</ds:datastoreItem>
</file>

<file path=customXml/itemProps4.xml><?xml version="1.0" encoding="utf-8"?>
<ds:datastoreItem xmlns:ds="http://schemas.openxmlformats.org/officeDocument/2006/customXml" ds:itemID="{D73C2096-BA37-4CB2-9F62-86AA085473BF}">
  <ds:schemaRefs>
    <ds:schemaRef ds:uri="http://schemas.microsoft.com/office/2006/metadata/properties"/>
    <ds:schemaRef ds:uri="http://schemas.microsoft.com/office/infopath/2007/PartnerControls"/>
    <ds:schemaRef ds:uri="15cc9570-0896-4ef5-85c7-b6e3ccbfa1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6371</Characters>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Working Party Meeting - 21 February 2025</dc:title>
  <dc:subject/>
  <dc:creator>Department of Veterans' Affairs</dc:creator>
  <cp:keywords/>
  <dc:description/>
  <cp:lastPrinted>2024-12-02T23:04:00Z</cp:lastPrinted>
  <dcterms:created xsi:type="dcterms:W3CDTF">2025-03-04T21:04:00Z</dcterms:created>
  <dcterms:modified xsi:type="dcterms:W3CDTF">2025-03-04T21:04:00Z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