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ACD9" w14:textId="77777777" w:rsidR="00072413" w:rsidRDefault="00072413">
      <w:pPr>
        <w:ind w:right="300"/>
        <w:rPr>
          <w:rFonts w:ascii="Calibri" w:hAnsi="Calibri"/>
          <w:color w:val="auto"/>
          <w:sz w:val="20"/>
          <w:szCs w:val="20"/>
        </w:rPr>
      </w:pPr>
      <w:r>
        <w:rPr>
          <w:noProof/>
        </w:rPr>
        <w:pict w14:anchorId="4C4BEF92">
          <v:shapetype id="_x0000_t202" coordsize="21600,21600" o:spt="202" path="m,l,21600r21600,l21600,xe">
            <v:stroke joinstyle="miter"/>
            <v:path gradientshapeok="t" o:connecttype="rect"/>
          </v:shapetype>
          <v:shape id="_x0000_s1026" type="#_x0000_t202" style="position:absolute;margin-left:-9pt;margin-top:-115pt;width:159.75pt;height:805.85pt;z-index:-251658752" o:allowincell="f" fillcolor="gray" stroked="f">
            <v:fill opacity=".25"/>
            <v:textbox style="mso-next-textbox:#_x0000_s1026">
              <w:txbxContent>
                <w:p w14:paraId="60421382" w14:textId="77777777" w:rsidR="00AB0641" w:rsidRDefault="00AB0641" w:rsidP="009F7B68">
                  <w:pPr>
                    <w:spacing w:before="60" w:after="60"/>
                    <w:rPr>
                      <w:rFonts w:ascii="Calibri" w:hAnsi="Calibri" w:cs="Courier New"/>
                      <w:bCs/>
                      <w:color w:val="auto"/>
                      <w:sz w:val="19"/>
                      <w:szCs w:val="19"/>
                    </w:rPr>
                  </w:pPr>
                  <w:r>
                    <w:rPr>
                      <w:rFonts w:ascii="Calibri" w:hAnsi="Calibri" w:cs="Courier New"/>
                      <w:b/>
                      <w:color w:val="auto"/>
                      <w:sz w:val="20"/>
                      <w:szCs w:val="20"/>
                    </w:rPr>
                    <w:t>Aim</w:t>
                  </w:r>
                </w:p>
                <w:p w14:paraId="61F346A1" w14:textId="77777777" w:rsidR="00303A49" w:rsidRPr="007A27DF" w:rsidRDefault="00740E4D" w:rsidP="008A6EFA">
                  <w:pPr>
                    <w:spacing w:after="120"/>
                    <w:rPr>
                      <w:rFonts w:ascii="Calibri" w:hAnsi="Calibri" w:cs="Courier New"/>
                      <w:bCs/>
                      <w:color w:val="FF0000"/>
                      <w:sz w:val="19"/>
                      <w:szCs w:val="19"/>
                    </w:rPr>
                  </w:pPr>
                  <w:r w:rsidRPr="007A27DF">
                    <w:rPr>
                      <w:rFonts w:ascii="Calibri" w:hAnsi="Calibri" w:cs="Courier New"/>
                      <w:bCs/>
                      <w:color w:val="auto"/>
                      <w:sz w:val="19"/>
                      <w:szCs w:val="19"/>
                    </w:rPr>
                    <w:t xml:space="preserve">To highlight vocational rehabilitation pathways that might lead to improved outcomes for DVA clients, and </w:t>
                  </w:r>
                  <w:r w:rsidR="00E64D96" w:rsidRPr="007A27DF">
                    <w:rPr>
                      <w:rFonts w:ascii="Calibri" w:hAnsi="Calibri" w:cs="Courier New"/>
                      <w:bCs/>
                      <w:color w:val="auto"/>
                      <w:sz w:val="19"/>
                      <w:szCs w:val="19"/>
                    </w:rPr>
                    <w:t>to provide</w:t>
                  </w:r>
                  <w:r w:rsidRPr="007A27DF">
                    <w:rPr>
                      <w:rFonts w:ascii="Calibri" w:hAnsi="Calibri" w:cs="Courier New"/>
                      <w:bCs/>
                      <w:color w:val="auto"/>
                      <w:sz w:val="19"/>
                      <w:szCs w:val="19"/>
                    </w:rPr>
                    <w:t xml:space="preserve"> insights about the effect of education options.</w:t>
                  </w:r>
                </w:p>
                <w:p w14:paraId="4CE9779D" w14:textId="77777777" w:rsidR="009F7B68" w:rsidRDefault="009F7B68" w:rsidP="009F7B68">
                  <w:pPr>
                    <w:spacing w:before="60" w:after="60"/>
                    <w:rPr>
                      <w:rFonts w:ascii="Calibri" w:hAnsi="Calibri" w:cs="Courier New"/>
                      <w:bCs/>
                      <w:color w:val="auto"/>
                      <w:sz w:val="19"/>
                      <w:szCs w:val="19"/>
                    </w:rPr>
                  </w:pPr>
                  <w:r>
                    <w:rPr>
                      <w:rFonts w:ascii="Calibri" w:hAnsi="Calibri" w:cs="Courier New"/>
                      <w:b/>
                      <w:color w:val="auto"/>
                      <w:sz w:val="20"/>
                      <w:szCs w:val="20"/>
                    </w:rPr>
                    <w:t>Method</w:t>
                  </w:r>
                  <w:r w:rsidR="00AB0641" w:rsidRPr="007A27DF">
                    <w:rPr>
                      <w:rFonts w:ascii="Calibri" w:hAnsi="Calibri" w:cs="Courier New"/>
                      <w:bCs/>
                      <w:color w:val="auto"/>
                      <w:sz w:val="19"/>
                      <w:szCs w:val="19"/>
                    </w:rPr>
                    <w:t xml:space="preserve"> </w:t>
                  </w:r>
                </w:p>
                <w:p w14:paraId="339E95CE" w14:textId="77777777" w:rsidR="005162A1" w:rsidRPr="007A27DF" w:rsidRDefault="00740E4D" w:rsidP="008A6EFA">
                  <w:pPr>
                    <w:spacing w:after="120"/>
                    <w:rPr>
                      <w:rFonts w:ascii="Calibri" w:hAnsi="Calibri" w:cs="Courier New"/>
                      <w:bCs/>
                      <w:color w:val="FF0000"/>
                      <w:sz w:val="19"/>
                      <w:szCs w:val="19"/>
                    </w:rPr>
                  </w:pPr>
                  <w:r w:rsidRPr="007A27DF">
                    <w:rPr>
                      <w:rFonts w:ascii="Calibri" w:hAnsi="Calibri" w:cs="Courier New"/>
                      <w:bCs/>
                      <w:color w:val="auto"/>
                      <w:sz w:val="19"/>
                      <w:szCs w:val="19"/>
                    </w:rPr>
                    <w:t>Statistical modelling based on recent historical national labour market surveys.</w:t>
                  </w:r>
                </w:p>
                <w:p w14:paraId="65E5DC85" w14:textId="77777777" w:rsidR="004E14D0" w:rsidRPr="00C63D00" w:rsidRDefault="004E14D0" w:rsidP="009F7B68">
                  <w:pPr>
                    <w:spacing w:before="60" w:after="60"/>
                    <w:rPr>
                      <w:rFonts w:ascii="Calibri" w:hAnsi="Calibri" w:cs="Courier New"/>
                      <w:color w:val="auto"/>
                      <w:sz w:val="20"/>
                      <w:szCs w:val="20"/>
                    </w:rPr>
                  </w:pPr>
                  <w:r>
                    <w:rPr>
                      <w:rFonts w:ascii="Calibri" w:hAnsi="Calibri" w:cs="Courier New"/>
                      <w:b/>
                      <w:color w:val="auto"/>
                      <w:sz w:val="20"/>
                      <w:szCs w:val="20"/>
                    </w:rPr>
                    <w:t>Research organisation</w:t>
                  </w:r>
                </w:p>
                <w:p w14:paraId="3E49CE9B" w14:textId="77777777" w:rsidR="00072413" w:rsidRPr="00BC6992" w:rsidRDefault="00BC6992" w:rsidP="008A6EFA">
                  <w:pPr>
                    <w:spacing w:after="120"/>
                    <w:rPr>
                      <w:rFonts w:ascii="Calibri" w:hAnsi="Calibri"/>
                      <w:color w:val="auto"/>
                      <w:sz w:val="19"/>
                      <w:szCs w:val="19"/>
                    </w:rPr>
                  </w:pPr>
                  <w:r>
                    <w:rPr>
                      <w:rFonts w:ascii="Calibri" w:hAnsi="Calibri"/>
                      <w:color w:val="auto"/>
                      <w:sz w:val="19"/>
                      <w:szCs w:val="19"/>
                    </w:rPr>
                    <w:t xml:space="preserve">National Institute of Labour </w:t>
                  </w:r>
                  <w:r w:rsidRPr="00BC6992">
                    <w:rPr>
                      <w:rFonts w:ascii="Calibri" w:hAnsi="Calibri"/>
                      <w:color w:val="auto"/>
                      <w:sz w:val="19"/>
                      <w:szCs w:val="19"/>
                    </w:rPr>
                    <w:t>Studies</w:t>
                  </w:r>
                  <w:r w:rsidR="005D7892">
                    <w:rPr>
                      <w:rFonts w:ascii="Calibri" w:hAnsi="Calibri"/>
                      <w:color w:val="auto"/>
                      <w:sz w:val="19"/>
                      <w:szCs w:val="19"/>
                    </w:rPr>
                    <w:t xml:space="preserve">, </w:t>
                  </w:r>
                  <w:r>
                    <w:rPr>
                      <w:rFonts w:ascii="Calibri" w:hAnsi="Calibri"/>
                      <w:color w:val="auto"/>
                      <w:sz w:val="19"/>
                      <w:szCs w:val="19"/>
                    </w:rPr>
                    <w:t>Flinders University</w:t>
                  </w:r>
                </w:p>
                <w:p w14:paraId="3087E68D" w14:textId="77777777" w:rsidR="00CD42A2" w:rsidRDefault="00072413" w:rsidP="00AB0641">
                  <w:pPr>
                    <w:spacing w:before="60" w:after="60"/>
                    <w:rPr>
                      <w:rFonts w:ascii="Calibri" w:hAnsi="Calibri"/>
                      <w:color w:val="FF0000"/>
                      <w:sz w:val="19"/>
                      <w:szCs w:val="19"/>
                    </w:rPr>
                  </w:pPr>
                  <w:r w:rsidRPr="00C63D00">
                    <w:rPr>
                      <w:rFonts w:ascii="Calibri" w:hAnsi="Calibri" w:cs="Courier New"/>
                      <w:b/>
                      <w:color w:val="auto"/>
                      <w:sz w:val="20"/>
                      <w:szCs w:val="20"/>
                    </w:rPr>
                    <w:t>Key findings</w:t>
                  </w:r>
                  <w:r w:rsidR="00C63D00">
                    <w:rPr>
                      <w:rFonts w:ascii="Calibri" w:hAnsi="Calibri" w:cs="Courier New"/>
                      <w:b/>
                      <w:color w:val="auto"/>
                      <w:sz w:val="20"/>
                      <w:szCs w:val="20"/>
                    </w:rPr>
                    <w:t xml:space="preserve"> </w:t>
                  </w:r>
                </w:p>
                <w:p w14:paraId="68A48BAF" w14:textId="77777777" w:rsidR="00E555F1" w:rsidRPr="007A27DF" w:rsidRDefault="00661435" w:rsidP="00AB0641">
                  <w:pPr>
                    <w:spacing w:after="60"/>
                    <w:rPr>
                      <w:rFonts w:ascii="Calibri" w:hAnsi="Calibri" w:cs="Courier New"/>
                      <w:color w:val="auto"/>
                      <w:sz w:val="20"/>
                      <w:szCs w:val="20"/>
                    </w:rPr>
                  </w:pPr>
                  <w:r w:rsidRPr="007A27DF">
                    <w:rPr>
                      <w:rFonts w:ascii="Calibri" w:hAnsi="Calibri" w:cs="Courier New"/>
                      <w:i/>
                      <w:color w:val="auto"/>
                      <w:sz w:val="20"/>
                      <w:szCs w:val="20"/>
                    </w:rPr>
                    <w:t>Workforce p</w:t>
                  </w:r>
                  <w:r w:rsidR="00E555F1" w:rsidRPr="007A27DF">
                    <w:rPr>
                      <w:rFonts w:ascii="Calibri" w:hAnsi="Calibri" w:cs="Courier New"/>
                      <w:i/>
                      <w:color w:val="auto"/>
                      <w:sz w:val="20"/>
                      <w:szCs w:val="20"/>
                    </w:rPr>
                    <w:t>articipation</w:t>
                  </w:r>
                  <w:r w:rsidR="009A19F0">
                    <w:rPr>
                      <w:rFonts w:ascii="Calibri" w:hAnsi="Calibri" w:cs="Courier New"/>
                      <w:i/>
                      <w:color w:val="auto"/>
                      <w:sz w:val="20"/>
                      <w:szCs w:val="20"/>
                    </w:rPr>
                    <w:t xml:space="preserve"> in </w:t>
                  </w:r>
                  <w:r w:rsidR="008A6EFA">
                    <w:rPr>
                      <w:rFonts w:ascii="Calibri" w:hAnsi="Calibri" w:cs="Courier New"/>
                      <w:i/>
                      <w:color w:val="auto"/>
                      <w:sz w:val="20"/>
                      <w:szCs w:val="20"/>
                    </w:rPr>
                    <w:t xml:space="preserve">the </w:t>
                  </w:r>
                  <w:r w:rsidR="009A19F0">
                    <w:rPr>
                      <w:rFonts w:ascii="Calibri" w:hAnsi="Calibri" w:cs="Courier New"/>
                      <w:i/>
                      <w:color w:val="auto"/>
                      <w:sz w:val="20"/>
                      <w:szCs w:val="20"/>
                    </w:rPr>
                    <w:t xml:space="preserve">Australian </w:t>
                  </w:r>
                  <w:r w:rsidR="00973296">
                    <w:rPr>
                      <w:rFonts w:ascii="Calibri" w:hAnsi="Calibri" w:cs="Courier New"/>
                      <w:i/>
                      <w:color w:val="auto"/>
                      <w:sz w:val="20"/>
                      <w:szCs w:val="20"/>
                    </w:rPr>
                    <w:t>general population</w:t>
                  </w:r>
                </w:p>
                <w:p w14:paraId="0B8F97F6" w14:textId="77777777" w:rsidR="00E555F1" w:rsidRPr="007A27DF" w:rsidRDefault="007D12E6" w:rsidP="00AB0641">
                  <w:pPr>
                    <w:numPr>
                      <w:ilvl w:val="0"/>
                      <w:numId w:val="12"/>
                    </w:numPr>
                    <w:spacing w:after="60"/>
                    <w:ind w:left="284" w:hanging="284"/>
                    <w:rPr>
                      <w:rFonts w:ascii="Calibri" w:hAnsi="Calibri"/>
                      <w:b/>
                      <w:color w:val="auto"/>
                      <w:sz w:val="19"/>
                      <w:szCs w:val="19"/>
                    </w:rPr>
                  </w:pPr>
                  <w:r w:rsidRPr="007A27DF">
                    <w:rPr>
                      <w:rFonts w:ascii="Calibri" w:hAnsi="Calibri"/>
                      <w:color w:val="auto"/>
                      <w:sz w:val="19"/>
                      <w:szCs w:val="19"/>
                    </w:rPr>
                    <w:t>People with a p</w:t>
                  </w:r>
                  <w:r w:rsidR="00E555F1" w:rsidRPr="007A27DF">
                    <w:rPr>
                      <w:rFonts w:ascii="Calibri" w:hAnsi="Calibri"/>
                      <w:color w:val="auto"/>
                      <w:sz w:val="19"/>
                      <w:szCs w:val="19"/>
                    </w:rPr>
                    <w:t>hysical health condition – 1.2% less likely to be able to participate</w:t>
                  </w:r>
                </w:p>
                <w:p w14:paraId="1EC5749D" w14:textId="77777777" w:rsidR="00E555F1" w:rsidRPr="007A27DF" w:rsidRDefault="007D12E6" w:rsidP="00AB0641">
                  <w:pPr>
                    <w:numPr>
                      <w:ilvl w:val="0"/>
                      <w:numId w:val="12"/>
                    </w:numPr>
                    <w:spacing w:after="60"/>
                    <w:ind w:left="284" w:hanging="284"/>
                    <w:rPr>
                      <w:rFonts w:ascii="Calibri" w:hAnsi="Calibri"/>
                      <w:b/>
                      <w:color w:val="auto"/>
                      <w:sz w:val="19"/>
                      <w:szCs w:val="19"/>
                    </w:rPr>
                  </w:pPr>
                  <w:r w:rsidRPr="007A27DF">
                    <w:rPr>
                      <w:rFonts w:ascii="Calibri" w:hAnsi="Calibri" w:cs="Courier New"/>
                      <w:color w:val="auto"/>
                      <w:sz w:val="19"/>
                      <w:szCs w:val="19"/>
                    </w:rPr>
                    <w:t>People with a m</w:t>
                  </w:r>
                  <w:r w:rsidR="00E555F1" w:rsidRPr="007A27DF">
                    <w:rPr>
                      <w:rFonts w:ascii="Calibri" w:hAnsi="Calibri" w:cs="Courier New"/>
                      <w:color w:val="auto"/>
                      <w:sz w:val="19"/>
                      <w:szCs w:val="19"/>
                    </w:rPr>
                    <w:t>ental health condition – 4% less likely to be able to participate</w:t>
                  </w:r>
                </w:p>
                <w:p w14:paraId="18176003" w14:textId="77777777" w:rsidR="00E555F1" w:rsidRPr="007A27DF" w:rsidRDefault="007D12E6" w:rsidP="008A6EFA">
                  <w:pPr>
                    <w:numPr>
                      <w:ilvl w:val="0"/>
                      <w:numId w:val="12"/>
                    </w:numPr>
                    <w:spacing w:after="120"/>
                    <w:ind w:left="284" w:hanging="284"/>
                    <w:rPr>
                      <w:rFonts w:ascii="Calibri" w:hAnsi="Calibri"/>
                      <w:b/>
                      <w:color w:val="auto"/>
                      <w:sz w:val="19"/>
                      <w:szCs w:val="19"/>
                    </w:rPr>
                  </w:pPr>
                  <w:r w:rsidRPr="007A27DF">
                    <w:rPr>
                      <w:rFonts w:ascii="Calibri" w:hAnsi="Calibri" w:cs="Courier New"/>
                      <w:color w:val="auto"/>
                      <w:sz w:val="19"/>
                      <w:szCs w:val="19"/>
                    </w:rPr>
                    <w:t>People with both p</w:t>
                  </w:r>
                  <w:r w:rsidR="00E555F1" w:rsidRPr="007A27DF">
                    <w:rPr>
                      <w:rFonts w:ascii="Calibri" w:hAnsi="Calibri" w:cs="Courier New"/>
                      <w:color w:val="auto"/>
                      <w:sz w:val="19"/>
                      <w:szCs w:val="19"/>
                    </w:rPr>
                    <w:t>hysical and mental health conditions – 10% less likely to be able to participate</w:t>
                  </w:r>
                  <w:r w:rsidR="005D7892" w:rsidRPr="007A27DF">
                    <w:rPr>
                      <w:rFonts w:ascii="Calibri" w:hAnsi="Calibri" w:cs="Courier New"/>
                      <w:color w:val="auto"/>
                      <w:sz w:val="19"/>
                      <w:szCs w:val="19"/>
                    </w:rPr>
                    <w:t>.</w:t>
                  </w:r>
                  <w:r w:rsidR="00E555F1" w:rsidRPr="007A27DF">
                    <w:rPr>
                      <w:rFonts w:ascii="Calibri" w:hAnsi="Calibri" w:cs="Courier New"/>
                      <w:color w:val="auto"/>
                      <w:sz w:val="19"/>
                      <w:szCs w:val="19"/>
                    </w:rPr>
                    <w:t xml:space="preserve"> </w:t>
                  </w:r>
                </w:p>
                <w:p w14:paraId="53CB16AD" w14:textId="77777777" w:rsidR="007B5EF1" w:rsidRPr="007A27DF" w:rsidRDefault="00661435" w:rsidP="00AB0641">
                  <w:pPr>
                    <w:spacing w:before="60" w:after="60"/>
                    <w:rPr>
                      <w:rFonts w:ascii="Calibri" w:hAnsi="Calibri" w:cs="Courier New"/>
                      <w:i/>
                      <w:color w:val="auto"/>
                      <w:sz w:val="20"/>
                      <w:szCs w:val="20"/>
                    </w:rPr>
                  </w:pPr>
                  <w:r w:rsidRPr="007A27DF">
                    <w:rPr>
                      <w:rFonts w:ascii="Calibri" w:hAnsi="Calibri" w:cs="Courier New"/>
                      <w:i/>
                      <w:color w:val="auto"/>
                      <w:sz w:val="20"/>
                      <w:szCs w:val="20"/>
                    </w:rPr>
                    <w:t>Impact</w:t>
                  </w:r>
                  <w:r w:rsidR="007B5EF1" w:rsidRPr="007A27DF">
                    <w:rPr>
                      <w:rFonts w:ascii="Calibri" w:hAnsi="Calibri" w:cs="Courier New"/>
                      <w:i/>
                      <w:color w:val="auto"/>
                      <w:sz w:val="20"/>
                      <w:szCs w:val="20"/>
                    </w:rPr>
                    <w:t xml:space="preserve"> of education</w:t>
                  </w:r>
                </w:p>
                <w:p w14:paraId="3131BE8B" w14:textId="77777777" w:rsidR="00441D4B" w:rsidRPr="007A27DF" w:rsidRDefault="008A6EFA" w:rsidP="00AB0641">
                  <w:pPr>
                    <w:numPr>
                      <w:ilvl w:val="0"/>
                      <w:numId w:val="12"/>
                    </w:numPr>
                    <w:spacing w:after="60"/>
                    <w:ind w:left="284" w:hanging="284"/>
                    <w:rPr>
                      <w:rFonts w:ascii="Calibri" w:hAnsi="Calibri"/>
                      <w:b/>
                      <w:color w:val="auto"/>
                      <w:sz w:val="19"/>
                      <w:szCs w:val="19"/>
                    </w:rPr>
                  </w:pPr>
                  <w:r>
                    <w:rPr>
                      <w:rFonts w:ascii="Calibri" w:hAnsi="Calibri" w:cs="Courier New"/>
                      <w:color w:val="auto"/>
                      <w:sz w:val="19"/>
                      <w:szCs w:val="19"/>
                    </w:rPr>
                    <w:t>In the general population</w:t>
                  </w:r>
                  <w:r w:rsidRPr="007A27DF">
                    <w:rPr>
                      <w:rFonts w:ascii="Calibri" w:hAnsi="Calibri" w:cs="Courier New"/>
                      <w:color w:val="auto"/>
                      <w:sz w:val="19"/>
                      <w:szCs w:val="19"/>
                    </w:rPr>
                    <w:t xml:space="preserve">, </w:t>
                  </w:r>
                  <w:r w:rsidR="00C31B29" w:rsidRPr="007A27DF">
                    <w:rPr>
                      <w:rFonts w:ascii="Calibri" w:hAnsi="Calibri" w:cs="Courier New"/>
                      <w:color w:val="auto"/>
                      <w:sz w:val="19"/>
                      <w:szCs w:val="19"/>
                    </w:rPr>
                    <w:t>VET qualifications</w:t>
                  </w:r>
                  <w:r w:rsidR="00661435" w:rsidRPr="007A27DF">
                    <w:rPr>
                      <w:rFonts w:ascii="Calibri" w:hAnsi="Calibri" w:cs="Courier New"/>
                      <w:color w:val="auto"/>
                      <w:sz w:val="19"/>
                      <w:szCs w:val="19"/>
                    </w:rPr>
                    <w:t xml:space="preserve"> increase</w:t>
                  </w:r>
                  <w:r w:rsidR="00277BB7" w:rsidRPr="007A27DF">
                    <w:rPr>
                      <w:rFonts w:ascii="Calibri" w:hAnsi="Calibri" w:cs="Courier New"/>
                      <w:color w:val="auto"/>
                      <w:sz w:val="19"/>
                      <w:szCs w:val="19"/>
                    </w:rPr>
                    <w:t xml:space="preserve"> the </w:t>
                  </w:r>
                  <w:r w:rsidR="00661435" w:rsidRPr="007A27DF">
                    <w:rPr>
                      <w:rFonts w:ascii="Calibri" w:hAnsi="Calibri" w:cs="Courier New"/>
                      <w:color w:val="auto"/>
                      <w:sz w:val="19"/>
                      <w:szCs w:val="19"/>
                    </w:rPr>
                    <w:t xml:space="preserve">likelihood of participation by </w:t>
                  </w:r>
                  <w:r w:rsidR="00C31B29" w:rsidRPr="007A27DF">
                    <w:rPr>
                      <w:rFonts w:ascii="Calibri" w:hAnsi="Calibri" w:cs="Courier New"/>
                      <w:color w:val="auto"/>
                      <w:sz w:val="19"/>
                      <w:szCs w:val="19"/>
                    </w:rPr>
                    <w:t>3%</w:t>
                  </w:r>
                  <w:r>
                    <w:rPr>
                      <w:rFonts w:ascii="Calibri" w:hAnsi="Calibri" w:cs="Courier New"/>
                      <w:color w:val="auto"/>
                      <w:sz w:val="19"/>
                      <w:szCs w:val="19"/>
                    </w:rPr>
                    <w:t xml:space="preserve">, </w:t>
                  </w:r>
                  <w:r w:rsidR="00C31B29" w:rsidRPr="007A27DF">
                    <w:rPr>
                      <w:rFonts w:ascii="Calibri" w:hAnsi="Calibri" w:cs="Courier New"/>
                      <w:color w:val="auto"/>
                      <w:sz w:val="19"/>
                      <w:szCs w:val="19"/>
                    </w:rPr>
                    <w:t xml:space="preserve">compared to Year 12 </w:t>
                  </w:r>
                  <w:r w:rsidR="00661435" w:rsidRPr="007A27DF">
                    <w:rPr>
                      <w:rFonts w:ascii="Calibri" w:hAnsi="Calibri" w:cs="Courier New"/>
                      <w:color w:val="auto"/>
                      <w:sz w:val="19"/>
                      <w:szCs w:val="19"/>
                    </w:rPr>
                    <w:t xml:space="preserve">education </w:t>
                  </w:r>
                  <w:r w:rsidR="00C31B29" w:rsidRPr="007A27DF">
                    <w:rPr>
                      <w:rFonts w:ascii="Calibri" w:hAnsi="Calibri" w:cs="Courier New"/>
                      <w:color w:val="auto"/>
                      <w:sz w:val="19"/>
                      <w:szCs w:val="19"/>
                    </w:rPr>
                    <w:t>only</w:t>
                  </w:r>
                </w:p>
                <w:p w14:paraId="5C67B036" w14:textId="77777777" w:rsidR="00661435" w:rsidRPr="007A27DF" w:rsidRDefault="008A6EFA" w:rsidP="00AB0641">
                  <w:pPr>
                    <w:numPr>
                      <w:ilvl w:val="0"/>
                      <w:numId w:val="12"/>
                    </w:numPr>
                    <w:spacing w:after="60"/>
                    <w:ind w:left="284" w:hanging="284"/>
                    <w:rPr>
                      <w:rFonts w:ascii="Calibri" w:hAnsi="Calibri"/>
                      <w:color w:val="auto"/>
                      <w:sz w:val="19"/>
                      <w:szCs w:val="19"/>
                    </w:rPr>
                  </w:pPr>
                  <w:r>
                    <w:rPr>
                      <w:rFonts w:ascii="Calibri" w:hAnsi="Calibri"/>
                      <w:color w:val="auto"/>
                      <w:sz w:val="19"/>
                      <w:szCs w:val="19"/>
                    </w:rPr>
                    <w:t>F</w:t>
                  </w:r>
                  <w:r w:rsidRPr="007A27DF">
                    <w:rPr>
                      <w:rFonts w:ascii="Calibri" w:hAnsi="Calibri"/>
                      <w:color w:val="auto"/>
                      <w:sz w:val="19"/>
                      <w:szCs w:val="19"/>
                    </w:rPr>
                    <w:t xml:space="preserve">or </w:t>
                  </w:r>
                  <w:r>
                    <w:rPr>
                      <w:rFonts w:ascii="Calibri" w:hAnsi="Calibri"/>
                      <w:color w:val="auto"/>
                      <w:sz w:val="19"/>
                      <w:szCs w:val="19"/>
                    </w:rPr>
                    <w:t>DVA clients,</w:t>
                  </w:r>
                  <w:r w:rsidRPr="007A27DF">
                    <w:rPr>
                      <w:rFonts w:ascii="Calibri" w:hAnsi="Calibri"/>
                      <w:color w:val="auto"/>
                      <w:sz w:val="19"/>
                      <w:szCs w:val="19"/>
                    </w:rPr>
                    <w:t xml:space="preserve"> </w:t>
                  </w:r>
                  <w:r>
                    <w:rPr>
                      <w:rFonts w:ascii="Calibri" w:hAnsi="Calibri"/>
                      <w:color w:val="auto"/>
                      <w:sz w:val="19"/>
                      <w:szCs w:val="19"/>
                    </w:rPr>
                    <w:t>a</w:t>
                  </w:r>
                  <w:r w:rsidR="00661435" w:rsidRPr="007A27DF">
                    <w:rPr>
                      <w:rFonts w:ascii="Calibri" w:hAnsi="Calibri"/>
                      <w:color w:val="auto"/>
                      <w:sz w:val="19"/>
                      <w:szCs w:val="19"/>
                    </w:rPr>
                    <w:t xml:space="preserve">verage wages </w:t>
                  </w:r>
                  <w:r w:rsidR="004713EF">
                    <w:rPr>
                      <w:rFonts w:ascii="Calibri" w:hAnsi="Calibri"/>
                      <w:color w:val="auto"/>
                      <w:sz w:val="19"/>
                      <w:szCs w:val="19"/>
                    </w:rPr>
                    <w:t>have the potential to increase</w:t>
                  </w:r>
                  <w:r w:rsidR="00661435" w:rsidRPr="007A27DF">
                    <w:rPr>
                      <w:rFonts w:ascii="Calibri" w:hAnsi="Calibri"/>
                      <w:color w:val="auto"/>
                      <w:sz w:val="19"/>
                      <w:szCs w:val="19"/>
                    </w:rPr>
                    <w:t xml:space="preserve"> with post-Year 12 education:</w:t>
                  </w:r>
                </w:p>
                <w:p w14:paraId="10E00008" w14:textId="77777777" w:rsidR="00661435" w:rsidRPr="007A27DF" w:rsidRDefault="004713EF" w:rsidP="00AB0641">
                  <w:pPr>
                    <w:numPr>
                      <w:ilvl w:val="1"/>
                      <w:numId w:val="12"/>
                    </w:numPr>
                    <w:ind w:left="568" w:hanging="284"/>
                    <w:rPr>
                      <w:rFonts w:ascii="Calibri" w:hAnsi="Calibri"/>
                      <w:color w:val="auto"/>
                      <w:sz w:val="19"/>
                      <w:szCs w:val="19"/>
                    </w:rPr>
                  </w:pPr>
                  <w:r>
                    <w:rPr>
                      <w:rFonts w:ascii="Calibri" w:hAnsi="Calibri"/>
                      <w:color w:val="auto"/>
                      <w:sz w:val="19"/>
                      <w:szCs w:val="19"/>
                    </w:rPr>
                    <w:t>20</w:t>
                  </w:r>
                  <w:r w:rsidR="00661435" w:rsidRPr="007A27DF">
                    <w:rPr>
                      <w:rFonts w:ascii="Calibri" w:hAnsi="Calibri"/>
                      <w:color w:val="auto"/>
                      <w:sz w:val="19"/>
                      <w:szCs w:val="19"/>
                    </w:rPr>
                    <w:t>% higher for certificates</w:t>
                  </w:r>
                </w:p>
                <w:p w14:paraId="7C6DE268" w14:textId="77777777" w:rsidR="004713EF" w:rsidRDefault="004713EF" w:rsidP="00AB0641">
                  <w:pPr>
                    <w:numPr>
                      <w:ilvl w:val="1"/>
                      <w:numId w:val="12"/>
                    </w:numPr>
                    <w:spacing w:after="60"/>
                    <w:ind w:left="568" w:hanging="284"/>
                    <w:rPr>
                      <w:rFonts w:ascii="Calibri" w:hAnsi="Calibri"/>
                      <w:color w:val="auto"/>
                      <w:sz w:val="19"/>
                      <w:szCs w:val="19"/>
                    </w:rPr>
                  </w:pPr>
                  <w:r>
                    <w:rPr>
                      <w:rFonts w:ascii="Calibri" w:hAnsi="Calibri"/>
                      <w:color w:val="auto"/>
                      <w:sz w:val="19"/>
                      <w:szCs w:val="19"/>
                    </w:rPr>
                    <w:t>2</w:t>
                  </w:r>
                  <w:r w:rsidR="005D7892" w:rsidRPr="007A27DF">
                    <w:rPr>
                      <w:rFonts w:ascii="Calibri" w:hAnsi="Calibri"/>
                      <w:color w:val="auto"/>
                      <w:sz w:val="19"/>
                      <w:szCs w:val="19"/>
                    </w:rPr>
                    <w:t>5% higher for degrees.</w:t>
                  </w:r>
                </w:p>
                <w:p w14:paraId="1E93B621" w14:textId="77777777" w:rsidR="004713EF" w:rsidRPr="004713EF" w:rsidRDefault="004713EF" w:rsidP="008A6EFA">
                  <w:pPr>
                    <w:tabs>
                      <w:tab w:val="left" w:pos="284"/>
                    </w:tabs>
                    <w:spacing w:after="120"/>
                    <w:ind w:left="284"/>
                    <w:rPr>
                      <w:rFonts w:ascii="Calibri" w:hAnsi="Calibri"/>
                      <w:color w:val="auto"/>
                      <w:sz w:val="19"/>
                      <w:szCs w:val="19"/>
                    </w:rPr>
                  </w:pPr>
                  <w:r>
                    <w:rPr>
                      <w:rFonts w:ascii="Calibri" w:hAnsi="Calibri"/>
                      <w:color w:val="auto"/>
                      <w:sz w:val="19"/>
                      <w:szCs w:val="19"/>
                    </w:rPr>
                    <w:t>However, no weekly wage improvements were found for DVA clients with diplomas compared to certificates.</w:t>
                  </w:r>
                </w:p>
                <w:p w14:paraId="23BEDDB1" w14:textId="77777777" w:rsidR="00661435" w:rsidRPr="007A27DF" w:rsidRDefault="009E6AD2" w:rsidP="00AB0641">
                  <w:pPr>
                    <w:spacing w:after="60"/>
                    <w:rPr>
                      <w:rFonts w:ascii="Calibri" w:hAnsi="Calibri"/>
                      <w:i/>
                      <w:color w:val="auto"/>
                      <w:sz w:val="20"/>
                      <w:szCs w:val="20"/>
                    </w:rPr>
                  </w:pPr>
                  <w:r w:rsidRPr="007A27DF">
                    <w:rPr>
                      <w:rFonts w:ascii="Calibri" w:hAnsi="Calibri"/>
                      <w:i/>
                      <w:color w:val="auto"/>
                      <w:sz w:val="20"/>
                      <w:szCs w:val="20"/>
                    </w:rPr>
                    <w:t xml:space="preserve">Education offsets </w:t>
                  </w:r>
                  <w:r w:rsidR="00661435" w:rsidRPr="007A27DF">
                    <w:rPr>
                      <w:rFonts w:ascii="Calibri" w:hAnsi="Calibri"/>
                      <w:i/>
                      <w:color w:val="auto"/>
                      <w:sz w:val="20"/>
                      <w:szCs w:val="20"/>
                    </w:rPr>
                    <w:t>for DVA clients</w:t>
                  </w:r>
                </w:p>
                <w:p w14:paraId="6C4B90A3" w14:textId="77777777" w:rsidR="00A87056" w:rsidRPr="007A27DF" w:rsidRDefault="00A87056" w:rsidP="00AB0641">
                  <w:pPr>
                    <w:numPr>
                      <w:ilvl w:val="0"/>
                      <w:numId w:val="12"/>
                    </w:numPr>
                    <w:spacing w:after="60"/>
                    <w:ind w:left="284" w:hanging="284"/>
                    <w:rPr>
                      <w:rFonts w:ascii="Calibri" w:hAnsi="Calibri"/>
                      <w:b/>
                      <w:color w:val="auto"/>
                      <w:sz w:val="19"/>
                      <w:szCs w:val="19"/>
                    </w:rPr>
                  </w:pPr>
                  <w:r w:rsidRPr="007A27DF">
                    <w:rPr>
                      <w:rFonts w:ascii="Calibri" w:hAnsi="Calibri" w:cs="Courier New"/>
                      <w:color w:val="auto"/>
                      <w:sz w:val="19"/>
                      <w:szCs w:val="19"/>
                    </w:rPr>
                    <w:t xml:space="preserve">Likelihood of workforce participation is increased </w:t>
                  </w:r>
                  <w:r w:rsidR="008C5944" w:rsidRPr="007A27DF">
                    <w:rPr>
                      <w:rFonts w:ascii="Calibri" w:hAnsi="Calibri" w:cs="Courier New"/>
                      <w:color w:val="auto"/>
                      <w:sz w:val="19"/>
                      <w:szCs w:val="19"/>
                    </w:rPr>
                    <w:t>with a university degree</w:t>
                  </w:r>
                  <w:r w:rsidRPr="007A27DF">
                    <w:rPr>
                      <w:rFonts w:ascii="Calibri" w:hAnsi="Calibri"/>
                      <w:b/>
                      <w:color w:val="auto"/>
                      <w:sz w:val="19"/>
                      <w:szCs w:val="19"/>
                    </w:rPr>
                    <w:t>:</w:t>
                  </w:r>
                </w:p>
                <w:p w14:paraId="29F8A60B" w14:textId="77777777" w:rsidR="00A87056" w:rsidRPr="007A27DF" w:rsidRDefault="00A87056" w:rsidP="00AB0641">
                  <w:pPr>
                    <w:numPr>
                      <w:ilvl w:val="1"/>
                      <w:numId w:val="12"/>
                    </w:numPr>
                    <w:spacing w:after="60"/>
                    <w:ind w:left="568" w:hanging="284"/>
                    <w:rPr>
                      <w:rFonts w:ascii="Calibri" w:hAnsi="Calibri"/>
                      <w:color w:val="auto"/>
                      <w:sz w:val="19"/>
                      <w:szCs w:val="19"/>
                    </w:rPr>
                  </w:pPr>
                  <w:r w:rsidRPr="007A27DF">
                    <w:rPr>
                      <w:rFonts w:ascii="Calibri" w:hAnsi="Calibri"/>
                      <w:color w:val="auto"/>
                      <w:sz w:val="19"/>
                      <w:szCs w:val="19"/>
                    </w:rPr>
                    <w:t>8% (67% to 75%) in DVA clients with both physical and mental health conditions</w:t>
                  </w:r>
                </w:p>
                <w:p w14:paraId="4306ABF8" w14:textId="77777777" w:rsidR="00A87056" w:rsidRPr="007A27DF" w:rsidRDefault="008C5944" w:rsidP="00AB0641">
                  <w:pPr>
                    <w:numPr>
                      <w:ilvl w:val="1"/>
                      <w:numId w:val="12"/>
                    </w:numPr>
                    <w:spacing w:after="60"/>
                    <w:ind w:left="568" w:hanging="284"/>
                    <w:rPr>
                      <w:rFonts w:ascii="Calibri" w:hAnsi="Calibri"/>
                      <w:color w:val="auto"/>
                      <w:sz w:val="19"/>
                      <w:szCs w:val="19"/>
                    </w:rPr>
                  </w:pPr>
                  <w:r w:rsidRPr="007A27DF">
                    <w:rPr>
                      <w:rFonts w:ascii="Calibri" w:hAnsi="Calibri"/>
                      <w:color w:val="auto"/>
                      <w:sz w:val="19"/>
                      <w:szCs w:val="19"/>
                    </w:rPr>
                    <w:t>7</w:t>
                  </w:r>
                  <w:r w:rsidR="00A87056" w:rsidRPr="007A27DF">
                    <w:rPr>
                      <w:rFonts w:ascii="Calibri" w:hAnsi="Calibri"/>
                      <w:color w:val="auto"/>
                      <w:sz w:val="19"/>
                      <w:szCs w:val="19"/>
                    </w:rPr>
                    <w:t>% (7</w:t>
                  </w:r>
                  <w:r w:rsidRPr="007A27DF">
                    <w:rPr>
                      <w:rFonts w:ascii="Calibri" w:hAnsi="Calibri"/>
                      <w:color w:val="auto"/>
                      <w:sz w:val="19"/>
                      <w:szCs w:val="19"/>
                    </w:rPr>
                    <w:t>3</w:t>
                  </w:r>
                  <w:r w:rsidR="00A87056" w:rsidRPr="007A27DF">
                    <w:rPr>
                      <w:rFonts w:ascii="Calibri" w:hAnsi="Calibri"/>
                      <w:color w:val="auto"/>
                      <w:sz w:val="19"/>
                      <w:szCs w:val="19"/>
                    </w:rPr>
                    <w:t>% to 80%) in DVA clients with a physical health condition</w:t>
                  </w:r>
                  <w:r w:rsidR="005D7892" w:rsidRPr="007A27DF">
                    <w:rPr>
                      <w:rFonts w:ascii="Calibri" w:hAnsi="Calibri"/>
                      <w:color w:val="auto"/>
                      <w:sz w:val="19"/>
                      <w:szCs w:val="19"/>
                    </w:rPr>
                    <w:t>.</w:t>
                  </w:r>
                </w:p>
                <w:p w14:paraId="720016DE" w14:textId="77777777" w:rsidR="00C33EFC" w:rsidRPr="007A27DF" w:rsidRDefault="00A87056" w:rsidP="009F7B68">
                  <w:pPr>
                    <w:numPr>
                      <w:ilvl w:val="0"/>
                      <w:numId w:val="12"/>
                    </w:numPr>
                    <w:spacing w:after="60"/>
                    <w:ind w:left="284" w:hanging="284"/>
                    <w:rPr>
                      <w:rFonts w:ascii="Calibri" w:hAnsi="Calibri"/>
                      <w:b/>
                      <w:color w:val="auto"/>
                      <w:sz w:val="19"/>
                      <w:szCs w:val="19"/>
                    </w:rPr>
                  </w:pPr>
                  <w:r w:rsidRPr="007A27DF">
                    <w:rPr>
                      <w:rFonts w:ascii="Calibri" w:hAnsi="Calibri" w:cs="Courier New"/>
                      <w:color w:val="auto"/>
                      <w:sz w:val="19"/>
                      <w:szCs w:val="19"/>
                    </w:rPr>
                    <w:t>DVA clients who receive Incap</w:t>
                  </w:r>
                  <w:r w:rsidR="00277BB7" w:rsidRPr="007A27DF">
                    <w:rPr>
                      <w:rFonts w:ascii="Calibri" w:hAnsi="Calibri" w:cs="Courier New"/>
                      <w:color w:val="auto"/>
                      <w:sz w:val="19"/>
                      <w:szCs w:val="19"/>
                    </w:rPr>
                    <w:t>acity</w:t>
                  </w:r>
                  <w:r w:rsidRPr="007A27DF">
                    <w:rPr>
                      <w:rFonts w:ascii="Calibri" w:hAnsi="Calibri" w:cs="Courier New"/>
                      <w:color w:val="auto"/>
                      <w:sz w:val="19"/>
                      <w:szCs w:val="19"/>
                    </w:rPr>
                    <w:t xml:space="preserve"> Payments, or both Incap</w:t>
                  </w:r>
                  <w:r w:rsidR="00277BB7" w:rsidRPr="007A27DF">
                    <w:rPr>
                      <w:rFonts w:ascii="Calibri" w:hAnsi="Calibri" w:cs="Courier New"/>
                      <w:color w:val="auto"/>
                      <w:sz w:val="19"/>
                      <w:szCs w:val="19"/>
                    </w:rPr>
                    <w:t>acity</w:t>
                  </w:r>
                  <w:r w:rsidRPr="007A27DF">
                    <w:rPr>
                      <w:rFonts w:ascii="Calibri" w:hAnsi="Calibri" w:cs="Courier New"/>
                      <w:color w:val="auto"/>
                      <w:sz w:val="19"/>
                      <w:szCs w:val="19"/>
                    </w:rPr>
                    <w:t xml:space="preserve"> Payments and </w:t>
                  </w:r>
                  <w:r w:rsidR="00277BB7" w:rsidRPr="007A27DF">
                    <w:rPr>
                      <w:rFonts w:ascii="Calibri" w:hAnsi="Calibri" w:cs="Courier New"/>
                      <w:color w:val="auto"/>
                      <w:sz w:val="19"/>
                      <w:szCs w:val="19"/>
                    </w:rPr>
                    <w:t xml:space="preserve">Permanent Impairment </w:t>
                  </w:r>
                  <w:r w:rsidRPr="007A27DF">
                    <w:rPr>
                      <w:rFonts w:ascii="Calibri" w:hAnsi="Calibri" w:cs="Courier New"/>
                      <w:color w:val="auto"/>
                      <w:sz w:val="19"/>
                      <w:szCs w:val="19"/>
                    </w:rPr>
                    <w:t>Payments</w:t>
                  </w:r>
                  <w:r w:rsidR="005D7892" w:rsidRPr="007A27DF">
                    <w:rPr>
                      <w:rFonts w:ascii="Calibri" w:hAnsi="Calibri" w:cs="Courier New"/>
                      <w:color w:val="auto"/>
                      <w:sz w:val="19"/>
                      <w:szCs w:val="19"/>
                    </w:rPr>
                    <w:t>,</w:t>
                  </w:r>
                  <w:r w:rsidRPr="007A27DF">
                    <w:rPr>
                      <w:rFonts w:ascii="Calibri" w:hAnsi="Calibri" w:cs="Courier New"/>
                      <w:color w:val="auto"/>
                      <w:sz w:val="19"/>
                      <w:szCs w:val="19"/>
                    </w:rPr>
                    <w:t xml:space="preserve"> are expected to experience poorer outcomes than those who only receive P</w:t>
                  </w:r>
                  <w:r w:rsidR="005D7892" w:rsidRPr="007A27DF">
                    <w:rPr>
                      <w:rFonts w:ascii="Calibri" w:hAnsi="Calibri" w:cs="Courier New"/>
                      <w:color w:val="auto"/>
                      <w:sz w:val="19"/>
                      <w:szCs w:val="19"/>
                    </w:rPr>
                    <w:t xml:space="preserve">ermanent Impairment </w:t>
                  </w:r>
                  <w:r w:rsidRPr="007A27DF">
                    <w:rPr>
                      <w:rFonts w:ascii="Calibri" w:hAnsi="Calibri" w:cs="Courier New"/>
                      <w:color w:val="auto"/>
                      <w:sz w:val="19"/>
                      <w:szCs w:val="19"/>
                    </w:rPr>
                    <w:t>Payments</w:t>
                  </w:r>
                  <w:r w:rsidR="005D7892" w:rsidRPr="007A27DF">
                    <w:rPr>
                      <w:rFonts w:ascii="Calibri" w:hAnsi="Calibri" w:cs="Courier New"/>
                      <w:color w:val="auto"/>
                      <w:sz w:val="19"/>
                      <w:szCs w:val="19"/>
                    </w:rPr>
                    <w:t>.</w:t>
                  </w:r>
                </w:p>
              </w:txbxContent>
            </v:textbox>
          </v:shape>
        </w:pict>
      </w:r>
    </w:p>
    <w:p w14:paraId="7A3ACF47" w14:textId="77777777" w:rsidR="00072413" w:rsidRDefault="00072413">
      <w:pPr>
        <w:ind w:right="300"/>
        <w:rPr>
          <w:rFonts w:ascii="Calibri" w:hAnsi="Calibri"/>
          <w:color w:val="auto"/>
          <w:sz w:val="20"/>
          <w:szCs w:val="20"/>
        </w:rPr>
      </w:pPr>
    </w:p>
    <w:p w14:paraId="3D2EDDD0" w14:textId="77777777" w:rsidR="00072413" w:rsidRDefault="00072413">
      <w:pPr>
        <w:ind w:right="300"/>
        <w:rPr>
          <w:rFonts w:ascii="Calibri" w:hAnsi="Calibri"/>
          <w:color w:val="auto"/>
          <w:sz w:val="20"/>
          <w:szCs w:val="20"/>
        </w:rPr>
      </w:pPr>
    </w:p>
    <w:p w14:paraId="4A005AB1" w14:textId="77777777" w:rsidR="00072413" w:rsidRDefault="00072413">
      <w:pPr>
        <w:ind w:right="300"/>
        <w:rPr>
          <w:rFonts w:ascii="Calibri" w:hAnsi="Calibri"/>
          <w:color w:val="auto"/>
          <w:sz w:val="20"/>
          <w:szCs w:val="20"/>
        </w:rPr>
      </w:pPr>
    </w:p>
    <w:p w14:paraId="0AA401E2" w14:textId="77777777" w:rsidR="00072413" w:rsidRDefault="00072413">
      <w:pPr>
        <w:ind w:right="300"/>
        <w:rPr>
          <w:rFonts w:ascii="Calibri" w:hAnsi="Calibri"/>
          <w:color w:val="auto"/>
          <w:sz w:val="20"/>
          <w:szCs w:val="20"/>
        </w:rPr>
      </w:pPr>
    </w:p>
    <w:p w14:paraId="50E8FCD0" w14:textId="77777777" w:rsidR="00072413" w:rsidRDefault="00072413">
      <w:pPr>
        <w:ind w:right="300"/>
        <w:rPr>
          <w:rFonts w:ascii="Calibri" w:hAnsi="Calibri"/>
          <w:color w:val="auto"/>
          <w:sz w:val="20"/>
          <w:szCs w:val="20"/>
        </w:rPr>
      </w:pPr>
    </w:p>
    <w:p w14:paraId="15379CDE" w14:textId="77777777" w:rsidR="00072413" w:rsidRDefault="00072413">
      <w:pPr>
        <w:ind w:right="300"/>
        <w:rPr>
          <w:rFonts w:ascii="Calibri" w:hAnsi="Calibri"/>
          <w:color w:val="auto"/>
          <w:sz w:val="20"/>
          <w:szCs w:val="20"/>
        </w:rPr>
      </w:pPr>
    </w:p>
    <w:p w14:paraId="1189BA4E" w14:textId="77777777" w:rsidR="00072413" w:rsidRDefault="00072413">
      <w:pPr>
        <w:ind w:right="300"/>
        <w:rPr>
          <w:rFonts w:ascii="Calibri" w:hAnsi="Calibri"/>
          <w:color w:val="auto"/>
          <w:sz w:val="20"/>
          <w:szCs w:val="20"/>
        </w:rPr>
      </w:pPr>
    </w:p>
    <w:p w14:paraId="6BBD0B04" w14:textId="77777777" w:rsidR="00072413" w:rsidRDefault="00072413">
      <w:pPr>
        <w:ind w:right="300"/>
        <w:rPr>
          <w:rFonts w:ascii="Calibri" w:hAnsi="Calibri"/>
          <w:color w:val="auto"/>
          <w:sz w:val="20"/>
          <w:szCs w:val="20"/>
        </w:rPr>
      </w:pPr>
    </w:p>
    <w:p w14:paraId="4E5C79A2" w14:textId="77777777" w:rsidR="00072413" w:rsidRDefault="00072413">
      <w:pPr>
        <w:ind w:right="300"/>
        <w:rPr>
          <w:rFonts w:ascii="Calibri" w:hAnsi="Calibri"/>
          <w:color w:val="auto"/>
          <w:sz w:val="20"/>
          <w:szCs w:val="20"/>
        </w:rPr>
      </w:pPr>
    </w:p>
    <w:p w14:paraId="4CB32C52" w14:textId="77777777" w:rsidR="00072413" w:rsidRDefault="00072413">
      <w:pPr>
        <w:ind w:right="300"/>
        <w:rPr>
          <w:rFonts w:ascii="Calibri" w:hAnsi="Calibri"/>
          <w:color w:val="auto"/>
          <w:sz w:val="20"/>
          <w:szCs w:val="20"/>
        </w:rPr>
      </w:pPr>
    </w:p>
    <w:p w14:paraId="10B811EB" w14:textId="77777777" w:rsidR="00072413" w:rsidRDefault="00072413">
      <w:pPr>
        <w:ind w:right="300"/>
        <w:rPr>
          <w:rFonts w:ascii="Calibri" w:hAnsi="Calibri"/>
          <w:color w:val="auto"/>
          <w:sz w:val="20"/>
          <w:szCs w:val="20"/>
        </w:rPr>
      </w:pPr>
    </w:p>
    <w:p w14:paraId="00942CD5" w14:textId="77777777" w:rsidR="00CD42A2" w:rsidRDefault="00CD42A2">
      <w:pPr>
        <w:ind w:right="300"/>
        <w:rPr>
          <w:rFonts w:ascii="Calibri" w:hAnsi="Calibri"/>
          <w:color w:val="auto"/>
          <w:sz w:val="20"/>
          <w:szCs w:val="20"/>
        </w:rPr>
      </w:pPr>
    </w:p>
    <w:p w14:paraId="4F888D4B" w14:textId="77777777" w:rsidR="00CD42A2" w:rsidRDefault="00CD42A2">
      <w:pPr>
        <w:ind w:right="300"/>
        <w:rPr>
          <w:rFonts w:ascii="Calibri" w:hAnsi="Calibri"/>
          <w:color w:val="auto"/>
          <w:sz w:val="20"/>
          <w:szCs w:val="20"/>
        </w:rPr>
      </w:pPr>
    </w:p>
    <w:p w14:paraId="44A14CA4" w14:textId="77777777" w:rsidR="00072413" w:rsidRDefault="00072413">
      <w:pPr>
        <w:ind w:right="300"/>
        <w:rPr>
          <w:rFonts w:ascii="Calibri" w:hAnsi="Calibri"/>
          <w:color w:val="auto"/>
          <w:sz w:val="20"/>
          <w:szCs w:val="20"/>
        </w:rPr>
      </w:pPr>
    </w:p>
    <w:p w14:paraId="7B05FF13" w14:textId="77777777" w:rsidR="00072413" w:rsidRDefault="00072413">
      <w:pPr>
        <w:ind w:right="300"/>
        <w:rPr>
          <w:rFonts w:ascii="Calibri" w:hAnsi="Calibri"/>
          <w:color w:val="auto"/>
          <w:sz w:val="20"/>
          <w:szCs w:val="20"/>
        </w:rPr>
      </w:pPr>
    </w:p>
    <w:p w14:paraId="30177164" w14:textId="77777777" w:rsidR="00072413" w:rsidRDefault="00072413">
      <w:pPr>
        <w:ind w:right="300"/>
        <w:rPr>
          <w:rFonts w:ascii="Calibri" w:hAnsi="Calibri"/>
          <w:color w:val="auto"/>
          <w:sz w:val="20"/>
          <w:szCs w:val="20"/>
        </w:rPr>
      </w:pPr>
    </w:p>
    <w:p w14:paraId="0E65DBFA" w14:textId="77777777" w:rsidR="00072413" w:rsidRDefault="00072413">
      <w:pPr>
        <w:ind w:right="300"/>
        <w:rPr>
          <w:rFonts w:ascii="Calibri" w:hAnsi="Calibri"/>
          <w:color w:val="auto"/>
          <w:sz w:val="20"/>
          <w:szCs w:val="20"/>
        </w:rPr>
      </w:pPr>
    </w:p>
    <w:p w14:paraId="74B4C6B5" w14:textId="77777777" w:rsidR="00072413" w:rsidRDefault="00072413">
      <w:pPr>
        <w:ind w:right="300"/>
        <w:rPr>
          <w:rFonts w:ascii="Calibri" w:hAnsi="Calibri"/>
          <w:color w:val="auto"/>
          <w:sz w:val="20"/>
          <w:szCs w:val="20"/>
        </w:rPr>
      </w:pPr>
    </w:p>
    <w:p w14:paraId="5637F322" w14:textId="77777777" w:rsidR="00072413" w:rsidRDefault="00072413">
      <w:pPr>
        <w:ind w:right="300"/>
        <w:rPr>
          <w:rFonts w:ascii="Calibri" w:hAnsi="Calibri"/>
          <w:color w:val="auto"/>
          <w:sz w:val="20"/>
          <w:szCs w:val="20"/>
        </w:rPr>
      </w:pPr>
    </w:p>
    <w:p w14:paraId="3B77300D" w14:textId="77777777" w:rsidR="00072413" w:rsidRDefault="00072413">
      <w:pPr>
        <w:ind w:right="300"/>
        <w:rPr>
          <w:rFonts w:ascii="Calibri" w:hAnsi="Calibri"/>
          <w:color w:val="auto"/>
          <w:sz w:val="20"/>
          <w:szCs w:val="20"/>
        </w:rPr>
      </w:pPr>
    </w:p>
    <w:p w14:paraId="667B2E40" w14:textId="77777777" w:rsidR="00072413" w:rsidRDefault="00072413">
      <w:pPr>
        <w:ind w:right="300"/>
        <w:rPr>
          <w:rFonts w:ascii="Calibri" w:hAnsi="Calibri"/>
          <w:color w:val="auto"/>
          <w:sz w:val="20"/>
          <w:szCs w:val="20"/>
        </w:rPr>
      </w:pPr>
    </w:p>
    <w:p w14:paraId="1EAA2AB0" w14:textId="77777777" w:rsidR="00072413" w:rsidRDefault="00072413">
      <w:pPr>
        <w:ind w:right="300"/>
        <w:rPr>
          <w:rFonts w:ascii="Calibri" w:hAnsi="Calibri"/>
          <w:color w:val="auto"/>
          <w:sz w:val="20"/>
          <w:szCs w:val="20"/>
        </w:rPr>
      </w:pPr>
    </w:p>
    <w:p w14:paraId="013468D3" w14:textId="77777777" w:rsidR="00072413" w:rsidRDefault="00072413">
      <w:pPr>
        <w:ind w:right="300"/>
        <w:rPr>
          <w:rFonts w:ascii="Calibri" w:hAnsi="Calibri"/>
          <w:color w:val="auto"/>
          <w:sz w:val="20"/>
          <w:szCs w:val="20"/>
        </w:rPr>
      </w:pPr>
    </w:p>
    <w:p w14:paraId="52A613AF" w14:textId="77777777" w:rsidR="00072413" w:rsidRDefault="00072413">
      <w:pPr>
        <w:ind w:right="300"/>
        <w:rPr>
          <w:rFonts w:ascii="Calibri" w:hAnsi="Calibri"/>
          <w:color w:val="auto"/>
          <w:sz w:val="20"/>
          <w:szCs w:val="20"/>
        </w:rPr>
      </w:pPr>
    </w:p>
    <w:p w14:paraId="484E00C8" w14:textId="77777777" w:rsidR="00072413" w:rsidRDefault="00072413">
      <w:pPr>
        <w:ind w:right="300"/>
        <w:rPr>
          <w:rFonts w:ascii="Calibri" w:hAnsi="Calibri"/>
          <w:color w:val="auto"/>
          <w:sz w:val="20"/>
          <w:szCs w:val="20"/>
        </w:rPr>
      </w:pPr>
    </w:p>
    <w:p w14:paraId="7380E6A6" w14:textId="77777777" w:rsidR="00072413" w:rsidRDefault="00072413">
      <w:pPr>
        <w:ind w:right="300"/>
        <w:rPr>
          <w:rFonts w:ascii="Calibri" w:hAnsi="Calibri"/>
          <w:color w:val="auto"/>
          <w:sz w:val="20"/>
          <w:szCs w:val="20"/>
        </w:rPr>
      </w:pPr>
    </w:p>
    <w:p w14:paraId="331D6105" w14:textId="77777777" w:rsidR="00072413" w:rsidRDefault="00072413">
      <w:pPr>
        <w:ind w:right="300"/>
        <w:rPr>
          <w:rFonts w:ascii="Calibri" w:hAnsi="Calibri"/>
          <w:color w:val="auto"/>
          <w:sz w:val="20"/>
          <w:szCs w:val="20"/>
        </w:rPr>
      </w:pPr>
    </w:p>
    <w:p w14:paraId="091FDA41" w14:textId="77777777" w:rsidR="00072413" w:rsidRDefault="00072413">
      <w:pPr>
        <w:ind w:right="300"/>
        <w:rPr>
          <w:rFonts w:ascii="Calibri" w:hAnsi="Calibri"/>
          <w:color w:val="auto"/>
          <w:sz w:val="20"/>
          <w:szCs w:val="20"/>
        </w:rPr>
      </w:pPr>
    </w:p>
    <w:p w14:paraId="2604B67F" w14:textId="77777777" w:rsidR="00072413" w:rsidRDefault="00072413">
      <w:pPr>
        <w:ind w:right="300"/>
        <w:rPr>
          <w:rFonts w:ascii="Calibri" w:hAnsi="Calibri"/>
          <w:color w:val="auto"/>
          <w:sz w:val="20"/>
          <w:szCs w:val="20"/>
        </w:rPr>
      </w:pPr>
    </w:p>
    <w:p w14:paraId="1DD9F989" w14:textId="77777777" w:rsidR="00072413" w:rsidRDefault="00072413">
      <w:pPr>
        <w:ind w:right="300"/>
        <w:rPr>
          <w:rFonts w:ascii="Calibri" w:hAnsi="Calibri"/>
          <w:color w:val="auto"/>
          <w:sz w:val="20"/>
          <w:szCs w:val="20"/>
        </w:rPr>
      </w:pPr>
    </w:p>
    <w:p w14:paraId="4E46B69D" w14:textId="77777777" w:rsidR="00072413" w:rsidRDefault="00072413">
      <w:pPr>
        <w:ind w:right="300"/>
        <w:rPr>
          <w:rFonts w:ascii="Calibri" w:hAnsi="Calibri"/>
          <w:color w:val="auto"/>
          <w:sz w:val="20"/>
          <w:szCs w:val="20"/>
        </w:rPr>
      </w:pPr>
    </w:p>
    <w:p w14:paraId="09D88792" w14:textId="77777777" w:rsidR="00072413" w:rsidRDefault="00072413">
      <w:pPr>
        <w:ind w:right="300"/>
        <w:rPr>
          <w:rFonts w:ascii="Calibri" w:hAnsi="Calibri"/>
          <w:color w:val="auto"/>
          <w:sz w:val="20"/>
          <w:szCs w:val="20"/>
        </w:rPr>
      </w:pPr>
    </w:p>
    <w:p w14:paraId="52D59A0B" w14:textId="77777777" w:rsidR="00072413" w:rsidRDefault="00072413">
      <w:pPr>
        <w:ind w:right="300"/>
        <w:rPr>
          <w:rFonts w:ascii="Calibri" w:hAnsi="Calibri"/>
          <w:color w:val="auto"/>
          <w:sz w:val="20"/>
          <w:szCs w:val="20"/>
        </w:rPr>
      </w:pPr>
    </w:p>
    <w:p w14:paraId="67838610" w14:textId="77777777" w:rsidR="00072413" w:rsidRDefault="00072413">
      <w:pPr>
        <w:ind w:right="300"/>
        <w:rPr>
          <w:rFonts w:ascii="Calibri" w:hAnsi="Calibri"/>
          <w:color w:val="auto"/>
          <w:sz w:val="20"/>
          <w:szCs w:val="20"/>
        </w:rPr>
      </w:pPr>
    </w:p>
    <w:p w14:paraId="3BBB0D7F" w14:textId="77777777" w:rsidR="00072413" w:rsidRDefault="00072413">
      <w:pPr>
        <w:ind w:right="300"/>
        <w:rPr>
          <w:rFonts w:ascii="Calibri" w:hAnsi="Calibri"/>
          <w:color w:val="auto"/>
          <w:sz w:val="20"/>
          <w:szCs w:val="20"/>
        </w:rPr>
      </w:pPr>
    </w:p>
    <w:p w14:paraId="12019A61" w14:textId="77777777" w:rsidR="00072413" w:rsidRDefault="00072413">
      <w:pPr>
        <w:ind w:right="300"/>
        <w:rPr>
          <w:rFonts w:ascii="Calibri" w:hAnsi="Calibri"/>
          <w:color w:val="auto"/>
          <w:sz w:val="20"/>
          <w:szCs w:val="20"/>
        </w:rPr>
      </w:pPr>
    </w:p>
    <w:p w14:paraId="628C3B86" w14:textId="77777777" w:rsidR="00072413" w:rsidRDefault="00072413">
      <w:pPr>
        <w:ind w:right="300"/>
        <w:rPr>
          <w:rFonts w:ascii="Calibri" w:hAnsi="Calibri"/>
          <w:color w:val="auto"/>
          <w:sz w:val="20"/>
          <w:szCs w:val="20"/>
        </w:rPr>
      </w:pPr>
    </w:p>
    <w:p w14:paraId="38D47E0A" w14:textId="77777777" w:rsidR="00072413" w:rsidRDefault="00072413">
      <w:pPr>
        <w:ind w:right="300"/>
        <w:rPr>
          <w:rFonts w:ascii="Calibri" w:hAnsi="Calibri"/>
          <w:color w:val="auto"/>
          <w:sz w:val="20"/>
          <w:szCs w:val="20"/>
        </w:rPr>
      </w:pPr>
    </w:p>
    <w:p w14:paraId="4AF410DC" w14:textId="77777777" w:rsidR="00072413" w:rsidRDefault="00072413">
      <w:pPr>
        <w:ind w:right="300"/>
        <w:rPr>
          <w:rFonts w:ascii="Calibri" w:hAnsi="Calibri"/>
          <w:color w:val="auto"/>
          <w:sz w:val="20"/>
          <w:szCs w:val="20"/>
        </w:rPr>
      </w:pPr>
    </w:p>
    <w:p w14:paraId="1037AFDA" w14:textId="77777777" w:rsidR="00072413" w:rsidRDefault="00072413">
      <w:pPr>
        <w:ind w:right="300"/>
        <w:rPr>
          <w:rFonts w:ascii="Calibri" w:hAnsi="Calibri"/>
          <w:color w:val="auto"/>
          <w:sz w:val="20"/>
          <w:szCs w:val="20"/>
        </w:rPr>
      </w:pPr>
    </w:p>
    <w:p w14:paraId="4361EF33" w14:textId="77777777" w:rsidR="00072413" w:rsidRDefault="00072413">
      <w:pPr>
        <w:ind w:right="300"/>
        <w:rPr>
          <w:rFonts w:ascii="Calibri" w:hAnsi="Calibri"/>
          <w:color w:val="auto"/>
          <w:sz w:val="20"/>
          <w:szCs w:val="20"/>
        </w:rPr>
      </w:pPr>
    </w:p>
    <w:p w14:paraId="1F22496D" w14:textId="77777777" w:rsidR="00072413" w:rsidRDefault="00072413">
      <w:pPr>
        <w:ind w:right="300"/>
        <w:rPr>
          <w:rFonts w:ascii="Calibri" w:hAnsi="Calibri"/>
          <w:color w:val="auto"/>
          <w:sz w:val="20"/>
          <w:szCs w:val="20"/>
        </w:rPr>
      </w:pPr>
    </w:p>
    <w:p w14:paraId="0167A288" w14:textId="77777777" w:rsidR="001E3204" w:rsidRDefault="001E3204">
      <w:pPr>
        <w:ind w:right="300"/>
        <w:rPr>
          <w:rFonts w:ascii="Calibri" w:hAnsi="Calibri"/>
          <w:color w:val="auto"/>
          <w:sz w:val="20"/>
          <w:szCs w:val="20"/>
        </w:rPr>
      </w:pPr>
    </w:p>
    <w:p w14:paraId="7FD2FD44" w14:textId="77777777" w:rsidR="001E3204" w:rsidRDefault="001E3204">
      <w:pPr>
        <w:ind w:right="300"/>
        <w:rPr>
          <w:rFonts w:ascii="Calibri" w:hAnsi="Calibri"/>
          <w:color w:val="auto"/>
          <w:sz w:val="20"/>
          <w:szCs w:val="20"/>
        </w:rPr>
      </w:pPr>
    </w:p>
    <w:p w14:paraId="5C4B0CF1" w14:textId="77777777" w:rsidR="001E3204" w:rsidRDefault="001E3204">
      <w:pPr>
        <w:ind w:right="300"/>
        <w:rPr>
          <w:rFonts w:ascii="Calibri" w:hAnsi="Calibri"/>
          <w:color w:val="auto"/>
          <w:sz w:val="20"/>
          <w:szCs w:val="20"/>
        </w:rPr>
      </w:pPr>
    </w:p>
    <w:p w14:paraId="463C6CDE" w14:textId="77777777" w:rsidR="001E3204" w:rsidRDefault="001E3204">
      <w:pPr>
        <w:ind w:right="300"/>
        <w:rPr>
          <w:rFonts w:ascii="Calibri" w:hAnsi="Calibri"/>
          <w:color w:val="auto"/>
          <w:sz w:val="20"/>
          <w:szCs w:val="20"/>
        </w:rPr>
      </w:pPr>
    </w:p>
    <w:p w14:paraId="17294908" w14:textId="77777777" w:rsidR="002F1589" w:rsidRDefault="002F1589" w:rsidP="00087783">
      <w:pPr>
        <w:rPr>
          <w:rFonts w:ascii="Calibri" w:hAnsi="Calibri"/>
          <w:color w:val="auto"/>
          <w:sz w:val="19"/>
          <w:szCs w:val="19"/>
        </w:rPr>
      </w:pPr>
    </w:p>
    <w:p w14:paraId="25E37D38" w14:textId="77777777" w:rsidR="002F1589" w:rsidRDefault="002F1589" w:rsidP="00087783">
      <w:pPr>
        <w:rPr>
          <w:rFonts w:ascii="Calibri" w:hAnsi="Calibri"/>
          <w:color w:val="auto"/>
          <w:sz w:val="19"/>
          <w:szCs w:val="19"/>
        </w:rPr>
      </w:pPr>
    </w:p>
    <w:p w14:paraId="2347817F" w14:textId="77777777" w:rsidR="002F1589" w:rsidRDefault="002F1589" w:rsidP="00087783">
      <w:pPr>
        <w:rPr>
          <w:rFonts w:ascii="Calibri" w:hAnsi="Calibri"/>
          <w:color w:val="auto"/>
          <w:sz w:val="19"/>
          <w:szCs w:val="19"/>
        </w:rPr>
      </w:pPr>
    </w:p>
    <w:p w14:paraId="093FA8CD" w14:textId="77777777" w:rsidR="002F1589" w:rsidRDefault="00C33EFC" w:rsidP="00AB0641">
      <w:pPr>
        <w:ind w:left="-284"/>
        <w:rPr>
          <w:rFonts w:ascii="Calibri" w:hAnsi="Calibri" w:cs="Courier New"/>
          <w:bCs/>
          <w:color w:val="auto"/>
          <w:sz w:val="20"/>
          <w:szCs w:val="20"/>
        </w:rPr>
      </w:pPr>
      <w:r>
        <w:rPr>
          <w:rFonts w:ascii="Calibri" w:hAnsi="Calibri"/>
          <w:color w:val="auto"/>
          <w:sz w:val="19"/>
          <w:szCs w:val="19"/>
        </w:rPr>
        <w:br w:type="column"/>
      </w:r>
      <w:r w:rsidR="00C7376B">
        <w:rPr>
          <w:rFonts w:ascii="Calibri" w:hAnsi="Calibri"/>
          <w:color w:val="auto"/>
          <w:sz w:val="19"/>
          <w:szCs w:val="19"/>
        </w:rPr>
        <w:t>The Department of Veterans’ Affairs (DVA) commissioned the National In</w:t>
      </w:r>
      <w:r w:rsidR="008C5944">
        <w:rPr>
          <w:rFonts w:ascii="Calibri" w:hAnsi="Calibri"/>
          <w:color w:val="auto"/>
          <w:sz w:val="19"/>
          <w:szCs w:val="19"/>
        </w:rPr>
        <w:t>stitute of Labour Studies</w:t>
      </w:r>
      <w:r w:rsidR="00C7376B">
        <w:rPr>
          <w:rFonts w:ascii="Calibri" w:hAnsi="Calibri"/>
          <w:color w:val="auto"/>
          <w:sz w:val="19"/>
          <w:szCs w:val="19"/>
        </w:rPr>
        <w:t xml:space="preserve"> at Flinders University to undertake analysis of workforce outcomes for DVA clients</w:t>
      </w:r>
      <w:r w:rsidR="005D7892">
        <w:rPr>
          <w:rFonts w:ascii="Calibri" w:hAnsi="Calibri"/>
          <w:color w:val="auto"/>
          <w:sz w:val="19"/>
          <w:szCs w:val="19"/>
        </w:rPr>
        <w:t xml:space="preserve">. </w:t>
      </w:r>
      <w:r w:rsidR="00C7376B">
        <w:rPr>
          <w:rFonts w:ascii="Calibri" w:hAnsi="Calibri"/>
          <w:color w:val="auto"/>
          <w:sz w:val="19"/>
          <w:szCs w:val="19"/>
        </w:rPr>
        <w:t xml:space="preserve">The project aimed to </w:t>
      </w:r>
      <w:r w:rsidR="00C7376B">
        <w:rPr>
          <w:rFonts w:ascii="Calibri" w:hAnsi="Calibri" w:cs="Courier New"/>
          <w:bCs/>
          <w:color w:val="auto"/>
          <w:sz w:val="20"/>
          <w:szCs w:val="20"/>
        </w:rPr>
        <w:t xml:space="preserve">highlight pathways that might lead to improved outcomes for DVA clients, and to </w:t>
      </w:r>
      <w:r w:rsidR="00A924F3">
        <w:rPr>
          <w:rFonts w:ascii="Calibri" w:hAnsi="Calibri" w:cs="Courier New"/>
          <w:bCs/>
          <w:color w:val="auto"/>
          <w:sz w:val="20"/>
          <w:szCs w:val="20"/>
        </w:rPr>
        <w:t>provide</w:t>
      </w:r>
      <w:r w:rsidR="00C7376B">
        <w:rPr>
          <w:rFonts w:ascii="Calibri" w:hAnsi="Calibri" w:cs="Courier New"/>
          <w:bCs/>
          <w:color w:val="auto"/>
          <w:sz w:val="20"/>
          <w:szCs w:val="20"/>
        </w:rPr>
        <w:t xml:space="preserve"> insights about the effect of education options.</w:t>
      </w:r>
    </w:p>
    <w:p w14:paraId="6A3B74C5" w14:textId="77777777" w:rsidR="00C7376B" w:rsidRPr="00430FE3" w:rsidRDefault="00C7376B" w:rsidP="00CB2AA7">
      <w:pPr>
        <w:ind w:left="-142"/>
        <w:rPr>
          <w:rFonts w:ascii="Calibri" w:hAnsi="Calibri" w:cs="Courier New"/>
          <w:bCs/>
          <w:color w:val="auto"/>
          <w:sz w:val="12"/>
          <w:szCs w:val="12"/>
        </w:rPr>
      </w:pPr>
    </w:p>
    <w:p w14:paraId="05FBA188" w14:textId="77777777" w:rsidR="008664AC" w:rsidRPr="00430FE3" w:rsidRDefault="00C7376B" w:rsidP="00AB0641">
      <w:pPr>
        <w:spacing w:after="120"/>
        <w:ind w:left="-284"/>
        <w:rPr>
          <w:rFonts w:ascii="Calibri" w:hAnsi="Calibri"/>
          <w:color w:val="auto"/>
          <w:sz w:val="12"/>
          <w:szCs w:val="12"/>
        </w:rPr>
      </w:pPr>
      <w:r>
        <w:rPr>
          <w:rFonts w:ascii="Calibri" w:hAnsi="Calibri"/>
          <w:color w:val="auto"/>
          <w:sz w:val="19"/>
          <w:szCs w:val="19"/>
        </w:rPr>
        <w:t xml:space="preserve">As there </w:t>
      </w:r>
      <w:r w:rsidR="005D7892">
        <w:rPr>
          <w:rFonts w:ascii="Calibri" w:hAnsi="Calibri"/>
          <w:color w:val="auto"/>
          <w:sz w:val="19"/>
          <w:szCs w:val="19"/>
        </w:rPr>
        <w:t>was</w:t>
      </w:r>
      <w:r>
        <w:rPr>
          <w:rFonts w:ascii="Calibri" w:hAnsi="Calibri"/>
          <w:color w:val="auto"/>
          <w:sz w:val="19"/>
          <w:szCs w:val="19"/>
        </w:rPr>
        <w:t xml:space="preserve"> no available data that specifically relate</w:t>
      </w:r>
      <w:r w:rsidR="005D7892">
        <w:rPr>
          <w:rFonts w:ascii="Calibri" w:hAnsi="Calibri"/>
          <w:color w:val="auto"/>
          <w:sz w:val="19"/>
          <w:szCs w:val="19"/>
        </w:rPr>
        <w:t>d</w:t>
      </w:r>
      <w:r>
        <w:rPr>
          <w:rFonts w:ascii="Calibri" w:hAnsi="Calibri"/>
          <w:color w:val="auto"/>
          <w:sz w:val="19"/>
          <w:szCs w:val="19"/>
        </w:rPr>
        <w:t xml:space="preserve"> to workforce outcomes for DVA clients, the analysis </w:t>
      </w:r>
      <w:r w:rsidR="00B521AF">
        <w:rPr>
          <w:rFonts w:ascii="Calibri" w:hAnsi="Calibri"/>
          <w:color w:val="auto"/>
          <w:sz w:val="19"/>
          <w:szCs w:val="19"/>
        </w:rPr>
        <w:t>used results from the Student Outcomes Survey (SOS) and the Household Income and Labour Dynamics in Australia (HILDA) survey</w:t>
      </w:r>
      <w:r w:rsidR="005D7892">
        <w:rPr>
          <w:rFonts w:ascii="Calibri" w:hAnsi="Calibri"/>
          <w:color w:val="auto"/>
          <w:sz w:val="19"/>
          <w:szCs w:val="19"/>
        </w:rPr>
        <w:t xml:space="preserve">. </w:t>
      </w:r>
      <w:r w:rsidR="008664AC">
        <w:rPr>
          <w:rFonts w:ascii="Calibri" w:hAnsi="Calibri"/>
          <w:color w:val="auto"/>
          <w:sz w:val="19"/>
          <w:szCs w:val="19"/>
        </w:rPr>
        <w:t xml:space="preserve">Results from </w:t>
      </w:r>
      <w:r w:rsidR="00A924F3">
        <w:rPr>
          <w:rFonts w:ascii="Calibri" w:hAnsi="Calibri"/>
          <w:color w:val="auto"/>
          <w:sz w:val="19"/>
          <w:szCs w:val="19"/>
        </w:rPr>
        <w:t>these surveys</w:t>
      </w:r>
      <w:r w:rsidR="008664AC">
        <w:rPr>
          <w:rFonts w:ascii="Calibri" w:hAnsi="Calibri"/>
          <w:color w:val="auto"/>
          <w:sz w:val="19"/>
          <w:szCs w:val="19"/>
        </w:rPr>
        <w:t xml:space="preserve"> indicate</w:t>
      </w:r>
      <w:r w:rsidR="00E97DE7">
        <w:rPr>
          <w:rFonts w:ascii="Calibri" w:hAnsi="Calibri"/>
          <w:color w:val="auto"/>
          <w:sz w:val="19"/>
          <w:szCs w:val="19"/>
        </w:rPr>
        <w:t xml:space="preserve"> the main effect of health con</w:t>
      </w:r>
      <w:r w:rsidR="005D7892">
        <w:rPr>
          <w:rFonts w:ascii="Calibri" w:hAnsi="Calibri"/>
          <w:color w:val="auto"/>
          <w:sz w:val="19"/>
          <w:szCs w:val="19"/>
        </w:rPr>
        <w:t xml:space="preserve">ditions is on participation (i.e. </w:t>
      </w:r>
      <w:r w:rsidR="00E97DE7">
        <w:rPr>
          <w:rFonts w:ascii="Calibri" w:hAnsi="Calibri"/>
          <w:color w:val="auto"/>
          <w:sz w:val="19"/>
          <w:szCs w:val="19"/>
        </w:rPr>
        <w:t>the ability to be able to look for work</w:t>
      </w:r>
      <w:r w:rsidR="005D7892">
        <w:rPr>
          <w:rFonts w:ascii="Calibri" w:hAnsi="Calibri"/>
          <w:color w:val="auto"/>
          <w:sz w:val="19"/>
          <w:szCs w:val="19"/>
        </w:rPr>
        <w:t xml:space="preserve">). </w:t>
      </w:r>
    </w:p>
    <w:p w14:paraId="21708A77" w14:textId="77777777" w:rsidR="008664AC" w:rsidRDefault="00A924F3" w:rsidP="00AB0641">
      <w:pPr>
        <w:ind w:left="-284"/>
        <w:rPr>
          <w:rFonts w:ascii="Calibri" w:hAnsi="Calibri"/>
          <w:color w:val="auto"/>
          <w:sz w:val="19"/>
          <w:szCs w:val="19"/>
        </w:rPr>
      </w:pPr>
      <w:r>
        <w:rPr>
          <w:rFonts w:ascii="Calibri" w:hAnsi="Calibri"/>
          <w:color w:val="auto"/>
          <w:sz w:val="19"/>
          <w:szCs w:val="19"/>
        </w:rPr>
        <w:t>E</w:t>
      </w:r>
      <w:r w:rsidR="008664AC">
        <w:rPr>
          <w:rFonts w:ascii="Calibri" w:hAnsi="Calibri"/>
          <w:color w:val="auto"/>
          <w:sz w:val="19"/>
          <w:szCs w:val="19"/>
        </w:rPr>
        <w:t xml:space="preserve">ducation </w:t>
      </w:r>
      <w:r>
        <w:rPr>
          <w:rFonts w:ascii="Calibri" w:hAnsi="Calibri"/>
          <w:color w:val="auto"/>
          <w:sz w:val="19"/>
          <w:szCs w:val="19"/>
        </w:rPr>
        <w:t xml:space="preserve">also </w:t>
      </w:r>
      <w:r w:rsidR="008664AC">
        <w:rPr>
          <w:rFonts w:ascii="Calibri" w:hAnsi="Calibri"/>
          <w:color w:val="auto"/>
          <w:sz w:val="19"/>
          <w:szCs w:val="19"/>
        </w:rPr>
        <w:t>has an impa</w:t>
      </w:r>
      <w:r>
        <w:rPr>
          <w:rFonts w:ascii="Calibri" w:hAnsi="Calibri"/>
          <w:color w:val="auto"/>
          <w:sz w:val="19"/>
          <w:szCs w:val="19"/>
        </w:rPr>
        <w:t xml:space="preserve">ct on workforce participation. </w:t>
      </w:r>
      <w:r w:rsidR="009A1B7D">
        <w:rPr>
          <w:rFonts w:ascii="Calibri" w:hAnsi="Calibri"/>
          <w:color w:val="auto"/>
          <w:sz w:val="19"/>
          <w:szCs w:val="19"/>
        </w:rPr>
        <w:t xml:space="preserve">In the general population, </w:t>
      </w:r>
      <w:r w:rsidR="008664AC">
        <w:rPr>
          <w:rFonts w:ascii="Calibri" w:hAnsi="Calibri"/>
          <w:color w:val="auto"/>
          <w:sz w:val="19"/>
          <w:szCs w:val="19"/>
        </w:rPr>
        <w:t>Vocational Education and Training (VET) certificates and diplomas increase likelihood of participation by 3%, compared to t</w:t>
      </w:r>
      <w:r>
        <w:rPr>
          <w:rFonts w:ascii="Calibri" w:hAnsi="Calibri"/>
          <w:color w:val="auto"/>
          <w:sz w:val="19"/>
          <w:szCs w:val="19"/>
        </w:rPr>
        <w:t xml:space="preserve">hose educated only to Year 12. </w:t>
      </w:r>
      <w:r w:rsidR="008664AC">
        <w:rPr>
          <w:rFonts w:ascii="Calibri" w:hAnsi="Calibri"/>
          <w:color w:val="auto"/>
          <w:sz w:val="19"/>
          <w:szCs w:val="19"/>
        </w:rPr>
        <w:t xml:space="preserve">Post-school education also </w:t>
      </w:r>
      <w:r w:rsidR="005B0EE8">
        <w:rPr>
          <w:rFonts w:ascii="Calibri" w:hAnsi="Calibri"/>
          <w:color w:val="auto"/>
          <w:sz w:val="19"/>
          <w:szCs w:val="19"/>
        </w:rPr>
        <w:t xml:space="preserve">positively </w:t>
      </w:r>
      <w:r w:rsidR="008664AC">
        <w:rPr>
          <w:rFonts w:ascii="Calibri" w:hAnsi="Calibri"/>
          <w:color w:val="auto"/>
          <w:sz w:val="19"/>
          <w:szCs w:val="19"/>
        </w:rPr>
        <w:t>impacts</w:t>
      </w:r>
      <w:r w:rsidR="005B0EE8">
        <w:rPr>
          <w:rFonts w:ascii="Calibri" w:hAnsi="Calibri"/>
          <w:color w:val="auto"/>
          <w:sz w:val="19"/>
          <w:szCs w:val="19"/>
        </w:rPr>
        <w:t xml:space="preserve"> on</w:t>
      </w:r>
      <w:r w:rsidR="008664AC">
        <w:rPr>
          <w:rFonts w:ascii="Calibri" w:hAnsi="Calibri"/>
          <w:color w:val="auto"/>
          <w:sz w:val="19"/>
          <w:szCs w:val="19"/>
        </w:rPr>
        <w:t xml:space="preserve"> weekly wage</w:t>
      </w:r>
      <w:r w:rsidR="005B0EE8">
        <w:rPr>
          <w:rFonts w:ascii="Calibri" w:hAnsi="Calibri"/>
          <w:color w:val="auto"/>
          <w:sz w:val="19"/>
          <w:szCs w:val="19"/>
        </w:rPr>
        <w:t xml:space="preserve"> </w:t>
      </w:r>
      <w:r w:rsidR="008664AC">
        <w:rPr>
          <w:rFonts w:ascii="Calibri" w:hAnsi="Calibri"/>
          <w:color w:val="auto"/>
          <w:sz w:val="19"/>
          <w:szCs w:val="19"/>
        </w:rPr>
        <w:t>compared with people educated to Year 12</w:t>
      </w:r>
      <w:r w:rsidR="005B0EE8">
        <w:rPr>
          <w:rFonts w:ascii="Calibri" w:hAnsi="Calibri"/>
          <w:color w:val="auto"/>
          <w:sz w:val="19"/>
          <w:szCs w:val="19"/>
        </w:rPr>
        <w:t xml:space="preserve"> only</w:t>
      </w:r>
      <w:r w:rsidR="005D7892">
        <w:rPr>
          <w:rFonts w:ascii="Calibri" w:hAnsi="Calibri"/>
          <w:color w:val="auto"/>
          <w:sz w:val="19"/>
          <w:szCs w:val="19"/>
        </w:rPr>
        <w:t xml:space="preserve">. </w:t>
      </w:r>
      <w:r w:rsidR="003F3B1A">
        <w:rPr>
          <w:rFonts w:ascii="Calibri" w:hAnsi="Calibri"/>
          <w:color w:val="auto"/>
          <w:sz w:val="19"/>
          <w:szCs w:val="19"/>
        </w:rPr>
        <w:t>However, these findings are highly variable across fields of study.</w:t>
      </w:r>
    </w:p>
    <w:p w14:paraId="757CC993" w14:textId="77777777" w:rsidR="008664AC" w:rsidRPr="00430FE3" w:rsidRDefault="008664AC" w:rsidP="00AB0641">
      <w:pPr>
        <w:ind w:left="-284"/>
        <w:rPr>
          <w:rFonts w:ascii="Calibri" w:hAnsi="Calibri"/>
          <w:color w:val="auto"/>
          <w:sz w:val="12"/>
          <w:szCs w:val="12"/>
        </w:rPr>
      </w:pPr>
    </w:p>
    <w:p w14:paraId="4F4DFE25" w14:textId="77777777" w:rsidR="008664AC" w:rsidRDefault="003F3B1A" w:rsidP="00AB0641">
      <w:pPr>
        <w:ind w:left="-284"/>
        <w:rPr>
          <w:rFonts w:ascii="Calibri" w:hAnsi="Calibri"/>
          <w:color w:val="auto"/>
          <w:sz w:val="19"/>
          <w:szCs w:val="19"/>
        </w:rPr>
      </w:pPr>
      <w:r>
        <w:rPr>
          <w:rFonts w:ascii="Calibri" w:hAnsi="Calibri"/>
          <w:color w:val="auto"/>
          <w:sz w:val="19"/>
          <w:szCs w:val="19"/>
        </w:rPr>
        <w:t>After determining these findings, t</w:t>
      </w:r>
      <w:r w:rsidR="008664AC">
        <w:rPr>
          <w:rFonts w:ascii="Calibri" w:hAnsi="Calibri"/>
          <w:color w:val="auto"/>
          <w:sz w:val="19"/>
          <w:szCs w:val="19"/>
        </w:rPr>
        <w:t>he researchers created ‘example’ DVA client</w:t>
      </w:r>
      <w:r w:rsidR="005D7892">
        <w:rPr>
          <w:rFonts w:ascii="Calibri" w:hAnsi="Calibri"/>
          <w:color w:val="auto"/>
          <w:sz w:val="19"/>
          <w:szCs w:val="19"/>
        </w:rPr>
        <w:t xml:space="preserve"> groups</w:t>
      </w:r>
      <w:r w:rsidR="008664AC">
        <w:rPr>
          <w:rFonts w:ascii="Calibri" w:hAnsi="Calibri"/>
          <w:color w:val="auto"/>
          <w:sz w:val="19"/>
          <w:szCs w:val="19"/>
        </w:rPr>
        <w:t xml:space="preserve">, based on compensation type, health conditions, medical discharge status, and service type. They then applied the </w:t>
      </w:r>
      <w:r>
        <w:rPr>
          <w:rFonts w:ascii="Calibri" w:hAnsi="Calibri"/>
          <w:color w:val="auto"/>
          <w:sz w:val="19"/>
          <w:szCs w:val="19"/>
        </w:rPr>
        <w:t>results</w:t>
      </w:r>
      <w:r w:rsidR="008664AC">
        <w:rPr>
          <w:rFonts w:ascii="Calibri" w:hAnsi="Calibri"/>
          <w:color w:val="auto"/>
          <w:sz w:val="19"/>
          <w:szCs w:val="19"/>
        </w:rPr>
        <w:t xml:space="preserve"> from the SOS and HILDA survey</w:t>
      </w:r>
      <w:r w:rsidR="005D7892">
        <w:rPr>
          <w:rFonts w:ascii="Calibri" w:hAnsi="Calibri"/>
          <w:color w:val="auto"/>
          <w:sz w:val="19"/>
          <w:szCs w:val="19"/>
        </w:rPr>
        <w:t xml:space="preserve"> to the ‘example’ client groups</w:t>
      </w:r>
      <w:r w:rsidR="008664AC">
        <w:rPr>
          <w:rFonts w:ascii="Calibri" w:hAnsi="Calibri"/>
          <w:color w:val="auto"/>
          <w:sz w:val="19"/>
          <w:szCs w:val="19"/>
        </w:rPr>
        <w:t xml:space="preserve"> to estimate their likely workforce outcomes.</w:t>
      </w:r>
    </w:p>
    <w:p w14:paraId="7E1BA116" w14:textId="77777777" w:rsidR="003F3B1A" w:rsidRPr="00430FE3" w:rsidRDefault="003F3B1A" w:rsidP="00AB0641">
      <w:pPr>
        <w:ind w:left="-284"/>
        <w:rPr>
          <w:rFonts w:ascii="Calibri" w:hAnsi="Calibri"/>
          <w:color w:val="auto"/>
          <w:sz w:val="12"/>
          <w:szCs w:val="12"/>
        </w:rPr>
      </w:pPr>
    </w:p>
    <w:p w14:paraId="04FFCC6C" w14:textId="77777777" w:rsidR="003F3B1A" w:rsidRDefault="00A924F3" w:rsidP="00AB0641">
      <w:pPr>
        <w:ind w:left="-284"/>
        <w:rPr>
          <w:rFonts w:ascii="Calibri" w:hAnsi="Calibri"/>
          <w:color w:val="auto"/>
          <w:sz w:val="19"/>
          <w:szCs w:val="19"/>
        </w:rPr>
      </w:pPr>
      <w:r>
        <w:rPr>
          <w:rFonts w:ascii="Calibri" w:hAnsi="Calibri"/>
          <w:color w:val="auto"/>
          <w:sz w:val="19"/>
          <w:szCs w:val="19"/>
        </w:rPr>
        <w:t>The r</w:t>
      </w:r>
      <w:r w:rsidR="003F3B1A">
        <w:rPr>
          <w:rFonts w:ascii="Calibri" w:hAnsi="Calibri"/>
          <w:color w:val="auto"/>
          <w:sz w:val="19"/>
          <w:szCs w:val="19"/>
        </w:rPr>
        <w:t>esearchers determined that obtaining qualifications is likely to improve workforce outcomes across all DVA clients</w:t>
      </w:r>
      <w:r w:rsidR="005D7892">
        <w:rPr>
          <w:rFonts w:ascii="Calibri" w:hAnsi="Calibri"/>
          <w:color w:val="auto"/>
          <w:sz w:val="19"/>
          <w:szCs w:val="19"/>
        </w:rPr>
        <w:t xml:space="preserve">. </w:t>
      </w:r>
      <w:r w:rsidR="004C1274" w:rsidRPr="004C1274">
        <w:rPr>
          <w:rFonts w:ascii="Calibri" w:hAnsi="Calibri"/>
          <w:color w:val="auto"/>
          <w:sz w:val="19"/>
          <w:szCs w:val="19"/>
        </w:rPr>
        <w:t xml:space="preserve">There is potential for an individual’s weekly wages to increase by 20% </w:t>
      </w:r>
      <w:r w:rsidR="003F3B1A">
        <w:rPr>
          <w:rFonts w:ascii="Calibri" w:hAnsi="Calibri"/>
          <w:color w:val="auto"/>
          <w:sz w:val="19"/>
          <w:szCs w:val="19"/>
        </w:rPr>
        <w:t>after obtaining a VET certificate, and by 25% afte</w:t>
      </w:r>
      <w:r>
        <w:rPr>
          <w:rFonts w:ascii="Calibri" w:hAnsi="Calibri"/>
          <w:color w:val="auto"/>
          <w:sz w:val="19"/>
          <w:szCs w:val="19"/>
        </w:rPr>
        <w:t xml:space="preserve">r gaining a university degree. </w:t>
      </w:r>
      <w:r w:rsidR="003F3B1A">
        <w:rPr>
          <w:rFonts w:ascii="Calibri" w:hAnsi="Calibri"/>
          <w:color w:val="auto"/>
          <w:sz w:val="19"/>
          <w:szCs w:val="19"/>
        </w:rPr>
        <w:t>Interestingly, a VET diploma does not provide a greater weekly wage improvement than a certificate.</w:t>
      </w:r>
    </w:p>
    <w:p w14:paraId="6451EF6C" w14:textId="77777777" w:rsidR="003F3B1A" w:rsidRPr="00430FE3" w:rsidRDefault="003F3B1A" w:rsidP="00AB0641">
      <w:pPr>
        <w:ind w:left="-284"/>
        <w:rPr>
          <w:rFonts w:ascii="Calibri" w:hAnsi="Calibri"/>
          <w:color w:val="auto"/>
          <w:sz w:val="12"/>
          <w:szCs w:val="12"/>
        </w:rPr>
      </w:pPr>
    </w:p>
    <w:p w14:paraId="365AF82C" w14:textId="77777777" w:rsidR="00AB0641" w:rsidRDefault="00170ADC" w:rsidP="00AB0641">
      <w:pPr>
        <w:spacing w:after="120"/>
        <w:ind w:left="-284"/>
        <w:rPr>
          <w:rFonts w:ascii="Calibri" w:hAnsi="Calibri"/>
          <w:color w:val="auto"/>
          <w:sz w:val="19"/>
          <w:szCs w:val="19"/>
        </w:rPr>
      </w:pPr>
      <w:r>
        <w:rPr>
          <w:rFonts w:ascii="Calibri" w:hAnsi="Calibri"/>
          <w:color w:val="auto"/>
          <w:sz w:val="19"/>
          <w:szCs w:val="19"/>
        </w:rPr>
        <w:t>W</w:t>
      </w:r>
      <w:r w:rsidR="003F3B1A">
        <w:rPr>
          <w:rFonts w:ascii="Calibri" w:hAnsi="Calibri"/>
          <w:color w:val="auto"/>
          <w:sz w:val="19"/>
          <w:szCs w:val="19"/>
        </w:rPr>
        <w:t>orkforce participation</w:t>
      </w:r>
      <w:r w:rsidR="005D7892">
        <w:rPr>
          <w:rFonts w:ascii="Calibri" w:hAnsi="Calibri"/>
          <w:color w:val="auto"/>
          <w:sz w:val="19"/>
          <w:szCs w:val="19"/>
        </w:rPr>
        <w:t xml:space="preserve"> for</w:t>
      </w:r>
      <w:r w:rsidR="003F3B1A">
        <w:rPr>
          <w:rFonts w:ascii="Calibri" w:hAnsi="Calibri"/>
          <w:color w:val="auto"/>
          <w:sz w:val="19"/>
          <w:szCs w:val="19"/>
        </w:rPr>
        <w:t xml:space="preserve"> DVA clients </w:t>
      </w:r>
      <w:r w:rsidR="00804D83">
        <w:rPr>
          <w:rFonts w:ascii="Calibri" w:hAnsi="Calibri"/>
          <w:color w:val="auto"/>
          <w:sz w:val="19"/>
          <w:szCs w:val="19"/>
        </w:rPr>
        <w:t xml:space="preserve">with only secondary school education and </w:t>
      </w:r>
      <w:r w:rsidR="003F3B1A">
        <w:rPr>
          <w:rFonts w:ascii="Calibri" w:hAnsi="Calibri"/>
          <w:color w:val="auto"/>
          <w:sz w:val="19"/>
          <w:szCs w:val="19"/>
        </w:rPr>
        <w:t>both mental and physical conditions is expected to be around 67%</w:t>
      </w:r>
      <w:r>
        <w:rPr>
          <w:rFonts w:ascii="Calibri" w:hAnsi="Calibri"/>
          <w:color w:val="auto"/>
          <w:sz w:val="19"/>
          <w:szCs w:val="19"/>
        </w:rPr>
        <w:t>, with 73% the estimate for clients with only a physical condition</w:t>
      </w:r>
      <w:r w:rsidR="003F3B1A">
        <w:rPr>
          <w:rFonts w:ascii="Calibri" w:hAnsi="Calibri"/>
          <w:color w:val="auto"/>
          <w:sz w:val="19"/>
          <w:szCs w:val="19"/>
        </w:rPr>
        <w:t>.</w:t>
      </w:r>
      <w:r>
        <w:rPr>
          <w:rFonts w:ascii="Calibri" w:hAnsi="Calibri"/>
          <w:color w:val="auto"/>
          <w:sz w:val="19"/>
          <w:szCs w:val="19"/>
        </w:rPr>
        <w:t xml:space="preserve"> These figures rise by 8% </w:t>
      </w:r>
      <w:r w:rsidR="00AD5FC3">
        <w:rPr>
          <w:rFonts w:ascii="Calibri" w:hAnsi="Calibri"/>
          <w:color w:val="auto"/>
          <w:sz w:val="19"/>
          <w:szCs w:val="19"/>
        </w:rPr>
        <w:t xml:space="preserve">to 75% and </w:t>
      </w:r>
      <w:r>
        <w:rPr>
          <w:rFonts w:ascii="Calibri" w:hAnsi="Calibri"/>
          <w:color w:val="auto"/>
          <w:sz w:val="19"/>
          <w:szCs w:val="19"/>
        </w:rPr>
        <w:t xml:space="preserve">7% </w:t>
      </w:r>
      <w:r w:rsidR="00AD5FC3">
        <w:rPr>
          <w:rFonts w:ascii="Calibri" w:hAnsi="Calibri"/>
          <w:color w:val="auto"/>
          <w:sz w:val="19"/>
          <w:szCs w:val="19"/>
        </w:rPr>
        <w:t xml:space="preserve">to 80% </w:t>
      </w:r>
      <w:r>
        <w:rPr>
          <w:rFonts w:ascii="Calibri" w:hAnsi="Calibri"/>
          <w:color w:val="auto"/>
          <w:sz w:val="19"/>
          <w:szCs w:val="19"/>
        </w:rPr>
        <w:t>respectively for clients with a university degree.</w:t>
      </w:r>
    </w:p>
    <w:p w14:paraId="5AEF8613" w14:textId="77777777" w:rsidR="00170ADC" w:rsidRDefault="00170ADC" w:rsidP="00AB0641">
      <w:pPr>
        <w:ind w:left="-284"/>
        <w:rPr>
          <w:rFonts w:ascii="Calibri" w:hAnsi="Calibri"/>
          <w:color w:val="auto"/>
          <w:sz w:val="19"/>
          <w:szCs w:val="19"/>
        </w:rPr>
      </w:pPr>
      <w:r>
        <w:rPr>
          <w:rFonts w:ascii="Calibri" w:hAnsi="Calibri"/>
          <w:color w:val="auto"/>
          <w:sz w:val="19"/>
          <w:szCs w:val="19"/>
        </w:rPr>
        <w:t xml:space="preserve">In addition, the probability of getting a job for those who are able to participate in the workforce is around 78% for clients with </w:t>
      </w:r>
      <w:r w:rsidR="00804D83">
        <w:rPr>
          <w:rFonts w:ascii="Calibri" w:hAnsi="Calibri"/>
          <w:color w:val="auto"/>
          <w:sz w:val="19"/>
          <w:szCs w:val="19"/>
        </w:rPr>
        <w:t xml:space="preserve">only a </w:t>
      </w:r>
      <w:r w:rsidR="00804D83">
        <w:rPr>
          <w:rFonts w:ascii="Calibri" w:hAnsi="Calibri"/>
          <w:color w:val="auto"/>
          <w:sz w:val="19"/>
          <w:szCs w:val="19"/>
        </w:rPr>
        <w:t>secondary school</w:t>
      </w:r>
      <w:r>
        <w:rPr>
          <w:rFonts w:ascii="Calibri" w:hAnsi="Calibri"/>
          <w:color w:val="auto"/>
          <w:sz w:val="19"/>
          <w:szCs w:val="19"/>
        </w:rPr>
        <w:t xml:space="preserve"> education</w:t>
      </w:r>
      <w:r w:rsidR="00804D83">
        <w:rPr>
          <w:rFonts w:ascii="Calibri" w:hAnsi="Calibri"/>
          <w:color w:val="auto"/>
          <w:sz w:val="19"/>
          <w:szCs w:val="19"/>
        </w:rPr>
        <w:t xml:space="preserve"> and both mental and physical conditions</w:t>
      </w:r>
      <w:r>
        <w:rPr>
          <w:rFonts w:ascii="Calibri" w:hAnsi="Calibri"/>
          <w:color w:val="auto"/>
          <w:sz w:val="19"/>
          <w:szCs w:val="19"/>
        </w:rPr>
        <w:t xml:space="preserve">, </w:t>
      </w:r>
      <w:r w:rsidR="00804D83">
        <w:rPr>
          <w:rFonts w:ascii="Calibri" w:hAnsi="Calibri"/>
          <w:color w:val="auto"/>
          <w:sz w:val="19"/>
          <w:szCs w:val="19"/>
        </w:rPr>
        <w:t>compared</w:t>
      </w:r>
      <w:r>
        <w:rPr>
          <w:rFonts w:ascii="Calibri" w:hAnsi="Calibri"/>
          <w:color w:val="auto"/>
          <w:sz w:val="19"/>
          <w:szCs w:val="19"/>
        </w:rPr>
        <w:t xml:space="preserve"> to 85% for clients with only a physical condition</w:t>
      </w:r>
      <w:r w:rsidR="005D7892">
        <w:rPr>
          <w:rFonts w:ascii="Calibri" w:hAnsi="Calibri"/>
          <w:color w:val="auto"/>
          <w:sz w:val="19"/>
          <w:szCs w:val="19"/>
        </w:rPr>
        <w:t xml:space="preserve">. </w:t>
      </w:r>
      <w:r>
        <w:rPr>
          <w:rFonts w:ascii="Calibri" w:hAnsi="Calibri"/>
          <w:color w:val="auto"/>
          <w:sz w:val="19"/>
          <w:szCs w:val="19"/>
        </w:rPr>
        <w:t xml:space="preserve">These figures increase by 7% and 5% </w:t>
      </w:r>
      <w:r w:rsidR="00804D83">
        <w:rPr>
          <w:rFonts w:ascii="Calibri" w:hAnsi="Calibri"/>
          <w:color w:val="auto"/>
          <w:sz w:val="19"/>
          <w:szCs w:val="19"/>
        </w:rPr>
        <w:t xml:space="preserve">respectively </w:t>
      </w:r>
      <w:r>
        <w:rPr>
          <w:rFonts w:ascii="Calibri" w:hAnsi="Calibri"/>
          <w:color w:val="auto"/>
          <w:sz w:val="19"/>
          <w:szCs w:val="19"/>
        </w:rPr>
        <w:t>for clients with university degrees.</w:t>
      </w:r>
    </w:p>
    <w:p w14:paraId="31F77BCB" w14:textId="77777777" w:rsidR="00170ADC" w:rsidRPr="00430FE3" w:rsidRDefault="00170ADC" w:rsidP="008664AC">
      <w:pPr>
        <w:rPr>
          <w:rFonts w:ascii="Calibri" w:hAnsi="Calibri"/>
          <w:color w:val="auto"/>
          <w:sz w:val="12"/>
          <w:szCs w:val="12"/>
        </w:rPr>
      </w:pPr>
    </w:p>
    <w:p w14:paraId="7E54DC01" w14:textId="77777777" w:rsidR="003F3B1A" w:rsidRDefault="00170ADC" w:rsidP="001233A2">
      <w:pPr>
        <w:ind w:left="-284"/>
        <w:rPr>
          <w:rFonts w:ascii="Calibri" w:hAnsi="Calibri"/>
          <w:color w:val="auto"/>
          <w:sz w:val="19"/>
          <w:szCs w:val="19"/>
        </w:rPr>
      </w:pPr>
      <w:r>
        <w:rPr>
          <w:rFonts w:ascii="Calibri" w:hAnsi="Calibri"/>
          <w:color w:val="auto"/>
          <w:sz w:val="19"/>
          <w:szCs w:val="19"/>
        </w:rPr>
        <w:t>Using the ‘example’ DVA client</w:t>
      </w:r>
      <w:r w:rsidR="005D7892">
        <w:rPr>
          <w:rFonts w:ascii="Calibri" w:hAnsi="Calibri"/>
          <w:color w:val="auto"/>
          <w:sz w:val="19"/>
          <w:szCs w:val="19"/>
        </w:rPr>
        <w:t xml:space="preserve"> groups</w:t>
      </w:r>
      <w:r>
        <w:rPr>
          <w:rFonts w:ascii="Calibri" w:hAnsi="Calibri"/>
          <w:color w:val="auto"/>
          <w:sz w:val="19"/>
          <w:szCs w:val="19"/>
        </w:rPr>
        <w:t xml:space="preserve">, the researchers combined outcomes to determine the probability of both being able to participate in the workforce </w:t>
      </w:r>
      <w:r w:rsidR="007113EF">
        <w:rPr>
          <w:rFonts w:ascii="Calibri" w:hAnsi="Calibri"/>
          <w:color w:val="auto"/>
          <w:sz w:val="19"/>
          <w:szCs w:val="19"/>
        </w:rPr>
        <w:t>and ultimately being empl</w:t>
      </w:r>
      <w:r w:rsidR="00E64D96">
        <w:rPr>
          <w:rFonts w:ascii="Calibri" w:hAnsi="Calibri"/>
          <w:color w:val="auto"/>
          <w:sz w:val="19"/>
          <w:szCs w:val="19"/>
        </w:rPr>
        <w:t xml:space="preserve">oyed. </w:t>
      </w:r>
      <w:r w:rsidR="005D7892">
        <w:rPr>
          <w:rFonts w:ascii="Calibri" w:hAnsi="Calibri"/>
          <w:color w:val="auto"/>
          <w:sz w:val="19"/>
          <w:szCs w:val="19"/>
        </w:rPr>
        <w:t xml:space="preserve">A DVA client with a </w:t>
      </w:r>
      <w:r w:rsidR="002D1377">
        <w:rPr>
          <w:rFonts w:ascii="Calibri" w:hAnsi="Calibri"/>
          <w:color w:val="auto"/>
          <w:sz w:val="19"/>
          <w:szCs w:val="19"/>
        </w:rPr>
        <w:t>secondary school</w:t>
      </w:r>
      <w:r w:rsidR="007113EF">
        <w:rPr>
          <w:rFonts w:ascii="Calibri" w:hAnsi="Calibri"/>
          <w:color w:val="auto"/>
          <w:sz w:val="19"/>
          <w:szCs w:val="19"/>
        </w:rPr>
        <w:t xml:space="preserve"> education, </w:t>
      </w:r>
      <w:r w:rsidR="005D7892">
        <w:rPr>
          <w:rFonts w:ascii="Calibri" w:hAnsi="Calibri"/>
          <w:color w:val="auto"/>
          <w:sz w:val="19"/>
          <w:szCs w:val="19"/>
        </w:rPr>
        <w:t>who</w:t>
      </w:r>
      <w:r w:rsidR="002D1377">
        <w:rPr>
          <w:rFonts w:ascii="Calibri" w:hAnsi="Calibri"/>
          <w:color w:val="auto"/>
          <w:sz w:val="19"/>
          <w:szCs w:val="19"/>
        </w:rPr>
        <w:t xml:space="preserve"> has</w:t>
      </w:r>
      <w:r w:rsidR="005D7892">
        <w:rPr>
          <w:rFonts w:ascii="Calibri" w:hAnsi="Calibri"/>
          <w:color w:val="auto"/>
          <w:sz w:val="19"/>
          <w:szCs w:val="19"/>
        </w:rPr>
        <w:t xml:space="preserve"> both mental and physical conditions </w:t>
      </w:r>
      <w:proofErr w:type="gramStart"/>
      <w:r w:rsidR="007113EF">
        <w:rPr>
          <w:rFonts w:ascii="Calibri" w:hAnsi="Calibri"/>
          <w:color w:val="auto"/>
          <w:sz w:val="19"/>
          <w:szCs w:val="19"/>
        </w:rPr>
        <w:t>has</w:t>
      </w:r>
      <w:proofErr w:type="gramEnd"/>
      <w:r w:rsidR="007113EF">
        <w:rPr>
          <w:rFonts w:ascii="Calibri" w:hAnsi="Calibri"/>
          <w:color w:val="auto"/>
          <w:sz w:val="19"/>
          <w:szCs w:val="19"/>
        </w:rPr>
        <w:t xml:space="preserve"> a combined probability of 53% for both</w:t>
      </w:r>
      <w:r w:rsidR="00E64D96">
        <w:rPr>
          <w:rFonts w:ascii="Calibri" w:hAnsi="Calibri"/>
          <w:color w:val="auto"/>
          <w:sz w:val="19"/>
          <w:szCs w:val="19"/>
        </w:rPr>
        <w:t xml:space="preserve"> participation and employment. </w:t>
      </w:r>
      <w:r w:rsidR="007113EF">
        <w:rPr>
          <w:rFonts w:ascii="Calibri" w:hAnsi="Calibri"/>
          <w:color w:val="auto"/>
          <w:sz w:val="19"/>
          <w:szCs w:val="19"/>
        </w:rPr>
        <w:t>The equivalent probability for clients with only a physical health condition is 61%. Obtaining a university degree increases these figures by 11% in each scenario.</w:t>
      </w:r>
    </w:p>
    <w:p w14:paraId="18891A96" w14:textId="77777777" w:rsidR="007113EF" w:rsidRPr="00430FE3" w:rsidRDefault="007113EF" w:rsidP="00CB2AA7">
      <w:pPr>
        <w:ind w:left="-142"/>
        <w:rPr>
          <w:rFonts w:ascii="Calibri" w:hAnsi="Calibri"/>
          <w:color w:val="auto"/>
          <w:sz w:val="12"/>
          <w:szCs w:val="12"/>
        </w:rPr>
      </w:pPr>
    </w:p>
    <w:p w14:paraId="5ECDA8A8" w14:textId="77777777" w:rsidR="007113EF" w:rsidRDefault="00A924F3" w:rsidP="001233A2">
      <w:pPr>
        <w:ind w:left="-284"/>
        <w:rPr>
          <w:rFonts w:ascii="Calibri" w:hAnsi="Calibri"/>
          <w:color w:val="auto"/>
          <w:sz w:val="19"/>
          <w:szCs w:val="19"/>
        </w:rPr>
      </w:pPr>
      <w:r>
        <w:rPr>
          <w:rFonts w:ascii="Calibri" w:hAnsi="Calibri"/>
          <w:color w:val="auto"/>
          <w:sz w:val="19"/>
          <w:szCs w:val="19"/>
        </w:rPr>
        <w:t>DVA clients who receive</w:t>
      </w:r>
      <w:r w:rsidR="007113EF">
        <w:rPr>
          <w:rFonts w:ascii="Calibri" w:hAnsi="Calibri"/>
          <w:color w:val="auto"/>
          <w:sz w:val="19"/>
          <w:szCs w:val="19"/>
        </w:rPr>
        <w:t xml:space="preserve"> Incapacity Payments, or both Incapacity Payments and Permanent Impairment Payments, are expected to experience poorer workforce </w:t>
      </w:r>
      <w:r>
        <w:rPr>
          <w:rFonts w:ascii="Calibri" w:hAnsi="Calibri"/>
          <w:color w:val="auto"/>
          <w:sz w:val="19"/>
          <w:szCs w:val="19"/>
        </w:rPr>
        <w:t>outcomes</w:t>
      </w:r>
      <w:r w:rsidR="007113EF">
        <w:rPr>
          <w:rFonts w:ascii="Calibri" w:hAnsi="Calibri"/>
          <w:color w:val="auto"/>
          <w:sz w:val="19"/>
          <w:szCs w:val="19"/>
        </w:rPr>
        <w:t xml:space="preserve"> than clients who received only Permanent Impairment Payments, or clien</w:t>
      </w:r>
      <w:r w:rsidR="005B0EE8">
        <w:rPr>
          <w:rFonts w:ascii="Calibri" w:hAnsi="Calibri"/>
          <w:color w:val="auto"/>
          <w:sz w:val="19"/>
          <w:szCs w:val="19"/>
        </w:rPr>
        <w:t>ts with only a health condition</w:t>
      </w:r>
      <w:r w:rsidR="007113EF">
        <w:rPr>
          <w:rFonts w:ascii="Calibri" w:hAnsi="Calibri"/>
          <w:color w:val="auto"/>
          <w:sz w:val="19"/>
          <w:szCs w:val="19"/>
        </w:rPr>
        <w:t xml:space="preserve"> accepted by DVA under </w:t>
      </w:r>
      <w:r w:rsidR="005B0EE8">
        <w:rPr>
          <w:rFonts w:ascii="Calibri" w:hAnsi="Calibri"/>
          <w:color w:val="auto"/>
          <w:sz w:val="19"/>
          <w:szCs w:val="19"/>
        </w:rPr>
        <w:t xml:space="preserve">the </w:t>
      </w:r>
      <w:r w:rsidR="005B0EE8" w:rsidRPr="00E97E38">
        <w:rPr>
          <w:rFonts w:ascii="Calibri" w:hAnsi="Calibri"/>
          <w:i/>
          <w:color w:val="auto"/>
          <w:sz w:val="19"/>
          <w:szCs w:val="19"/>
        </w:rPr>
        <w:t>Military Rehab</w:t>
      </w:r>
      <w:r w:rsidR="002D1377" w:rsidRPr="00E97E38">
        <w:rPr>
          <w:rFonts w:ascii="Calibri" w:hAnsi="Calibri"/>
          <w:i/>
          <w:color w:val="auto"/>
          <w:sz w:val="19"/>
          <w:szCs w:val="19"/>
        </w:rPr>
        <w:t xml:space="preserve">ilitation and Compensation Act </w:t>
      </w:r>
      <w:r w:rsidR="005B0EE8" w:rsidRPr="001233A2">
        <w:rPr>
          <w:rFonts w:ascii="Calibri" w:hAnsi="Calibri"/>
          <w:i/>
          <w:color w:val="auto"/>
          <w:sz w:val="19"/>
          <w:szCs w:val="19"/>
        </w:rPr>
        <w:t>2004</w:t>
      </w:r>
      <w:r w:rsidR="005D7892">
        <w:rPr>
          <w:rFonts w:ascii="Calibri" w:hAnsi="Calibri"/>
          <w:color w:val="auto"/>
          <w:sz w:val="19"/>
          <w:szCs w:val="19"/>
        </w:rPr>
        <w:t xml:space="preserve">. </w:t>
      </w:r>
    </w:p>
    <w:p w14:paraId="12CC2FC4" w14:textId="77777777" w:rsidR="008F4249" w:rsidRPr="00430FE3" w:rsidRDefault="008F4249" w:rsidP="00CB2AA7">
      <w:pPr>
        <w:ind w:left="-142"/>
        <w:rPr>
          <w:rFonts w:ascii="Calibri" w:hAnsi="Calibri"/>
          <w:color w:val="auto"/>
          <w:sz w:val="12"/>
          <w:szCs w:val="12"/>
        </w:rPr>
      </w:pPr>
    </w:p>
    <w:p w14:paraId="3E5139E9" w14:textId="77777777" w:rsidR="008F4249" w:rsidRDefault="008F4249" w:rsidP="001233A2">
      <w:pPr>
        <w:ind w:left="-284"/>
        <w:rPr>
          <w:rFonts w:ascii="Calibri" w:hAnsi="Calibri"/>
          <w:color w:val="auto"/>
          <w:sz w:val="19"/>
          <w:szCs w:val="19"/>
        </w:rPr>
      </w:pPr>
      <w:r>
        <w:rPr>
          <w:rFonts w:ascii="Calibri" w:hAnsi="Calibri"/>
          <w:color w:val="auto"/>
          <w:sz w:val="19"/>
          <w:szCs w:val="19"/>
        </w:rPr>
        <w:t>Serving members and reservists are likely to find n</w:t>
      </w:r>
      <w:r w:rsidR="005B0EE8">
        <w:rPr>
          <w:rFonts w:ascii="Calibri" w:hAnsi="Calibri"/>
          <w:color w:val="auto"/>
          <w:sz w:val="19"/>
          <w:szCs w:val="19"/>
        </w:rPr>
        <w:t xml:space="preserve">ew jobs more easily than former </w:t>
      </w:r>
      <w:r>
        <w:rPr>
          <w:rFonts w:ascii="Calibri" w:hAnsi="Calibri"/>
          <w:color w:val="auto"/>
          <w:sz w:val="19"/>
          <w:szCs w:val="19"/>
        </w:rPr>
        <w:t>serving members</w:t>
      </w:r>
      <w:r w:rsidR="005D7892">
        <w:rPr>
          <w:rFonts w:ascii="Calibri" w:hAnsi="Calibri"/>
          <w:color w:val="auto"/>
          <w:sz w:val="19"/>
          <w:szCs w:val="19"/>
        </w:rPr>
        <w:t xml:space="preserve">. </w:t>
      </w:r>
      <w:r>
        <w:rPr>
          <w:rFonts w:ascii="Calibri" w:hAnsi="Calibri"/>
          <w:color w:val="auto"/>
          <w:sz w:val="19"/>
          <w:szCs w:val="19"/>
        </w:rPr>
        <w:t xml:space="preserve">Once a job is obtained, there appears to be only small wage differences between DVA client groups at all levels </w:t>
      </w:r>
      <w:r w:rsidR="00E64D96">
        <w:rPr>
          <w:rFonts w:ascii="Calibri" w:hAnsi="Calibri"/>
          <w:color w:val="auto"/>
          <w:sz w:val="19"/>
          <w:szCs w:val="19"/>
        </w:rPr>
        <w:t xml:space="preserve">of </w:t>
      </w:r>
      <w:r>
        <w:rPr>
          <w:rFonts w:ascii="Calibri" w:hAnsi="Calibri"/>
          <w:color w:val="auto"/>
          <w:sz w:val="19"/>
          <w:szCs w:val="19"/>
        </w:rPr>
        <w:t>education.</w:t>
      </w:r>
    </w:p>
    <w:p w14:paraId="4D2772F7" w14:textId="77777777" w:rsidR="008F4249" w:rsidRPr="00430FE3" w:rsidRDefault="008F4249" w:rsidP="00CB2AA7">
      <w:pPr>
        <w:ind w:left="-142"/>
        <w:rPr>
          <w:rFonts w:ascii="Calibri" w:hAnsi="Calibri"/>
          <w:color w:val="auto"/>
          <w:sz w:val="12"/>
          <w:szCs w:val="12"/>
        </w:rPr>
      </w:pPr>
    </w:p>
    <w:p w14:paraId="7D7246F7" w14:textId="77777777" w:rsidR="008F4249" w:rsidRDefault="008F4249" w:rsidP="001233A2">
      <w:pPr>
        <w:ind w:left="-284"/>
        <w:rPr>
          <w:rFonts w:ascii="Calibri" w:hAnsi="Calibri"/>
          <w:color w:val="auto"/>
          <w:sz w:val="19"/>
          <w:szCs w:val="19"/>
        </w:rPr>
      </w:pPr>
      <w:r>
        <w:rPr>
          <w:rFonts w:ascii="Calibri" w:hAnsi="Calibri"/>
          <w:color w:val="auto"/>
          <w:sz w:val="19"/>
          <w:szCs w:val="19"/>
        </w:rPr>
        <w:t>There were some limitations and assumptions applied during this study. Employment rates were quite high in Australia during the period covered by the SOS and HILDA survey. Some of the observations may not be accurate during times of higher competition</w:t>
      </w:r>
      <w:r w:rsidR="005D7892">
        <w:rPr>
          <w:rFonts w:ascii="Calibri" w:hAnsi="Calibri"/>
          <w:color w:val="auto"/>
          <w:sz w:val="19"/>
          <w:szCs w:val="19"/>
        </w:rPr>
        <w:t xml:space="preserve">. </w:t>
      </w:r>
      <w:r>
        <w:rPr>
          <w:rFonts w:ascii="Calibri" w:hAnsi="Calibri"/>
          <w:color w:val="auto"/>
          <w:sz w:val="19"/>
          <w:szCs w:val="19"/>
        </w:rPr>
        <w:t>In addition, researchers were unable to access more detailed data to allow ‘matching’ of DVA clients with characteristic counterparts in the general population</w:t>
      </w:r>
      <w:r w:rsidR="005D7892">
        <w:rPr>
          <w:rFonts w:ascii="Calibri" w:hAnsi="Calibri"/>
          <w:color w:val="auto"/>
          <w:sz w:val="19"/>
          <w:szCs w:val="19"/>
        </w:rPr>
        <w:t xml:space="preserve">. </w:t>
      </w:r>
      <w:r>
        <w:rPr>
          <w:rFonts w:ascii="Calibri" w:hAnsi="Calibri"/>
          <w:color w:val="auto"/>
          <w:sz w:val="19"/>
          <w:szCs w:val="19"/>
        </w:rPr>
        <w:t>This would have allowed a more precise estimation of workforce outcomes</w:t>
      </w:r>
      <w:r w:rsidR="005D7892">
        <w:rPr>
          <w:rFonts w:ascii="Calibri" w:hAnsi="Calibri"/>
          <w:color w:val="auto"/>
          <w:sz w:val="19"/>
          <w:szCs w:val="19"/>
        </w:rPr>
        <w:t xml:space="preserve">. </w:t>
      </w:r>
      <w:r>
        <w:rPr>
          <w:rFonts w:ascii="Calibri" w:hAnsi="Calibri"/>
          <w:color w:val="auto"/>
          <w:sz w:val="19"/>
          <w:szCs w:val="19"/>
        </w:rPr>
        <w:t>As such, the current findings are only general in nature and should</w:t>
      </w:r>
      <w:r w:rsidR="005B0EE8">
        <w:rPr>
          <w:rFonts w:ascii="Calibri" w:hAnsi="Calibri"/>
          <w:color w:val="auto"/>
          <w:sz w:val="19"/>
          <w:szCs w:val="19"/>
        </w:rPr>
        <w:t xml:space="preserve"> not</w:t>
      </w:r>
      <w:r>
        <w:rPr>
          <w:rFonts w:ascii="Calibri" w:hAnsi="Calibri"/>
          <w:color w:val="auto"/>
          <w:sz w:val="19"/>
          <w:szCs w:val="19"/>
        </w:rPr>
        <w:t xml:space="preserve"> be considered applicable at an individual level.</w:t>
      </w:r>
    </w:p>
    <w:p w14:paraId="24197EBF" w14:textId="77777777" w:rsidR="00441D4B" w:rsidRPr="001233A2" w:rsidRDefault="00441D4B" w:rsidP="001233A2">
      <w:pPr>
        <w:ind w:left="-284"/>
        <w:rPr>
          <w:rFonts w:ascii="Calibri" w:hAnsi="Calibri"/>
          <w:color w:val="auto"/>
          <w:sz w:val="19"/>
          <w:szCs w:val="19"/>
        </w:rPr>
      </w:pPr>
    </w:p>
    <w:p w14:paraId="01203989" w14:textId="77777777" w:rsidR="00EB2BC9" w:rsidRPr="001233A2" w:rsidRDefault="00EB2BC9" w:rsidP="001233A2">
      <w:pPr>
        <w:ind w:left="-284"/>
        <w:rPr>
          <w:rFonts w:ascii="Calibri" w:hAnsi="Calibri"/>
          <w:color w:val="auto"/>
          <w:sz w:val="19"/>
          <w:szCs w:val="19"/>
        </w:rPr>
      </w:pPr>
      <w:r w:rsidRPr="00EB2BC9">
        <w:rPr>
          <w:rFonts w:ascii="Calibri" w:hAnsi="Calibri"/>
          <w:color w:val="auto"/>
          <w:sz w:val="19"/>
          <w:szCs w:val="19"/>
        </w:rPr>
        <w:t xml:space="preserve">The </w:t>
      </w:r>
      <w:r w:rsidR="00F81DAF">
        <w:rPr>
          <w:rFonts w:ascii="Calibri" w:hAnsi="Calibri"/>
          <w:color w:val="auto"/>
          <w:sz w:val="19"/>
          <w:szCs w:val="19"/>
        </w:rPr>
        <w:t xml:space="preserve">results of the </w:t>
      </w:r>
      <w:r w:rsidR="00BC6992">
        <w:rPr>
          <w:rFonts w:ascii="Calibri" w:hAnsi="Calibri"/>
          <w:color w:val="auto"/>
          <w:sz w:val="19"/>
          <w:szCs w:val="19"/>
        </w:rPr>
        <w:t>study</w:t>
      </w:r>
      <w:r w:rsidRPr="00EB2BC9">
        <w:rPr>
          <w:rFonts w:ascii="Calibri" w:hAnsi="Calibri"/>
          <w:color w:val="auto"/>
          <w:sz w:val="19"/>
          <w:szCs w:val="19"/>
        </w:rPr>
        <w:t xml:space="preserve"> </w:t>
      </w:r>
      <w:r w:rsidR="00F81DAF">
        <w:rPr>
          <w:rFonts w:ascii="Calibri" w:hAnsi="Calibri"/>
          <w:color w:val="auto"/>
          <w:sz w:val="19"/>
          <w:szCs w:val="19"/>
        </w:rPr>
        <w:t>are</w:t>
      </w:r>
      <w:r w:rsidRPr="00EB2BC9">
        <w:rPr>
          <w:rFonts w:ascii="Calibri" w:hAnsi="Calibri"/>
          <w:color w:val="auto"/>
          <w:sz w:val="19"/>
          <w:szCs w:val="19"/>
        </w:rPr>
        <w:t xml:space="preserve"> available on DVA</w:t>
      </w:r>
      <w:r w:rsidR="00741BBB">
        <w:rPr>
          <w:rFonts w:ascii="Calibri" w:hAnsi="Calibri"/>
          <w:color w:val="auto"/>
          <w:sz w:val="19"/>
          <w:szCs w:val="19"/>
        </w:rPr>
        <w:t>’s</w:t>
      </w:r>
      <w:r w:rsidRPr="00EB2BC9">
        <w:rPr>
          <w:rFonts w:ascii="Calibri" w:hAnsi="Calibri"/>
          <w:color w:val="auto"/>
          <w:sz w:val="19"/>
          <w:szCs w:val="19"/>
        </w:rPr>
        <w:t xml:space="preserve"> website</w:t>
      </w:r>
      <w:r w:rsidR="00741BBB">
        <w:rPr>
          <w:rFonts w:ascii="Calibri" w:hAnsi="Calibri"/>
          <w:color w:val="auto"/>
          <w:sz w:val="19"/>
          <w:szCs w:val="19"/>
        </w:rPr>
        <w:t>:</w:t>
      </w:r>
      <w:r w:rsidRPr="001233A2">
        <w:rPr>
          <w:rFonts w:ascii="Calibri" w:hAnsi="Calibri"/>
          <w:color w:val="auto"/>
          <w:sz w:val="19"/>
          <w:szCs w:val="19"/>
        </w:rPr>
        <w:t xml:space="preserve"> </w:t>
      </w:r>
      <w:hyperlink r:id="rId9" w:history="1">
        <w:r w:rsidR="002D3275">
          <w:rPr>
            <w:rStyle w:val="Hyperlink"/>
            <w:rFonts w:ascii="Calibri" w:hAnsi="Calibri" w:cs="Calibri"/>
            <w:sz w:val="22"/>
            <w:szCs w:val="22"/>
            <w:lang w:eastAsia="en-US"/>
          </w:rPr>
          <w:t>https://www.dva.gov.au/documents-and-publications/research-and-studies</w:t>
        </w:r>
      </w:hyperlink>
    </w:p>
    <w:sectPr w:rsidR="00EB2BC9" w:rsidRPr="001233A2" w:rsidSect="00E97E3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540" w:right="386" w:bottom="426" w:left="540" w:header="709" w:footer="93" w:gutter="0"/>
      <w:cols w:num="3" w:space="708" w:equalWidth="0">
        <w:col w:w="2880" w:space="720"/>
        <w:col w:w="3420" w:space="540"/>
        <w:col w:w="3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BB77" w14:textId="77777777" w:rsidR="00F91535" w:rsidRDefault="00F91535">
      <w:r>
        <w:separator/>
      </w:r>
    </w:p>
  </w:endnote>
  <w:endnote w:type="continuationSeparator" w:id="0">
    <w:p w14:paraId="15FCC402" w14:textId="77777777" w:rsidR="00F91535" w:rsidRDefault="00F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BED4" w14:textId="77777777" w:rsidR="00072413" w:rsidRDefault="0007241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411A85FC" w14:textId="77777777" w:rsidR="00072413" w:rsidRDefault="00072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40DE" w14:textId="77777777" w:rsidR="00072413" w:rsidRPr="000B491F" w:rsidRDefault="00EB2BC9">
    <w:pPr>
      <w:pStyle w:val="Footer"/>
      <w:tabs>
        <w:tab w:val="clear" w:pos="8306"/>
        <w:tab w:val="right" w:pos="10080"/>
      </w:tabs>
      <w:jc w:val="right"/>
      <w:rPr>
        <w:rFonts w:ascii="Calibri" w:hAnsi="Calibri"/>
        <w:color w:val="808080"/>
        <w:sz w:val="16"/>
        <w:szCs w:val="16"/>
      </w:rPr>
    </w:pPr>
    <w:r w:rsidRPr="000B491F">
      <w:rPr>
        <w:rFonts w:ascii="Calibri" w:hAnsi="Calibri"/>
        <w:color w:val="808080"/>
        <w:sz w:val="16"/>
        <w:szCs w:val="16"/>
      </w:rPr>
      <w:t>M</w:t>
    </w:r>
    <w:r w:rsidR="00072413" w:rsidRPr="000B491F">
      <w:rPr>
        <w:rFonts w:ascii="Calibri" w:hAnsi="Calibri"/>
        <w:color w:val="808080"/>
        <w:sz w:val="16"/>
        <w:szCs w:val="16"/>
      </w:rPr>
      <w:t xml:space="preserve">ore info </w:t>
    </w:r>
    <w:proofErr w:type="gramStart"/>
    <w:r w:rsidR="00072413" w:rsidRPr="000B491F">
      <w:rPr>
        <w:rFonts w:ascii="Calibri" w:hAnsi="Calibri"/>
        <w:color w:val="808080"/>
        <w:sz w:val="16"/>
        <w:szCs w:val="16"/>
      </w:rPr>
      <w:t>contact</w:t>
    </w:r>
    <w:proofErr w:type="gramEnd"/>
    <w:r w:rsidR="00072413" w:rsidRPr="000B491F">
      <w:rPr>
        <w:rFonts w:ascii="Calibri" w:hAnsi="Calibri"/>
        <w:color w:val="808080"/>
        <w:sz w:val="16"/>
        <w:szCs w:val="16"/>
      </w:rPr>
      <w:t xml:space="preserve"> DVA Media</w:t>
    </w:r>
  </w:p>
  <w:p w14:paraId="422D7857" w14:textId="77777777" w:rsidR="00072413" w:rsidRPr="000B491F" w:rsidRDefault="005B0EE8" w:rsidP="005B0EE8">
    <w:pPr>
      <w:pStyle w:val="Footer"/>
      <w:tabs>
        <w:tab w:val="clear" w:pos="4153"/>
        <w:tab w:val="clear" w:pos="8306"/>
        <w:tab w:val="left" w:pos="4170"/>
        <w:tab w:val="right" w:pos="10980"/>
      </w:tabs>
      <w:rPr>
        <w:rFonts w:ascii="Calibri" w:hAnsi="Calibri"/>
        <w:color w:val="808080"/>
        <w:sz w:val="16"/>
        <w:szCs w:val="16"/>
      </w:rPr>
    </w:pPr>
    <w:r w:rsidRPr="000B491F">
      <w:rPr>
        <w:rFonts w:ascii="Calibri" w:hAnsi="Calibri"/>
        <w:color w:val="808080"/>
        <w:sz w:val="16"/>
        <w:szCs w:val="16"/>
      </w:rPr>
      <w:tab/>
    </w:r>
    <w:r w:rsidRPr="000B491F">
      <w:rPr>
        <w:rFonts w:ascii="Calibri" w:hAnsi="Calibri"/>
        <w:color w:val="808080"/>
        <w:sz w:val="16"/>
        <w:szCs w:val="16"/>
      </w:rPr>
      <w:tab/>
      <w:t xml:space="preserve">      </w:t>
    </w:r>
    <w:r w:rsidR="00072413" w:rsidRPr="000B491F">
      <w:rPr>
        <w:rFonts w:ascii="Calibri" w:hAnsi="Calibri"/>
        <w:color w:val="808080"/>
        <w:sz w:val="16"/>
        <w:szCs w:val="16"/>
      </w:rPr>
      <w:t>Email: dvamedia@dva.gov.au</w:t>
    </w:r>
  </w:p>
  <w:p w14:paraId="656E6676" w14:textId="77777777" w:rsidR="00072413" w:rsidRPr="000B491F" w:rsidRDefault="00072413">
    <w:pPr>
      <w:pStyle w:val="Footer"/>
      <w:tabs>
        <w:tab w:val="clear" w:pos="8306"/>
        <w:tab w:val="right" w:pos="10080"/>
      </w:tabs>
      <w:jc w:val="right"/>
      <w:rPr>
        <w:rFonts w:ascii="Calibri" w:hAnsi="Calibri"/>
        <w:color w:val="808080"/>
        <w:sz w:val="16"/>
        <w:szCs w:val="16"/>
      </w:rPr>
    </w:pPr>
    <w:r w:rsidRPr="000B491F">
      <w:rPr>
        <w:rFonts w:ascii="Calibri" w:hAnsi="Calibri"/>
        <w:color w:val="808080"/>
        <w:sz w:val="16"/>
        <w:szCs w:val="16"/>
      </w:rPr>
      <w:t xml:space="preserve">Phone: +61 (0) 2 6289 6203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6572" w14:textId="77777777" w:rsidR="0049070C" w:rsidRDefault="004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03C9" w14:textId="77777777" w:rsidR="00F91535" w:rsidRDefault="00F91535">
      <w:r>
        <w:separator/>
      </w:r>
    </w:p>
  </w:footnote>
  <w:footnote w:type="continuationSeparator" w:id="0">
    <w:p w14:paraId="33CA8215" w14:textId="77777777" w:rsidR="00F91535" w:rsidRDefault="00F9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87DC" w14:textId="77777777" w:rsidR="0049070C" w:rsidRDefault="0049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B758" w14:textId="77777777" w:rsidR="00072413" w:rsidRPr="00E64D96" w:rsidRDefault="00072413" w:rsidP="00E64D96">
    <w:pPr>
      <w:pStyle w:val="Header"/>
      <w:ind w:left="3600"/>
      <w:rPr>
        <w:b/>
        <w:sz w:val="24"/>
        <w:szCs w:val="24"/>
      </w:rPr>
    </w:pPr>
    <w:r>
      <w:rPr>
        <w:b/>
        <w:noProof/>
        <w:sz w:val="48"/>
        <w:szCs w:val="48"/>
      </w:rPr>
      <w:pict w14:anchorId="25F9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75pt;margin-top:-30.2pt;width:252pt;height:52.5pt;z-index:-251658752" o:allowincell="f">
          <v:imagedata r:id="rId1" o:title=""/>
          <w10:wrap type="square"/>
        </v:shape>
      </w:pict>
    </w:r>
    <w:r w:rsidR="005D7026">
      <w:rPr>
        <w:b/>
        <w:sz w:val="48"/>
        <w:szCs w:val="48"/>
      </w:rPr>
      <w:br/>
    </w:r>
    <w:r w:rsidR="00BC6992" w:rsidRPr="00BC6992">
      <w:rPr>
        <w:b/>
        <w:color w:val="auto"/>
        <w:sz w:val="36"/>
        <w:szCs w:val="36"/>
      </w:rPr>
      <w:t>Providing Pathways Guidance to Young Veterans</w:t>
    </w:r>
    <w:r w:rsidR="00BC6992">
      <w:rPr>
        <w:b/>
        <w:color w:val="auto"/>
        <w:sz w:val="36"/>
        <w:szCs w:val="36"/>
      </w:rPr>
      <w:t xml:space="preserve"> </w:t>
    </w:r>
    <w:r w:rsidR="00BC6992" w:rsidRPr="00BC6992">
      <w:rPr>
        <w:b/>
        <w:color w:val="auto"/>
        <w:sz w:val="36"/>
        <w:szCs w:val="36"/>
      </w:rPr>
      <w:t>for a Successful T</w:t>
    </w:r>
    <w:r w:rsidR="00BC6992">
      <w:rPr>
        <w:b/>
        <w:color w:val="auto"/>
        <w:sz w:val="36"/>
        <w:szCs w:val="36"/>
      </w:rPr>
      <w:t>ransition to Civilian Workforce</w:t>
    </w:r>
  </w:p>
  <w:p w14:paraId="167888A2" w14:textId="77777777" w:rsidR="00072413" w:rsidRDefault="00072413">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D1FF" w14:textId="77777777" w:rsidR="0049070C" w:rsidRDefault="00490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DD0"/>
    <w:multiLevelType w:val="hybridMultilevel"/>
    <w:tmpl w:val="D20EE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77C21"/>
    <w:multiLevelType w:val="hybridMultilevel"/>
    <w:tmpl w:val="84DC6A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20307"/>
    <w:multiLevelType w:val="hybridMultilevel"/>
    <w:tmpl w:val="8B80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D25B5"/>
    <w:multiLevelType w:val="hybridMultilevel"/>
    <w:tmpl w:val="6CA20354"/>
    <w:lvl w:ilvl="0" w:tplc="520C13FA">
      <w:start w:val="1"/>
      <w:numFmt w:val="bullet"/>
      <w:pStyle w:val="StyleHeading3NotItalic"/>
      <w:lvlText w:val=""/>
      <w:lvlJc w:val="left"/>
      <w:pPr>
        <w:tabs>
          <w:tab w:val="num" w:pos="360"/>
        </w:tabs>
        <w:ind w:left="360" w:hanging="360"/>
      </w:pPr>
      <w:rPr>
        <w:rFonts w:ascii="Symbol" w:hAnsi="Symbol" w:hint="default"/>
        <w:b w:val="0"/>
        <w:i w:val="0"/>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A60530"/>
    <w:multiLevelType w:val="hybridMultilevel"/>
    <w:tmpl w:val="72A459F2"/>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4668CD"/>
    <w:multiLevelType w:val="hybridMultilevel"/>
    <w:tmpl w:val="4C8854B2"/>
    <w:lvl w:ilvl="0" w:tplc="B1988F7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65085"/>
    <w:multiLevelType w:val="hybridMultilevel"/>
    <w:tmpl w:val="9140D150"/>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DE36FB"/>
    <w:multiLevelType w:val="hybridMultilevel"/>
    <w:tmpl w:val="E1F4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E3C20"/>
    <w:multiLevelType w:val="hybridMultilevel"/>
    <w:tmpl w:val="2294EAF4"/>
    <w:lvl w:ilvl="0" w:tplc="0C090001">
      <w:start w:val="1"/>
      <w:numFmt w:val="bullet"/>
      <w:pStyle w:val="TALKINGPOINTS"/>
      <w:lvlText w:val=""/>
      <w:lvlJc w:val="left"/>
      <w:pPr>
        <w:tabs>
          <w:tab w:val="num" w:pos="360"/>
        </w:tabs>
        <w:ind w:left="360" w:hanging="360"/>
      </w:pPr>
      <w:rPr>
        <w:rFonts w:ascii="Symbol" w:hAnsi="Symbol"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E3431"/>
    <w:multiLevelType w:val="hybridMultilevel"/>
    <w:tmpl w:val="A0021C86"/>
    <w:lvl w:ilvl="0" w:tplc="94E466A2">
      <w:start w:val="1"/>
      <w:numFmt w:val="bullet"/>
      <w:lvlText w:val=""/>
      <w:lvlJc w:val="left"/>
      <w:pPr>
        <w:tabs>
          <w:tab w:val="num" w:pos="360"/>
        </w:tabs>
        <w:ind w:left="360" w:hanging="360"/>
      </w:pPr>
      <w:rPr>
        <w:rFonts w:ascii="Symbol" w:hAnsi="Symbol" w:hint="default"/>
        <w:color w:val="auto"/>
        <w:sz w:val="19"/>
        <w:szCs w:val="19"/>
      </w:rPr>
    </w:lvl>
    <w:lvl w:ilvl="1" w:tplc="3EBAC60C">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630B05"/>
    <w:multiLevelType w:val="hybridMultilevel"/>
    <w:tmpl w:val="2AAE9D48"/>
    <w:lvl w:ilvl="0" w:tplc="0C090001">
      <w:start w:val="1"/>
      <w:numFmt w:val="bullet"/>
      <w:lvlText w:val=""/>
      <w:lvlJc w:val="left"/>
      <w:pPr>
        <w:ind w:left="720" w:hanging="360"/>
      </w:pPr>
      <w:rPr>
        <w:rFonts w:ascii="Symbol" w:hAnsi="Symbol" w:hint="default"/>
      </w:rPr>
    </w:lvl>
    <w:lvl w:ilvl="1" w:tplc="E38CF232">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B71365"/>
    <w:multiLevelType w:val="hybridMultilevel"/>
    <w:tmpl w:val="8B02336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C407A"/>
    <w:multiLevelType w:val="hybridMultilevel"/>
    <w:tmpl w:val="90B018E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3" w15:restartNumberingAfterBreak="0">
    <w:nsid w:val="7B3329EE"/>
    <w:multiLevelType w:val="hybridMultilevel"/>
    <w:tmpl w:val="97C8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FA6D63"/>
    <w:multiLevelType w:val="hybridMultilevel"/>
    <w:tmpl w:val="5A90C3B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82087501">
    <w:abstractNumId w:val="9"/>
  </w:num>
  <w:num w:numId="2" w16cid:durableId="2006475148">
    <w:abstractNumId w:val="3"/>
  </w:num>
  <w:num w:numId="3" w16cid:durableId="1958177686">
    <w:abstractNumId w:val="8"/>
  </w:num>
  <w:num w:numId="4" w16cid:durableId="913010212">
    <w:abstractNumId w:val="5"/>
  </w:num>
  <w:num w:numId="5" w16cid:durableId="438452543">
    <w:abstractNumId w:val="6"/>
  </w:num>
  <w:num w:numId="6" w16cid:durableId="1643584298">
    <w:abstractNumId w:val="11"/>
  </w:num>
  <w:num w:numId="7" w16cid:durableId="1589728115">
    <w:abstractNumId w:val="4"/>
  </w:num>
  <w:num w:numId="8" w16cid:durableId="578172545">
    <w:abstractNumId w:val="14"/>
  </w:num>
  <w:num w:numId="9" w16cid:durableId="888229703">
    <w:abstractNumId w:val="1"/>
  </w:num>
  <w:num w:numId="10" w16cid:durableId="591815844">
    <w:abstractNumId w:val="12"/>
  </w:num>
  <w:num w:numId="11" w16cid:durableId="714112709">
    <w:abstractNumId w:val="0"/>
  </w:num>
  <w:num w:numId="12" w16cid:durableId="239944482">
    <w:abstractNumId w:val="10"/>
  </w:num>
  <w:num w:numId="13" w16cid:durableId="1131484684">
    <w:abstractNumId w:val="7"/>
  </w:num>
  <w:num w:numId="14" w16cid:durableId="1940866318">
    <w:abstractNumId w:val="2"/>
  </w:num>
  <w:num w:numId="15" w16cid:durableId="169850486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7AA"/>
    <w:rsid w:val="00004948"/>
    <w:rsid w:val="000064E8"/>
    <w:rsid w:val="00037C7A"/>
    <w:rsid w:val="00045D29"/>
    <w:rsid w:val="000476F3"/>
    <w:rsid w:val="000534B5"/>
    <w:rsid w:val="00056E41"/>
    <w:rsid w:val="00061AA6"/>
    <w:rsid w:val="000644EA"/>
    <w:rsid w:val="00067F0D"/>
    <w:rsid w:val="00072413"/>
    <w:rsid w:val="00076228"/>
    <w:rsid w:val="00081D43"/>
    <w:rsid w:val="00087783"/>
    <w:rsid w:val="00087B51"/>
    <w:rsid w:val="00094DF3"/>
    <w:rsid w:val="000A18F9"/>
    <w:rsid w:val="000A7BAD"/>
    <w:rsid w:val="000B2031"/>
    <w:rsid w:val="000B491F"/>
    <w:rsid w:val="000E7530"/>
    <w:rsid w:val="000F4275"/>
    <w:rsid w:val="00104056"/>
    <w:rsid w:val="00111A60"/>
    <w:rsid w:val="00112AA9"/>
    <w:rsid w:val="00115FAC"/>
    <w:rsid w:val="001233A2"/>
    <w:rsid w:val="00123A5D"/>
    <w:rsid w:val="00133FDE"/>
    <w:rsid w:val="001360B2"/>
    <w:rsid w:val="00137952"/>
    <w:rsid w:val="00142CA4"/>
    <w:rsid w:val="00147662"/>
    <w:rsid w:val="00151B22"/>
    <w:rsid w:val="00165EAB"/>
    <w:rsid w:val="00170ADC"/>
    <w:rsid w:val="001776D4"/>
    <w:rsid w:val="00190D55"/>
    <w:rsid w:val="00195C2D"/>
    <w:rsid w:val="001A7B04"/>
    <w:rsid w:val="001B4625"/>
    <w:rsid w:val="001C1552"/>
    <w:rsid w:val="001C36D1"/>
    <w:rsid w:val="001E3204"/>
    <w:rsid w:val="001F33D0"/>
    <w:rsid w:val="00203E33"/>
    <w:rsid w:val="00205890"/>
    <w:rsid w:val="00227EBA"/>
    <w:rsid w:val="0024225B"/>
    <w:rsid w:val="00243B89"/>
    <w:rsid w:val="0025032A"/>
    <w:rsid w:val="0025373A"/>
    <w:rsid w:val="00264ABB"/>
    <w:rsid w:val="00265D26"/>
    <w:rsid w:val="00277BB7"/>
    <w:rsid w:val="00286279"/>
    <w:rsid w:val="00292706"/>
    <w:rsid w:val="002940E4"/>
    <w:rsid w:val="002A7822"/>
    <w:rsid w:val="002B1334"/>
    <w:rsid w:val="002B649E"/>
    <w:rsid w:val="002C3137"/>
    <w:rsid w:val="002C70D0"/>
    <w:rsid w:val="002D1377"/>
    <w:rsid w:val="002D3275"/>
    <w:rsid w:val="002F1589"/>
    <w:rsid w:val="00303A49"/>
    <w:rsid w:val="00313198"/>
    <w:rsid w:val="003304A7"/>
    <w:rsid w:val="003321C1"/>
    <w:rsid w:val="00345997"/>
    <w:rsid w:val="00345F2F"/>
    <w:rsid w:val="00372823"/>
    <w:rsid w:val="00375154"/>
    <w:rsid w:val="00382488"/>
    <w:rsid w:val="00383EBD"/>
    <w:rsid w:val="003873D2"/>
    <w:rsid w:val="003921FD"/>
    <w:rsid w:val="003A382E"/>
    <w:rsid w:val="003B1804"/>
    <w:rsid w:val="003B68A7"/>
    <w:rsid w:val="003D43BD"/>
    <w:rsid w:val="003E5BE0"/>
    <w:rsid w:val="003F0D93"/>
    <w:rsid w:val="003F3B1A"/>
    <w:rsid w:val="00406AC3"/>
    <w:rsid w:val="00410866"/>
    <w:rsid w:val="0041742E"/>
    <w:rsid w:val="004215E0"/>
    <w:rsid w:val="00430FE3"/>
    <w:rsid w:val="00436AF3"/>
    <w:rsid w:val="00441D4B"/>
    <w:rsid w:val="004571C0"/>
    <w:rsid w:val="004713EF"/>
    <w:rsid w:val="00486C1F"/>
    <w:rsid w:val="0049070C"/>
    <w:rsid w:val="004A3D06"/>
    <w:rsid w:val="004B52B9"/>
    <w:rsid w:val="004C1274"/>
    <w:rsid w:val="004C4F29"/>
    <w:rsid w:val="004C6838"/>
    <w:rsid w:val="004D33CC"/>
    <w:rsid w:val="004D4DDA"/>
    <w:rsid w:val="004D5B8E"/>
    <w:rsid w:val="004E14D0"/>
    <w:rsid w:val="004E1508"/>
    <w:rsid w:val="004E3CCB"/>
    <w:rsid w:val="004E77E5"/>
    <w:rsid w:val="0050207D"/>
    <w:rsid w:val="00510257"/>
    <w:rsid w:val="005162A1"/>
    <w:rsid w:val="0052420D"/>
    <w:rsid w:val="005373A5"/>
    <w:rsid w:val="00554E33"/>
    <w:rsid w:val="00556ACE"/>
    <w:rsid w:val="005632E2"/>
    <w:rsid w:val="00563A83"/>
    <w:rsid w:val="00571201"/>
    <w:rsid w:val="00594902"/>
    <w:rsid w:val="00597B5B"/>
    <w:rsid w:val="005A7A6A"/>
    <w:rsid w:val="005B0EE8"/>
    <w:rsid w:val="005C3023"/>
    <w:rsid w:val="005D7026"/>
    <w:rsid w:val="005D7892"/>
    <w:rsid w:val="005E55F5"/>
    <w:rsid w:val="005F4F91"/>
    <w:rsid w:val="0061063C"/>
    <w:rsid w:val="00610852"/>
    <w:rsid w:val="00637953"/>
    <w:rsid w:val="00640737"/>
    <w:rsid w:val="00654B6E"/>
    <w:rsid w:val="0066002F"/>
    <w:rsid w:val="00661435"/>
    <w:rsid w:val="006669EA"/>
    <w:rsid w:val="00687C1A"/>
    <w:rsid w:val="00693CD0"/>
    <w:rsid w:val="006954CC"/>
    <w:rsid w:val="006B2C24"/>
    <w:rsid w:val="006D6BC6"/>
    <w:rsid w:val="006F744E"/>
    <w:rsid w:val="007113EF"/>
    <w:rsid w:val="00740E4D"/>
    <w:rsid w:val="00741BBB"/>
    <w:rsid w:val="007420E9"/>
    <w:rsid w:val="00750AF0"/>
    <w:rsid w:val="007517AA"/>
    <w:rsid w:val="00762570"/>
    <w:rsid w:val="00794FF0"/>
    <w:rsid w:val="007A27DF"/>
    <w:rsid w:val="007A64AA"/>
    <w:rsid w:val="007B2349"/>
    <w:rsid w:val="007B5EF1"/>
    <w:rsid w:val="007C1EB9"/>
    <w:rsid w:val="007D12E6"/>
    <w:rsid w:val="007F6F9A"/>
    <w:rsid w:val="0080301D"/>
    <w:rsid w:val="00804D83"/>
    <w:rsid w:val="00813AAF"/>
    <w:rsid w:val="00821D78"/>
    <w:rsid w:val="00834BD4"/>
    <w:rsid w:val="00845377"/>
    <w:rsid w:val="008664AC"/>
    <w:rsid w:val="00867B3F"/>
    <w:rsid w:val="0087385F"/>
    <w:rsid w:val="00875A7E"/>
    <w:rsid w:val="00890565"/>
    <w:rsid w:val="008A6EFA"/>
    <w:rsid w:val="008C2225"/>
    <w:rsid w:val="008C5944"/>
    <w:rsid w:val="008C7CB6"/>
    <w:rsid w:val="008D0F07"/>
    <w:rsid w:val="008D1331"/>
    <w:rsid w:val="008D3D5A"/>
    <w:rsid w:val="008F4249"/>
    <w:rsid w:val="008F7304"/>
    <w:rsid w:val="00916D80"/>
    <w:rsid w:val="00924DEE"/>
    <w:rsid w:val="00926B9E"/>
    <w:rsid w:val="00932EC4"/>
    <w:rsid w:val="00937F6A"/>
    <w:rsid w:val="00940583"/>
    <w:rsid w:val="00947B1C"/>
    <w:rsid w:val="00960386"/>
    <w:rsid w:val="00973296"/>
    <w:rsid w:val="009905F9"/>
    <w:rsid w:val="009A19F0"/>
    <w:rsid w:val="009A1A79"/>
    <w:rsid w:val="009A1B7D"/>
    <w:rsid w:val="009A1DF9"/>
    <w:rsid w:val="009B285F"/>
    <w:rsid w:val="009B4558"/>
    <w:rsid w:val="009D7ED1"/>
    <w:rsid w:val="009E3939"/>
    <w:rsid w:val="009E6AD2"/>
    <w:rsid w:val="009F26B4"/>
    <w:rsid w:val="009F7B68"/>
    <w:rsid w:val="00A05A16"/>
    <w:rsid w:val="00A141E3"/>
    <w:rsid w:val="00A1624E"/>
    <w:rsid w:val="00A17751"/>
    <w:rsid w:val="00A26649"/>
    <w:rsid w:val="00A27104"/>
    <w:rsid w:val="00A40304"/>
    <w:rsid w:val="00A445FB"/>
    <w:rsid w:val="00A50315"/>
    <w:rsid w:val="00A7783E"/>
    <w:rsid w:val="00A8102D"/>
    <w:rsid w:val="00A87056"/>
    <w:rsid w:val="00A920CE"/>
    <w:rsid w:val="00A924F3"/>
    <w:rsid w:val="00AB0641"/>
    <w:rsid w:val="00AB33D1"/>
    <w:rsid w:val="00AD5FC3"/>
    <w:rsid w:val="00AF6BC2"/>
    <w:rsid w:val="00B053F2"/>
    <w:rsid w:val="00B12F85"/>
    <w:rsid w:val="00B24424"/>
    <w:rsid w:val="00B41D5B"/>
    <w:rsid w:val="00B42636"/>
    <w:rsid w:val="00B521AF"/>
    <w:rsid w:val="00B52F6A"/>
    <w:rsid w:val="00B6032A"/>
    <w:rsid w:val="00B65C14"/>
    <w:rsid w:val="00B70198"/>
    <w:rsid w:val="00B73856"/>
    <w:rsid w:val="00B82E6F"/>
    <w:rsid w:val="00BA12B3"/>
    <w:rsid w:val="00BA510C"/>
    <w:rsid w:val="00BB0D82"/>
    <w:rsid w:val="00BC1A5B"/>
    <w:rsid w:val="00BC1BC4"/>
    <w:rsid w:val="00BC2149"/>
    <w:rsid w:val="00BC5142"/>
    <w:rsid w:val="00BC6992"/>
    <w:rsid w:val="00BD6EE0"/>
    <w:rsid w:val="00BE46EA"/>
    <w:rsid w:val="00BF71D3"/>
    <w:rsid w:val="00BF7EBB"/>
    <w:rsid w:val="00C03751"/>
    <w:rsid w:val="00C31B29"/>
    <w:rsid w:val="00C33EFC"/>
    <w:rsid w:val="00C54996"/>
    <w:rsid w:val="00C63D00"/>
    <w:rsid w:val="00C66B53"/>
    <w:rsid w:val="00C7376B"/>
    <w:rsid w:val="00C84C53"/>
    <w:rsid w:val="00CB0345"/>
    <w:rsid w:val="00CB2AA7"/>
    <w:rsid w:val="00CB2ADF"/>
    <w:rsid w:val="00CC3674"/>
    <w:rsid w:val="00CD42A2"/>
    <w:rsid w:val="00CD5C7A"/>
    <w:rsid w:val="00CF2A15"/>
    <w:rsid w:val="00D013E1"/>
    <w:rsid w:val="00D04A15"/>
    <w:rsid w:val="00D054DD"/>
    <w:rsid w:val="00D063CE"/>
    <w:rsid w:val="00D12E01"/>
    <w:rsid w:val="00D20DAC"/>
    <w:rsid w:val="00D5650A"/>
    <w:rsid w:val="00D577C7"/>
    <w:rsid w:val="00D60E38"/>
    <w:rsid w:val="00D723DA"/>
    <w:rsid w:val="00D877FC"/>
    <w:rsid w:val="00D945F4"/>
    <w:rsid w:val="00DB08A1"/>
    <w:rsid w:val="00DC1861"/>
    <w:rsid w:val="00DD2CB1"/>
    <w:rsid w:val="00DD4BCB"/>
    <w:rsid w:val="00DE0200"/>
    <w:rsid w:val="00E07F0E"/>
    <w:rsid w:val="00E20715"/>
    <w:rsid w:val="00E22F53"/>
    <w:rsid w:val="00E36D2C"/>
    <w:rsid w:val="00E469C9"/>
    <w:rsid w:val="00E555F1"/>
    <w:rsid w:val="00E56D8C"/>
    <w:rsid w:val="00E64D96"/>
    <w:rsid w:val="00E752AD"/>
    <w:rsid w:val="00E97DE7"/>
    <w:rsid w:val="00E97E38"/>
    <w:rsid w:val="00E97EB7"/>
    <w:rsid w:val="00EA2B29"/>
    <w:rsid w:val="00EB2BC9"/>
    <w:rsid w:val="00EB4C05"/>
    <w:rsid w:val="00EB76B3"/>
    <w:rsid w:val="00EC056F"/>
    <w:rsid w:val="00EC2A35"/>
    <w:rsid w:val="00EE3646"/>
    <w:rsid w:val="00EF1A61"/>
    <w:rsid w:val="00F013B8"/>
    <w:rsid w:val="00F32325"/>
    <w:rsid w:val="00F429D5"/>
    <w:rsid w:val="00F46ECB"/>
    <w:rsid w:val="00F61314"/>
    <w:rsid w:val="00F66C21"/>
    <w:rsid w:val="00F738F4"/>
    <w:rsid w:val="00F75911"/>
    <w:rsid w:val="00F81597"/>
    <w:rsid w:val="00F816B9"/>
    <w:rsid w:val="00F81DAF"/>
    <w:rsid w:val="00F84F13"/>
    <w:rsid w:val="00F877A4"/>
    <w:rsid w:val="00F91535"/>
    <w:rsid w:val="00FB097A"/>
    <w:rsid w:val="00FC3B3A"/>
    <w:rsid w:val="00FD0437"/>
    <w:rsid w:val="00FE7442"/>
    <w:rsid w:val="00FF5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FDF44D"/>
  <w15:chartTrackingRefBased/>
  <w15:docId w15:val="{4526C237-EE64-440F-8508-758C1A8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Arial"/>
      <w:color w:val="0000FF"/>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rFonts w:cs="Times New Roman"/>
      <w:color w:val="0000FF"/>
      <w:u w:val="singl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ascii="Helvetica" w:hAnsi="Helvetica" w:cs="Arial"/>
      <w:color w:val="0000FF"/>
      <w:sz w:val="40"/>
      <w:szCs w:val="40"/>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ascii="Helvetica" w:hAnsi="Helvetica" w:cs="Arial"/>
      <w:color w:val="0000FF"/>
      <w:sz w:val="40"/>
      <w:szCs w:val="40"/>
    </w:rPr>
  </w:style>
  <w:style w:type="character" w:styleId="PageNumber">
    <w:name w:val="page number"/>
    <w:rPr>
      <w:rFonts w:cs="Times New Roman"/>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Arial"/>
      <w:color w:val="0000FF"/>
      <w:sz w:val="2"/>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rFonts w:ascii="Helvetica" w:hAnsi="Helvetica" w:cs="Arial"/>
      <w:color w:val="0000FF"/>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Helvetica" w:hAnsi="Helvetica" w:cs="Arial"/>
      <w:b/>
      <w:bCs/>
      <w:color w:val="0000FF"/>
    </w:rPr>
  </w:style>
  <w:style w:type="paragraph" w:customStyle="1" w:styleId="MediaReleaseText">
    <w:name w:val="MediaReleaseText"/>
    <w:basedOn w:val="BodyText"/>
    <w:link w:val="MediaReleaseTextChar"/>
    <w:pPr>
      <w:tabs>
        <w:tab w:val="left" w:pos="2268"/>
        <w:tab w:val="right" w:pos="9072"/>
      </w:tabs>
      <w:spacing w:after="0" w:line="240" w:lineRule="atLeast"/>
      <w:outlineLvl w:val="0"/>
    </w:pPr>
    <w:rPr>
      <w:rFonts w:ascii="Arial" w:hAnsi="Arial"/>
      <w:color w:val="auto"/>
      <w:sz w:val="24"/>
      <w:szCs w:val="20"/>
      <w:lang w:eastAsia="en-US"/>
    </w:rPr>
  </w:style>
  <w:style w:type="character" w:customStyle="1" w:styleId="MediaReleaseTextChar">
    <w:name w:val="MediaReleaseText Char"/>
    <w:link w:val="MediaReleaseText"/>
    <w:locked/>
    <w:rPr>
      <w:rFonts w:ascii="Arial" w:hAnsi="Arial" w:cs="Arial"/>
      <w:sz w:val="24"/>
      <w:lang w:val="en-AU" w:eastAsia="en-US" w:bidi="ar-SA"/>
    </w:rPr>
  </w:style>
  <w:style w:type="paragraph" w:styleId="BodyText">
    <w:name w:val="Body Text"/>
    <w:basedOn w:val="Normal"/>
    <w:link w:val="BodyTextChar"/>
    <w:pPr>
      <w:spacing w:after="120"/>
    </w:pPr>
  </w:style>
  <w:style w:type="character" w:customStyle="1" w:styleId="BodyTextChar">
    <w:name w:val="Body Text Char"/>
    <w:link w:val="BodyText"/>
    <w:semiHidden/>
    <w:locked/>
    <w:rPr>
      <w:rFonts w:ascii="Helvetica" w:hAnsi="Helvetica" w:cs="Arial"/>
      <w:color w:val="0000FF"/>
      <w:sz w:val="40"/>
      <w:szCs w:val="40"/>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locked/>
    <w:rPr>
      <w:rFonts w:ascii="Helvetica" w:hAnsi="Helvetica" w:cs="Arial"/>
      <w:color w:val="0000FF"/>
    </w:rPr>
  </w:style>
  <w:style w:type="character" w:styleId="FootnoteReference">
    <w:name w:val="footnote reference"/>
    <w:semiHidden/>
    <w:rPr>
      <w:rFonts w:cs="Times New Roman"/>
      <w:vertAlign w:val="superscript"/>
    </w:rPr>
  </w:style>
  <w:style w:type="paragraph" w:styleId="NormalWeb">
    <w:name w:val="Normal (Web)"/>
    <w:basedOn w:val="Normal"/>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rPr>
      <w:color w:val="800080"/>
      <w:u w:val="single"/>
    </w:rPr>
  </w:style>
  <w:style w:type="paragraph" w:customStyle="1" w:styleId="StyleHeading3NotItalic">
    <w:name w:val="Style Heading 3 + Not Italic"/>
    <w:basedOn w:val="Normal"/>
    <w:pPr>
      <w:numPr>
        <w:numId w:val="2"/>
      </w:numPr>
    </w:pPr>
  </w:style>
  <w:style w:type="character" w:styleId="Strong">
    <w:name w:val="Strong"/>
    <w:qFormat/>
    <w:locked/>
    <w:rPr>
      <w:b/>
      <w:bCs/>
    </w:rPr>
  </w:style>
  <w:style w:type="paragraph" w:customStyle="1" w:styleId="TALKINGPOINTS">
    <w:name w:val="TALKING POINTS"/>
    <w:basedOn w:val="Normal"/>
    <w:pPr>
      <w:numPr>
        <w:numId w:val="3"/>
      </w:numPr>
      <w:spacing w:after="120" w:line="288" w:lineRule="auto"/>
    </w:pPr>
    <w:rPr>
      <w:rFonts w:ascii="Arial" w:hAnsi="Arial" w:cs="Times New Roman"/>
      <w:color w:val="auto"/>
      <w:sz w:val="32"/>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KeyPointsNum">
    <w:name w:val="KeyPoints_Num"/>
    <w:basedOn w:val="Normal"/>
    <w:pPr>
      <w:spacing w:after="120" w:line="240" w:lineRule="atLeast"/>
    </w:pPr>
    <w:rPr>
      <w:rFonts w:ascii="Times New Roman" w:hAnsi="Times New Roman" w:cs="Times New Roman"/>
      <w:color w:val="auto"/>
      <w:sz w:val="24"/>
      <w:szCs w:val="24"/>
      <w:lang w:eastAsia="en-US"/>
    </w:rPr>
  </w:style>
  <w:style w:type="paragraph" w:styleId="ListBullet">
    <w:name w:val="List Bullet"/>
    <w:basedOn w:val="BodyText"/>
    <w:pPr>
      <w:numPr>
        <w:numId w:val="4"/>
      </w:numPr>
      <w:spacing w:before="120" w:after="0"/>
    </w:pPr>
    <w:rPr>
      <w:rFonts w:ascii="Times New Roman" w:hAnsi="Times New Roman" w:cs="Times New Roman"/>
      <w:color w:val="auto"/>
      <w:sz w:val="24"/>
      <w:szCs w:val="20"/>
      <w:lang w:eastAsia="en-US"/>
    </w:rPr>
  </w:style>
  <w:style w:type="paragraph" w:customStyle="1" w:styleId="Tabletext">
    <w:name w:val="Table text"/>
    <w:basedOn w:val="Normal"/>
    <w:pPr>
      <w:spacing w:before="60" w:after="60"/>
    </w:pPr>
    <w:rPr>
      <w:rFonts w:ascii="Times New Roman" w:eastAsia="MS ??" w:hAnsi="Times New Roman" w:cs="Times New Roman"/>
      <w:color w:val="auto"/>
      <w:sz w:val="20"/>
      <w:szCs w:val="20"/>
    </w:rPr>
  </w:style>
  <w:style w:type="paragraph" w:styleId="Revision">
    <w:name w:val="Revision"/>
    <w:hidden/>
    <w:uiPriority w:val="99"/>
    <w:semiHidden/>
    <w:rsid w:val="00571201"/>
    <w:rPr>
      <w:rFonts w:ascii="Helvetica" w:hAnsi="Helvetica" w:cs="Arial"/>
      <w:color w:val="0000FF"/>
      <w:sz w:val="40"/>
      <w:szCs w:val="40"/>
    </w:rPr>
  </w:style>
  <w:style w:type="table" w:styleId="TableGrid">
    <w:name w:val="Table Grid"/>
    <w:basedOn w:val="TableNormal"/>
    <w:rsid w:val="0055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va.gov.au/documents-and-publications/research-and-stud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1C6EA4F-EACC-450A-B350-E19252AA27EA}">
  <ds:schemaRefs>
    <ds:schemaRef ds:uri="http://schemas.openxmlformats.org/officeDocument/2006/bibliography"/>
  </ds:schemaRefs>
</ds:datastoreItem>
</file>

<file path=customXml/itemProps2.xml><?xml version="1.0" encoding="utf-8"?>
<ds:datastoreItem xmlns:ds="http://schemas.openxmlformats.org/officeDocument/2006/customXml" ds:itemID="{B12FC1D1-29B8-4395-A64E-D5E1AF9F71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Links>
    <vt:vector size="6" baseType="variant">
      <vt:variant>
        <vt:i4>6750325</vt:i4>
      </vt:variant>
      <vt:variant>
        <vt:i4>0</vt:i4>
      </vt:variant>
      <vt:variant>
        <vt:i4>0</vt:i4>
      </vt:variant>
      <vt:variant>
        <vt:i4>5</vt:i4>
      </vt:variant>
      <vt:variant>
        <vt:lpwstr>https://www.dva.gov.au/documents-and-publications/research-and-studies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Devaney, Julie</dc:creator>
  <cp:keywords/>
  <dc:description/>
  <cp:lastModifiedBy>Devaney, Julie</cp:lastModifiedBy>
  <cp:revision>2</cp:revision>
  <dcterms:created xsi:type="dcterms:W3CDTF">2025-06-26T03:26:00Z</dcterms:created>
  <dcterms:modified xsi:type="dcterms:W3CDTF">2025-06-26T03:26:00Z</dcterms:modified>
</cp:coreProperties>
</file>