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134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11340"/>
      </w:tblGrid>
      <w:tr w:rsidR="00C15C28" w:rsidRPr="00C15C28" w14:paraId="600635DC" w14:textId="77777777" w:rsidTr="003C7281">
        <w:trPr>
          <w:trHeight w:val="1814"/>
        </w:trPr>
        <w:tc>
          <w:tcPr>
            <w:tcW w:w="11340" w:type="dxa"/>
            <w:shd w:val="clear" w:color="auto" w:fill="002060"/>
          </w:tcPr>
          <w:p w14:paraId="0BBB7AF1" w14:textId="77777777" w:rsidR="0075208A" w:rsidRDefault="00931014" w:rsidP="5F83670A">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2E12430C" wp14:editId="0DA2EAD8">
                      <wp:simplePos x="0" y="0"/>
                      <wp:positionH relativeFrom="column">
                        <wp:posOffset>1951990</wp:posOffset>
                      </wp:positionH>
                      <wp:positionV relativeFrom="paragraph">
                        <wp:posOffset>167640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1BD89C44" w14:textId="21B84474" w:rsidR="00607EFA" w:rsidRPr="002A78B2" w:rsidRDefault="00607EFA" w:rsidP="00E220B7">
                                  <w:pPr>
                                    <w:jc w:val="center"/>
                                    <w:rPr>
                                      <w:rFonts w:ascii="Aptos" w:hAnsi="Aptos"/>
                                      <w:b/>
                                      <w:color w:val="FFFFFF" w:themeColor="background1"/>
                                      <w:sz w:val="40"/>
                                      <w:highlight w:val="green"/>
                                    </w:rPr>
                                  </w:pPr>
                                  <w:r w:rsidRPr="00035BB5">
                                    <w:rPr>
                                      <w:rFonts w:ascii="Aptos" w:hAnsi="Aptos"/>
                                      <w:b/>
                                      <w:color w:val="FFFFFF" w:themeColor="background1"/>
                                      <w:sz w:val="40"/>
                                    </w:rPr>
                                    <w:t xml:space="preserve">COMMUNITY NURSING NEWSLETTER No. </w:t>
                                  </w:r>
                                  <w:r w:rsidR="00080635">
                                    <w:rPr>
                                      <w:rFonts w:ascii="Aptos" w:hAnsi="Aptos"/>
                                      <w:b/>
                                      <w:color w:val="FFFFFF" w:themeColor="background1"/>
                                      <w:sz w:val="40"/>
                                    </w:rPr>
                                    <w:t>56</w:t>
                                  </w:r>
                                </w:p>
                                <w:p w14:paraId="5FEFAF57" w14:textId="6D834A99" w:rsidR="00931014" w:rsidRPr="00035BB5" w:rsidRDefault="00080635" w:rsidP="00E220B7">
                                  <w:pPr>
                                    <w:jc w:val="center"/>
                                    <w:rPr>
                                      <w:rFonts w:ascii="Aptos" w:hAnsi="Aptos"/>
                                      <w:b/>
                                      <w:color w:val="FFFFFF" w:themeColor="background1"/>
                                      <w:sz w:val="40"/>
                                    </w:rPr>
                                  </w:pPr>
                                  <w:r w:rsidRPr="00080635">
                                    <w:rPr>
                                      <w:rFonts w:ascii="Aptos" w:hAnsi="Aptos"/>
                                      <w:b/>
                                      <w:color w:val="FFFFFF" w:themeColor="background1"/>
                                      <w:sz w:val="40"/>
                                    </w:rPr>
                                    <w:t>August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2430C" id="_x0000_t202" coordsize="21600,21600" o:spt="202" path="m,l,21600r21600,l21600,xe">
                      <v:stroke joinstyle="miter"/>
                      <v:path gradientshapeok="t" o:connecttype="rect"/>
                    </v:shapetype>
                    <v:shape id="Text Box 2" o:spid="_x0000_s1026" type="#_x0000_t202" style="position:absolute;left:0;text-align:left;margin-left:153.7pt;margin-top:13.2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z+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" filled="f" stroked="f">
                      <v:textbox style="mso-fit-shape-to-text:t">
                        <w:txbxContent>
                          <w:p w14:paraId="1BD89C44" w14:textId="21B84474" w:rsidR="00607EFA" w:rsidRPr="002A78B2" w:rsidRDefault="00607EFA" w:rsidP="00E220B7">
                            <w:pPr>
                              <w:jc w:val="center"/>
                              <w:rPr>
                                <w:rFonts w:ascii="Aptos" w:hAnsi="Aptos"/>
                                <w:b/>
                                <w:color w:val="FFFFFF" w:themeColor="background1"/>
                                <w:sz w:val="40"/>
                                <w:highlight w:val="green"/>
                              </w:rPr>
                            </w:pPr>
                            <w:r w:rsidRPr="00035BB5">
                              <w:rPr>
                                <w:rFonts w:ascii="Aptos" w:hAnsi="Aptos"/>
                                <w:b/>
                                <w:color w:val="FFFFFF" w:themeColor="background1"/>
                                <w:sz w:val="40"/>
                              </w:rPr>
                              <w:t xml:space="preserve">COMMUNITY NURSING NEWSLETTER No. </w:t>
                            </w:r>
                            <w:r w:rsidR="00080635">
                              <w:rPr>
                                <w:rFonts w:ascii="Aptos" w:hAnsi="Aptos"/>
                                <w:b/>
                                <w:color w:val="FFFFFF" w:themeColor="background1"/>
                                <w:sz w:val="40"/>
                              </w:rPr>
                              <w:t>56</w:t>
                            </w:r>
                          </w:p>
                          <w:p w14:paraId="5FEFAF57" w14:textId="6D834A99" w:rsidR="00931014" w:rsidRPr="00035BB5" w:rsidRDefault="00080635" w:rsidP="00E220B7">
                            <w:pPr>
                              <w:jc w:val="center"/>
                              <w:rPr>
                                <w:rFonts w:ascii="Aptos" w:hAnsi="Aptos"/>
                                <w:b/>
                                <w:color w:val="FFFFFF" w:themeColor="background1"/>
                                <w:sz w:val="40"/>
                              </w:rPr>
                            </w:pPr>
                            <w:r w:rsidRPr="00080635">
                              <w:rPr>
                                <w:rFonts w:ascii="Aptos" w:hAnsi="Aptos"/>
                                <w:b/>
                                <w:color w:val="FFFFFF" w:themeColor="background1"/>
                                <w:sz w:val="40"/>
                              </w:rPr>
                              <w:t>August 2025</w:t>
                            </w:r>
                          </w:p>
                        </w:txbxContent>
                      </v:textbox>
                    </v:shape>
                  </w:pict>
                </mc:Fallback>
              </mc:AlternateContent>
            </w:r>
          </w:p>
          <w:p w14:paraId="326822A7" w14:textId="77777777" w:rsidR="008C7EEF" w:rsidRPr="003A047F" w:rsidRDefault="003A047F" w:rsidP="003A047F">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3E181EE2" wp14:editId="23049AA1">
                  <wp:simplePos x="0" y="0"/>
                  <wp:positionH relativeFrom="column">
                    <wp:posOffset>5427608</wp:posOffset>
                  </wp:positionH>
                  <wp:positionV relativeFrom="paragraph">
                    <wp:posOffset>215001</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4FDAD1B9" w14:textId="77777777" w:rsidTr="00802392">
        <w:trPr>
          <w:trHeight w:val="523"/>
        </w:trPr>
        <w:tc>
          <w:tcPr>
            <w:tcW w:w="11340" w:type="dxa"/>
            <w:tcBorders>
              <w:bottom w:val="nil"/>
            </w:tcBorders>
            <w:shd w:val="clear" w:color="auto" w:fill="002060"/>
          </w:tcPr>
          <w:p w14:paraId="694D26EA" w14:textId="51B42CE8" w:rsidR="0090736B" w:rsidRPr="002A78B2" w:rsidRDefault="0075208A" w:rsidP="00931014">
            <w:pPr>
              <w:ind w:right="-136"/>
              <w:jc w:val="center"/>
              <w:rPr>
                <w:rFonts w:ascii="Aptos" w:hAnsi="Aptos" w:cs="Arial"/>
                <w:noProof/>
                <w:color w:val="002060"/>
                <w:sz w:val="24"/>
                <w:szCs w:val="24"/>
                <w:lang w:eastAsia="en-AU"/>
              </w:rPr>
            </w:pPr>
            <w:r w:rsidRPr="002A78B2">
              <w:rPr>
                <w:rFonts w:ascii="Aptos" w:hAnsi="Aptos" w:cstheme="minorHAnsi"/>
                <w:color w:val="FFFFFF" w:themeColor="background1"/>
                <w:sz w:val="24"/>
                <w:szCs w:val="24"/>
              </w:rPr>
              <w:t>Th</w:t>
            </w:r>
            <w:r w:rsidR="002A78B2" w:rsidRPr="002A78B2">
              <w:rPr>
                <w:rFonts w:ascii="Aptos" w:hAnsi="Aptos" w:cstheme="minorHAnsi"/>
                <w:color w:val="FFFFFF" w:themeColor="background1"/>
                <w:sz w:val="24"/>
                <w:szCs w:val="24"/>
              </w:rPr>
              <w:t xml:space="preserve">is </w:t>
            </w:r>
            <w:r w:rsidRPr="002A78B2">
              <w:rPr>
                <w:rFonts w:ascii="Aptos" w:hAnsi="Aptos" w:cstheme="minorHAnsi"/>
                <w:b/>
                <w:iCs/>
                <w:color w:val="FFFFFF" w:themeColor="background1"/>
                <w:sz w:val="24"/>
                <w:szCs w:val="24"/>
              </w:rPr>
              <w:t>Newsletter</w:t>
            </w:r>
            <w:r w:rsidRPr="002A78B2">
              <w:rPr>
                <w:rFonts w:ascii="Aptos" w:hAnsi="Aptos" w:cstheme="minorHAnsi"/>
                <w:iCs/>
                <w:color w:val="FFFFFF" w:themeColor="background1"/>
                <w:sz w:val="24"/>
                <w:szCs w:val="24"/>
              </w:rPr>
              <w:t xml:space="preserve"> </w:t>
            </w:r>
            <w:r w:rsidR="0012303C" w:rsidRPr="002A78B2">
              <w:rPr>
                <w:rFonts w:ascii="Aptos" w:hAnsi="Aptos" w:cstheme="minorHAnsi"/>
                <w:color w:val="FFFFFF" w:themeColor="background1"/>
                <w:sz w:val="24"/>
                <w:szCs w:val="24"/>
              </w:rPr>
              <w:t xml:space="preserve">is issued to provide </w:t>
            </w:r>
            <w:r w:rsidRPr="002A78B2">
              <w:rPr>
                <w:rFonts w:ascii="Aptos" w:hAnsi="Aptos" w:cstheme="minorHAnsi"/>
                <w:color w:val="FFFFFF" w:themeColor="background1"/>
                <w:sz w:val="24"/>
                <w:szCs w:val="24"/>
              </w:rPr>
              <w:t>update</w:t>
            </w:r>
            <w:r w:rsidR="0012303C" w:rsidRPr="002A78B2">
              <w:rPr>
                <w:rFonts w:ascii="Aptos" w:hAnsi="Aptos" w:cstheme="minorHAnsi"/>
                <w:color w:val="FFFFFF" w:themeColor="background1"/>
                <w:sz w:val="24"/>
                <w:szCs w:val="24"/>
              </w:rPr>
              <w:t>s</w:t>
            </w:r>
            <w:r w:rsidRPr="002A78B2">
              <w:rPr>
                <w:rFonts w:ascii="Aptos" w:hAnsi="Aptos" w:cstheme="minorHAnsi"/>
                <w:color w:val="FFFFFF" w:themeColor="background1"/>
                <w:sz w:val="24"/>
                <w:szCs w:val="24"/>
              </w:rPr>
              <w:t xml:space="preserve"> to D</w:t>
            </w:r>
            <w:r w:rsidR="002A78B2" w:rsidRPr="002A78B2">
              <w:rPr>
                <w:rFonts w:ascii="Aptos" w:hAnsi="Aptos" w:cstheme="minorHAnsi"/>
                <w:color w:val="FFFFFF" w:themeColor="background1"/>
                <w:sz w:val="24"/>
                <w:szCs w:val="24"/>
              </w:rPr>
              <w:t>VA contracted Community Nursing</w:t>
            </w:r>
            <w:r w:rsidRPr="002A78B2">
              <w:rPr>
                <w:rFonts w:ascii="Aptos" w:hAnsi="Aptos" w:cstheme="minorHAnsi"/>
                <w:color w:val="FFFFFF" w:themeColor="background1"/>
                <w:sz w:val="24"/>
                <w:szCs w:val="24"/>
              </w:rPr>
              <w:t xml:space="preserve"> provide</w:t>
            </w:r>
            <w:r w:rsidR="0012303C" w:rsidRPr="002A78B2">
              <w:rPr>
                <w:rFonts w:ascii="Aptos" w:hAnsi="Aptos" w:cstheme="minorHAnsi"/>
                <w:color w:val="FFFFFF" w:themeColor="background1"/>
                <w:sz w:val="24"/>
                <w:szCs w:val="24"/>
              </w:rPr>
              <w:t>rs</w:t>
            </w:r>
            <w:r w:rsidR="002A78B2" w:rsidRPr="002A78B2">
              <w:rPr>
                <w:rFonts w:ascii="Aptos" w:hAnsi="Aptos" w:cstheme="minorHAnsi"/>
                <w:color w:val="FFFFFF" w:themeColor="background1"/>
                <w:sz w:val="24"/>
                <w:szCs w:val="24"/>
              </w:rPr>
              <w:t>.</w:t>
            </w:r>
          </w:p>
        </w:tc>
      </w:tr>
      <w:tr w:rsidR="00035BB5" w:rsidRPr="00C15C28" w14:paraId="0BB536D7" w14:textId="77777777" w:rsidTr="0073412C">
        <w:trPr>
          <w:trHeight w:val="2956"/>
        </w:trPr>
        <w:tc>
          <w:tcPr>
            <w:tcW w:w="11340" w:type="dxa"/>
            <w:tcBorders>
              <w:top w:val="nil"/>
              <w:bottom w:val="single" w:sz="4" w:space="0" w:color="auto"/>
            </w:tcBorders>
            <w:shd w:val="clear" w:color="auto" w:fill="DEEAF6" w:themeFill="accent1" w:themeFillTint="33"/>
          </w:tcPr>
          <w:p w14:paraId="739E924A" w14:textId="77777777" w:rsidR="00F55403" w:rsidRPr="00F55403" w:rsidRDefault="00F55403" w:rsidP="003C7281">
            <w:pPr>
              <w:spacing w:line="259" w:lineRule="auto"/>
              <w:rPr>
                <w:rFonts w:ascii="Aptos" w:hAnsi="Aptos" w:cs="Arial"/>
                <w:color w:val="002060"/>
                <w:sz w:val="16"/>
                <w:szCs w:val="16"/>
              </w:rPr>
            </w:pPr>
          </w:p>
          <w:p w14:paraId="6C895721" w14:textId="59A47B59" w:rsidR="009C79F1" w:rsidRPr="009C79F1" w:rsidRDefault="009C79F1" w:rsidP="009C79F1">
            <w:pPr>
              <w:spacing w:line="259" w:lineRule="auto"/>
              <w:rPr>
                <w:rFonts w:ascii="Aptos" w:hAnsi="Aptos" w:cs="Arial"/>
                <w:color w:val="002060"/>
                <w:sz w:val="36"/>
                <w:szCs w:val="36"/>
              </w:rPr>
            </w:pPr>
            <w:r w:rsidRPr="009C79F1">
              <w:rPr>
                <w:rFonts w:ascii="Aptos" w:hAnsi="Aptos"/>
                <w:color w:val="002060"/>
                <w:sz w:val="36"/>
                <w:szCs w:val="36"/>
              </w:rPr>
              <w:t xml:space="preserve">October 2025 </w:t>
            </w:r>
            <w:r w:rsidR="005C632B">
              <w:rPr>
                <w:rFonts w:ascii="Aptos" w:hAnsi="Aptos"/>
                <w:color w:val="002060"/>
                <w:sz w:val="36"/>
                <w:szCs w:val="36"/>
              </w:rPr>
              <w:t>Community Nursing f</w:t>
            </w:r>
            <w:r w:rsidR="005C632B" w:rsidRPr="009C79F1">
              <w:rPr>
                <w:rFonts w:ascii="Aptos" w:hAnsi="Aptos"/>
                <w:color w:val="002060"/>
                <w:sz w:val="36"/>
                <w:szCs w:val="36"/>
              </w:rPr>
              <w:t xml:space="preserve">ee </w:t>
            </w:r>
            <w:r w:rsidR="005C632B">
              <w:rPr>
                <w:rFonts w:ascii="Aptos" w:hAnsi="Aptos"/>
                <w:color w:val="002060"/>
                <w:sz w:val="36"/>
                <w:szCs w:val="36"/>
              </w:rPr>
              <w:t>i</w:t>
            </w:r>
            <w:r w:rsidR="005C632B" w:rsidRPr="009C79F1">
              <w:rPr>
                <w:rFonts w:ascii="Aptos" w:hAnsi="Aptos"/>
                <w:color w:val="002060"/>
                <w:sz w:val="36"/>
                <w:szCs w:val="36"/>
              </w:rPr>
              <w:t>ncrease</w:t>
            </w:r>
          </w:p>
          <w:p w14:paraId="6BE06E05" w14:textId="3C9496F0" w:rsidR="009C79F1" w:rsidRPr="009C79F1" w:rsidRDefault="009C79F1" w:rsidP="009C79F1">
            <w:pPr>
              <w:rPr>
                <w:rFonts w:ascii="Aptos" w:hAnsi="Aptos"/>
                <w:color w:val="2F5496" w:themeColor="accent5" w:themeShade="BF"/>
                <w:sz w:val="24"/>
                <w:szCs w:val="24"/>
              </w:rPr>
            </w:pPr>
            <w:r w:rsidRPr="009C79F1">
              <w:rPr>
                <w:rFonts w:ascii="Aptos" w:hAnsi="Aptos"/>
                <w:color w:val="2F5496" w:themeColor="accent5" w:themeShade="BF"/>
                <w:sz w:val="24"/>
                <w:szCs w:val="24"/>
              </w:rPr>
              <w:t xml:space="preserve">As part of DVA’s ongoing commitment to support the Fair Work Commission’s (FWC) decision to increase award wages under the </w:t>
            </w:r>
            <w:hyperlink r:id="rId8" w:history="1">
              <w:r w:rsidRPr="009C79F1">
                <w:rPr>
                  <w:rStyle w:val="Hyperlink"/>
                  <w:rFonts w:ascii="Aptos" w:hAnsi="Aptos"/>
                  <w:color w:val="2F5496" w:themeColor="accent5" w:themeShade="BF"/>
                  <w:sz w:val="24"/>
                  <w:szCs w:val="24"/>
                </w:rPr>
                <w:t>Aged Care Work Value Case</w:t>
              </w:r>
            </w:hyperlink>
            <w:r w:rsidRPr="009C79F1">
              <w:rPr>
                <w:rFonts w:ascii="Aptos" w:hAnsi="Aptos"/>
                <w:color w:val="2F5496" w:themeColor="accent5" w:themeShade="BF"/>
                <w:sz w:val="24"/>
                <w:szCs w:val="24"/>
              </w:rPr>
              <w:t xml:space="preserve">, clinical and personal care fee items in the Community Nursing Schedule of Fees will be increased from 1 October 2025. </w:t>
            </w:r>
            <w:r w:rsidR="005C632B">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The increase for personal care </w:t>
            </w:r>
            <w:r w:rsidR="005C632B">
              <w:rPr>
                <w:rFonts w:ascii="Aptos" w:hAnsi="Aptos"/>
                <w:color w:val="2F5496" w:themeColor="accent5" w:themeShade="BF"/>
                <w:sz w:val="24"/>
                <w:szCs w:val="24"/>
              </w:rPr>
              <w:t>items</w:t>
            </w:r>
            <w:r w:rsidR="005C632B" w:rsidRPr="009C79F1">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is the second and final of two tranches of increases for personal care workers, with the first </w:t>
            </w:r>
            <w:r w:rsidR="005C632B">
              <w:rPr>
                <w:rFonts w:ascii="Aptos" w:hAnsi="Aptos"/>
                <w:color w:val="2F5496" w:themeColor="accent5" w:themeShade="BF"/>
                <w:sz w:val="24"/>
                <w:szCs w:val="24"/>
              </w:rPr>
              <w:t>increase</w:t>
            </w:r>
            <w:r w:rsidR="005C632B" w:rsidRPr="009C79F1">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applied from 1 January 2025. </w:t>
            </w:r>
            <w:r w:rsidR="005C632B">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The increase for </w:t>
            </w:r>
            <w:r w:rsidR="005C632B">
              <w:rPr>
                <w:rFonts w:ascii="Aptos" w:hAnsi="Aptos"/>
                <w:color w:val="2F5496" w:themeColor="accent5" w:themeShade="BF"/>
                <w:sz w:val="24"/>
                <w:szCs w:val="24"/>
              </w:rPr>
              <w:t>clinical care</w:t>
            </w:r>
            <w:r w:rsidR="005C632B" w:rsidRPr="009C79F1">
              <w:rPr>
                <w:rFonts w:ascii="Aptos" w:hAnsi="Aptos"/>
                <w:color w:val="2F5496" w:themeColor="accent5" w:themeShade="BF"/>
                <w:sz w:val="24"/>
                <w:szCs w:val="24"/>
              </w:rPr>
              <w:t xml:space="preserve"> </w:t>
            </w:r>
            <w:r w:rsidR="005C632B">
              <w:rPr>
                <w:rFonts w:ascii="Aptos" w:hAnsi="Aptos"/>
                <w:color w:val="2F5496" w:themeColor="accent5" w:themeShade="BF"/>
                <w:sz w:val="24"/>
                <w:szCs w:val="24"/>
              </w:rPr>
              <w:t>items</w:t>
            </w:r>
            <w:r w:rsidR="005C632B" w:rsidRPr="009C79F1">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is the second of three tranches of increases for nursing staff, with the first applied from 1 March 2025 and the final </w:t>
            </w:r>
            <w:r w:rsidR="005C632B">
              <w:rPr>
                <w:rFonts w:ascii="Aptos" w:hAnsi="Aptos"/>
                <w:color w:val="2F5496" w:themeColor="accent5" w:themeShade="BF"/>
                <w:sz w:val="24"/>
                <w:szCs w:val="24"/>
              </w:rPr>
              <w:t>increase</w:t>
            </w:r>
            <w:r w:rsidR="005C632B" w:rsidRPr="009C79F1">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taking effect from 1 August 2026. </w:t>
            </w:r>
          </w:p>
          <w:p w14:paraId="1BE9985A" w14:textId="77777777" w:rsidR="009C79F1" w:rsidRPr="009C79F1" w:rsidRDefault="009C79F1" w:rsidP="009C79F1">
            <w:pPr>
              <w:rPr>
                <w:rFonts w:ascii="Aptos" w:hAnsi="Aptos"/>
                <w:color w:val="2F5496" w:themeColor="accent5" w:themeShade="BF"/>
                <w:sz w:val="24"/>
                <w:szCs w:val="24"/>
              </w:rPr>
            </w:pPr>
          </w:p>
          <w:p w14:paraId="6B8662C6" w14:textId="51C5945D" w:rsidR="009C79F1" w:rsidRPr="009C79F1" w:rsidRDefault="009C79F1" w:rsidP="009C79F1">
            <w:pPr>
              <w:rPr>
                <w:rFonts w:ascii="Aptos" w:hAnsi="Aptos"/>
                <w:color w:val="2F5496" w:themeColor="accent5" w:themeShade="BF"/>
                <w:sz w:val="24"/>
                <w:szCs w:val="24"/>
              </w:rPr>
            </w:pPr>
            <w:r w:rsidRPr="009C79F1">
              <w:rPr>
                <w:rFonts w:ascii="Aptos" w:hAnsi="Aptos"/>
                <w:color w:val="2F5496" w:themeColor="accent5" w:themeShade="BF"/>
                <w:sz w:val="24"/>
                <w:szCs w:val="24"/>
              </w:rPr>
              <w:t xml:space="preserve">The </w:t>
            </w:r>
            <w:r w:rsidR="005C632B">
              <w:rPr>
                <w:rFonts w:ascii="Aptos" w:hAnsi="Aptos"/>
                <w:color w:val="2F5496" w:themeColor="accent5" w:themeShade="BF"/>
                <w:sz w:val="24"/>
                <w:szCs w:val="24"/>
              </w:rPr>
              <w:t xml:space="preserve">DVA Community Nursing </w:t>
            </w:r>
            <w:r w:rsidRPr="009C79F1">
              <w:rPr>
                <w:rFonts w:ascii="Aptos" w:hAnsi="Aptos"/>
                <w:color w:val="2F5496" w:themeColor="accent5" w:themeShade="BF"/>
                <w:sz w:val="24"/>
                <w:szCs w:val="24"/>
              </w:rPr>
              <w:t>Schedule of Fees effective from 1 October 2025 is attached for reference and will also be available on the DVA website.</w:t>
            </w:r>
          </w:p>
          <w:p w14:paraId="1D883AF8" w14:textId="77777777" w:rsidR="009C79F1" w:rsidRPr="009C79F1" w:rsidRDefault="009C79F1" w:rsidP="009C79F1">
            <w:pPr>
              <w:rPr>
                <w:rFonts w:ascii="Aptos" w:hAnsi="Aptos"/>
                <w:color w:val="2F5496" w:themeColor="accent5" w:themeShade="BF"/>
                <w:sz w:val="24"/>
                <w:szCs w:val="24"/>
              </w:rPr>
            </w:pPr>
          </w:p>
          <w:p w14:paraId="0E4B0B72" w14:textId="77777777" w:rsidR="009C79F1" w:rsidRPr="009C79F1" w:rsidRDefault="009C79F1" w:rsidP="009C79F1">
            <w:pPr>
              <w:rPr>
                <w:rFonts w:ascii="Aptos" w:hAnsi="Aptos"/>
                <w:color w:val="2F5496" w:themeColor="accent5" w:themeShade="BF"/>
                <w:sz w:val="24"/>
                <w:szCs w:val="24"/>
              </w:rPr>
            </w:pPr>
            <w:r w:rsidRPr="009C79F1">
              <w:rPr>
                <w:rFonts w:ascii="Aptos" w:hAnsi="Aptos"/>
                <w:color w:val="2F5496" w:themeColor="accent5" w:themeShade="BF"/>
                <w:sz w:val="24"/>
                <w:szCs w:val="24"/>
              </w:rPr>
              <w:t>Community Nursing providers who deliver services to clients under an Exceptional Case approval will receive an updated approval letter in October for each client to reflect the fee increases.</w:t>
            </w:r>
          </w:p>
          <w:p w14:paraId="7002D599" w14:textId="77777777" w:rsidR="009C79F1" w:rsidRPr="009C79F1" w:rsidRDefault="009C79F1" w:rsidP="009C79F1">
            <w:pPr>
              <w:rPr>
                <w:rFonts w:ascii="Aptos" w:hAnsi="Aptos"/>
                <w:color w:val="2F5496" w:themeColor="accent5" w:themeShade="BF"/>
                <w:sz w:val="24"/>
                <w:szCs w:val="24"/>
              </w:rPr>
            </w:pPr>
          </w:p>
          <w:p w14:paraId="37C94FD6" w14:textId="77777777" w:rsidR="009C79F1" w:rsidRPr="009C79F1" w:rsidRDefault="009C79F1" w:rsidP="009C79F1">
            <w:pPr>
              <w:rPr>
                <w:rFonts w:ascii="Aptos" w:hAnsi="Aptos"/>
                <w:color w:val="2F5496" w:themeColor="accent5" w:themeShade="BF"/>
                <w:sz w:val="24"/>
                <w:szCs w:val="24"/>
                <w:u w:val="single"/>
              </w:rPr>
            </w:pPr>
            <w:r w:rsidRPr="009C79F1">
              <w:rPr>
                <w:rFonts w:ascii="Aptos" w:hAnsi="Aptos"/>
                <w:color w:val="2F5496" w:themeColor="accent5" w:themeShade="BF"/>
                <w:sz w:val="24"/>
                <w:szCs w:val="24"/>
                <w:u w:val="single"/>
              </w:rPr>
              <w:t>Historical Leave Liabilities</w:t>
            </w:r>
          </w:p>
          <w:p w14:paraId="410884F5" w14:textId="0432B86C" w:rsidR="009C79F1" w:rsidRDefault="009C79F1" w:rsidP="009C79F1">
            <w:r w:rsidRPr="009C79F1">
              <w:rPr>
                <w:rFonts w:ascii="Aptos" w:hAnsi="Aptos"/>
                <w:color w:val="2F5496" w:themeColor="accent5" w:themeShade="BF"/>
                <w:sz w:val="24"/>
                <w:szCs w:val="24"/>
              </w:rPr>
              <w:t xml:space="preserve">Additional funding will be made available to Community Nursing and Veterans’ Home Care providers to fund historical leave liabilities as a result of the FWC decision. </w:t>
            </w:r>
            <w:r w:rsidR="005C632B">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 xml:space="preserve">The funding will cover the increases applied from 1 March 2025 and 1 October 2025. </w:t>
            </w:r>
            <w:r w:rsidR="005C632B">
              <w:rPr>
                <w:rFonts w:ascii="Aptos" w:hAnsi="Aptos"/>
                <w:color w:val="2F5496" w:themeColor="accent5" w:themeShade="BF"/>
                <w:sz w:val="24"/>
                <w:szCs w:val="24"/>
              </w:rPr>
              <w:t xml:space="preserve"> </w:t>
            </w:r>
            <w:r w:rsidRPr="009C79F1">
              <w:rPr>
                <w:rFonts w:ascii="Aptos" w:hAnsi="Aptos"/>
                <w:color w:val="2F5496" w:themeColor="accent5" w:themeShade="BF"/>
                <w:sz w:val="24"/>
                <w:szCs w:val="24"/>
              </w:rPr>
              <w:t>DVA is working closely with the Department of Health, Disability and Ageing, as the lead agency on this, and further information will be made available as soon as possible.</w:t>
            </w:r>
          </w:p>
          <w:p w14:paraId="4A7BD55D" w14:textId="5D02B1C7" w:rsidR="00035BB5" w:rsidRPr="009C79F1" w:rsidRDefault="00035BB5" w:rsidP="00035BB5">
            <w:pPr>
              <w:rPr>
                <w:rFonts w:ascii="Aptos" w:hAnsi="Aptos" w:cs="Arial"/>
                <w:b/>
                <w:color w:val="002060"/>
                <w:sz w:val="16"/>
                <w:szCs w:val="16"/>
              </w:rPr>
            </w:pPr>
          </w:p>
        </w:tc>
      </w:tr>
      <w:tr w:rsidR="00802392" w:rsidRPr="00C15C28" w14:paraId="28047637" w14:textId="77777777" w:rsidTr="0073412C">
        <w:trPr>
          <w:trHeight w:val="2956"/>
        </w:trPr>
        <w:tc>
          <w:tcPr>
            <w:tcW w:w="113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B1D6B8" w14:textId="77777777" w:rsidR="002C181B" w:rsidRPr="002C181B" w:rsidRDefault="002C181B" w:rsidP="00802392">
            <w:pPr>
              <w:spacing w:line="259" w:lineRule="auto"/>
              <w:rPr>
                <w:rFonts w:ascii="Aptos" w:hAnsi="Aptos" w:cs="Arial"/>
                <w:color w:val="002060"/>
                <w:sz w:val="16"/>
                <w:szCs w:val="16"/>
              </w:rPr>
            </w:pPr>
          </w:p>
          <w:p w14:paraId="2FBA6B52" w14:textId="3797BFEC" w:rsidR="00802392" w:rsidRDefault="002E2E4F" w:rsidP="005C632B">
            <w:pPr>
              <w:rPr>
                <w:rFonts w:ascii="Aptos" w:hAnsi="Aptos"/>
                <w:color w:val="002060"/>
                <w:sz w:val="36"/>
                <w:szCs w:val="36"/>
              </w:rPr>
            </w:pPr>
            <w:r w:rsidRPr="00794BDB">
              <w:rPr>
                <w:rFonts w:ascii="Aptos" w:hAnsi="Aptos"/>
                <w:color w:val="002060"/>
                <w:sz w:val="36"/>
                <w:szCs w:val="36"/>
              </w:rPr>
              <w:t>Registration standard: Endorsement for scheduled medicines – designated registered nurse prescriber</w:t>
            </w:r>
          </w:p>
          <w:p w14:paraId="5F49C5A3" w14:textId="22D64091" w:rsidR="00794BDB" w:rsidRPr="00794BDB" w:rsidRDefault="00794BDB" w:rsidP="00794BDB">
            <w:pPr>
              <w:rPr>
                <w:rFonts w:ascii="Aptos" w:hAnsi="Aptos"/>
                <w:color w:val="2F5496" w:themeColor="accent5" w:themeShade="BF"/>
                <w:sz w:val="24"/>
                <w:szCs w:val="24"/>
              </w:rPr>
            </w:pPr>
            <w:r w:rsidRPr="00794BDB">
              <w:rPr>
                <w:rFonts w:ascii="Aptos" w:hAnsi="Aptos"/>
                <w:color w:val="2F5496" w:themeColor="accent5" w:themeShade="BF"/>
                <w:sz w:val="24"/>
                <w:szCs w:val="24"/>
              </w:rPr>
              <w:t xml:space="preserve">A new </w:t>
            </w:r>
            <w:r w:rsidRPr="00794BDB">
              <w:rPr>
                <w:rFonts w:ascii="Aptos" w:hAnsi="Aptos"/>
                <w:i/>
                <w:iCs/>
                <w:color w:val="2F5496" w:themeColor="accent5" w:themeShade="BF"/>
                <w:sz w:val="24"/>
                <w:szCs w:val="24"/>
              </w:rPr>
              <w:t>Registration standard: Endorsement for scheduled medicines – designated registered nurse prescriber</w:t>
            </w:r>
            <w:r w:rsidRPr="00794BDB">
              <w:rPr>
                <w:rFonts w:ascii="Aptos" w:hAnsi="Aptos"/>
                <w:color w:val="2F5496" w:themeColor="accent5" w:themeShade="BF"/>
                <w:sz w:val="24"/>
                <w:szCs w:val="24"/>
              </w:rPr>
              <w:t xml:space="preserve"> will take effect in September 2025 which will enable suitably educated and qualified registered nurses (RNs), with the appropriate endorsement, to prescribe Schedule 2, 3, 4 and 8 medicines in partnership with an authorised health practitioner under a clinical governance framework and an active prescribing agreement.</w:t>
            </w:r>
            <w:r w:rsidRPr="00794BDB">
              <w:rPr>
                <w:rFonts w:ascii="Arial" w:hAnsi="Arial" w:cs="Arial"/>
                <w:color w:val="2F5496" w:themeColor="accent5" w:themeShade="BF"/>
                <w:sz w:val="24"/>
                <w:szCs w:val="24"/>
              </w:rPr>
              <w:t> </w:t>
            </w:r>
            <w:r w:rsidR="005C632B">
              <w:rPr>
                <w:rFonts w:ascii="Arial" w:hAnsi="Arial" w:cs="Arial"/>
                <w:color w:val="2F5496" w:themeColor="accent5" w:themeShade="BF"/>
                <w:sz w:val="24"/>
                <w:szCs w:val="24"/>
              </w:rPr>
              <w:t xml:space="preserve"> </w:t>
            </w:r>
            <w:r w:rsidRPr="00794BDB">
              <w:rPr>
                <w:rFonts w:ascii="Aptos" w:hAnsi="Aptos"/>
                <w:color w:val="2F5496" w:themeColor="accent5" w:themeShade="BF"/>
                <w:sz w:val="24"/>
                <w:szCs w:val="24"/>
              </w:rPr>
              <w:t>The designated RN prescriber will be responsible and accountable for prescribing within their scope of practice and authorisation.</w:t>
            </w:r>
          </w:p>
          <w:p w14:paraId="2C2FF6A0" w14:textId="77777777" w:rsidR="00794BDB" w:rsidRPr="00794BDB" w:rsidRDefault="00794BDB" w:rsidP="00794BDB">
            <w:pPr>
              <w:rPr>
                <w:rFonts w:ascii="Aptos" w:hAnsi="Aptos"/>
                <w:color w:val="2F5496" w:themeColor="accent5" w:themeShade="BF"/>
                <w:sz w:val="24"/>
                <w:szCs w:val="24"/>
              </w:rPr>
            </w:pPr>
            <w:r w:rsidRPr="00794BDB">
              <w:rPr>
                <w:rFonts w:ascii="Aptos" w:hAnsi="Aptos"/>
                <w:color w:val="2F5496" w:themeColor="accent5" w:themeShade="BF"/>
                <w:sz w:val="24"/>
                <w:szCs w:val="24"/>
              </w:rPr>
              <w:t> </w:t>
            </w:r>
          </w:p>
          <w:p w14:paraId="47152DFE" w14:textId="25B3231F" w:rsidR="00794BDB" w:rsidRPr="00794BDB" w:rsidRDefault="00794BDB" w:rsidP="00794BDB">
            <w:pPr>
              <w:rPr>
                <w:rFonts w:ascii="Aptos" w:hAnsi="Aptos"/>
                <w:color w:val="2F5496" w:themeColor="accent5" w:themeShade="BF"/>
                <w:sz w:val="24"/>
                <w:szCs w:val="24"/>
              </w:rPr>
            </w:pPr>
            <w:r w:rsidRPr="00794BDB">
              <w:rPr>
                <w:rFonts w:ascii="Aptos" w:hAnsi="Aptos"/>
                <w:color w:val="2F5496" w:themeColor="accent5" w:themeShade="BF"/>
                <w:sz w:val="24"/>
                <w:szCs w:val="24"/>
              </w:rPr>
              <w:t>Following commencement of the Standard, providers and RNs with the necessary endorsement must comply with the requirements set out in the Standard, as well as all current policies and national medication standards as outlined in the Notes for Community Nursing Providers.</w:t>
            </w:r>
            <w:r w:rsidR="005C632B">
              <w:rPr>
                <w:rFonts w:ascii="Aptos" w:hAnsi="Aptos"/>
                <w:color w:val="2F5496" w:themeColor="accent5" w:themeShade="BF"/>
                <w:sz w:val="24"/>
                <w:szCs w:val="24"/>
              </w:rPr>
              <w:t xml:space="preserve"> </w:t>
            </w:r>
            <w:r w:rsidRPr="00794BDB">
              <w:rPr>
                <w:rFonts w:ascii="Aptos" w:hAnsi="Aptos"/>
                <w:color w:val="2F5496" w:themeColor="accent5" w:themeShade="BF"/>
                <w:sz w:val="24"/>
                <w:szCs w:val="24"/>
              </w:rPr>
              <w:t xml:space="preserve"> The relevant sections of the Notes for Community Nursing Providers will be updated in the coming months to incorporate applicable information.</w:t>
            </w:r>
          </w:p>
          <w:p w14:paraId="12924942" w14:textId="77777777" w:rsidR="00794BDB" w:rsidRPr="00794BDB" w:rsidRDefault="00794BDB" w:rsidP="00794BDB">
            <w:pPr>
              <w:rPr>
                <w:rFonts w:ascii="Aptos" w:hAnsi="Aptos"/>
                <w:color w:val="2F5496" w:themeColor="accent5" w:themeShade="BF"/>
                <w:sz w:val="24"/>
                <w:szCs w:val="24"/>
              </w:rPr>
            </w:pPr>
          </w:p>
          <w:p w14:paraId="07195666" w14:textId="77777777" w:rsidR="00802392" w:rsidRDefault="00794BDB" w:rsidP="00802392">
            <w:pPr>
              <w:rPr>
                <w:color w:val="2F5496" w:themeColor="accent5" w:themeShade="BF"/>
              </w:rPr>
            </w:pPr>
            <w:r w:rsidRPr="00794BDB">
              <w:rPr>
                <w:rFonts w:ascii="Aptos" w:hAnsi="Aptos"/>
                <w:color w:val="2F5496" w:themeColor="accent5" w:themeShade="BF"/>
                <w:sz w:val="24"/>
                <w:szCs w:val="24"/>
              </w:rPr>
              <w:t xml:space="preserve">Further information about the endorsement, including an advance copy of the Registration standard and Guidelines, can be found on the </w:t>
            </w:r>
            <w:hyperlink r:id="rId9" w:history="1">
              <w:r w:rsidRPr="00794BDB">
                <w:rPr>
                  <w:rStyle w:val="Hyperlink"/>
                  <w:rFonts w:ascii="Aptos" w:hAnsi="Aptos"/>
                  <w:color w:val="2F5496" w:themeColor="accent5" w:themeShade="BF"/>
                  <w:sz w:val="24"/>
                  <w:szCs w:val="24"/>
                </w:rPr>
                <w:t>Nursing and Midwifery Board of Australia (NMBA) website</w:t>
              </w:r>
            </w:hyperlink>
            <w:r w:rsidRPr="00794BDB">
              <w:rPr>
                <w:rFonts w:ascii="Aptos" w:hAnsi="Aptos"/>
                <w:color w:val="2F5496" w:themeColor="accent5" w:themeShade="BF"/>
                <w:sz w:val="24"/>
                <w:szCs w:val="24"/>
              </w:rPr>
              <w:t>.</w:t>
            </w:r>
            <w:r w:rsidRPr="00794BDB">
              <w:rPr>
                <w:color w:val="2F5496" w:themeColor="accent5" w:themeShade="BF"/>
              </w:rPr>
              <w:t xml:space="preserve"> </w:t>
            </w:r>
          </w:p>
          <w:p w14:paraId="23630005" w14:textId="4F15C627" w:rsidR="00501D2B" w:rsidRPr="00501D2B" w:rsidRDefault="00501D2B" w:rsidP="00802392">
            <w:pPr>
              <w:rPr>
                <w:rFonts w:ascii="Aptos" w:hAnsi="Aptos"/>
                <w:sz w:val="16"/>
                <w:szCs w:val="16"/>
              </w:rPr>
            </w:pPr>
          </w:p>
        </w:tc>
      </w:tr>
    </w:tbl>
    <w:p w14:paraId="584D71C4" w14:textId="77777777" w:rsidR="00C0740B" w:rsidRDefault="00C0740B"/>
    <w:sectPr w:rsidR="00C0740B" w:rsidSect="0009400E">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0AD7" w14:textId="77777777" w:rsidR="00A93829" w:rsidRDefault="00A93829" w:rsidP="00A93829">
      <w:pPr>
        <w:spacing w:after="0" w:line="240" w:lineRule="auto"/>
      </w:pPr>
      <w:r>
        <w:separator/>
      </w:r>
    </w:p>
  </w:endnote>
  <w:endnote w:type="continuationSeparator" w:id="0">
    <w:p w14:paraId="6FF822EC" w14:textId="77777777" w:rsidR="00A93829" w:rsidRDefault="00A93829" w:rsidP="00A9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07F6" w14:textId="77777777" w:rsidR="00A93829" w:rsidRDefault="00A93829" w:rsidP="00A93829">
      <w:pPr>
        <w:spacing w:after="0" w:line="240" w:lineRule="auto"/>
      </w:pPr>
      <w:r>
        <w:separator/>
      </w:r>
    </w:p>
  </w:footnote>
  <w:footnote w:type="continuationSeparator" w:id="0">
    <w:p w14:paraId="735443AA" w14:textId="77777777" w:rsidR="00A93829" w:rsidRDefault="00A93829" w:rsidP="00A93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070214">
    <w:abstractNumId w:val="3"/>
  </w:num>
  <w:num w:numId="2" w16cid:durableId="1618563254">
    <w:abstractNumId w:val="1"/>
  </w:num>
  <w:num w:numId="3" w16cid:durableId="273753203">
    <w:abstractNumId w:val="0"/>
  </w:num>
  <w:num w:numId="4" w16cid:durableId="47168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34C58"/>
    <w:rsid w:val="00035BB5"/>
    <w:rsid w:val="00080635"/>
    <w:rsid w:val="0009400E"/>
    <w:rsid w:val="000C1DAF"/>
    <w:rsid w:val="000E428B"/>
    <w:rsid w:val="0012303C"/>
    <w:rsid w:val="001465AB"/>
    <w:rsid w:val="0016092C"/>
    <w:rsid w:val="00193063"/>
    <w:rsid w:val="001A22A2"/>
    <w:rsid w:val="001A38B5"/>
    <w:rsid w:val="001B78B3"/>
    <w:rsid w:val="002A6132"/>
    <w:rsid w:val="002A78B2"/>
    <w:rsid w:val="002C181B"/>
    <w:rsid w:val="002E17BC"/>
    <w:rsid w:val="002E2E4F"/>
    <w:rsid w:val="003016AF"/>
    <w:rsid w:val="003642DC"/>
    <w:rsid w:val="003A047F"/>
    <w:rsid w:val="003A1BB5"/>
    <w:rsid w:val="003B2965"/>
    <w:rsid w:val="003C7281"/>
    <w:rsid w:val="003C74B3"/>
    <w:rsid w:val="003E403E"/>
    <w:rsid w:val="003E4EFB"/>
    <w:rsid w:val="00402BB5"/>
    <w:rsid w:val="0041658F"/>
    <w:rsid w:val="004C1D1B"/>
    <w:rsid w:val="004C611E"/>
    <w:rsid w:val="004E31C3"/>
    <w:rsid w:val="00501D2B"/>
    <w:rsid w:val="00530FFD"/>
    <w:rsid w:val="005C4878"/>
    <w:rsid w:val="005C632B"/>
    <w:rsid w:val="005E0809"/>
    <w:rsid w:val="005F1B1E"/>
    <w:rsid w:val="005F22AA"/>
    <w:rsid w:val="00607EFA"/>
    <w:rsid w:val="00626AF9"/>
    <w:rsid w:val="0063769C"/>
    <w:rsid w:val="00644953"/>
    <w:rsid w:val="00662FEB"/>
    <w:rsid w:val="006E220C"/>
    <w:rsid w:val="006F6FD9"/>
    <w:rsid w:val="007175CF"/>
    <w:rsid w:val="0073412C"/>
    <w:rsid w:val="0075208A"/>
    <w:rsid w:val="00760E23"/>
    <w:rsid w:val="007832D0"/>
    <w:rsid w:val="00794BDB"/>
    <w:rsid w:val="0079527A"/>
    <w:rsid w:val="007A06EE"/>
    <w:rsid w:val="007C2981"/>
    <w:rsid w:val="007D1BFE"/>
    <w:rsid w:val="00802392"/>
    <w:rsid w:val="00893299"/>
    <w:rsid w:val="008C7EEF"/>
    <w:rsid w:val="008F596B"/>
    <w:rsid w:val="0090703A"/>
    <w:rsid w:val="0090736B"/>
    <w:rsid w:val="00931014"/>
    <w:rsid w:val="009C79F1"/>
    <w:rsid w:val="00A06357"/>
    <w:rsid w:val="00A514FB"/>
    <w:rsid w:val="00A55C38"/>
    <w:rsid w:val="00A55EC9"/>
    <w:rsid w:val="00A87B14"/>
    <w:rsid w:val="00A93829"/>
    <w:rsid w:val="00AD021C"/>
    <w:rsid w:val="00AE1643"/>
    <w:rsid w:val="00AE339C"/>
    <w:rsid w:val="00B02DC6"/>
    <w:rsid w:val="00B40263"/>
    <w:rsid w:val="00BB2CB3"/>
    <w:rsid w:val="00BD1E0D"/>
    <w:rsid w:val="00BF1725"/>
    <w:rsid w:val="00C0740B"/>
    <w:rsid w:val="00C15C28"/>
    <w:rsid w:val="00C51A76"/>
    <w:rsid w:val="00C76015"/>
    <w:rsid w:val="00D0231D"/>
    <w:rsid w:val="00DA0390"/>
    <w:rsid w:val="00E220B7"/>
    <w:rsid w:val="00E22A42"/>
    <w:rsid w:val="00EA75E0"/>
    <w:rsid w:val="00ED65B1"/>
    <w:rsid w:val="00EE3826"/>
    <w:rsid w:val="00F25652"/>
    <w:rsid w:val="00F3209F"/>
    <w:rsid w:val="00F55403"/>
    <w:rsid w:val="00FB0509"/>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4114"/>
  <w15:chartTrackingRefBased/>
  <w15:docId w15:val="{253282DB-1766-4882-8F3B-777DBDA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semiHidden/>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semiHidden/>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Revision">
    <w:name w:val="Revision"/>
    <w:hidden/>
    <w:uiPriority w:val="99"/>
    <w:semiHidden/>
    <w:rsid w:val="005C632B"/>
    <w:pPr>
      <w:spacing w:after="0" w:line="240" w:lineRule="auto"/>
    </w:pPr>
  </w:style>
  <w:style w:type="paragraph" w:styleId="Header">
    <w:name w:val="header"/>
    <w:basedOn w:val="Normal"/>
    <w:link w:val="HeaderChar"/>
    <w:uiPriority w:val="99"/>
    <w:unhideWhenUsed/>
    <w:rsid w:val="00A93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829"/>
  </w:style>
  <w:style w:type="paragraph" w:styleId="Footer">
    <w:name w:val="footer"/>
    <w:basedOn w:val="Normal"/>
    <w:link w:val="FooterChar"/>
    <w:uiPriority w:val="99"/>
    <w:unhideWhenUsed/>
    <w:rsid w:val="00A9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392">
      <w:bodyDiv w:val="1"/>
      <w:marLeft w:val="0"/>
      <w:marRight w:val="0"/>
      <w:marTop w:val="0"/>
      <w:marBottom w:val="0"/>
      <w:divBdr>
        <w:top w:val="none" w:sz="0" w:space="0" w:color="auto"/>
        <w:left w:val="none" w:sz="0" w:space="0" w:color="auto"/>
        <w:bottom w:val="none" w:sz="0" w:space="0" w:color="auto"/>
        <w:right w:val="none" w:sz="0" w:space="0" w:color="auto"/>
      </w:divBdr>
    </w:div>
    <w:div w:id="858395814">
      <w:bodyDiv w:val="1"/>
      <w:marLeft w:val="0"/>
      <w:marRight w:val="0"/>
      <w:marTop w:val="0"/>
      <w:marBottom w:val="0"/>
      <w:divBdr>
        <w:top w:val="none" w:sz="0" w:space="0" w:color="auto"/>
        <w:left w:val="none" w:sz="0" w:space="0" w:color="auto"/>
        <w:bottom w:val="none" w:sz="0" w:space="0" w:color="auto"/>
        <w:right w:val="none" w:sz="0" w:space="0" w:color="auto"/>
      </w:divBdr>
    </w:div>
    <w:div w:id="11360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hearings-decisions/major-cases/previous-major-cases/work-value-case-aged-care-indust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ursingmidwiferyboard.gov.au/Registration-and-Endorsement/Endorsements-No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Thurbon, Teresa</cp:lastModifiedBy>
  <cp:revision>2</cp:revision>
  <dcterms:created xsi:type="dcterms:W3CDTF">2025-08-11T04:36:00Z</dcterms:created>
  <dcterms:modified xsi:type="dcterms:W3CDTF">2025-08-11T04:37:00Z</dcterms:modified>
</cp:coreProperties>
</file>