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ECAE2" w14:textId="77777777" w:rsidR="008E6C9D" w:rsidRDefault="008E6C9D">
      <w:pPr>
        <w:pStyle w:val="TOC2"/>
      </w:pPr>
      <w:r>
        <w:rPr>
          <w:noProof/>
        </w:rPr>
        <w:pict w14:anchorId="3F3B6BAB">
          <v:group id="_x0000_s2054" style="position:absolute;left:0;text-align:left;margin-left:-49.8pt;margin-top:-643.45pt;width:522pt;height:549pt;z-index:251657728" coordorigin="801,2164" coordsize="10440,10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3537;top:2164;width:5154;height:2978" o:preferrelative="f" fillcolor="window" stroked="t" strokecolor="#36f" strokeweight="4.5pt">
              <v:stroke linestyle="thickThin"/>
              <v:imagedata r:id="rId7" o:title="DVA_stacked"/>
            </v:shape>
            <v:shapetype id="_x0000_t202" coordsize="21600,21600" o:spt="202" path="m,l,21600r21600,l21600,xe">
              <v:stroke joinstyle="miter"/>
              <v:path gradientshapeok="t" o:connecttype="rect"/>
            </v:shapetype>
            <v:shape id="_x0000_s2053" type="#_x0000_t202" style="position:absolute;left:801;top:7384;width:10440;height:5760" strokecolor="#36f" strokeweight="4.5pt">
              <v:stroke linestyle="thickThin"/>
              <v:textbox style="mso-next-textbox:#_x0000_s2053">
                <w:txbxContent>
                  <w:p w14:paraId="16AD49AC" w14:textId="77777777" w:rsidR="008E6C9D" w:rsidRDefault="008E6C9D">
                    <w:pPr>
                      <w:spacing w:before="120"/>
                      <w:jc w:val="center"/>
                      <w:rPr>
                        <w:rFonts w:ascii="Arial" w:hAnsi="Arial" w:cs="Arial"/>
                        <w:b/>
                        <w:sz w:val="56"/>
                        <w:szCs w:val="56"/>
                        <w:lang w:val="en-US"/>
                      </w:rPr>
                    </w:pPr>
                    <w:r>
                      <w:rPr>
                        <w:rFonts w:ascii="Arial" w:hAnsi="Arial" w:cs="Arial"/>
                        <w:b/>
                        <w:sz w:val="56"/>
                        <w:szCs w:val="56"/>
                        <w:lang w:val="en-US"/>
                      </w:rPr>
                      <w:t>NOTES FOR</w:t>
                    </w:r>
                  </w:p>
                  <w:p w14:paraId="10F000C3" w14:textId="77777777" w:rsidR="008E6C9D" w:rsidRDefault="008E6C9D">
                    <w:pPr>
                      <w:jc w:val="center"/>
                      <w:rPr>
                        <w:rFonts w:ascii="Arial" w:hAnsi="Arial" w:cs="Arial"/>
                        <w:b/>
                        <w:sz w:val="56"/>
                        <w:szCs w:val="56"/>
                        <w:lang w:val="en-US"/>
                      </w:rPr>
                    </w:pPr>
                    <w:r>
                      <w:rPr>
                        <w:rFonts w:ascii="Arial" w:hAnsi="Arial" w:cs="Arial"/>
                        <w:b/>
                        <w:sz w:val="56"/>
                        <w:szCs w:val="56"/>
                        <w:lang w:val="en-US"/>
                      </w:rPr>
                      <w:t>ALLIED HEALTH PROVIDERS</w:t>
                    </w:r>
                  </w:p>
                  <w:p w14:paraId="6259F1EF" w14:textId="77777777" w:rsidR="008E6C9D" w:rsidRDefault="008E6C9D">
                    <w:pPr>
                      <w:spacing w:before="240"/>
                      <w:jc w:val="center"/>
                      <w:rPr>
                        <w:rFonts w:ascii="Arial" w:hAnsi="Arial" w:cs="Arial"/>
                        <w:b/>
                        <w:sz w:val="48"/>
                        <w:szCs w:val="48"/>
                        <w:lang w:val="en-US"/>
                      </w:rPr>
                    </w:pPr>
                    <w:r>
                      <w:rPr>
                        <w:rFonts w:ascii="Arial" w:hAnsi="Arial" w:cs="Arial"/>
                        <w:b/>
                        <w:sz w:val="48"/>
                        <w:szCs w:val="48"/>
                        <w:lang w:val="en-US"/>
                      </w:rPr>
                      <w:t>SECTION 2(k)</w:t>
                    </w:r>
                  </w:p>
                  <w:p w14:paraId="2FA34766" w14:textId="77777777" w:rsidR="008E6C9D" w:rsidRDefault="008E6C9D">
                    <w:pPr>
                      <w:spacing w:before="360"/>
                      <w:jc w:val="center"/>
                      <w:rPr>
                        <w:rFonts w:ascii="Arial" w:hAnsi="Arial" w:cs="Arial"/>
                        <w:b/>
                        <w:sz w:val="56"/>
                        <w:szCs w:val="56"/>
                        <w:lang w:val="en-US"/>
                      </w:rPr>
                    </w:pPr>
                    <w:r>
                      <w:rPr>
                        <w:rFonts w:ascii="Arial" w:hAnsi="Arial" w:cs="Arial"/>
                        <w:b/>
                        <w:sz w:val="56"/>
                        <w:szCs w:val="56"/>
                        <w:u w:val="single"/>
                        <w:lang w:val="en-US"/>
                      </w:rPr>
                      <w:t>PODIATRISTS</w:t>
                    </w:r>
                  </w:p>
                  <w:p w14:paraId="25F6EB46" w14:textId="77777777" w:rsidR="008E6C9D" w:rsidRDefault="008E6C9D">
                    <w:pPr>
                      <w:spacing w:before="120"/>
                      <w:jc w:val="center"/>
                      <w:rPr>
                        <w:rFonts w:ascii="Arial" w:hAnsi="Arial" w:cs="Arial"/>
                        <w:b/>
                        <w:sz w:val="36"/>
                        <w:szCs w:val="36"/>
                        <w:lang w:val="en-US"/>
                      </w:rPr>
                    </w:pPr>
                  </w:p>
                  <w:p w14:paraId="0CACA065" w14:textId="77777777" w:rsidR="008E6C9D" w:rsidRDefault="008E6C9D">
                    <w:pPr>
                      <w:spacing w:before="240"/>
                      <w:jc w:val="center"/>
                      <w:rPr>
                        <w:rFonts w:ascii="Arial" w:hAnsi="Arial" w:cs="Arial"/>
                        <w:sz w:val="36"/>
                        <w:szCs w:val="36"/>
                        <w:lang w:val="en-US"/>
                      </w:rPr>
                    </w:pPr>
                    <w:r>
                      <w:rPr>
                        <w:rFonts w:ascii="Arial" w:hAnsi="Arial" w:cs="Arial"/>
                        <w:sz w:val="36"/>
                        <w:szCs w:val="36"/>
                        <w:lang w:val="en-US"/>
                      </w:rPr>
                      <w:t xml:space="preserve">This section of the Notes for Allied Health Providers must be read in conjunction with Section 1 – General </w:t>
                    </w:r>
                  </w:p>
                </w:txbxContent>
              </v:textbox>
            </v:shape>
          </v:group>
        </w:pict>
      </w:r>
    </w:p>
    <w:p w14:paraId="353A39DC" w14:textId="77777777" w:rsidR="008E6C9D" w:rsidRDefault="008E6C9D">
      <w:pPr>
        <w:sectPr w:rsidR="008E6C9D">
          <w:headerReference w:type="first" r:id="rId8"/>
          <w:pgSz w:w="11906" w:h="16838"/>
          <w:pgMar w:top="1871" w:right="1797" w:bottom="1985" w:left="1797" w:header="720" w:footer="720" w:gutter="0"/>
          <w:pgNumType w:start="1"/>
          <w:cols w:space="720"/>
          <w:titlePg/>
        </w:sectPr>
      </w:pPr>
    </w:p>
    <w:p w14:paraId="15CA8D22" w14:textId="77777777" w:rsidR="008E6C9D" w:rsidRDefault="008E6C9D">
      <w:pPr>
        <w:pStyle w:val="TOC2"/>
      </w:pPr>
    </w:p>
    <w:p w14:paraId="16950D86" w14:textId="77777777" w:rsidR="008E6C9D" w:rsidRDefault="008E6C9D">
      <w:pPr>
        <w:rPr>
          <w:rFonts w:ascii="Arial" w:hAnsi="Arial" w:cs="Arial"/>
          <w:b/>
          <w:sz w:val="28"/>
          <w:szCs w:val="28"/>
        </w:rPr>
      </w:pPr>
      <w:r>
        <w:rPr>
          <w:rFonts w:ascii="Arial" w:hAnsi="Arial" w:cs="Arial"/>
          <w:b/>
          <w:sz w:val="28"/>
          <w:szCs w:val="28"/>
        </w:rPr>
        <w:t>Table of Contents</w:t>
      </w:r>
    </w:p>
    <w:p w14:paraId="6F347BAF" w14:textId="77777777" w:rsidR="00CB3472" w:rsidRPr="00824E46" w:rsidRDefault="008E6C9D">
      <w:pPr>
        <w:pStyle w:val="TOC2"/>
        <w:rPr>
          <w:rFonts w:ascii="Calibri" w:hAnsi="Calibri"/>
          <w:noProof/>
          <w:sz w:val="22"/>
          <w:szCs w:val="22"/>
        </w:rPr>
      </w:pPr>
      <w:r>
        <w:rPr>
          <w:b/>
          <w:sz w:val="28"/>
        </w:rPr>
        <w:fldChar w:fldCharType="begin"/>
      </w:r>
      <w:r>
        <w:rPr>
          <w:b/>
          <w:sz w:val="28"/>
        </w:rPr>
        <w:instrText xml:space="preserve"> TOC \o "1-3" </w:instrText>
      </w:r>
      <w:r>
        <w:rPr>
          <w:b/>
          <w:sz w:val="28"/>
        </w:rPr>
        <w:fldChar w:fldCharType="separate"/>
      </w:r>
      <w:r w:rsidR="00CB3472" w:rsidRPr="00FD3E77">
        <w:rPr>
          <w:rFonts w:cs="Arial"/>
          <w:bCs/>
          <w:noProof/>
        </w:rPr>
        <w:t>Providing podiatric services</w:t>
      </w:r>
      <w:r w:rsidR="00CB3472">
        <w:rPr>
          <w:noProof/>
        </w:rPr>
        <w:tab/>
      </w:r>
      <w:r w:rsidR="00CB3472">
        <w:rPr>
          <w:noProof/>
        </w:rPr>
        <w:fldChar w:fldCharType="begin"/>
      </w:r>
      <w:r w:rsidR="00CB3472">
        <w:rPr>
          <w:noProof/>
        </w:rPr>
        <w:instrText xml:space="preserve"> PAGEREF _Toc18414920 \h </w:instrText>
      </w:r>
      <w:r w:rsidR="00CB3472">
        <w:rPr>
          <w:noProof/>
        </w:rPr>
      </w:r>
      <w:r w:rsidR="00CB3472">
        <w:rPr>
          <w:noProof/>
        </w:rPr>
        <w:fldChar w:fldCharType="separate"/>
      </w:r>
      <w:r w:rsidR="00CB3472">
        <w:rPr>
          <w:noProof/>
        </w:rPr>
        <w:t>2</w:t>
      </w:r>
      <w:r w:rsidR="00CB3472">
        <w:rPr>
          <w:noProof/>
        </w:rPr>
        <w:fldChar w:fldCharType="end"/>
      </w:r>
    </w:p>
    <w:p w14:paraId="4B79D6A5" w14:textId="77777777" w:rsidR="00CB3472" w:rsidRPr="00824E46" w:rsidRDefault="00CB3472">
      <w:pPr>
        <w:pStyle w:val="TOC2"/>
        <w:rPr>
          <w:rFonts w:ascii="Calibri" w:hAnsi="Calibri"/>
          <w:noProof/>
          <w:sz w:val="22"/>
          <w:szCs w:val="22"/>
        </w:rPr>
      </w:pPr>
      <w:r w:rsidRPr="00FD3E77">
        <w:rPr>
          <w:rFonts w:cs="Arial"/>
          <w:bCs/>
          <w:noProof/>
        </w:rPr>
        <w:t>Prior financial authorisation</w:t>
      </w:r>
      <w:r>
        <w:rPr>
          <w:noProof/>
        </w:rPr>
        <w:tab/>
      </w:r>
      <w:r>
        <w:rPr>
          <w:noProof/>
        </w:rPr>
        <w:fldChar w:fldCharType="begin"/>
      </w:r>
      <w:r>
        <w:rPr>
          <w:noProof/>
        </w:rPr>
        <w:instrText xml:space="preserve"> PAGEREF _Toc18414921 \h </w:instrText>
      </w:r>
      <w:r>
        <w:rPr>
          <w:noProof/>
        </w:rPr>
      </w:r>
      <w:r>
        <w:rPr>
          <w:noProof/>
        </w:rPr>
        <w:fldChar w:fldCharType="separate"/>
      </w:r>
      <w:r>
        <w:rPr>
          <w:noProof/>
        </w:rPr>
        <w:t>2</w:t>
      </w:r>
      <w:r>
        <w:rPr>
          <w:noProof/>
        </w:rPr>
        <w:fldChar w:fldCharType="end"/>
      </w:r>
    </w:p>
    <w:p w14:paraId="1C2C4B57" w14:textId="77777777" w:rsidR="00CB3472" w:rsidRPr="00824E46" w:rsidRDefault="00CB3472">
      <w:pPr>
        <w:pStyle w:val="TOC2"/>
        <w:rPr>
          <w:rFonts w:ascii="Calibri" w:hAnsi="Calibri"/>
          <w:noProof/>
          <w:sz w:val="22"/>
          <w:szCs w:val="22"/>
        </w:rPr>
      </w:pPr>
      <w:r w:rsidRPr="00FD3E77">
        <w:rPr>
          <w:rFonts w:cs="Arial"/>
          <w:bCs/>
          <w:noProof/>
        </w:rPr>
        <w:t>Treatment thresholds/limits</w:t>
      </w:r>
      <w:r>
        <w:rPr>
          <w:noProof/>
        </w:rPr>
        <w:tab/>
      </w:r>
      <w:r>
        <w:rPr>
          <w:noProof/>
        </w:rPr>
        <w:fldChar w:fldCharType="begin"/>
      </w:r>
      <w:r>
        <w:rPr>
          <w:noProof/>
        </w:rPr>
        <w:instrText xml:space="preserve"> PAGEREF _Toc18414922 \h </w:instrText>
      </w:r>
      <w:r>
        <w:rPr>
          <w:noProof/>
        </w:rPr>
      </w:r>
      <w:r>
        <w:rPr>
          <w:noProof/>
        </w:rPr>
        <w:fldChar w:fldCharType="separate"/>
      </w:r>
      <w:r>
        <w:rPr>
          <w:noProof/>
        </w:rPr>
        <w:t>2</w:t>
      </w:r>
      <w:r>
        <w:rPr>
          <w:noProof/>
        </w:rPr>
        <w:fldChar w:fldCharType="end"/>
      </w:r>
    </w:p>
    <w:p w14:paraId="6A530273" w14:textId="77777777" w:rsidR="00CB3472" w:rsidRPr="00824E46" w:rsidRDefault="00CB3472">
      <w:pPr>
        <w:pStyle w:val="TOC2"/>
        <w:rPr>
          <w:rFonts w:ascii="Calibri" w:hAnsi="Calibri"/>
          <w:noProof/>
          <w:sz w:val="22"/>
          <w:szCs w:val="22"/>
        </w:rPr>
      </w:pPr>
      <w:r w:rsidRPr="00FD3E77">
        <w:rPr>
          <w:rFonts w:cs="Arial"/>
          <w:bCs/>
          <w:noProof/>
        </w:rPr>
        <w:t>Treatment Cycle</w:t>
      </w:r>
      <w:r>
        <w:rPr>
          <w:noProof/>
        </w:rPr>
        <w:tab/>
      </w:r>
      <w:r>
        <w:rPr>
          <w:noProof/>
        </w:rPr>
        <w:fldChar w:fldCharType="begin"/>
      </w:r>
      <w:r>
        <w:rPr>
          <w:noProof/>
        </w:rPr>
        <w:instrText xml:space="preserve"> PAGEREF _Toc18414923 \h </w:instrText>
      </w:r>
      <w:r>
        <w:rPr>
          <w:noProof/>
        </w:rPr>
      </w:r>
      <w:r>
        <w:rPr>
          <w:noProof/>
        </w:rPr>
        <w:fldChar w:fldCharType="separate"/>
      </w:r>
      <w:r>
        <w:rPr>
          <w:noProof/>
        </w:rPr>
        <w:t>2</w:t>
      </w:r>
      <w:r>
        <w:rPr>
          <w:noProof/>
        </w:rPr>
        <w:fldChar w:fldCharType="end"/>
      </w:r>
    </w:p>
    <w:p w14:paraId="0D91D850" w14:textId="77777777" w:rsidR="00CB3472" w:rsidRPr="00824E46" w:rsidRDefault="00CB3472">
      <w:pPr>
        <w:pStyle w:val="TOC2"/>
        <w:rPr>
          <w:rFonts w:ascii="Calibri" w:hAnsi="Calibri"/>
          <w:noProof/>
          <w:sz w:val="22"/>
          <w:szCs w:val="22"/>
        </w:rPr>
      </w:pPr>
      <w:r w:rsidRPr="00FD3E77">
        <w:rPr>
          <w:rFonts w:cs="Arial"/>
          <w:bCs/>
          <w:noProof/>
        </w:rPr>
        <w:t>Restrictions on services</w:t>
      </w:r>
      <w:r>
        <w:rPr>
          <w:noProof/>
        </w:rPr>
        <w:tab/>
      </w:r>
      <w:r>
        <w:rPr>
          <w:noProof/>
        </w:rPr>
        <w:fldChar w:fldCharType="begin"/>
      </w:r>
      <w:r>
        <w:rPr>
          <w:noProof/>
        </w:rPr>
        <w:instrText xml:space="preserve"> PAGEREF _Toc18414924 \h </w:instrText>
      </w:r>
      <w:r>
        <w:rPr>
          <w:noProof/>
        </w:rPr>
      </w:r>
      <w:r>
        <w:rPr>
          <w:noProof/>
        </w:rPr>
        <w:fldChar w:fldCharType="separate"/>
      </w:r>
      <w:r>
        <w:rPr>
          <w:noProof/>
        </w:rPr>
        <w:t>2</w:t>
      </w:r>
      <w:r>
        <w:rPr>
          <w:noProof/>
        </w:rPr>
        <w:fldChar w:fldCharType="end"/>
      </w:r>
    </w:p>
    <w:p w14:paraId="2F242312" w14:textId="77777777" w:rsidR="00CB3472" w:rsidRPr="00824E46" w:rsidRDefault="00CB3472">
      <w:pPr>
        <w:pStyle w:val="TOC2"/>
        <w:rPr>
          <w:rFonts w:ascii="Calibri" w:hAnsi="Calibri"/>
          <w:noProof/>
          <w:sz w:val="22"/>
          <w:szCs w:val="22"/>
        </w:rPr>
      </w:pPr>
      <w:r w:rsidRPr="00FD3E77">
        <w:rPr>
          <w:rFonts w:cs="Arial"/>
          <w:bCs/>
          <w:noProof/>
        </w:rPr>
        <w:t>Restrictions on orthomechanical items</w:t>
      </w:r>
      <w:r>
        <w:rPr>
          <w:noProof/>
        </w:rPr>
        <w:tab/>
      </w:r>
      <w:r>
        <w:rPr>
          <w:noProof/>
        </w:rPr>
        <w:fldChar w:fldCharType="begin"/>
      </w:r>
      <w:r>
        <w:rPr>
          <w:noProof/>
        </w:rPr>
        <w:instrText xml:space="preserve"> PAGEREF _Toc18414925 \h </w:instrText>
      </w:r>
      <w:r>
        <w:rPr>
          <w:noProof/>
        </w:rPr>
      </w:r>
      <w:r>
        <w:rPr>
          <w:noProof/>
        </w:rPr>
        <w:fldChar w:fldCharType="separate"/>
      </w:r>
      <w:r>
        <w:rPr>
          <w:noProof/>
        </w:rPr>
        <w:t>3</w:t>
      </w:r>
      <w:r>
        <w:rPr>
          <w:noProof/>
        </w:rPr>
        <w:fldChar w:fldCharType="end"/>
      </w:r>
    </w:p>
    <w:p w14:paraId="18623140" w14:textId="77777777" w:rsidR="00CB3472" w:rsidRPr="00824E46" w:rsidRDefault="00CB3472">
      <w:pPr>
        <w:pStyle w:val="TOC2"/>
        <w:rPr>
          <w:rFonts w:ascii="Calibri" w:hAnsi="Calibri"/>
          <w:noProof/>
          <w:sz w:val="22"/>
          <w:szCs w:val="22"/>
        </w:rPr>
      </w:pPr>
      <w:r w:rsidRPr="00FD3E77">
        <w:rPr>
          <w:rFonts w:cs="Arial"/>
          <w:bCs/>
          <w:noProof/>
        </w:rPr>
        <w:t>Diabetes</w:t>
      </w:r>
      <w:r>
        <w:rPr>
          <w:noProof/>
        </w:rPr>
        <w:tab/>
      </w:r>
      <w:r>
        <w:rPr>
          <w:noProof/>
        </w:rPr>
        <w:fldChar w:fldCharType="begin"/>
      </w:r>
      <w:r>
        <w:rPr>
          <w:noProof/>
        </w:rPr>
        <w:instrText xml:space="preserve"> PAGEREF _Toc18414926 \h </w:instrText>
      </w:r>
      <w:r>
        <w:rPr>
          <w:noProof/>
        </w:rPr>
      </w:r>
      <w:r>
        <w:rPr>
          <w:noProof/>
        </w:rPr>
        <w:fldChar w:fldCharType="separate"/>
      </w:r>
      <w:r>
        <w:rPr>
          <w:noProof/>
        </w:rPr>
        <w:t>3</w:t>
      </w:r>
      <w:r>
        <w:rPr>
          <w:noProof/>
        </w:rPr>
        <w:fldChar w:fldCharType="end"/>
      </w:r>
    </w:p>
    <w:p w14:paraId="0A081136" w14:textId="77777777" w:rsidR="00CB3472" w:rsidRPr="00824E46" w:rsidRDefault="00CB3472">
      <w:pPr>
        <w:pStyle w:val="TOC2"/>
        <w:rPr>
          <w:rFonts w:ascii="Calibri" w:hAnsi="Calibri"/>
          <w:noProof/>
          <w:sz w:val="22"/>
          <w:szCs w:val="22"/>
        </w:rPr>
      </w:pPr>
      <w:r w:rsidRPr="00FD3E77">
        <w:rPr>
          <w:rFonts w:cs="Arial"/>
          <w:bCs/>
          <w:noProof/>
        </w:rPr>
        <w:t>Toenail cutting</w:t>
      </w:r>
      <w:r>
        <w:rPr>
          <w:noProof/>
        </w:rPr>
        <w:tab/>
      </w:r>
      <w:r>
        <w:rPr>
          <w:noProof/>
        </w:rPr>
        <w:fldChar w:fldCharType="begin"/>
      </w:r>
      <w:r>
        <w:rPr>
          <w:noProof/>
        </w:rPr>
        <w:instrText xml:space="preserve"> PAGEREF _Toc18414927 \h </w:instrText>
      </w:r>
      <w:r>
        <w:rPr>
          <w:noProof/>
        </w:rPr>
      </w:r>
      <w:r>
        <w:rPr>
          <w:noProof/>
        </w:rPr>
        <w:fldChar w:fldCharType="separate"/>
      </w:r>
      <w:r>
        <w:rPr>
          <w:noProof/>
        </w:rPr>
        <w:t>4</w:t>
      </w:r>
      <w:r>
        <w:rPr>
          <w:noProof/>
        </w:rPr>
        <w:fldChar w:fldCharType="end"/>
      </w:r>
    </w:p>
    <w:p w14:paraId="7288F77E" w14:textId="77777777" w:rsidR="00CB3472" w:rsidRPr="00824E46" w:rsidRDefault="00CB3472">
      <w:pPr>
        <w:pStyle w:val="TOC2"/>
        <w:rPr>
          <w:rFonts w:ascii="Calibri" w:hAnsi="Calibri"/>
          <w:noProof/>
          <w:sz w:val="22"/>
          <w:szCs w:val="22"/>
        </w:rPr>
      </w:pPr>
      <w:r w:rsidRPr="00FD3E77">
        <w:rPr>
          <w:rFonts w:cs="Arial"/>
          <w:bCs/>
          <w:noProof/>
        </w:rPr>
        <w:t>Surgical podiatry</w:t>
      </w:r>
      <w:r>
        <w:rPr>
          <w:noProof/>
        </w:rPr>
        <w:tab/>
      </w:r>
      <w:r>
        <w:rPr>
          <w:noProof/>
        </w:rPr>
        <w:fldChar w:fldCharType="begin"/>
      </w:r>
      <w:r>
        <w:rPr>
          <w:noProof/>
        </w:rPr>
        <w:instrText xml:space="preserve"> PAGEREF _Toc18414928 \h </w:instrText>
      </w:r>
      <w:r>
        <w:rPr>
          <w:noProof/>
        </w:rPr>
      </w:r>
      <w:r>
        <w:rPr>
          <w:noProof/>
        </w:rPr>
        <w:fldChar w:fldCharType="separate"/>
      </w:r>
      <w:r>
        <w:rPr>
          <w:noProof/>
        </w:rPr>
        <w:t>4</w:t>
      </w:r>
      <w:r>
        <w:rPr>
          <w:noProof/>
        </w:rPr>
        <w:fldChar w:fldCharType="end"/>
      </w:r>
    </w:p>
    <w:p w14:paraId="0B8B836E" w14:textId="77777777" w:rsidR="00CB3472" w:rsidRPr="00824E46" w:rsidRDefault="00CB3472">
      <w:pPr>
        <w:pStyle w:val="TOC2"/>
        <w:rPr>
          <w:rFonts w:ascii="Calibri" w:hAnsi="Calibri"/>
          <w:noProof/>
          <w:sz w:val="22"/>
          <w:szCs w:val="22"/>
        </w:rPr>
      </w:pPr>
      <w:r w:rsidRPr="00FD3E77">
        <w:rPr>
          <w:rFonts w:cs="Arial"/>
          <w:bCs/>
          <w:noProof/>
        </w:rPr>
        <w:t>Prescription of medical grade footwear</w:t>
      </w:r>
      <w:r>
        <w:rPr>
          <w:noProof/>
        </w:rPr>
        <w:tab/>
      </w:r>
      <w:r>
        <w:rPr>
          <w:noProof/>
        </w:rPr>
        <w:fldChar w:fldCharType="begin"/>
      </w:r>
      <w:r>
        <w:rPr>
          <w:noProof/>
        </w:rPr>
        <w:instrText xml:space="preserve"> PAGEREF _Toc18414929 \h </w:instrText>
      </w:r>
      <w:r>
        <w:rPr>
          <w:noProof/>
        </w:rPr>
      </w:r>
      <w:r>
        <w:rPr>
          <w:noProof/>
        </w:rPr>
        <w:fldChar w:fldCharType="separate"/>
      </w:r>
      <w:r>
        <w:rPr>
          <w:noProof/>
        </w:rPr>
        <w:t>4</w:t>
      </w:r>
      <w:r>
        <w:rPr>
          <w:noProof/>
        </w:rPr>
        <w:fldChar w:fldCharType="end"/>
      </w:r>
    </w:p>
    <w:p w14:paraId="023DC0BF" w14:textId="77777777" w:rsidR="00CB3472" w:rsidRPr="00824E46" w:rsidRDefault="00CB3472">
      <w:pPr>
        <w:pStyle w:val="TOC2"/>
        <w:rPr>
          <w:rFonts w:ascii="Calibri" w:hAnsi="Calibri"/>
          <w:noProof/>
          <w:sz w:val="22"/>
          <w:szCs w:val="22"/>
        </w:rPr>
      </w:pPr>
      <w:r w:rsidRPr="00FD3E77">
        <w:rPr>
          <w:rFonts w:cs="Arial"/>
          <w:bCs/>
          <w:noProof/>
        </w:rPr>
        <w:t>Rehabilitation Appliances Program</w:t>
      </w:r>
      <w:r>
        <w:rPr>
          <w:noProof/>
        </w:rPr>
        <w:tab/>
      </w:r>
      <w:r>
        <w:rPr>
          <w:noProof/>
        </w:rPr>
        <w:fldChar w:fldCharType="begin"/>
      </w:r>
      <w:r>
        <w:rPr>
          <w:noProof/>
        </w:rPr>
        <w:instrText xml:space="preserve"> PAGEREF _Toc18414930 \h </w:instrText>
      </w:r>
      <w:r>
        <w:rPr>
          <w:noProof/>
        </w:rPr>
      </w:r>
      <w:r>
        <w:rPr>
          <w:noProof/>
        </w:rPr>
        <w:fldChar w:fldCharType="separate"/>
      </w:r>
      <w:r>
        <w:rPr>
          <w:noProof/>
        </w:rPr>
        <w:t>4</w:t>
      </w:r>
      <w:r>
        <w:rPr>
          <w:noProof/>
        </w:rPr>
        <w:fldChar w:fldCharType="end"/>
      </w:r>
    </w:p>
    <w:p w14:paraId="16181231" w14:textId="77777777" w:rsidR="008E6C9D" w:rsidRDefault="008E6C9D" w:rsidP="004F018F">
      <w:pPr>
        <w:pStyle w:val="Heading2"/>
        <w:spacing w:after="120"/>
        <w:rPr>
          <w:rFonts w:ascii="Arial" w:hAnsi="Arial" w:cs="Arial"/>
          <w:bCs/>
          <w:sz w:val="24"/>
        </w:rPr>
      </w:pPr>
      <w:r>
        <w:rPr>
          <w:rFonts w:ascii="Arial" w:hAnsi="Arial" w:cs="Arial"/>
        </w:rPr>
        <w:fldChar w:fldCharType="end"/>
      </w:r>
      <w:r>
        <w:rPr>
          <w:rFonts w:ascii="Arial" w:hAnsi="Arial" w:cs="Arial"/>
        </w:rPr>
        <w:br w:type="page"/>
      </w:r>
      <w:bookmarkStart w:id="0" w:name="_Toc521827539"/>
      <w:bookmarkStart w:id="1" w:name="_Toc521836293"/>
      <w:bookmarkStart w:id="2" w:name="_Toc59502946"/>
      <w:bookmarkStart w:id="3" w:name="_Toc272328606"/>
      <w:bookmarkStart w:id="4" w:name="_Toc18414920"/>
      <w:r>
        <w:rPr>
          <w:rFonts w:ascii="Arial" w:hAnsi="Arial" w:cs="Arial"/>
          <w:bCs/>
          <w:sz w:val="24"/>
        </w:rPr>
        <w:lastRenderedPageBreak/>
        <w:t>Providing podiatric services</w:t>
      </w:r>
      <w:bookmarkEnd w:id="0"/>
      <w:bookmarkEnd w:id="1"/>
      <w:bookmarkEnd w:id="2"/>
      <w:bookmarkEnd w:id="3"/>
      <w:bookmarkEnd w:id="4"/>
    </w:p>
    <w:p w14:paraId="347E9B20" w14:textId="77777777" w:rsidR="00A60B01" w:rsidRPr="004F018F" w:rsidRDefault="00A60B01" w:rsidP="00A60B01">
      <w:pPr>
        <w:rPr>
          <w:rFonts w:ascii="Arial" w:hAnsi="Arial" w:cs="Arial"/>
          <w:sz w:val="24"/>
          <w:szCs w:val="24"/>
        </w:rPr>
      </w:pPr>
      <w:r>
        <w:rPr>
          <w:rFonts w:ascii="Arial" w:hAnsi="Arial" w:cs="Arial"/>
          <w:sz w:val="24"/>
          <w:szCs w:val="24"/>
        </w:rPr>
        <w:t>These Notes should be read in conjunction with Notes for Allied Health Providers Section One</w:t>
      </w:r>
      <w:r w:rsidR="000B38D7">
        <w:rPr>
          <w:rFonts w:ascii="Arial" w:hAnsi="Arial" w:cs="Arial"/>
          <w:sz w:val="24"/>
          <w:szCs w:val="24"/>
        </w:rPr>
        <w:t xml:space="preserve">: </w:t>
      </w:r>
      <w:r>
        <w:rPr>
          <w:rFonts w:ascii="Arial" w:hAnsi="Arial" w:cs="Arial"/>
          <w:sz w:val="24"/>
          <w:szCs w:val="24"/>
        </w:rPr>
        <w:t>General</w:t>
      </w:r>
      <w:r w:rsidR="000B38D7">
        <w:rPr>
          <w:rFonts w:ascii="Arial" w:hAnsi="Arial" w:cs="Arial"/>
          <w:sz w:val="24"/>
          <w:szCs w:val="24"/>
        </w:rPr>
        <w:t>.</w:t>
      </w:r>
    </w:p>
    <w:p w14:paraId="7811E361" w14:textId="77777777" w:rsidR="008E6C9D" w:rsidRDefault="008E6C9D">
      <w:pPr>
        <w:keepLines/>
        <w:tabs>
          <w:tab w:val="left" w:pos="993"/>
        </w:tabs>
        <w:ind w:right="197"/>
        <w:rPr>
          <w:rFonts w:ascii="Arial" w:hAnsi="Arial" w:cs="Arial"/>
          <w:sz w:val="24"/>
        </w:rPr>
      </w:pPr>
    </w:p>
    <w:p w14:paraId="614CE863" w14:textId="77777777" w:rsidR="008E6C9D" w:rsidRDefault="008E6C9D">
      <w:pPr>
        <w:keepLines/>
        <w:numPr>
          <w:ilvl w:val="0"/>
          <w:numId w:val="28"/>
        </w:numPr>
        <w:tabs>
          <w:tab w:val="clear" w:pos="360"/>
          <w:tab w:val="left" w:pos="425"/>
        </w:tabs>
        <w:ind w:left="425" w:hanging="425"/>
        <w:rPr>
          <w:rFonts w:ascii="Arial" w:hAnsi="Arial" w:cs="Arial"/>
          <w:sz w:val="24"/>
        </w:rPr>
      </w:pPr>
      <w:bookmarkStart w:id="5" w:name="OLE_LINK7"/>
      <w:bookmarkStart w:id="6" w:name="OLE_LINK8"/>
      <w:r>
        <w:rPr>
          <w:rFonts w:ascii="Arial" w:hAnsi="Arial" w:cs="Arial"/>
          <w:sz w:val="24"/>
        </w:rPr>
        <w:t xml:space="preserve">Only a podiatrist who is registered with the </w:t>
      </w:r>
      <w:r w:rsidR="00A60B01">
        <w:rPr>
          <w:rFonts w:ascii="Arial" w:hAnsi="Arial" w:cs="Arial"/>
          <w:sz w:val="24"/>
        </w:rPr>
        <w:t xml:space="preserve">Australian Health Practitioner Regulation Agency (AHPRA) and has been issued with a provider number by the </w:t>
      </w:r>
      <w:r>
        <w:rPr>
          <w:rFonts w:ascii="Arial" w:hAnsi="Arial" w:cs="Arial"/>
          <w:sz w:val="24"/>
        </w:rPr>
        <w:t>Department of Human Services (DHS) at the time of service is eligible to provide services to entitled persons.</w:t>
      </w:r>
      <w:bookmarkEnd w:id="5"/>
      <w:bookmarkEnd w:id="6"/>
    </w:p>
    <w:p w14:paraId="5E7C0A62" w14:textId="77777777" w:rsidR="008E6C9D" w:rsidRDefault="008E6C9D">
      <w:pPr>
        <w:keepLines/>
        <w:tabs>
          <w:tab w:val="left" w:pos="993"/>
        </w:tabs>
        <w:ind w:right="197"/>
        <w:rPr>
          <w:rFonts w:ascii="Arial" w:hAnsi="Arial" w:cs="Arial"/>
          <w:sz w:val="24"/>
        </w:rPr>
      </w:pPr>
    </w:p>
    <w:p w14:paraId="57A74B6F" w14:textId="77777777" w:rsidR="008E6C9D" w:rsidRPr="004F018F" w:rsidRDefault="008E6C9D" w:rsidP="004F018F">
      <w:pPr>
        <w:pStyle w:val="Heading2"/>
        <w:spacing w:after="120"/>
        <w:rPr>
          <w:rFonts w:ascii="Arial" w:hAnsi="Arial" w:cs="Arial"/>
          <w:bCs/>
          <w:sz w:val="24"/>
        </w:rPr>
      </w:pPr>
      <w:bookmarkStart w:id="7" w:name="_Toc521827544"/>
      <w:bookmarkStart w:id="8" w:name="_Toc521836298"/>
      <w:bookmarkStart w:id="9" w:name="_Toc59502950"/>
      <w:bookmarkStart w:id="10" w:name="_Toc272328607"/>
      <w:bookmarkStart w:id="11" w:name="_Toc18414921"/>
      <w:r>
        <w:rPr>
          <w:rFonts w:ascii="Arial" w:hAnsi="Arial" w:cs="Arial"/>
          <w:bCs/>
          <w:sz w:val="24"/>
        </w:rPr>
        <w:t>Prior financial authorisation</w:t>
      </w:r>
      <w:bookmarkEnd w:id="7"/>
      <w:bookmarkEnd w:id="8"/>
      <w:bookmarkEnd w:id="9"/>
      <w:bookmarkEnd w:id="10"/>
      <w:bookmarkEnd w:id="11"/>
    </w:p>
    <w:p w14:paraId="4805C880"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 xml:space="preserve">The specific item numbers requiring prior financial authorisation are indicated by shading and an asterisk (*) in the DVA </w:t>
      </w:r>
      <w:r>
        <w:rPr>
          <w:rFonts w:ascii="Arial" w:hAnsi="Arial" w:cs="Arial"/>
          <w:i/>
          <w:sz w:val="24"/>
        </w:rPr>
        <w:t>Podiatrists Schedule of Fees</w:t>
      </w:r>
      <w:r>
        <w:rPr>
          <w:rFonts w:ascii="Arial" w:hAnsi="Arial" w:cs="Arial"/>
          <w:sz w:val="24"/>
        </w:rPr>
        <w:t>.  Please consult this document to identify those items requiring prior financial authorisation.  Fee schedules are available at:</w:t>
      </w:r>
    </w:p>
    <w:p w14:paraId="20E9B4E9" w14:textId="77777777" w:rsidR="008E6C9D" w:rsidRDefault="008E6C9D">
      <w:pPr>
        <w:keepLines/>
        <w:tabs>
          <w:tab w:val="left" w:pos="425"/>
        </w:tabs>
        <w:rPr>
          <w:rFonts w:ascii="Arial" w:hAnsi="Arial" w:cs="Arial"/>
          <w:sz w:val="24"/>
        </w:rPr>
      </w:pPr>
    </w:p>
    <w:p w14:paraId="40CE2364" w14:textId="77777777" w:rsidR="008E6C9D" w:rsidRPr="0033495B" w:rsidRDefault="004577FF">
      <w:pPr>
        <w:keepLines/>
        <w:tabs>
          <w:tab w:val="left" w:pos="993"/>
        </w:tabs>
        <w:ind w:right="197"/>
        <w:rPr>
          <w:rStyle w:val="Hyperlink"/>
          <w:rFonts w:ascii="Arial" w:hAnsi="Arial" w:cs="Arial"/>
          <w:sz w:val="22"/>
          <w:szCs w:val="22"/>
        </w:rPr>
      </w:pPr>
      <w:r w:rsidRPr="0033495B">
        <w:rPr>
          <w:rStyle w:val="Hyperlink"/>
          <w:rFonts w:ascii="Arial" w:hAnsi="Arial" w:cs="Arial"/>
          <w:sz w:val="22"/>
          <w:szCs w:val="22"/>
        </w:rPr>
        <w:t>http://www.dva.gov.au/providers/fee-schedules/dental-and-allied-health-fee-schedules</w:t>
      </w:r>
    </w:p>
    <w:p w14:paraId="3F307783" w14:textId="77777777" w:rsidR="008E6C9D" w:rsidRDefault="008E6C9D">
      <w:pPr>
        <w:keepLines/>
        <w:tabs>
          <w:tab w:val="left" w:pos="993"/>
        </w:tabs>
        <w:ind w:right="197"/>
        <w:rPr>
          <w:rFonts w:ascii="Arial" w:hAnsi="Arial" w:cs="Arial"/>
          <w:sz w:val="24"/>
        </w:rPr>
      </w:pPr>
    </w:p>
    <w:p w14:paraId="4165C1AB"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 xml:space="preserve">For information on how to seek prior financial authorisation, refer to </w:t>
      </w:r>
      <w:r w:rsidR="000B38D7">
        <w:rPr>
          <w:rFonts w:ascii="Arial" w:hAnsi="Arial" w:cs="Arial"/>
          <w:sz w:val="24"/>
        </w:rPr>
        <w:t xml:space="preserve">Notes for Allied Health Providers </w:t>
      </w:r>
      <w:r>
        <w:rPr>
          <w:rFonts w:ascii="Arial" w:hAnsi="Arial" w:cs="Arial"/>
          <w:sz w:val="24"/>
        </w:rPr>
        <w:t>Section One</w:t>
      </w:r>
      <w:r w:rsidR="000B38D7">
        <w:rPr>
          <w:rFonts w:ascii="Arial" w:hAnsi="Arial" w:cs="Arial"/>
          <w:sz w:val="24"/>
        </w:rPr>
        <w:t xml:space="preserve">: </w:t>
      </w:r>
      <w:r w:rsidR="0033495B">
        <w:rPr>
          <w:rFonts w:ascii="Arial" w:hAnsi="Arial" w:cs="Arial"/>
          <w:sz w:val="24"/>
        </w:rPr>
        <w:t>General</w:t>
      </w:r>
      <w:r>
        <w:rPr>
          <w:rFonts w:ascii="Arial" w:hAnsi="Arial" w:cs="Arial"/>
          <w:sz w:val="24"/>
        </w:rPr>
        <w:t xml:space="preserve"> [clauses </w:t>
      </w:r>
      <w:r w:rsidR="0033495B">
        <w:rPr>
          <w:rFonts w:ascii="Arial" w:hAnsi="Arial" w:cs="Arial"/>
          <w:sz w:val="24"/>
        </w:rPr>
        <w:t>51</w:t>
      </w:r>
      <w:r>
        <w:rPr>
          <w:rFonts w:ascii="Arial" w:hAnsi="Arial" w:cs="Arial"/>
          <w:sz w:val="24"/>
        </w:rPr>
        <w:t>-</w:t>
      </w:r>
      <w:r w:rsidR="0033495B">
        <w:rPr>
          <w:rFonts w:ascii="Arial" w:hAnsi="Arial" w:cs="Arial"/>
          <w:sz w:val="24"/>
        </w:rPr>
        <w:t>56</w:t>
      </w:r>
      <w:r>
        <w:rPr>
          <w:rFonts w:ascii="Arial" w:hAnsi="Arial" w:cs="Arial"/>
          <w:sz w:val="24"/>
        </w:rPr>
        <w:t>].</w:t>
      </w:r>
    </w:p>
    <w:p w14:paraId="77C3983B" w14:textId="77777777" w:rsidR="008E6C9D" w:rsidRDefault="008E6C9D">
      <w:pPr>
        <w:keepLines/>
        <w:tabs>
          <w:tab w:val="left" w:pos="993"/>
        </w:tabs>
        <w:ind w:right="197"/>
        <w:rPr>
          <w:rFonts w:ascii="Arial" w:hAnsi="Arial" w:cs="Arial"/>
          <w:b/>
          <w:sz w:val="24"/>
        </w:rPr>
      </w:pPr>
    </w:p>
    <w:p w14:paraId="25B40AD8" w14:textId="77777777" w:rsidR="008E6C9D" w:rsidRPr="004F018F" w:rsidRDefault="008E6C9D" w:rsidP="004F018F">
      <w:pPr>
        <w:pStyle w:val="Heading2"/>
        <w:spacing w:after="120"/>
        <w:rPr>
          <w:rFonts w:ascii="Arial" w:hAnsi="Arial" w:cs="Arial"/>
          <w:bCs/>
          <w:sz w:val="24"/>
        </w:rPr>
      </w:pPr>
      <w:bookmarkStart w:id="12" w:name="_Toc521827545"/>
      <w:bookmarkStart w:id="13" w:name="_Toc521836299"/>
      <w:bookmarkStart w:id="14" w:name="_Toc59502951"/>
      <w:bookmarkStart w:id="15" w:name="_Toc272328608"/>
      <w:bookmarkStart w:id="16" w:name="_Toc18414922"/>
      <w:r>
        <w:rPr>
          <w:rFonts w:ascii="Arial" w:hAnsi="Arial" w:cs="Arial"/>
          <w:bCs/>
          <w:sz w:val="24"/>
        </w:rPr>
        <w:t>Treatment thresholds/limits</w:t>
      </w:r>
      <w:bookmarkEnd w:id="12"/>
      <w:bookmarkEnd w:id="13"/>
      <w:bookmarkEnd w:id="14"/>
      <w:bookmarkEnd w:id="15"/>
      <w:bookmarkEnd w:id="16"/>
    </w:p>
    <w:p w14:paraId="0710BA3E" w14:textId="77777777" w:rsidR="005B5258" w:rsidRDefault="008E6C9D" w:rsidP="005B5258">
      <w:pPr>
        <w:keepLines/>
        <w:numPr>
          <w:ilvl w:val="0"/>
          <w:numId w:val="28"/>
        </w:numPr>
        <w:tabs>
          <w:tab w:val="clear" w:pos="360"/>
          <w:tab w:val="left" w:pos="425"/>
        </w:tabs>
        <w:ind w:left="425" w:hanging="425"/>
        <w:rPr>
          <w:rFonts w:ascii="Arial" w:hAnsi="Arial" w:cs="Arial"/>
          <w:sz w:val="24"/>
        </w:rPr>
      </w:pPr>
      <w:r>
        <w:rPr>
          <w:rFonts w:ascii="Arial" w:hAnsi="Arial" w:cs="Arial"/>
          <w:sz w:val="24"/>
        </w:rPr>
        <w:t xml:space="preserve">For information on treatment thresholds and limits refer to </w:t>
      </w:r>
      <w:r w:rsidR="00F11702">
        <w:rPr>
          <w:rFonts w:ascii="Arial" w:hAnsi="Arial" w:cs="Arial"/>
          <w:sz w:val="24"/>
        </w:rPr>
        <w:t xml:space="preserve">Notes for Allied Health Providers </w:t>
      </w:r>
      <w:r>
        <w:rPr>
          <w:rFonts w:ascii="Arial" w:hAnsi="Arial" w:cs="Arial"/>
          <w:sz w:val="24"/>
        </w:rPr>
        <w:t>Section One</w:t>
      </w:r>
      <w:r w:rsidR="000B38D7">
        <w:rPr>
          <w:rFonts w:ascii="Arial" w:hAnsi="Arial" w:cs="Arial"/>
          <w:sz w:val="24"/>
        </w:rPr>
        <w:t xml:space="preserve">: </w:t>
      </w:r>
      <w:r w:rsidR="00F11702">
        <w:rPr>
          <w:rFonts w:ascii="Arial" w:hAnsi="Arial" w:cs="Arial"/>
          <w:sz w:val="24"/>
        </w:rPr>
        <w:t>General</w:t>
      </w:r>
      <w:r>
        <w:rPr>
          <w:rFonts w:ascii="Arial" w:hAnsi="Arial" w:cs="Arial"/>
          <w:sz w:val="24"/>
        </w:rPr>
        <w:t xml:space="preserve"> [clauses </w:t>
      </w:r>
      <w:r w:rsidR="00F11702">
        <w:rPr>
          <w:rFonts w:ascii="Arial" w:hAnsi="Arial" w:cs="Arial"/>
          <w:sz w:val="24"/>
        </w:rPr>
        <w:t>20</w:t>
      </w:r>
      <w:r>
        <w:rPr>
          <w:rFonts w:ascii="Arial" w:hAnsi="Arial" w:cs="Arial"/>
          <w:sz w:val="24"/>
        </w:rPr>
        <w:t>-2</w:t>
      </w:r>
      <w:r w:rsidR="00F11702">
        <w:rPr>
          <w:rFonts w:ascii="Arial" w:hAnsi="Arial" w:cs="Arial"/>
          <w:sz w:val="24"/>
        </w:rPr>
        <w:t>3</w:t>
      </w:r>
      <w:r>
        <w:rPr>
          <w:rFonts w:ascii="Arial" w:hAnsi="Arial" w:cs="Arial"/>
          <w:sz w:val="24"/>
        </w:rPr>
        <w:t>].</w:t>
      </w:r>
    </w:p>
    <w:p w14:paraId="27C591B9" w14:textId="77777777" w:rsidR="005B5258" w:rsidRDefault="005B5258" w:rsidP="004F018F">
      <w:pPr>
        <w:keepLines/>
        <w:tabs>
          <w:tab w:val="left" w:pos="425"/>
        </w:tabs>
        <w:rPr>
          <w:rFonts w:ascii="Arial" w:hAnsi="Arial" w:cs="Arial"/>
          <w:sz w:val="24"/>
        </w:rPr>
      </w:pPr>
    </w:p>
    <w:p w14:paraId="61743EB2" w14:textId="77777777" w:rsidR="008D5683" w:rsidRDefault="008D5683" w:rsidP="004F018F">
      <w:pPr>
        <w:pStyle w:val="Heading2"/>
        <w:spacing w:after="120"/>
        <w:rPr>
          <w:rFonts w:ascii="Arial" w:hAnsi="Arial" w:cs="Arial"/>
          <w:bCs/>
          <w:sz w:val="24"/>
        </w:rPr>
      </w:pPr>
      <w:bookmarkStart w:id="17" w:name="_Toc18414923"/>
      <w:r>
        <w:rPr>
          <w:rFonts w:ascii="Arial" w:hAnsi="Arial" w:cs="Arial"/>
          <w:bCs/>
          <w:sz w:val="24"/>
        </w:rPr>
        <w:t>Treatment Cycle</w:t>
      </w:r>
      <w:bookmarkEnd w:id="17"/>
    </w:p>
    <w:p w14:paraId="4396205C" w14:textId="77777777" w:rsidR="009167AF" w:rsidRPr="005B5258" w:rsidRDefault="005B5258" w:rsidP="005B5258">
      <w:pPr>
        <w:keepLines/>
        <w:numPr>
          <w:ilvl w:val="0"/>
          <w:numId w:val="28"/>
        </w:numPr>
        <w:tabs>
          <w:tab w:val="clear" w:pos="360"/>
          <w:tab w:val="left" w:pos="425"/>
        </w:tabs>
        <w:ind w:left="425" w:hanging="425"/>
        <w:rPr>
          <w:rFonts w:ascii="Arial" w:hAnsi="Arial" w:cs="Arial"/>
          <w:sz w:val="24"/>
        </w:rPr>
      </w:pPr>
      <w:r>
        <w:rPr>
          <w:rFonts w:ascii="Arial" w:hAnsi="Arial" w:cs="Arial"/>
          <w:sz w:val="24"/>
        </w:rPr>
        <w:t>For information on the treatment cycle arrangements, which came into effect on 1</w:t>
      </w:r>
      <w:r w:rsidR="0049237B">
        <w:rPr>
          <w:rFonts w:ascii="Arial" w:hAnsi="Arial" w:cs="Arial"/>
          <w:sz w:val="24"/>
        </w:rPr>
        <w:t> </w:t>
      </w:r>
      <w:r>
        <w:rPr>
          <w:rFonts w:ascii="Arial" w:hAnsi="Arial" w:cs="Arial"/>
          <w:sz w:val="24"/>
        </w:rPr>
        <w:t>October 2019, refer to Notes for Allied Health Providers Section One</w:t>
      </w:r>
      <w:r w:rsidR="006512A1">
        <w:rPr>
          <w:rFonts w:ascii="Arial" w:hAnsi="Arial" w:cs="Arial"/>
          <w:sz w:val="24"/>
        </w:rPr>
        <w:t xml:space="preserve">: </w:t>
      </w:r>
      <w:r>
        <w:rPr>
          <w:rFonts w:ascii="Arial" w:hAnsi="Arial" w:cs="Arial"/>
          <w:sz w:val="24"/>
        </w:rPr>
        <w:t>General.</w:t>
      </w:r>
    </w:p>
    <w:p w14:paraId="71644043" w14:textId="77777777" w:rsidR="008E6C9D" w:rsidRPr="004F018F" w:rsidRDefault="008E6C9D" w:rsidP="004F018F">
      <w:pPr>
        <w:keepLines/>
        <w:tabs>
          <w:tab w:val="left" w:pos="425"/>
        </w:tabs>
        <w:rPr>
          <w:rFonts w:ascii="Arial" w:hAnsi="Arial" w:cs="Arial"/>
          <w:sz w:val="24"/>
          <w:szCs w:val="24"/>
        </w:rPr>
      </w:pPr>
    </w:p>
    <w:p w14:paraId="2E023830" w14:textId="77777777" w:rsidR="000A750C" w:rsidRPr="00627011" w:rsidRDefault="008E6C9D" w:rsidP="00627011">
      <w:pPr>
        <w:pStyle w:val="Heading2"/>
        <w:spacing w:after="120"/>
        <w:rPr>
          <w:rFonts w:ascii="Arial" w:hAnsi="Arial" w:cs="Arial"/>
          <w:bCs/>
          <w:sz w:val="24"/>
        </w:rPr>
      </w:pPr>
      <w:bookmarkStart w:id="18" w:name="_Toc521827549"/>
      <w:bookmarkStart w:id="19" w:name="_Toc521836303"/>
      <w:bookmarkStart w:id="20" w:name="_Toc59502952"/>
      <w:bookmarkStart w:id="21" w:name="_Toc272328609"/>
      <w:bookmarkStart w:id="22" w:name="_Toc18414924"/>
      <w:r>
        <w:rPr>
          <w:rFonts w:ascii="Arial" w:hAnsi="Arial" w:cs="Arial"/>
          <w:bCs/>
          <w:sz w:val="24"/>
        </w:rPr>
        <w:t>Restrictions on services</w:t>
      </w:r>
      <w:bookmarkEnd w:id="18"/>
      <w:bookmarkEnd w:id="19"/>
      <w:bookmarkEnd w:id="20"/>
      <w:bookmarkEnd w:id="21"/>
      <w:bookmarkEnd w:id="22"/>
    </w:p>
    <w:p w14:paraId="26324801"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While all podiatric services claimed must be in accordance with the patient’s clinical need, the following specific restrictions exist:</w:t>
      </w:r>
    </w:p>
    <w:p w14:paraId="72011B89"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only one initial consultation item and one initial footwear assessment item can be claimed</w:t>
      </w:r>
      <w:r w:rsidR="000A750C">
        <w:rPr>
          <w:rFonts w:ascii="Arial" w:hAnsi="Arial" w:cs="Arial"/>
          <w:sz w:val="24"/>
        </w:rPr>
        <w:t xml:space="preserve"> </w:t>
      </w:r>
      <w:r>
        <w:rPr>
          <w:rFonts w:ascii="Arial" w:hAnsi="Arial" w:cs="Arial"/>
          <w:sz w:val="24"/>
        </w:rPr>
        <w:t xml:space="preserve">per </w:t>
      </w:r>
      <w:r w:rsidR="000A750C">
        <w:rPr>
          <w:rFonts w:ascii="Arial" w:hAnsi="Arial" w:cs="Arial"/>
          <w:sz w:val="24"/>
        </w:rPr>
        <w:t>treatment cycle</w:t>
      </w:r>
      <w:r>
        <w:rPr>
          <w:rFonts w:ascii="Arial" w:hAnsi="Arial" w:cs="Arial"/>
          <w:sz w:val="24"/>
        </w:rPr>
        <w:t xml:space="preserve">.  Should a patient require </w:t>
      </w:r>
      <w:r w:rsidR="000A750C">
        <w:rPr>
          <w:rFonts w:ascii="Arial" w:hAnsi="Arial" w:cs="Arial"/>
          <w:sz w:val="24"/>
        </w:rPr>
        <w:t xml:space="preserve">an additional </w:t>
      </w:r>
      <w:r>
        <w:rPr>
          <w:rFonts w:ascii="Arial" w:hAnsi="Arial" w:cs="Arial"/>
          <w:sz w:val="24"/>
        </w:rPr>
        <w:t>treatment</w:t>
      </w:r>
      <w:r w:rsidR="000A750C">
        <w:rPr>
          <w:rFonts w:ascii="Arial" w:hAnsi="Arial" w:cs="Arial"/>
          <w:sz w:val="24"/>
        </w:rPr>
        <w:t xml:space="preserve"> cycle, their GP will issue </w:t>
      </w:r>
      <w:r>
        <w:rPr>
          <w:rFonts w:ascii="Arial" w:hAnsi="Arial" w:cs="Arial"/>
          <w:sz w:val="24"/>
        </w:rPr>
        <w:t xml:space="preserve">a new referral </w:t>
      </w:r>
      <w:r w:rsidR="000A750C">
        <w:rPr>
          <w:rFonts w:ascii="Arial" w:hAnsi="Arial" w:cs="Arial"/>
          <w:sz w:val="24"/>
        </w:rPr>
        <w:t>which will result in another</w:t>
      </w:r>
      <w:r>
        <w:rPr>
          <w:rFonts w:ascii="Arial" w:hAnsi="Arial" w:cs="Arial"/>
          <w:sz w:val="24"/>
        </w:rPr>
        <w:t xml:space="preserve"> initial </w:t>
      </w:r>
      <w:proofErr w:type="gramStart"/>
      <w:r>
        <w:rPr>
          <w:rFonts w:ascii="Arial" w:hAnsi="Arial" w:cs="Arial"/>
          <w:sz w:val="24"/>
        </w:rPr>
        <w:t>consultation;</w:t>
      </w:r>
      <w:proofErr w:type="gramEnd"/>
      <w:r>
        <w:rPr>
          <w:rFonts w:ascii="Arial" w:hAnsi="Arial" w:cs="Arial"/>
          <w:sz w:val="24"/>
        </w:rPr>
        <w:t xml:space="preserve">  </w:t>
      </w:r>
    </w:p>
    <w:p w14:paraId="2F8A5A6B"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 xml:space="preserve">an initial consultation item and an initial footwear assessment item cannot be provided </w:t>
      </w:r>
      <w:r w:rsidR="00627011">
        <w:rPr>
          <w:rFonts w:ascii="Arial" w:hAnsi="Arial" w:cs="Arial"/>
          <w:sz w:val="24"/>
        </w:rPr>
        <w:t xml:space="preserve">for the same patient </w:t>
      </w:r>
      <w:r>
        <w:rPr>
          <w:rFonts w:ascii="Arial" w:hAnsi="Arial" w:cs="Arial"/>
          <w:sz w:val="24"/>
        </w:rPr>
        <w:t xml:space="preserve">on the same </w:t>
      </w:r>
      <w:proofErr w:type="gramStart"/>
      <w:r>
        <w:rPr>
          <w:rFonts w:ascii="Arial" w:hAnsi="Arial" w:cs="Arial"/>
          <w:sz w:val="24"/>
        </w:rPr>
        <w:t>day;</w:t>
      </w:r>
      <w:proofErr w:type="gramEnd"/>
    </w:p>
    <w:p w14:paraId="69BB9A41"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 xml:space="preserve">a subsequent consultation and an initial consultation cannot be provided </w:t>
      </w:r>
      <w:r w:rsidR="00627011">
        <w:rPr>
          <w:rFonts w:ascii="Arial" w:hAnsi="Arial" w:cs="Arial"/>
          <w:sz w:val="24"/>
        </w:rPr>
        <w:t xml:space="preserve">for the same patient </w:t>
      </w:r>
      <w:r>
        <w:rPr>
          <w:rFonts w:ascii="Arial" w:hAnsi="Arial" w:cs="Arial"/>
          <w:sz w:val="24"/>
        </w:rPr>
        <w:t>on t</w:t>
      </w:r>
      <w:r w:rsidR="00627011">
        <w:rPr>
          <w:rFonts w:ascii="Arial" w:hAnsi="Arial" w:cs="Arial"/>
          <w:sz w:val="24"/>
        </w:rPr>
        <w:t xml:space="preserve">he same </w:t>
      </w:r>
      <w:proofErr w:type="gramStart"/>
      <w:r w:rsidR="00627011">
        <w:rPr>
          <w:rFonts w:ascii="Arial" w:hAnsi="Arial" w:cs="Arial"/>
          <w:sz w:val="24"/>
        </w:rPr>
        <w:t>day</w:t>
      </w:r>
      <w:r>
        <w:rPr>
          <w:rFonts w:ascii="Arial" w:hAnsi="Arial" w:cs="Arial"/>
          <w:sz w:val="24"/>
        </w:rPr>
        <w:t>;</w:t>
      </w:r>
      <w:proofErr w:type="gramEnd"/>
    </w:p>
    <w:p w14:paraId="5D199238"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 xml:space="preserve">only one subsequent consultation item per patient can be provided each </w:t>
      </w:r>
      <w:proofErr w:type="gramStart"/>
      <w:r>
        <w:rPr>
          <w:rFonts w:ascii="Arial" w:hAnsi="Arial" w:cs="Arial"/>
          <w:sz w:val="24"/>
        </w:rPr>
        <w:t>day;</w:t>
      </w:r>
      <w:proofErr w:type="gramEnd"/>
    </w:p>
    <w:p w14:paraId="390B49AF"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 xml:space="preserve">follow-up </w:t>
      </w:r>
      <w:r>
        <w:rPr>
          <w:rFonts w:ascii="Arial" w:hAnsi="Arial" w:cs="Arial"/>
          <w:i/>
          <w:sz w:val="24"/>
        </w:rPr>
        <w:t>Footwear Assessment/Fitting – Rooms, Item F019</w:t>
      </w:r>
      <w:r>
        <w:rPr>
          <w:rFonts w:ascii="Arial" w:hAnsi="Arial" w:cs="Arial"/>
          <w:sz w:val="24"/>
        </w:rPr>
        <w:t xml:space="preserve"> and </w:t>
      </w:r>
      <w:r>
        <w:rPr>
          <w:rFonts w:ascii="Arial" w:hAnsi="Arial" w:cs="Arial"/>
          <w:i/>
          <w:sz w:val="24"/>
        </w:rPr>
        <w:t>Subsequent Consultation – Rooms, Item F012</w:t>
      </w:r>
      <w:r>
        <w:rPr>
          <w:rFonts w:ascii="Arial" w:hAnsi="Arial" w:cs="Arial"/>
          <w:sz w:val="24"/>
        </w:rPr>
        <w:t xml:space="preserve"> may be provided on the same day, </w:t>
      </w:r>
      <w:proofErr w:type="gramStart"/>
      <w:r>
        <w:rPr>
          <w:rFonts w:ascii="Arial" w:hAnsi="Arial" w:cs="Arial"/>
          <w:sz w:val="24"/>
        </w:rPr>
        <w:t>as long as</w:t>
      </w:r>
      <w:proofErr w:type="gramEnd"/>
      <w:r>
        <w:rPr>
          <w:rFonts w:ascii="Arial" w:hAnsi="Arial" w:cs="Arial"/>
          <w:sz w:val="24"/>
        </w:rPr>
        <w:t xml:space="preserve"> the actual performance of both services can be justified by comprehensive clinical notes showing both services and comparable time taken.  Preferably, appointment records showing two time slot bookings should be </w:t>
      </w:r>
      <w:proofErr w:type="gramStart"/>
      <w:r>
        <w:rPr>
          <w:rFonts w:ascii="Arial" w:hAnsi="Arial" w:cs="Arial"/>
          <w:sz w:val="24"/>
        </w:rPr>
        <w:t>kept;</w:t>
      </w:r>
      <w:proofErr w:type="gramEnd"/>
    </w:p>
    <w:p w14:paraId="0116822A"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lastRenderedPageBreak/>
        <w:t xml:space="preserve">if a Podiatric Diagnostic Service or Physical Podiatry item is provided on the same day as either an initial or subsequent consultation item (for the same patient), the actual performance of all services provided must be justified by comprehensive clinical notes showing details of all services.  Preferably, appointment records showing additional time slot bookings should be </w:t>
      </w:r>
      <w:proofErr w:type="gramStart"/>
      <w:r>
        <w:rPr>
          <w:rFonts w:ascii="Arial" w:hAnsi="Arial" w:cs="Arial"/>
          <w:sz w:val="24"/>
        </w:rPr>
        <w:t>kept;</w:t>
      </w:r>
      <w:proofErr w:type="gramEnd"/>
    </w:p>
    <w:p w14:paraId="578C3297" w14:textId="77777777" w:rsidR="008E6C9D" w:rsidRDefault="008E6C9D">
      <w:pPr>
        <w:rPr>
          <w:rFonts w:ascii="Arial" w:hAnsi="Arial" w:cs="Arial"/>
          <w:sz w:val="24"/>
          <w:szCs w:val="24"/>
        </w:rPr>
      </w:pPr>
    </w:p>
    <w:p w14:paraId="387DA093" w14:textId="77777777" w:rsidR="008E6C9D" w:rsidRDefault="008E6C9D" w:rsidP="004F018F">
      <w:pPr>
        <w:pStyle w:val="Heading2"/>
        <w:spacing w:after="120"/>
        <w:rPr>
          <w:rFonts w:ascii="Arial" w:hAnsi="Arial" w:cs="Arial"/>
        </w:rPr>
      </w:pPr>
      <w:bookmarkStart w:id="23" w:name="OLE_LINK1"/>
      <w:bookmarkStart w:id="24" w:name="_Toc59502953"/>
      <w:bookmarkStart w:id="25" w:name="_Toc272328610"/>
      <w:bookmarkStart w:id="26" w:name="_Toc303701576"/>
      <w:bookmarkStart w:id="27" w:name="_Toc18414925"/>
      <w:r>
        <w:rPr>
          <w:rFonts w:ascii="Arial" w:hAnsi="Arial" w:cs="Arial"/>
          <w:bCs/>
          <w:sz w:val="24"/>
        </w:rPr>
        <w:t>Restrictions on orthomechanical items</w:t>
      </w:r>
      <w:bookmarkEnd w:id="24"/>
      <w:bookmarkEnd w:id="25"/>
      <w:bookmarkEnd w:id="26"/>
      <w:bookmarkEnd w:id="27"/>
    </w:p>
    <w:p w14:paraId="468604EA"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 xml:space="preserve">The following specific restrictions apply to the provision of Orthomechanical items from the DVA </w:t>
      </w:r>
      <w:r>
        <w:rPr>
          <w:rFonts w:ascii="Arial" w:hAnsi="Arial" w:cs="Arial"/>
          <w:i/>
          <w:sz w:val="24"/>
        </w:rPr>
        <w:t>Podiatrists Schedule of Fees</w:t>
      </w:r>
      <w:r>
        <w:rPr>
          <w:rFonts w:ascii="Arial" w:hAnsi="Arial" w:cs="Arial"/>
          <w:sz w:val="24"/>
        </w:rPr>
        <w:t>:</w:t>
      </w:r>
    </w:p>
    <w:p w14:paraId="1E7752DC"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DVA expects each Orthomechanical item claimed is either customised or custom-built for the patient.  Standard, unmodified orthoses should not be claimed as orthomechanical items, these should be provided using either the appropriate consumables item (F986 or F987) or through DVA’s Rehabilitation Appliances Program (RAP</w:t>
      </w:r>
      <w:proofErr w:type="gramStart"/>
      <w:r>
        <w:rPr>
          <w:rFonts w:ascii="Arial" w:hAnsi="Arial" w:cs="Arial"/>
          <w:sz w:val="24"/>
        </w:rPr>
        <w:t>);</w:t>
      </w:r>
      <w:proofErr w:type="gramEnd"/>
    </w:p>
    <w:p w14:paraId="62B29132"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 xml:space="preserve">only one pair of orthoses should be provided at any one time.  DVA expects entitled persons to transfer the orthoses between their various shoes as </w:t>
      </w:r>
      <w:proofErr w:type="gramStart"/>
      <w:r>
        <w:rPr>
          <w:rFonts w:ascii="Arial" w:hAnsi="Arial" w:cs="Arial"/>
          <w:sz w:val="24"/>
        </w:rPr>
        <w:t>necessary;</w:t>
      </w:r>
      <w:proofErr w:type="gramEnd"/>
    </w:p>
    <w:p w14:paraId="77790BBE"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 xml:space="preserve">only one each of F222 and F266 or two each of F221 and F265 can be provided within a </w:t>
      </w:r>
      <w:proofErr w:type="gramStart"/>
      <w:r>
        <w:rPr>
          <w:rFonts w:ascii="Arial" w:hAnsi="Arial" w:cs="Arial"/>
          <w:sz w:val="24"/>
        </w:rPr>
        <w:t>365 day</w:t>
      </w:r>
      <w:proofErr w:type="gramEnd"/>
      <w:r>
        <w:rPr>
          <w:rFonts w:ascii="Arial" w:hAnsi="Arial" w:cs="Arial"/>
          <w:sz w:val="24"/>
        </w:rPr>
        <w:t xml:space="preserve"> period.  Additional provision of these devices requires prior financial authorisation from </w:t>
      </w:r>
      <w:proofErr w:type="gramStart"/>
      <w:r>
        <w:rPr>
          <w:rFonts w:ascii="Arial" w:hAnsi="Arial" w:cs="Arial"/>
          <w:sz w:val="24"/>
        </w:rPr>
        <w:t>DVA;</w:t>
      </w:r>
      <w:proofErr w:type="gramEnd"/>
    </w:p>
    <w:p w14:paraId="79C47D65"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fees for complete orthoses items (F201-F222 and F265-F268) cover the complete initial device including plain covers, posts, dispensing and follow up consultations (casting is claimed separately under F304</w:t>
      </w:r>
      <w:proofErr w:type="gramStart"/>
      <w:r>
        <w:rPr>
          <w:rFonts w:ascii="Arial" w:hAnsi="Arial" w:cs="Arial"/>
          <w:sz w:val="24"/>
        </w:rPr>
        <w:t>);</w:t>
      </w:r>
      <w:proofErr w:type="gramEnd"/>
    </w:p>
    <w:p w14:paraId="020B71D3" w14:textId="77777777" w:rsidR="008E6C9D" w:rsidRDefault="00631513">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c</w:t>
      </w:r>
      <w:r w:rsidR="008E6C9D">
        <w:rPr>
          <w:rFonts w:ascii="Arial" w:hAnsi="Arial" w:cs="Arial"/>
          <w:sz w:val="24"/>
        </w:rPr>
        <w:t xml:space="preserve">asting or 3D scanning / digitisation </w:t>
      </w:r>
      <w:proofErr w:type="gramStart"/>
      <w:r w:rsidR="008E6C9D">
        <w:rPr>
          <w:rFonts w:ascii="Arial" w:hAnsi="Arial" w:cs="Arial"/>
          <w:sz w:val="24"/>
        </w:rPr>
        <w:t>for the production of</w:t>
      </w:r>
      <w:proofErr w:type="gramEnd"/>
      <w:r w:rsidR="008E6C9D">
        <w:rPr>
          <w:rFonts w:ascii="Arial" w:hAnsi="Arial" w:cs="Arial"/>
          <w:sz w:val="24"/>
        </w:rPr>
        <w:t xml:space="preserve"> </w:t>
      </w:r>
      <w:proofErr w:type="gramStart"/>
      <w:r w:rsidR="008E6C9D">
        <w:rPr>
          <w:rFonts w:ascii="Arial" w:hAnsi="Arial" w:cs="Arial"/>
          <w:sz w:val="24"/>
        </w:rPr>
        <w:t>custom made</w:t>
      </w:r>
      <w:proofErr w:type="gramEnd"/>
      <w:r w:rsidR="008E6C9D">
        <w:rPr>
          <w:rFonts w:ascii="Arial" w:hAnsi="Arial" w:cs="Arial"/>
          <w:sz w:val="24"/>
        </w:rPr>
        <w:t xml:space="preserve"> orthoses </w:t>
      </w:r>
      <w:r w:rsidR="004C412B">
        <w:rPr>
          <w:rFonts w:ascii="Arial" w:hAnsi="Arial" w:cs="Arial"/>
          <w:sz w:val="24"/>
        </w:rPr>
        <w:t>are</w:t>
      </w:r>
      <w:r w:rsidR="008E6C9D">
        <w:rPr>
          <w:rFonts w:ascii="Arial" w:hAnsi="Arial" w:cs="Arial"/>
          <w:sz w:val="24"/>
        </w:rPr>
        <w:t xml:space="preserve"> to be claimed separately under relevant item numbers F303 and F304.</w:t>
      </w:r>
    </w:p>
    <w:p w14:paraId="0C1A4EF2"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 xml:space="preserve">if an </w:t>
      </w:r>
      <w:proofErr w:type="gramStart"/>
      <w:r>
        <w:rPr>
          <w:rFonts w:ascii="Arial" w:hAnsi="Arial" w:cs="Arial"/>
          <w:sz w:val="24"/>
        </w:rPr>
        <w:t>orthoses</w:t>
      </w:r>
      <w:proofErr w:type="gramEnd"/>
      <w:r>
        <w:rPr>
          <w:rFonts w:ascii="Arial" w:hAnsi="Arial" w:cs="Arial"/>
          <w:sz w:val="24"/>
        </w:rPr>
        <w:t xml:space="preserve"> covered with a soft tissue supplement (F383 and F384) is clinically required and provided, the fee for this may be claimed in addition to the orthoses </w:t>
      </w:r>
      <w:proofErr w:type="gramStart"/>
      <w:r>
        <w:rPr>
          <w:rFonts w:ascii="Arial" w:hAnsi="Arial" w:cs="Arial"/>
          <w:sz w:val="24"/>
        </w:rPr>
        <w:t>item;</w:t>
      </w:r>
      <w:proofErr w:type="gramEnd"/>
    </w:p>
    <w:p w14:paraId="68536298"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repairs or modifications made to orthoses within the first three months are included in the initial supply price; and</w:t>
      </w:r>
    </w:p>
    <w:p w14:paraId="61FA5965"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item numbers for the assessment and provision of orthoses should only be claimed on the date the actual service occurs or when the item is supplied (not in advance).</w:t>
      </w:r>
    </w:p>
    <w:bookmarkEnd w:id="23"/>
    <w:p w14:paraId="5C444FBB" w14:textId="77777777" w:rsidR="008E6C9D" w:rsidRDefault="008E6C9D">
      <w:pPr>
        <w:rPr>
          <w:rFonts w:ascii="Arial" w:hAnsi="Arial" w:cs="Arial"/>
          <w:sz w:val="24"/>
        </w:rPr>
      </w:pPr>
    </w:p>
    <w:p w14:paraId="43B3A32F" w14:textId="77777777" w:rsidR="008E6C9D" w:rsidRDefault="008E6C9D" w:rsidP="004F018F">
      <w:pPr>
        <w:pStyle w:val="Heading2"/>
        <w:spacing w:after="120"/>
        <w:rPr>
          <w:rFonts w:ascii="Arial" w:hAnsi="Arial" w:cs="Arial"/>
        </w:rPr>
      </w:pPr>
      <w:bookmarkStart w:id="28" w:name="_Toc521827550"/>
      <w:bookmarkStart w:id="29" w:name="_Toc521836304"/>
      <w:bookmarkStart w:id="30" w:name="_Toc59502954"/>
      <w:bookmarkStart w:id="31" w:name="_Toc272328611"/>
      <w:bookmarkStart w:id="32" w:name="_Toc303701577"/>
      <w:bookmarkStart w:id="33" w:name="_Toc18414926"/>
      <w:r>
        <w:rPr>
          <w:rFonts w:ascii="Arial" w:hAnsi="Arial" w:cs="Arial"/>
          <w:bCs/>
          <w:sz w:val="24"/>
        </w:rPr>
        <w:t>Diabetes</w:t>
      </w:r>
      <w:bookmarkEnd w:id="30"/>
      <w:bookmarkEnd w:id="31"/>
      <w:bookmarkEnd w:id="32"/>
      <w:bookmarkEnd w:id="33"/>
    </w:p>
    <w:p w14:paraId="5D880B47"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Where a White Card holder has a specific treatment entitlement for diabetes, full podiatry treatment may be provided if:</w:t>
      </w:r>
    </w:p>
    <w:p w14:paraId="47258E64"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 xml:space="preserve">the need for podiatry treatment in diabetes management is specified by the </w:t>
      </w:r>
      <w:r w:rsidR="00631513">
        <w:rPr>
          <w:rFonts w:ascii="Arial" w:hAnsi="Arial" w:cs="Arial"/>
          <w:sz w:val="24"/>
        </w:rPr>
        <w:t>GP</w:t>
      </w:r>
      <w:r>
        <w:rPr>
          <w:rFonts w:ascii="Arial" w:hAnsi="Arial" w:cs="Arial"/>
          <w:sz w:val="24"/>
        </w:rPr>
        <w:t xml:space="preserve"> or specialist; and</w:t>
      </w:r>
    </w:p>
    <w:p w14:paraId="06D465E1"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the podiatry problem is accepted by DVA as a condition clinically relating to diabetes.</w:t>
      </w:r>
    </w:p>
    <w:p w14:paraId="1D550A29" w14:textId="77777777" w:rsidR="008E6C9D" w:rsidRDefault="008E6C9D">
      <w:pPr>
        <w:rPr>
          <w:rFonts w:ascii="Arial" w:hAnsi="Arial" w:cs="Arial"/>
          <w:sz w:val="24"/>
          <w:highlight w:val="yellow"/>
        </w:rPr>
      </w:pPr>
    </w:p>
    <w:p w14:paraId="62737AD1" w14:textId="77777777" w:rsidR="008E6C9D" w:rsidRDefault="008E6C9D" w:rsidP="004F018F">
      <w:pPr>
        <w:pStyle w:val="Heading2"/>
        <w:spacing w:after="120"/>
        <w:rPr>
          <w:rFonts w:ascii="Arial" w:hAnsi="Arial" w:cs="Arial"/>
        </w:rPr>
      </w:pPr>
      <w:bookmarkStart w:id="34" w:name="_Toc59502955"/>
      <w:bookmarkStart w:id="35" w:name="_Toc272328612"/>
      <w:bookmarkStart w:id="36" w:name="_Toc303701578"/>
      <w:bookmarkStart w:id="37" w:name="_Toc18414927"/>
      <w:r>
        <w:rPr>
          <w:rFonts w:ascii="Arial" w:hAnsi="Arial" w:cs="Arial"/>
          <w:bCs/>
          <w:sz w:val="24"/>
        </w:rPr>
        <w:lastRenderedPageBreak/>
        <w:t>Toenail cutting</w:t>
      </w:r>
      <w:bookmarkEnd w:id="34"/>
      <w:bookmarkEnd w:id="35"/>
      <w:bookmarkEnd w:id="36"/>
      <w:bookmarkEnd w:id="37"/>
    </w:p>
    <w:p w14:paraId="033B9F69"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Routine toenail cutting of non-pathological nails should only be performed if one of the following criteria is satisfied:</w:t>
      </w:r>
    </w:p>
    <w:p w14:paraId="215F3FCF"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 xml:space="preserve">the entitled person has a physical and/or mental condition which prevents them from performing this task independently, and does not have a carer who is competent to cut </w:t>
      </w:r>
      <w:proofErr w:type="gramStart"/>
      <w:r>
        <w:rPr>
          <w:rFonts w:ascii="Arial" w:hAnsi="Arial" w:cs="Arial"/>
          <w:sz w:val="24"/>
        </w:rPr>
        <w:t>toenails;</w:t>
      </w:r>
      <w:proofErr w:type="gramEnd"/>
    </w:p>
    <w:p w14:paraId="5E1FB8AC"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 xml:space="preserve">the entitled person is taking a prescribed drug or other therapeutic substance (e.g. anti-coagulants) necessitating professional cutting of </w:t>
      </w:r>
      <w:proofErr w:type="gramStart"/>
      <w:r>
        <w:rPr>
          <w:rFonts w:ascii="Arial" w:hAnsi="Arial" w:cs="Arial"/>
          <w:sz w:val="24"/>
        </w:rPr>
        <w:t>toenails;</w:t>
      </w:r>
      <w:proofErr w:type="gramEnd"/>
    </w:p>
    <w:p w14:paraId="01FC927A"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the entitled person suffers from diabetes mellitus; or</w:t>
      </w:r>
    </w:p>
    <w:p w14:paraId="518C0CB0"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the entitled person suffers from peripheral vascular disease.</w:t>
      </w:r>
    </w:p>
    <w:p w14:paraId="04CFA8E4" w14:textId="77777777" w:rsidR="008E6C9D" w:rsidRDefault="008E6C9D">
      <w:pPr>
        <w:pStyle w:val="LogoHeader"/>
        <w:keepLines w:val="0"/>
        <w:rPr>
          <w:rFonts w:ascii="Arial" w:hAnsi="Arial" w:cs="Arial"/>
          <w:lang w:val="en-AU"/>
        </w:rPr>
      </w:pPr>
    </w:p>
    <w:p w14:paraId="2D8EDAFE" w14:textId="77777777" w:rsidR="008E6C9D" w:rsidRDefault="008E6C9D">
      <w:pPr>
        <w:pStyle w:val="LogoHeader"/>
        <w:keepLines w:val="0"/>
        <w:ind w:left="425"/>
        <w:rPr>
          <w:rFonts w:ascii="Arial" w:hAnsi="Arial" w:cs="Arial"/>
          <w:lang w:val="en-AU"/>
        </w:rPr>
      </w:pPr>
      <w:r>
        <w:rPr>
          <w:rFonts w:ascii="Arial" w:hAnsi="Arial" w:cs="Arial"/>
          <w:b/>
          <w:lang w:val="en-AU"/>
        </w:rPr>
        <w:t>Note:</w:t>
      </w:r>
      <w:r>
        <w:rPr>
          <w:rFonts w:ascii="Arial" w:hAnsi="Arial" w:cs="Arial"/>
          <w:lang w:val="en-AU"/>
        </w:rPr>
        <w:t xml:space="preserve">  If the condition preventing a White Card holder from performing this task is an accepted disability, he or she may be eligible to receive this service.  You should contact the Medical and Allied Health team to confirm eligibility.  Refer to </w:t>
      </w:r>
      <w:r w:rsidR="0091152F">
        <w:rPr>
          <w:rFonts w:ascii="Arial" w:hAnsi="Arial" w:cs="Arial"/>
          <w:lang w:val="en-AU"/>
        </w:rPr>
        <w:t xml:space="preserve">Notes for Allied Health Providers </w:t>
      </w:r>
      <w:r>
        <w:rPr>
          <w:rFonts w:ascii="Arial" w:hAnsi="Arial" w:cs="Arial"/>
          <w:lang w:val="en-AU"/>
        </w:rPr>
        <w:t>Section One</w:t>
      </w:r>
      <w:r w:rsidR="009167AF">
        <w:rPr>
          <w:rFonts w:ascii="Arial" w:hAnsi="Arial" w:cs="Arial"/>
          <w:lang w:val="en-AU"/>
        </w:rPr>
        <w:t xml:space="preserve"> -</w:t>
      </w:r>
      <w:r w:rsidR="0091152F">
        <w:rPr>
          <w:rFonts w:ascii="Arial" w:hAnsi="Arial" w:cs="Arial"/>
          <w:lang w:val="en-AU"/>
        </w:rPr>
        <w:t xml:space="preserve"> General</w:t>
      </w:r>
      <w:r>
        <w:rPr>
          <w:rFonts w:ascii="Arial" w:hAnsi="Arial" w:cs="Arial"/>
          <w:lang w:val="en-AU"/>
        </w:rPr>
        <w:t xml:space="preserve"> [clause 1</w:t>
      </w:r>
      <w:r w:rsidR="00871C26">
        <w:rPr>
          <w:rFonts w:ascii="Arial" w:hAnsi="Arial" w:cs="Arial"/>
          <w:lang w:val="en-AU"/>
        </w:rPr>
        <w:t>49</w:t>
      </w:r>
      <w:r>
        <w:rPr>
          <w:rFonts w:ascii="Arial" w:hAnsi="Arial" w:cs="Arial"/>
          <w:lang w:val="en-AU"/>
        </w:rPr>
        <w:t xml:space="preserve"> for contact details.</w:t>
      </w:r>
    </w:p>
    <w:p w14:paraId="5C740389" w14:textId="77777777" w:rsidR="008E6C9D" w:rsidRDefault="008E6C9D">
      <w:pPr>
        <w:pStyle w:val="LogoHeader"/>
        <w:keepLines w:val="0"/>
        <w:rPr>
          <w:rFonts w:ascii="Arial" w:hAnsi="Arial" w:cs="Arial"/>
          <w:lang w:val="en-AU"/>
        </w:rPr>
      </w:pPr>
    </w:p>
    <w:p w14:paraId="69B880A0"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Toenail cutting is usually completed in less than 15 minutes.  A short consultation (item F010) applies.  Toenail cutting claimed under the DVA Podiatrists Schedule of Fees must be performed by qualified podiatrists only.</w:t>
      </w:r>
    </w:p>
    <w:p w14:paraId="662B5C81" w14:textId="77777777" w:rsidR="008E6C9D" w:rsidRDefault="008E6C9D">
      <w:pPr>
        <w:pStyle w:val="Heading2"/>
        <w:rPr>
          <w:rFonts w:ascii="Arial" w:hAnsi="Arial" w:cs="Arial"/>
        </w:rPr>
      </w:pPr>
      <w:bookmarkStart w:id="38" w:name="_Toc59502956"/>
      <w:bookmarkStart w:id="39" w:name="_Toc272328614"/>
    </w:p>
    <w:p w14:paraId="2888ADA9" w14:textId="77777777" w:rsidR="008E6C9D" w:rsidRDefault="008E6C9D" w:rsidP="004F018F">
      <w:pPr>
        <w:pStyle w:val="Heading2"/>
        <w:spacing w:after="120"/>
        <w:rPr>
          <w:rFonts w:ascii="Arial" w:hAnsi="Arial" w:cs="Arial"/>
        </w:rPr>
      </w:pPr>
      <w:bookmarkStart w:id="40" w:name="_Toc303701579"/>
      <w:bookmarkStart w:id="41" w:name="_Toc18414928"/>
      <w:r>
        <w:rPr>
          <w:rFonts w:ascii="Arial" w:hAnsi="Arial" w:cs="Arial"/>
          <w:bCs/>
          <w:sz w:val="24"/>
        </w:rPr>
        <w:t>Surgical podiatry</w:t>
      </w:r>
      <w:bookmarkEnd w:id="38"/>
      <w:bookmarkEnd w:id="39"/>
      <w:bookmarkEnd w:id="40"/>
      <w:bookmarkEnd w:id="41"/>
    </w:p>
    <w:p w14:paraId="1E7AFC58"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 xml:space="preserve">DVA will only accept financial responsibility for surgical podiatry items listed on the DVA </w:t>
      </w:r>
      <w:r>
        <w:rPr>
          <w:rFonts w:ascii="Arial" w:hAnsi="Arial" w:cs="Arial"/>
          <w:i/>
          <w:sz w:val="24"/>
        </w:rPr>
        <w:t>Podiatrists Schedule of Fees</w:t>
      </w:r>
      <w:r>
        <w:rPr>
          <w:rFonts w:ascii="Arial" w:hAnsi="Arial" w:cs="Arial"/>
          <w:sz w:val="24"/>
        </w:rPr>
        <w:t>.</w:t>
      </w:r>
    </w:p>
    <w:p w14:paraId="6F2F8E8A" w14:textId="77777777" w:rsidR="008E6C9D" w:rsidRDefault="008E6C9D">
      <w:pPr>
        <w:rPr>
          <w:rFonts w:ascii="Arial" w:hAnsi="Arial" w:cs="Arial"/>
          <w:sz w:val="24"/>
        </w:rPr>
      </w:pPr>
    </w:p>
    <w:p w14:paraId="0E7C246B"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Please note that the fees offered for F470, F546 and F547 include two follow-up consultations, and dressings.  Consultations additional to the two follow-up consultations can only be claimed if clinically necessary, using item F010.</w:t>
      </w:r>
    </w:p>
    <w:p w14:paraId="4B8DE015" w14:textId="77777777" w:rsidR="008E6C9D" w:rsidRDefault="008E6C9D">
      <w:pPr>
        <w:pStyle w:val="Heading2"/>
        <w:rPr>
          <w:rFonts w:ascii="Arial" w:hAnsi="Arial" w:cs="Arial"/>
        </w:rPr>
      </w:pPr>
    </w:p>
    <w:p w14:paraId="1CDA5CD9" w14:textId="77777777" w:rsidR="008E6C9D" w:rsidRDefault="008E6C9D" w:rsidP="004F018F">
      <w:pPr>
        <w:pStyle w:val="Heading2"/>
        <w:spacing w:after="120"/>
      </w:pPr>
      <w:bookmarkStart w:id="42" w:name="_Toc59502957"/>
      <w:bookmarkStart w:id="43" w:name="_Toc272328615"/>
      <w:bookmarkStart w:id="44" w:name="_Toc303701580"/>
      <w:bookmarkStart w:id="45" w:name="_Toc18414929"/>
      <w:r>
        <w:rPr>
          <w:rFonts w:ascii="Arial" w:hAnsi="Arial" w:cs="Arial"/>
          <w:bCs/>
          <w:sz w:val="24"/>
        </w:rPr>
        <w:t>Prescription of medical grade footwear</w:t>
      </w:r>
      <w:bookmarkEnd w:id="28"/>
      <w:bookmarkEnd w:id="29"/>
      <w:bookmarkEnd w:id="42"/>
      <w:bookmarkEnd w:id="43"/>
      <w:bookmarkEnd w:id="44"/>
      <w:bookmarkEnd w:id="45"/>
    </w:p>
    <w:p w14:paraId="0028B4CC"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Podiatrists who registered with DHS from 13 August 2007 are automatically able to prescribe medical grade footwear for entitled persons.  Any po</w:t>
      </w:r>
      <w:r w:rsidR="00627011">
        <w:rPr>
          <w:rFonts w:ascii="Arial" w:hAnsi="Arial" w:cs="Arial"/>
          <w:sz w:val="24"/>
        </w:rPr>
        <w:t>diatrist</w:t>
      </w:r>
      <w:r>
        <w:rPr>
          <w:rFonts w:ascii="Arial" w:hAnsi="Arial" w:cs="Arial"/>
          <w:sz w:val="24"/>
        </w:rPr>
        <w:t xml:space="preserve"> registered with DHS before this date wanting to prescribe medical grade footwear and who haven’t previously done so need to contact the Medicare Australia Liaison and Contract Management section of DVA so they can be granted access to the Footwear Assessment items.  Refer to </w:t>
      </w:r>
      <w:r w:rsidR="005E326A">
        <w:rPr>
          <w:rFonts w:ascii="Arial" w:hAnsi="Arial" w:cs="Arial"/>
          <w:sz w:val="24"/>
        </w:rPr>
        <w:t>Notes for Allied Health Providers Section One: General</w:t>
      </w:r>
      <w:r>
        <w:rPr>
          <w:rFonts w:ascii="Arial" w:hAnsi="Arial" w:cs="Arial"/>
          <w:sz w:val="24"/>
        </w:rPr>
        <w:t xml:space="preserve"> [clause </w:t>
      </w:r>
      <w:r w:rsidR="00871C26">
        <w:rPr>
          <w:rFonts w:ascii="Arial" w:hAnsi="Arial" w:cs="Arial"/>
          <w:sz w:val="24"/>
        </w:rPr>
        <w:t>149</w:t>
      </w:r>
      <w:r>
        <w:rPr>
          <w:rFonts w:ascii="Arial" w:hAnsi="Arial" w:cs="Arial"/>
          <w:sz w:val="24"/>
        </w:rPr>
        <w:t xml:space="preserve"> for contact details.  Without access to these items, claims for payment will be rejected by DHS.</w:t>
      </w:r>
    </w:p>
    <w:p w14:paraId="34AC9FEC" w14:textId="77777777" w:rsidR="008E6C9D" w:rsidRDefault="008E6C9D">
      <w:pPr>
        <w:rPr>
          <w:rFonts w:ascii="Arial" w:hAnsi="Arial" w:cs="Arial"/>
          <w:sz w:val="24"/>
        </w:rPr>
      </w:pPr>
    </w:p>
    <w:p w14:paraId="5D7FE1D9" w14:textId="77777777" w:rsidR="008E6C9D" w:rsidRDefault="008E6C9D" w:rsidP="004F018F">
      <w:pPr>
        <w:pStyle w:val="Heading2"/>
        <w:spacing w:after="120"/>
      </w:pPr>
      <w:bookmarkStart w:id="46" w:name="_Toc521827551"/>
      <w:bookmarkStart w:id="47" w:name="_Toc521836305"/>
      <w:bookmarkStart w:id="48" w:name="_Toc59502958"/>
      <w:bookmarkStart w:id="49" w:name="_Toc272328616"/>
      <w:bookmarkStart w:id="50" w:name="_Toc303701581"/>
      <w:bookmarkStart w:id="51" w:name="_Toc18414930"/>
      <w:r w:rsidRPr="004F018F">
        <w:rPr>
          <w:rFonts w:ascii="Arial" w:hAnsi="Arial" w:cs="Arial"/>
          <w:bCs/>
          <w:sz w:val="24"/>
        </w:rPr>
        <w:t>Rehabilitation Appliances Program</w:t>
      </w:r>
      <w:bookmarkEnd w:id="48"/>
      <w:bookmarkEnd w:id="49"/>
      <w:bookmarkEnd w:id="50"/>
      <w:bookmarkEnd w:id="51"/>
    </w:p>
    <w:bookmarkEnd w:id="46"/>
    <w:bookmarkEnd w:id="47"/>
    <w:p w14:paraId="0E082424" w14:textId="77777777" w:rsidR="00627011" w:rsidRDefault="00627011" w:rsidP="00627011">
      <w:pPr>
        <w:numPr>
          <w:ilvl w:val="0"/>
          <w:numId w:val="28"/>
        </w:numPr>
        <w:rPr>
          <w:rFonts w:ascii="Arial" w:hAnsi="Arial" w:cs="Arial"/>
          <w:sz w:val="24"/>
        </w:rPr>
      </w:pPr>
      <w:r>
        <w:rPr>
          <w:rFonts w:ascii="Arial" w:hAnsi="Arial" w:cs="Arial"/>
          <w:sz w:val="24"/>
        </w:rPr>
        <w:t xml:space="preserve">Podiatrists are recognised prescribers of certain appliances under the Department’s </w:t>
      </w:r>
      <w:r>
        <w:rPr>
          <w:rFonts w:ascii="Arial" w:hAnsi="Arial" w:cs="Arial"/>
          <w:i/>
          <w:sz w:val="24"/>
        </w:rPr>
        <w:t>Rehabilitation Appliances Program</w:t>
      </w:r>
      <w:r>
        <w:rPr>
          <w:rFonts w:ascii="Arial" w:hAnsi="Arial" w:cs="Arial"/>
          <w:sz w:val="24"/>
        </w:rPr>
        <w:t xml:space="preserve"> (RAP).  When utilising the RAP scheme, prescribers must issue the RAP item prescription to the appropriate contracted supplier.  You should contact the RAP section to obtain full details including which appliances you can prescribe, prescription forms and information </w:t>
      </w:r>
      <w:r>
        <w:rPr>
          <w:rFonts w:ascii="Arial" w:hAnsi="Arial" w:cs="Arial"/>
          <w:sz w:val="24"/>
        </w:rPr>
        <w:lastRenderedPageBreak/>
        <w:t>on contracted RAP suppliers.</w:t>
      </w:r>
      <w:r>
        <w:rPr>
          <w:rFonts w:ascii="Arial" w:hAnsi="Arial" w:cs="Arial"/>
          <w:sz w:val="24"/>
        </w:rPr>
        <w:br/>
      </w:r>
    </w:p>
    <w:p w14:paraId="695F388A" w14:textId="77777777" w:rsidR="00627011" w:rsidRDefault="00627011" w:rsidP="00627011">
      <w:pPr>
        <w:numPr>
          <w:ilvl w:val="0"/>
          <w:numId w:val="28"/>
        </w:numPr>
        <w:rPr>
          <w:rFonts w:ascii="Arial" w:hAnsi="Arial" w:cs="Arial"/>
          <w:sz w:val="24"/>
        </w:rPr>
      </w:pPr>
      <w:r>
        <w:rPr>
          <w:rFonts w:ascii="Arial" w:hAnsi="Arial" w:cs="Arial"/>
          <w:sz w:val="24"/>
        </w:rPr>
        <w:t xml:space="preserve">Further information on RAP, including which providers are eligible to prescribe RAP items, is available on the DVA website or by contacting DVA [see clause </w:t>
      </w:r>
      <w:r>
        <w:rPr>
          <w:rFonts w:ascii="Arial" w:hAnsi="Arial" w:cs="Arial"/>
          <w:sz w:val="24"/>
        </w:rPr>
        <w:fldChar w:fldCharType="begin"/>
      </w:r>
      <w:r>
        <w:rPr>
          <w:rFonts w:ascii="Arial" w:hAnsi="Arial" w:cs="Arial"/>
          <w:sz w:val="24"/>
        </w:rPr>
        <w:instrText xml:space="preserve"> REF _Ref311635413 \r \h </w:instrText>
      </w:r>
      <w:r>
        <w:rPr>
          <w:rFonts w:ascii="Arial" w:hAnsi="Arial" w:cs="Arial"/>
          <w:sz w:val="24"/>
        </w:rPr>
      </w:r>
      <w:r>
        <w:rPr>
          <w:rFonts w:ascii="Arial" w:hAnsi="Arial" w:cs="Arial"/>
          <w:sz w:val="24"/>
        </w:rPr>
        <w:fldChar w:fldCharType="separate"/>
      </w:r>
      <w:r w:rsidR="00CB3472">
        <w:rPr>
          <w:rFonts w:ascii="Arial" w:hAnsi="Arial" w:cs="Arial"/>
          <w:sz w:val="24"/>
        </w:rPr>
        <w:t>15</w:t>
      </w:r>
      <w:r>
        <w:rPr>
          <w:rFonts w:ascii="Arial" w:hAnsi="Arial" w:cs="Arial"/>
          <w:sz w:val="24"/>
        </w:rPr>
        <w:t>3</w:t>
      </w:r>
      <w:r>
        <w:rPr>
          <w:rFonts w:ascii="Arial" w:hAnsi="Arial" w:cs="Arial"/>
          <w:sz w:val="24"/>
        </w:rPr>
        <w:fldChar w:fldCharType="end"/>
      </w:r>
      <w:r>
        <w:rPr>
          <w:rFonts w:ascii="Arial" w:hAnsi="Arial" w:cs="Arial"/>
          <w:sz w:val="24"/>
        </w:rPr>
        <w:t xml:space="preserve"> for details].  The RAP schedule of items can be found at:</w:t>
      </w:r>
    </w:p>
    <w:p w14:paraId="05090092" w14:textId="77777777" w:rsidR="00627011" w:rsidRDefault="00627011" w:rsidP="00627011">
      <w:pPr>
        <w:pStyle w:val="ListParagraph"/>
        <w:rPr>
          <w:rFonts w:ascii="Arial" w:hAnsi="Arial" w:cs="Arial"/>
          <w:sz w:val="24"/>
        </w:rPr>
      </w:pPr>
    </w:p>
    <w:p w14:paraId="45678CDF" w14:textId="77777777" w:rsidR="00627011" w:rsidRDefault="00627011" w:rsidP="00627011">
      <w:pPr>
        <w:keepLines/>
        <w:rPr>
          <w:rFonts w:ascii="Arial" w:hAnsi="Arial" w:cs="Arial"/>
          <w:sz w:val="24"/>
        </w:rPr>
      </w:pPr>
      <w:hyperlink r:id="rId9" w:history="1">
        <w:r w:rsidRPr="00F43EE0">
          <w:rPr>
            <w:rStyle w:val="Hyperlink"/>
            <w:rFonts w:ascii="Arial" w:hAnsi="Arial" w:cs="Arial"/>
            <w:sz w:val="24"/>
          </w:rPr>
          <w:t>http://www.dva.gov.au/providers/provider-programmes/rehabilitation-appliances-program-rap</w:t>
        </w:r>
      </w:hyperlink>
    </w:p>
    <w:p w14:paraId="30942AD1" w14:textId="77777777" w:rsidR="008E6C9D" w:rsidRDefault="008E6C9D" w:rsidP="00627011">
      <w:pPr>
        <w:keepLines/>
        <w:tabs>
          <w:tab w:val="left" w:pos="425"/>
        </w:tabs>
        <w:ind w:left="425"/>
        <w:rPr>
          <w:rFonts w:ascii="Arial" w:hAnsi="Arial" w:cs="Arial"/>
          <w:sz w:val="24"/>
        </w:rPr>
      </w:pPr>
    </w:p>
    <w:sectPr w:rsidR="008E6C9D">
      <w:headerReference w:type="default" r:id="rId10"/>
      <w:footerReference w:type="default" r:id="rId11"/>
      <w:headerReference w:type="first" r:id="rId12"/>
      <w:footerReference w:type="first" r:id="rId13"/>
      <w:pgSz w:w="11906" w:h="16838"/>
      <w:pgMar w:top="1383" w:right="1361" w:bottom="1418" w:left="136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EFC0F" w14:textId="77777777" w:rsidR="00510099" w:rsidRDefault="00510099">
      <w:r>
        <w:separator/>
      </w:r>
    </w:p>
  </w:endnote>
  <w:endnote w:type="continuationSeparator" w:id="0">
    <w:p w14:paraId="12031837" w14:textId="77777777" w:rsidR="00510099" w:rsidRDefault="0051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FBFC" w14:textId="77777777" w:rsidR="004B601D" w:rsidRDefault="008E6C9D">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w:t>
    </w:r>
    <w:r w:rsidR="00A22149">
      <w:rPr>
        <w:rFonts w:ascii="Arial" w:hAnsi="Arial" w:cs="Arial"/>
      </w:rPr>
      <w:t>OTES FOR PODIATRISTS</w:t>
    </w:r>
    <w:r w:rsidR="00A22149">
      <w:rPr>
        <w:rFonts w:ascii="Arial" w:hAnsi="Arial" w:cs="Arial"/>
      </w:rPr>
      <w:tab/>
    </w:r>
    <w:r w:rsidR="00A22149">
      <w:rPr>
        <w:rFonts w:ascii="Arial" w:hAnsi="Arial" w:cs="Arial"/>
      </w:rPr>
      <w:tab/>
    </w:r>
    <w:r w:rsidR="00720141">
      <w:rPr>
        <w:rFonts w:ascii="Arial" w:hAnsi="Arial" w:cs="Arial"/>
      </w:rPr>
      <w:t>October 2019</w:t>
    </w:r>
  </w:p>
  <w:p w14:paraId="2D62C2F2" w14:textId="77777777" w:rsidR="008E6C9D" w:rsidRDefault="008E6C9D">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B3472">
      <w:rPr>
        <w:rStyle w:val="PageNumber"/>
        <w:rFonts w:ascii="Arial" w:hAnsi="Arial" w:cs="Arial"/>
        <w:noProof/>
      </w:rPr>
      <w:t>2</w:t>
    </w:r>
    <w:r>
      <w:rPr>
        <w:rStyle w:val="PageNumber"/>
        <w:rFonts w:ascii="Arial" w:hAnsi="Arial" w:cs="Arial"/>
      </w:rPr>
      <w:fldChar w:fldCharType="end"/>
    </w:r>
    <w:r>
      <w:rPr>
        <w:rStyle w:val="PageNumber"/>
        <w:rFonts w:ascii="Arial" w:hAnsi="Arial" w:cs="Arial"/>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F272" w14:textId="77777777" w:rsidR="008E6C9D" w:rsidRDefault="008E6C9D">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PODIATRISTS</w:t>
    </w:r>
    <w:r>
      <w:rPr>
        <w:rFonts w:ascii="Arial" w:hAnsi="Arial" w:cs="Arial"/>
      </w:rPr>
      <w:tab/>
    </w:r>
    <w:r>
      <w:rPr>
        <w:rFonts w:ascii="Arial" w:hAnsi="Arial" w:cs="Arial"/>
      </w:rPr>
      <w:tab/>
    </w:r>
    <w:r w:rsidR="00720141">
      <w:rPr>
        <w:rFonts w:ascii="Arial" w:hAnsi="Arial" w:cs="Arial"/>
      </w:rPr>
      <w:t>October 2019</w:t>
    </w:r>
  </w:p>
  <w:p w14:paraId="5FC1DA73" w14:textId="77777777" w:rsidR="008E6C9D" w:rsidRDefault="008E6C9D">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B3472">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FDAD4" w14:textId="77777777" w:rsidR="00510099" w:rsidRDefault="00510099">
      <w:r>
        <w:separator/>
      </w:r>
    </w:p>
  </w:footnote>
  <w:footnote w:type="continuationSeparator" w:id="0">
    <w:p w14:paraId="69EB3961" w14:textId="77777777" w:rsidR="00510099" w:rsidRDefault="0051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25D3" w14:textId="77777777" w:rsidR="008E6C9D" w:rsidRDefault="008E6C9D">
    <w:pPr>
      <w:pStyle w:val="Header"/>
    </w:pPr>
    <w:r>
      <w:rPr>
        <w:noProof/>
      </w:rPr>
      <w:object w:dxaOrig="0" w:dyaOrig="0" w14:anchorId="78094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89.85pt;margin-top:-36pt;width:594.6pt;height:840.85pt;z-index:251657728" o:allowoverlap="f">
          <v:imagedata r:id="rId1" o:title=""/>
          <w10:wrap type="square"/>
        </v:shape>
        <o:OLEObject Type="Embed" ProgID="PowerPoint.Slide.8" ShapeID="_x0000_s1028" DrawAspect="Content" ObjectID="_1817281280"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45AA1" w14:textId="77777777" w:rsidR="008E6C9D" w:rsidRDefault="008E6C9D">
    <w:pPr>
      <w:pStyle w:val="Header"/>
      <w:pBdr>
        <w:bottom w:val="single" w:sz="4" w:space="1" w:color="auto"/>
      </w:pBdr>
      <w:jc w:val="right"/>
      <w:rPr>
        <w:rFonts w:ascii="Arial" w:hAnsi="Arial" w:cs="Arial"/>
        <w:b/>
      </w:rPr>
    </w:pPr>
    <w:r>
      <w:rPr>
        <w:rFonts w:ascii="Arial" w:hAnsi="Arial" w:cs="Arial"/>
        <w:b/>
      </w:rPr>
      <w:t>SECTION TWO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0FF62" w14:textId="77777777" w:rsidR="008E6C9D" w:rsidRDefault="008E6C9D">
    <w:pPr>
      <w:pStyle w:val="Header"/>
      <w:pBdr>
        <w:bottom w:val="single" w:sz="4" w:space="1" w:color="auto"/>
      </w:pBdr>
      <w:jc w:val="right"/>
      <w:rPr>
        <w:rFonts w:ascii="Arial" w:hAnsi="Arial" w:cs="Arial"/>
        <w:b/>
      </w:rPr>
    </w:pPr>
    <w:r>
      <w:rPr>
        <w:rFonts w:ascii="Arial" w:hAnsi="Arial" w:cs="Arial"/>
        <w:b/>
      </w:rPr>
      <w:t>SECTION TWO</w:t>
    </w:r>
  </w:p>
  <w:p w14:paraId="62D217FC" w14:textId="77777777" w:rsidR="008E6C9D" w:rsidRDefault="008E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7712"/>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E6DC6"/>
    <w:multiLevelType w:val="hybridMultilevel"/>
    <w:tmpl w:val="F5763F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8CE7F44"/>
    <w:multiLevelType w:val="hybridMultilevel"/>
    <w:tmpl w:val="44E8D0F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935592E"/>
    <w:multiLevelType w:val="hybridMultilevel"/>
    <w:tmpl w:val="18DE79A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0AF160CA"/>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0E2B3D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800988"/>
    <w:multiLevelType w:val="multilevel"/>
    <w:tmpl w:val="B84CC702"/>
    <w:lvl w:ilvl="0">
      <w:start w:val="3"/>
      <w:numFmt w:val="decimal"/>
      <w:lvlText w:val="%1"/>
      <w:lvlJc w:val="left"/>
      <w:pPr>
        <w:tabs>
          <w:tab w:val="num" w:pos="855"/>
        </w:tabs>
        <w:ind w:left="855" w:hanging="855"/>
      </w:pPr>
      <w:rPr>
        <w:rFonts w:hint="default"/>
        <w:sz w:val="28"/>
      </w:rPr>
    </w:lvl>
    <w:lvl w:ilvl="1">
      <w:start w:val="7"/>
      <w:numFmt w:val="decimal"/>
      <w:lvlText w:val="%1.%2"/>
      <w:lvlJc w:val="left"/>
      <w:pPr>
        <w:tabs>
          <w:tab w:val="num" w:pos="855"/>
        </w:tabs>
        <w:ind w:left="855" w:hanging="855"/>
      </w:pPr>
      <w:rPr>
        <w:rFonts w:hint="default"/>
        <w:sz w:val="28"/>
      </w:rPr>
    </w:lvl>
    <w:lvl w:ilvl="2">
      <w:start w:val="1"/>
      <w:numFmt w:val="decimal"/>
      <w:lvlText w:val="%1.%2.%3"/>
      <w:lvlJc w:val="left"/>
      <w:pPr>
        <w:tabs>
          <w:tab w:val="num" w:pos="855"/>
        </w:tabs>
        <w:ind w:left="855" w:hanging="855"/>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8" w15:restartNumberingAfterBreak="0">
    <w:nsid w:val="12E8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F253B9"/>
    <w:multiLevelType w:val="singleLevel"/>
    <w:tmpl w:val="8750B338"/>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18EA6EC1"/>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1A6F457D"/>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7D21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F065D7"/>
    <w:multiLevelType w:val="hybridMultilevel"/>
    <w:tmpl w:val="4932780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2BED5F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171476"/>
    <w:multiLevelType w:val="multilevel"/>
    <w:tmpl w:val="493278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32D25F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EC845E1"/>
    <w:multiLevelType w:val="singleLevel"/>
    <w:tmpl w:val="02C49A34"/>
    <w:lvl w:ilvl="0">
      <w:start w:val="1"/>
      <w:numFmt w:val="lowerRoman"/>
      <w:lvlText w:val="%1)"/>
      <w:lvlJc w:val="left"/>
      <w:pPr>
        <w:tabs>
          <w:tab w:val="num" w:pos="1710"/>
        </w:tabs>
        <w:ind w:left="1710" w:hanging="720"/>
      </w:pPr>
      <w:rPr>
        <w:rFonts w:hint="default"/>
      </w:rPr>
    </w:lvl>
  </w:abstractNum>
  <w:abstractNum w:abstractNumId="18" w15:restartNumberingAfterBreak="0">
    <w:nsid w:val="45337AFB"/>
    <w:multiLevelType w:val="hybridMultilevel"/>
    <w:tmpl w:val="4936FF96"/>
    <w:lvl w:ilvl="0" w:tplc="1E5AB32C">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47927196"/>
    <w:multiLevelType w:val="hybridMultilevel"/>
    <w:tmpl w:val="782CCB9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4898453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741B04"/>
    <w:multiLevelType w:val="hybridMultilevel"/>
    <w:tmpl w:val="1D04A53A"/>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D795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DF06BE"/>
    <w:multiLevelType w:val="multilevel"/>
    <w:tmpl w:val="593600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4C59FE"/>
    <w:multiLevelType w:val="hybridMultilevel"/>
    <w:tmpl w:val="5936003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F1C73D7"/>
    <w:multiLevelType w:val="hybridMultilevel"/>
    <w:tmpl w:val="DAF46C7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5F481817"/>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27" w15:restartNumberingAfterBreak="0">
    <w:nsid w:val="63003194"/>
    <w:multiLevelType w:val="hybridMultilevel"/>
    <w:tmpl w:val="526A2DF6"/>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8" w15:restartNumberingAfterBreak="0">
    <w:nsid w:val="64416E7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BC12AB"/>
    <w:multiLevelType w:val="hybridMultilevel"/>
    <w:tmpl w:val="975E924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67DE069B"/>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31" w15:restartNumberingAfterBreak="0">
    <w:nsid w:val="6A7B30B1"/>
    <w:multiLevelType w:val="hybridMultilevel"/>
    <w:tmpl w:val="02D85F80"/>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15:restartNumberingAfterBreak="0">
    <w:nsid w:val="6C2462E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B3618B9"/>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35" w15:restartNumberingAfterBreak="0">
    <w:nsid w:val="7C9E1E71"/>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num w:numId="1" w16cid:durableId="380717675">
    <w:abstractNumId w:val="33"/>
  </w:num>
  <w:num w:numId="2" w16cid:durableId="1022901695">
    <w:abstractNumId w:val="14"/>
  </w:num>
  <w:num w:numId="3" w16cid:durableId="248150821">
    <w:abstractNumId w:val="12"/>
  </w:num>
  <w:num w:numId="4" w16cid:durableId="126552898">
    <w:abstractNumId w:val="11"/>
  </w:num>
  <w:num w:numId="5" w16cid:durableId="245767458">
    <w:abstractNumId w:val="1"/>
  </w:num>
  <w:num w:numId="6" w16cid:durableId="1558975909">
    <w:abstractNumId w:val="28"/>
  </w:num>
  <w:num w:numId="7" w16cid:durableId="558398398">
    <w:abstractNumId w:val="16"/>
  </w:num>
  <w:num w:numId="8" w16cid:durableId="1999796258">
    <w:abstractNumId w:val="17"/>
  </w:num>
  <w:num w:numId="9" w16cid:durableId="2015953173">
    <w:abstractNumId w:val="8"/>
  </w:num>
  <w:num w:numId="10" w16cid:durableId="1017924292">
    <w:abstractNumId w:val="22"/>
  </w:num>
  <w:num w:numId="11" w16cid:durableId="2030914117">
    <w:abstractNumId w:val="20"/>
  </w:num>
  <w:num w:numId="12" w16cid:durableId="218591317">
    <w:abstractNumId w:val="6"/>
  </w:num>
  <w:num w:numId="13" w16cid:durableId="1181315323">
    <w:abstractNumId w:val="9"/>
  </w:num>
  <w:num w:numId="14" w16cid:durableId="790589382">
    <w:abstractNumId w:val="32"/>
  </w:num>
  <w:num w:numId="15" w16cid:durableId="1285890107">
    <w:abstractNumId w:val="5"/>
  </w:num>
  <w:num w:numId="16" w16cid:durableId="602222941">
    <w:abstractNumId w:val="26"/>
  </w:num>
  <w:num w:numId="17" w16cid:durableId="2015065603">
    <w:abstractNumId w:val="30"/>
  </w:num>
  <w:num w:numId="18" w16cid:durableId="348414714">
    <w:abstractNumId w:val="10"/>
  </w:num>
  <w:num w:numId="19" w16cid:durableId="1771851978">
    <w:abstractNumId w:val="35"/>
  </w:num>
  <w:num w:numId="20" w16cid:durableId="523515842">
    <w:abstractNumId w:val="34"/>
  </w:num>
  <w:num w:numId="21" w16cid:durableId="988365141">
    <w:abstractNumId w:val="7"/>
  </w:num>
  <w:num w:numId="22" w16cid:durableId="348797274">
    <w:abstractNumId w:val="4"/>
  </w:num>
  <w:num w:numId="23" w16cid:durableId="1820994221">
    <w:abstractNumId w:val="29"/>
  </w:num>
  <w:num w:numId="24" w16cid:durableId="1995990423">
    <w:abstractNumId w:val="25"/>
  </w:num>
  <w:num w:numId="25" w16cid:durableId="219901343">
    <w:abstractNumId w:val="3"/>
  </w:num>
  <w:num w:numId="26" w16cid:durableId="848105920">
    <w:abstractNumId w:val="27"/>
  </w:num>
  <w:num w:numId="27" w16cid:durableId="741410934">
    <w:abstractNumId w:val="19"/>
  </w:num>
  <w:num w:numId="28" w16cid:durableId="1218475367">
    <w:abstractNumId w:val="31"/>
  </w:num>
  <w:num w:numId="29" w16cid:durableId="834227699">
    <w:abstractNumId w:val="21"/>
  </w:num>
  <w:num w:numId="30" w16cid:durableId="489953681">
    <w:abstractNumId w:val="13"/>
  </w:num>
  <w:num w:numId="31" w16cid:durableId="320813542">
    <w:abstractNumId w:val="15"/>
  </w:num>
  <w:num w:numId="32" w16cid:durableId="1609317954">
    <w:abstractNumId w:val="24"/>
  </w:num>
  <w:num w:numId="33" w16cid:durableId="1002201611">
    <w:abstractNumId w:val="23"/>
  </w:num>
  <w:num w:numId="34" w16cid:durableId="2143620979">
    <w:abstractNumId w:val="18"/>
  </w:num>
  <w:num w:numId="35" w16cid:durableId="17174656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16cid:durableId="1396926326">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removePersonalInformation/>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2F0"/>
    <w:rsid w:val="000A1355"/>
    <w:rsid w:val="000A750C"/>
    <w:rsid w:val="000B38D7"/>
    <w:rsid w:val="000D32B5"/>
    <w:rsid w:val="00192608"/>
    <w:rsid w:val="001B26BF"/>
    <w:rsid w:val="001F7153"/>
    <w:rsid w:val="00215678"/>
    <w:rsid w:val="00261E88"/>
    <w:rsid w:val="002F5E10"/>
    <w:rsid w:val="0031528E"/>
    <w:rsid w:val="0033495B"/>
    <w:rsid w:val="004362A2"/>
    <w:rsid w:val="00443EBE"/>
    <w:rsid w:val="00452AE8"/>
    <w:rsid w:val="004577FF"/>
    <w:rsid w:val="004770B3"/>
    <w:rsid w:val="00480EA4"/>
    <w:rsid w:val="0049237B"/>
    <w:rsid w:val="00493658"/>
    <w:rsid w:val="004B601D"/>
    <w:rsid w:val="004C412B"/>
    <w:rsid w:val="004C52F0"/>
    <w:rsid w:val="004F018F"/>
    <w:rsid w:val="004F3A98"/>
    <w:rsid w:val="004F7C70"/>
    <w:rsid w:val="00510099"/>
    <w:rsid w:val="005653B1"/>
    <w:rsid w:val="005B5258"/>
    <w:rsid w:val="005E326A"/>
    <w:rsid w:val="00627011"/>
    <w:rsid w:val="00631513"/>
    <w:rsid w:val="006512A1"/>
    <w:rsid w:val="00697D9F"/>
    <w:rsid w:val="006A783F"/>
    <w:rsid w:val="006B4B8F"/>
    <w:rsid w:val="006D4127"/>
    <w:rsid w:val="00720141"/>
    <w:rsid w:val="00803749"/>
    <w:rsid w:val="00823E20"/>
    <w:rsid w:val="00824E46"/>
    <w:rsid w:val="0086091E"/>
    <w:rsid w:val="00871C26"/>
    <w:rsid w:val="008D5683"/>
    <w:rsid w:val="008E6C9D"/>
    <w:rsid w:val="008F5AB1"/>
    <w:rsid w:val="0091152F"/>
    <w:rsid w:val="0091636F"/>
    <w:rsid w:val="009167AF"/>
    <w:rsid w:val="00966689"/>
    <w:rsid w:val="009C6C0C"/>
    <w:rsid w:val="00A22149"/>
    <w:rsid w:val="00A42BFF"/>
    <w:rsid w:val="00A541BA"/>
    <w:rsid w:val="00A575C5"/>
    <w:rsid w:val="00A60B01"/>
    <w:rsid w:val="00AA1737"/>
    <w:rsid w:val="00AD00A7"/>
    <w:rsid w:val="00BE0937"/>
    <w:rsid w:val="00C828AB"/>
    <w:rsid w:val="00CA13E4"/>
    <w:rsid w:val="00CB3472"/>
    <w:rsid w:val="00CE5D53"/>
    <w:rsid w:val="00D47C68"/>
    <w:rsid w:val="00D66FC6"/>
    <w:rsid w:val="00E06AB1"/>
    <w:rsid w:val="00E31DFB"/>
    <w:rsid w:val="00E544C7"/>
    <w:rsid w:val="00EA4665"/>
    <w:rsid w:val="00F11702"/>
    <w:rsid w:val="00F15C25"/>
    <w:rsid w:val="00F50CDD"/>
    <w:rsid w:val="00F521FE"/>
    <w:rsid w:val="00F96664"/>
    <w:rsid w:val="00FC0F1D"/>
    <w:rsid w:val="00FD46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F7A80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keepLines/>
      <w:ind w:right="1047"/>
      <w:jc w:val="both"/>
      <w:outlineLvl w:val="0"/>
    </w:pPr>
    <w:rPr>
      <w:b/>
      <w:sz w:val="24"/>
    </w:rPr>
  </w:style>
  <w:style w:type="paragraph" w:styleId="Heading2">
    <w:name w:val="heading 2"/>
    <w:basedOn w:val="Normal"/>
    <w:next w:val="Normal"/>
    <w:link w:val="Heading2Char"/>
    <w:qFormat/>
    <w:pPr>
      <w:keepNext/>
      <w:outlineLvl w:val="1"/>
    </w:pPr>
    <w:rPr>
      <w:b/>
      <w:sz w:val="28"/>
    </w:rPr>
  </w:style>
  <w:style w:type="paragraph" w:styleId="Heading3">
    <w:name w:val="heading 3"/>
    <w:basedOn w:val="Normal"/>
    <w:next w:val="Normal"/>
    <w:qFormat/>
    <w:pPr>
      <w:keepNext/>
      <w:outlineLvl w:val="2"/>
    </w:pPr>
    <w:rPr>
      <w:b/>
      <w:sz w:val="24"/>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ind w:right="1047"/>
      <w:jc w:val="both"/>
    </w:pPr>
    <w:rPr>
      <w:vanish/>
      <w:sz w:val="24"/>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pPr>
      <w:keepLines/>
      <w:ind w:right="1047"/>
      <w:jc w:val="both"/>
    </w:pPr>
    <w:rPr>
      <w:b/>
      <w:sz w:val="24"/>
    </w:rPr>
  </w:style>
  <w:style w:type="paragraph" w:styleId="BodyTextIndent">
    <w:name w:val="Body Text Indent"/>
    <w:basedOn w:val="Normal"/>
    <w:pPr>
      <w:ind w:left="2160" w:hanging="1440"/>
    </w:pPr>
    <w:rPr>
      <w:sz w:val="28"/>
    </w:rPr>
  </w:style>
  <w:style w:type="paragraph" w:styleId="Title">
    <w:name w:val="Title"/>
    <w:basedOn w:val="Normal"/>
    <w:qFormat/>
    <w:pPr>
      <w:keepLines/>
      <w:tabs>
        <w:tab w:val="left" w:pos="993"/>
      </w:tabs>
      <w:ind w:right="197"/>
      <w:jc w:val="center"/>
    </w:pPr>
    <w:rPr>
      <w:b/>
      <w:sz w:val="60"/>
    </w:rPr>
  </w:style>
  <w:style w:type="paragraph" w:styleId="BodyText2">
    <w:name w:val="Body Text 2"/>
    <w:basedOn w:val="Normal"/>
    <w:pPr>
      <w:keepLines/>
      <w:tabs>
        <w:tab w:val="left" w:pos="993"/>
      </w:tabs>
      <w:ind w:right="197"/>
      <w:jc w:val="center"/>
    </w:pPr>
    <w:rPr>
      <w:b/>
      <w:sz w:val="72"/>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1">
    <w:name w:val="toc 1"/>
    <w:basedOn w:val="Normal"/>
    <w:next w:val="Normal"/>
    <w:autoRedefine/>
    <w:semiHidden/>
    <w:pPr>
      <w:spacing w:before="120"/>
    </w:pPr>
    <w:rPr>
      <w:b/>
      <w:i/>
      <w:sz w:val="24"/>
    </w:rPr>
  </w:style>
  <w:style w:type="paragraph" w:styleId="TOC2">
    <w:name w:val="toc 2"/>
    <w:basedOn w:val="Normal"/>
    <w:next w:val="Normal"/>
    <w:autoRedefine/>
    <w:uiPriority w:val="39"/>
    <w:pPr>
      <w:tabs>
        <w:tab w:val="right" w:pos="9214"/>
      </w:tabs>
      <w:spacing w:before="120"/>
      <w:ind w:left="200"/>
    </w:pPr>
    <w:rPr>
      <w:rFonts w:ascii="Arial" w:hAnsi="Arial"/>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CommentTextChar">
    <w:name w:val="Comment Text Char"/>
    <w:link w:val="CommentText"/>
    <w:semiHidden/>
    <w:locked/>
    <w:rPr>
      <w:lang w:val="en-AU" w:eastAsia="en-AU" w:bidi="ar-SA"/>
    </w:rPr>
  </w:style>
  <w:style w:type="character" w:customStyle="1" w:styleId="Heading2Char">
    <w:name w:val="Heading 2 Char"/>
    <w:link w:val="Heading2"/>
    <w:semiHidden/>
    <w:locked/>
    <w:rPr>
      <w:b/>
      <w:sz w:val="28"/>
      <w:lang w:val="en-AU" w:eastAsia="en-AU" w:bidi="ar-SA"/>
    </w:rPr>
  </w:style>
  <w:style w:type="character" w:customStyle="1" w:styleId="BodyTextChar">
    <w:name w:val="Body Text Char"/>
    <w:link w:val="BodyText"/>
    <w:semiHidden/>
    <w:locked/>
    <w:rPr>
      <w:vanish/>
      <w:sz w:val="24"/>
      <w:lang w:val="en-AU" w:eastAsia="en-AU" w:bidi="ar-SA"/>
    </w:rPr>
  </w:style>
  <w:style w:type="paragraph" w:styleId="PlainText">
    <w:name w:val="Plain Text"/>
    <w:basedOn w:val="Normal"/>
    <w:rPr>
      <w:rFonts w:ascii="Courier New" w:hAnsi="Courier New"/>
      <w:sz w:val="24"/>
    </w:rPr>
  </w:style>
  <w:style w:type="character" w:customStyle="1" w:styleId="FooterChar">
    <w:name w:val="Footer Char"/>
    <w:link w:val="Footer"/>
    <w:semiHidden/>
    <w:locked/>
    <w:rPr>
      <w:lang w:val="en-AU" w:eastAsia="en-AU" w:bidi="ar-SA"/>
    </w:rPr>
  </w:style>
  <w:style w:type="character" w:styleId="FollowedHyperlink">
    <w:name w:val="FollowedHyperlink"/>
    <w:rPr>
      <w:color w:val="800080"/>
      <w:u w:val="single"/>
    </w:rPr>
  </w:style>
  <w:style w:type="paragraph" w:styleId="ListParagraph">
    <w:name w:val="List Paragraph"/>
    <w:basedOn w:val="Normal"/>
    <w:uiPriority w:val="34"/>
    <w:qFormat/>
    <w:rsid w:val="006270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586431">
      <w:bodyDiv w:val="1"/>
      <w:marLeft w:val="0"/>
      <w:marRight w:val="0"/>
      <w:marTop w:val="0"/>
      <w:marBottom w:val="0"/>
      <w:divBdr>
        <w:top w:val="none" w:sz="0" w:space="0" w:color="auto"/>
        <w:left w:val="none" w:sz="0" w:space="0" w:color="auto"/>
        <w:bottom w:val="none" w:sz="0" w:space="0" w:color="auto"/>
        <w:right w:val="none" w:sz="0" w:space="0" w:color="auto"/>
      </w:divBdr>
    </w:div>
    <w:div w:id="192205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dva.gov.au/providers/provider-programmes/rehabilitation-appliances-program-ra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Notes for Allied Health Provders - Section 2k</vt:lpstr>
    </vt:vector>
  </TitlesOfParts>
  <LinksUpToDate>false</LinksUpToDate>
  <CharactersWithSpaces>8424</CharactersWithSpaces>
  <SharedDoc>false</SharedDoc>
  <HLinks>
    <vt:vector size="6" baseType="variant">
      <vt:variant>
        <vt:i4>1048641</vt:i4>
      </vt:variant>
      <vt:variant>
        <vt:i4>39</vt:i4>
      </vt:variant>
      <vt:variant>
        <vt:i4>0</vt:i4>
      </vt:variant>
      <vt:variant>
        <vt:i4>5</vt:i4>
      </vt:variant>
      <vt:variant>
        <vt:lpwstr>http://www.dva.gov.au/providers/provider-programmes/rehabilitation-appliances-program-rap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Allied Health Provders - Section 2k</dc:title>
  <dc:subject/>
  <dc:creator/>
  <cp:keywords/>
  <cp:lastModifiedBy/>
  <cp:revision>1</cp:revision>
  <cp:lastPrinted>2011-12-23T01:04:00Z</cp:lastPrinted>
  <dcterms:created xsi:type="dcterms:W3CDTF">2025-08-21T01:34:00Z</dcterms:created>
  <dcterms:modified xsi:type="dcterms:W3CDTF">2025-08-21T01:34:00Z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ies>
</file>