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137676897"/>
        <w:docPartObj>
          <w:docPartGallery w:val="Cover Pages"/>
          <w:docPartUnique/>
        </w:docPartObj>
      </w:sdtPr>
      <w:sdtEndPr>
        <w:rPr>
          <w:color w:val="404040" w:themeColor="text1" w:themeTint="BF"/>
          <w:sz w:val="36"/>
          <w:szCs w:val="36"/>
        </w:rPr>
      </w:sdtEndPr>
      <w:sdtContent>
        <w:p w14:paraId="426E533A" w14:textId="77777777" w:rsidR="003700D4" w:rsidRDefault="003700D4">
          <w:r>
            <w:rPr>
              <w:noProof/>
              <w:lang w:eastAsia="en-AU"/>
            </w:rPr>
            <mc:AlternateContent>
              <mc:Choice Requires="wps">
                <w:drawing>
                  <wp:anchor distT="0" distB="0" distL="114300" distR="114300" simplePos="0" relativeHeight="251660288" behindDoc="0" locked="0" layoutInCell="1" allowOverlap="1" wp14:anchorId="5E367FA9" wp14:editId="6BCC63A3">
                    <wp:simplePos x="0" y="0"/>
                    <wp:positionH relativeFrom="margin">
                      <wp:align>right</wp:align>
                    </wp:positionH>
                    <wp:positionV relativeFrom="page">
                      <wp:posOffset>249382</wp:posOffset>
                    </wp:positionV>
                    <wp:extent cx="467665" cy="987425"/>
                    <wp:effectExtent l="0" t="0" r="889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766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CD693" w14:textId="77777777" w:rsidR="000F230F" w:rsidRDefault="000F230F" w:rsidP="00E43847">
                                <w:pPr>
                                  <w:pStyle w:val="NoSpacing"/>
                                  <w:jc w:val="center"/>
                                  <w:rPr>
                                    <w:color w:val="FFFFFF" w:themeColor="background1"/>
                                    <w:sz w:val="24"/>
                                    <w:szCs w:val="24"/>
                                  </w:rPr>
                                </w:pPr>
                                <w:r>
                                  <w:rPr>
                                    <w:color w:val="FFFFFF" w:themeColor="background1"/>
                                    <w:sz w:val="24"/>
                                    <w:szCs w:val="24"/>
                                  </w:rPr>
                                  <w:t>OCT</w:t>
                                </w:r>
                              </w:p>
                              <w:p w14:paraId="54E0749B" w14:textId="77777777" w:rsidR="000F230F" w:rsidRDefault="000F230F" w:rsidP="00E43847">
                                <w:pPr>
                                  <w:pStyle w:val="NoSpacing"/>
                                  <w:jc w:val="center"/>
                                  <w:rPr>
                                    <w:color w:val="FFFFFF" w:themeColor="background1"/>
                                    <w:sz w:val="24"/>
                                    <w:szCs w:val="24"/>
                                  </w:rPr>
                                </w:pPr>
                                <w:r>
                                  <w:rPr>
                                    <w:color w:val="FFFFFF" w:themeColor="background1"/>
                                    <w:sz w:val="24"/>
                                    <w:szCs w:val="24"/>
                                  </w:rPr>
                                  <w:t>201</w:t>
                                </w:r>
                                <w:r w:rsidR="00F00B6A">
                                  <w:rPr>
                                    <w:color w:val="FFFFFF" w:themeColor="background1"/>
                                    <w:sz w:val="24"/>
                                    <w:szCs w:val="24"/>
                                  </w:rPr>
                                  <w:t>9</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5E367FA9" id="Rectangle 130" o:spid="_x0000_s1026" style="position:absolute;margin-left:-14.4pt;margin-top:19.65pt;width:36.8pt;height:77.75pt;z-index:251660288;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9fmAIAAIkFAAAOAAAAZHJzL2Uyb0RvYy54bWysVN9v2yAQfp+0/wHxvjrJmrSz6lRRqk6T&#10;ojZqO/WZYIitYY4BiZ399TvAcbO22sM0HhBwd9/94Lu7uu4aRfbCuhp0QcdnI0qE5lDWelvQ70+3&#10;ny4pcZ7pkinQoqAH4ej1/OOHq9bkYgIVqFJYgiDa5a0paOW9ybPM8Uo0zJ2BERqFEmzDPF7tNist&#10;axG9UdlkNJplLdjSWODCOXy9SUI6j/hSCu7vpXTCE1VQjM3H3cZ9E/ZsfsXyrWWmqnkfBvuHKBpW&#10;a3Q6QN0wz8jO1m+gmppbcCD9GYcmAylrLmIOmM149Cqbx4oZEXPB4jgzlMn9P1h+t19bUpf4d5+x&#10;Ppo1+EkPWDamt0qQ8Iglao3LUfPRrG1I0pkV8B+OaFhWqCcWzqAFQgTd7A/lcHG9WSdtE8wxa9LF&#10;LzgMXyA6Tzg+ns8uZrMpJRxFXy4vzifTiMnyo7Gxzn8V0JBwKKhFx7HwbL9yPrhn+VEl+FI67Bpu&#10;a6WSNLzEGFNYMUB/UCJpPwiJ1cBAJhE18lAslSV7hgxinAvtx0lUsVKk5+kIVx/nYBFDURoBA7JE&#10;/wN2DxA4/hY7RdnrB1MRaTwYj/4WWDIeLKJn0H4wbmoN9j0AhVn1npP+sUipNKFKvtt0qBKOGygP&#10;SBsLqZ+c4bc1fseKOb9mFhsIqYRDwd/jJhW0BYX+REkF9td770EfeY1SSlpsyIK6nztmBSXqm0bG&#10;n08vJqGDTy/29LI5vehdswT8sTGOH8PjEY2tV8ejtNA84+xYBK8oYpqj74JujselT2MCZw8Xi0VU&#10;wp41zK/0o+EBOpQ3kO2pe2bW9Iz0SOU7OLYuy18RM+kGSw2LnQdZR9a+VLUvPPZ7ZFA/m8JAOb1H&#10;rZcJOv8NAAD//wMAUEsDBBQABgAIAAAAIQDHfEBu3AAAAAYBAAAPAAAAZHJzL2Rvd25yZXYueG1s&#10;TI/BTsMwEETvSPyDtUjcqAOB0oRsKlRAQuJE4cDRiZckqr2OYrcNfD3LCY6jGc28qdazd+pAUxwC&#10;I1wuMlDEbbADdwjvb08XK1AxGbbGBSaEL4qwrk9PKlPacORXOmxTp6SEY2kQ+pTGUuvY9uRNXISR&#10;WLzPMHmTRE6dtpM5Srl3+irLltqbgWWhNyNtemp3271H0K7dNTfPTSgevx9S9sIf+aYLiOdn8/0d&#10;qERz+gvDL76gQy1MTdizjcohyJGEkBc5KHFv8yWoRlLF9Qp0Xen/+PUPAAAA//8DAFBLAQItABQA&#10;BgAIAAAAIQC2gziS/gAAAOEBAAATAAAAAAAAAAAAAAAAAAAAAABbQ29udGVudF9UeXBlc10ueG1s&#10;UEsBAi0AFAAGAAgAAAAhADj9If/WAAAAlAEAAAsAAAAAAAAAAAAAAAAALwEAAF9yZWxzLy5yZWxz&#10;UEsBAi0AFAAGAAgAAAAhAACzv1+YAgAAiQUAAA4AAAAAAAAAAAAAAAAALgIAAGRycy9lMm9Eb2Mu&#10;eG1sUEsBAi0AFAAGAAgAAAAhAMd8QG7cAAAABgEAAA8AAAAAAAAAAAAAAAAA8gQAAGRycy9kb3du&#10;cmV2LnhtbFBLBQYAAAAABAAEAPMAAAD7BQAAAAA=&#10;" fillcolor="#5b9bd5 [3204]" stroked="f" strokeweight="1pt">
                    <v:path arrowok="t"/>
                    <o:lock v:ext="edit" aspectratio="t"/>
                    <v:textbox inset="3.6pt,,3.6pt">
                      <w:txbxContent>
                        <w:p w14:paraId="0D9CD693" w14:textId="77777777" w:rsidR="000F230F" w:rsidRDefault="000F230F" w:rsidP="00E43847">
                          <w:pPr>
                            <w:pStyle w:val="NoSpacing"/>
                            <w:jc w:val="center"/>
                            <w:rPr>
                              <w:color w:val="FFFFFF" w:themeColor="background1"/>
                              <w:sz w:val="24"/>
                              <w:szCs w:val="24"/>
                            </w:rPr>
                          </w:pPr>
                          <w:r>
                            <w:rPr>
                              <w:color w:val="FFFFFF" w:themeColor="background1"/>
                              <w:sz w:val="24"/>
                              <w:szCs w:val="24"/>
                            </w:rPr>
                            <w:t>OCT</w:t>
                          </w:r>
                        </w:p>
                        <w:p w14:paraId="54E0749B" w14:textId="77777777" w:rsidR="000F230F" w:rsidRDefault="000F230F" w:rsidP="00E43847">
                          <w:pPr>
                            <w:pStyle w:val="NoSpacing"/>
                            <w:jc w:val="center"/>
                            <w:rPr>
                              <w:color w:val="FFFFFF" w:themeColor="background1"/>
                              <w:sz w:val="24"/>
                              <w:szCs w:val="24"/>
                            </w:rPr>
                          </w:pPr>
                          <w:r>
                            <w:rPr>
                              <w:color w:val="FFFFFF" w:themeColor="background1"/>
                              <w:sz w:val="24"/>
                              <w:szCs w:val="24"/>
                            </w:rPr>
                            <w:t>201</w:t>
                          </w:r>
                          <w:r w:rsidR="00F00B6A">
                            <w:rPr>
                              <w:color w:val="FFFFFF" w:themeColor="background1"/>
                              <w:sz w:val="24"/>
                              <w:szCs w:val="24"/>
                            </w:rPr>
                            <w:t>9</w:t>
                          </w:r>
                        </w:p>
                      </w:txbxContent>
                    </v:textbox>
                    <w10:wrap anchorx="margin" anchory="page"/>
                  </v:rect>
                </w:pict>
              </mc:Fallback>
            </mc:AlternateContent>
          </w:r>
          <w:r>
            <w:rPr>
              <w:noProof/>
              <w:lang w:eastAsia="en-AU"/>
            </w:rPr>
            <mc:AlternateContent>
              <mc:Choice Requires="wpg">
                <w:drawing>
                  <wp:anchor distT="0" distB="0" distL="114300" distR="114300" simplePos="0" relativeHeight="251659264" behindDoc="1" locked="0" layoutInCell="1" allowOverlap="1" wp14:anchorId="1B175DFA" wp14:editId="6A7CF9BD">
                    <wp:simplePos x="0" y="0"/>
                    <wp:positionH relativeFrom="margin">
                      <wp:posOffset>-439387</wp:posOffset>
                    </wp:positionH>
                    <wp:positionV relativeFrom="page">
                      <wp:posOffset>486888</wp:posOffset>
                    </wp:positionV>
                    <wp:extent cx="6858000" cy="5973289"/>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5973289"/>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A82FEC4" w14:textId="77777777" w:rsidR="000F230F" w:rsidRDefault="000F230F">
                                  <w:pPr>
                                    <w:rPr>
                                      <w:color w:val="FFFFFF" w:themeColor="background1"/>
                                      <w:sz w:val="72"/>
                                      <w:szCs w:val="72"/>
                                    </w:rPr>
                                  </w:pPr>
                                  <w:r>
                                    <w:rPr>
                                      <w:color w:val="FFFFFF" w:themeColor="background1"/>
                                      <w:sz w:val="72"/>
                                      <w:szCs w:val="72"/>
                                    </w:rPr>
                                    <w:t>201</w:t>
                                  </w:r>
                                  <w:r w:rsidR="003441F5">
                                    <w:rPr>
                                      <w:color w:val="FFFFFF" w:themeColor="background1"/>
                                      <w:sz w:val="72"/>
                                      <w:szCs w:val="72"/>
                                    </w:rPr>
                                    <w:t>8</w:t>
                                  </w:r>
                                  <w:r>
                                    <w:rPr>
                                      <w:color w:val="FFFFFF" w:themeColor="background1"/>
                                      <w:sz w:val="72"/>
                                      <w:szCs w:val="72"/>
                                    </w:rPr>
                                    <w:t>-1</w:t>
                                  </w:r>
                                  <w:r w:rsidR="003441F5">
                                    <w:rPr>
                                      <w:color w:val="FFFFFF" w:themeColor="background1"/>
                                      <w:sz w:val="72"/>
                                      <w:szCs w:val="72"/>
                                    </w:rPr>
                                    <w:t>9</w:t>
                                  </w:r>
                                  <w:r>
                                    <w:rPr>
                                      <w:color w:val="FFFFFF" w:themeColor="background1"/>
                                      <w:sz w:val="72"/>
                                      <w:szCs w:val="72"/>
                                    </w:rPr>
                                    <w:t xml:space="preserve"> Assessment under the Regulator Performance Framework</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1B175DFA" id="Group 125" o:spid="_x0000_s1027" style="position:absolute;margin-left:-34.6pt;margin-top:38.35pt;width:540pt;height:470.35pt;z-index:-251657216;mso-width-percent:1154;mso-position-horizontal-relative:margin;mso-position-vertical-relative:page;mso-width-percent:1154;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Xo6wUAAL0UAAAOAAAAZHJzL2Uyb0RvYy54bWzsWNtu4zYQfS/QfyD0WCBrSdbFMtZZ7C2L&#10;Att20U0/gJaoS1cWVUqOnS36750ZUrKkKLGbLvrUF4ekhodz48wJX7467kp2J1RTyGpjOS9si4kq&#10;lklRZRvrt9ubq5XFmpZXCS9lJTbWvWisV9fff/fyUK+FK3NZJkIxAKma9aHeWHnb1uvFoolzsePN&#10;C1mLCj6mUu14C1OVLRLFD4C+KxeubQeLg1RJrWQsmgZW3+mP1jXhp6mI21/StBEtKzcW6NbSr6Lf&#10;Lf4url/ydaZ4nRexUYM/Q4sdLyo4tId6x1vO9qp4ALUrYiUbmbYvYrlbyDQtYkE2gDWOPbHmg5L7&#10;mmzJ1oes7t0Erp346dmw8c93nxQrEoid61us4jsIEp3LcAHcc6izNUh9UPXn+pPSNsLwo4y/NKyS&#10;b3NeZeJ1U4OrAQR3LKZbcJ6d9h9TtUMcsJ4dKRT3fSjEsWUxLAYrf2XbELEYvvlRuHRXkQ5WnENE&#10;H+yL8/dmp+8HznLZ7fRsz1uRHQu+1geTer06hxoSrzn5tvl3vv2c81pQyBr0Wu/boPPtjRIC05k5&#10;lHx4PMh1rm20X7UTB19QrAH3s+3hJ5lAiPi+lZRwlzjT9/3Qd59wCV/H+6b9ICTFhd99bFp9MRIY&#10;UcgTkxq3gJLuSrgjPyyYzQ4sBFwj24k4I5GchRDHiYg7EplFWQ5EAs9jszjeQMhxlvP6QF73KgeB&#10;P48EAeqFwKZ5pHAg9KhOUPHOI0UDocAJ53WCFLkAyrnA384FDneGHrdPGsHFybo84HmXGvGxMrkB&#10;IwY1AK8wpkotG7ydmChwdW91RYAEO1b49RFhUA+Fl1Q+zglD0FG4u9VPI0NcUTi8CBlCh8JUacDs&#10;p5ExOigN/sf7elbc2AhuHojrbcaTCmrotFEpi0Gj2uIe8C1vMQDdkB02Ft4/lsNfuGS4vpN34laS&#10;RDupknDW6Wu83xbxG/H1oSwktjltAPDUItowQhvPaoJxIbvAW4FvaoFeDbRTAn81PBJushYO+hif&#10;xwdgOkBXe/AVHeuFOgH6GqSXyWuojrb1Igv6PQ4lU3fCZcv/6ISRizr8xxcvwtbeGYE8vTRBhSlm&#10;HyV6n4Ykc2ocJV3xSt4UZalzHFeg3+rmhVwCRu19KTA/y+pXkQL1IAqAC02ssu3bUjHNz6iiYPKT&#10;0nAUbUDBFPD7vY5tLynziTMK3H/Hge0lX1xz0Yw47hRECfu9+sqcO7ffRGfLqu337/jvUtEpA8tw&#10;2B63R82q8CuubGVyD/1bSU1BgTLDIJfqq8UOQD83VvPHnithsfLHCjhI5Hge0p+WZo4dhe4Kpmo8&#10;3Y6nvIoBEasFFGQcvm21K/e1KrKc+BnaUMnXQB/SAps8RUcrZybAhrTK/wEtgoaqKeeJFlE1RY99&#10;S1q0CoMluhOuPFSEKFxREYZ8MKTRA75p96TRjiK7qzwdv3oWQQrsEIgE/OrqlvUsatqyg2AqAYWx&#10;ZxFOGMzDDDu2jyTiIc6QISGrmVFmyI+81SzKkB25vjOPM2JHwSzOkBs96pwhN3LnrRoxo0eBHjAj&#10;7R4oJf8TmhnGNk9osMb3XO85DAUzDhkKOB+Lz4mCGAqAn+FedlX+9H2ORnimzY85Sne3/VFnhmtD&#10;yHqVetWQ88zBQ6EdbOlavGcWTdHQeptqQsTlImywH+2cUB3fMCBTADQ2XDGS7fN1rOt4prcsAZf4&#10;zwjIw6aBh45WKSKw6vas+Cy96raMCMT5xYljYHqWRDSyLBJkEJgsk56+zRzKIV7WOddtHkKv/70E&#10;7F6aWMoIaJ6aUAMwhBpbAb3Y/Bk5rme/caOrm2AVXnk3nn8VhfbqynaiN1Fge5H37uYv1MPx1nmR&#10;JKL6WFSiez1yvMteEMw7ln73ofcjpPORD68uZPnIDYYYEbFBg08mD8XguahKoKfzdS548t6MW16U&#10;erwYa0xeArO7v+SICVt7Dm3pWIvnE3fVnIUIDfwvQ4zFfPmGfIUedeCNjGwx73n4CDecw3j46nj9&#10;NwAAAP//AwBQSwMEFAAGAAgAAAAhAJTb+pXiAAAADAEAAA8AAABkcnMvZG93bnJldi54bWxMj7Fu&#10;wjAQhnekvoN1lbogsEE0btM4CFViqNQODTCwmfhIosbnKDYkffuaLu12p/v03/dn69G27Iq9bxwp&#10;WMwFMKTSmYYqBfvddvYEzAdNRreOUME3eljnd5NMp8YN9InXIlQshpBPtYI6hC7l3Jc1Wu3nrkOK&#10;t7PrrQ5x7Stuej3EcNvypRAJt7qh+KHWHb7WWH4VF6vgTcpCTvdm8/7BD8N2JY7V4fyo1MP9uHkB&#10;FnAMfzDc9KM65NHp5C5kPGsVzJLnZUQVyEQCuwFiIWKZ0+8kV8DzjP8vkf8AAAD//wMAUEsBAi0A&#10;FAAGAAgAAAAhALaDOJL+AAAA4QEAABMAAAAAAAAAAAAAAAAAAAAAAFtDb250ZW50X1R5cGVzXS54&#10;bWxQSwECLQAUAAYACAAAACEAOP0h/9YAAACUAQAACwAAAAAAAAAAAAAAAAAvAQAAX3JlbHMvLnJl&#10;bHNQSwECLQAUAAYACAAAACEAxup16OsFAAC9FAAADgAAAAAAAAAAAAAAAAAuAgAAZHJzL2Uyb0Rv&#10;Yy54bWxQSwECLQAUAAYACAAAACEAlNv6leIAAAAMAQAADwAAAAAAAAAAAAAAAABFCAAAZHJzL2Rv&#10;d25yZXYueG1sUEsFBgAAAAAEAAQA8wAAAFQJ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A82FEC4" w14:textId="77777777" w:rsidR="000F230F" w:rsidRDefault="000F230F">
                            <w:pPr>
                              <w:rPr>
                                <w:color w:val="FFFFFF" w:themeColor="background1"/>
                                <w:sz w:val="72"/>
                                <w:szCs w:val="72"/>
                              </w:rPr>
                            </w:pPr>
                            <w:r>
                              <w:rPr>
                                <w:color w:val="FFFFFF" w:themeColor="background1"/>
                                <w:sz w:val="72"/>
                                <w:szCs w:val="72"/>
                              </w:rPr>
                              <w:t>201</w:t>
                            </w:r>
                            <w:r w:rsidR="003441F5">
                              <w:rPr>
                                <w:color w:val="FFFFFF" w:themeColor="background1"/>
                                <w:sz w:val="72"/>
                                <w:szCs w:val="72"/>
                              </w:rPr>
                              <w:t>8</w:t>
                            </w:r>
                            <w:r>
                              <w:rPr>
                                <w:color w:val="FFFFFF" w:themeColor="background1"/>
                                <w:sz w:val="72"/>
                                <w:szCs w:val="72"/>
                              </w:rPr>
                              <w:t>-1</w:t>
                            </w:r>
                            <w:r w:rsidR="003441F5">
                              <w:rPr>
                                <w:color w:val="FFFFFF" w:themeColor="background1"/>
                                <w:sz w:val="72"/>
                                <w:szCs w:val="72"/>
                              </w:rPr>
                              <w:t>9</w:t>
                            </w:r>
                            <w:r>
                              <w:rPr>
                                <w:color w:val="FFFFFF" w:themeColor="background1"/>
                                <w:sz w:val="72"/>
                                <w:szCs w:val="72"/>
                              </w:rPr>
                              <w:t xml:space="preserve"> Assessment under the Regulator Performance Framework</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1D7BAFE4" w14:textId="77777777" w:rsidR="003700D4" w:rsidRDefault="000A62AD">
          <w:pPr>
            <w:rPr>
              <w:color w:val="404040" w:themeColor="text1" w:themeTint="BF"/>
              <w:sz w:val="36"/>
              <w:szCs w:val="36"/>
            </w:rPr>
          </w:pPr>
          <w:r>
            <w:rPr>
              <w:noProof/>
              <w:lang w:eastAsia="en-AU"/>
            </w:rPr>
            <mc:AlternateContent>
              <mc:Choice Requires="wps">
                <w:drawing>
                  <wp:anchor distT="0" distB="0" distL="114300" distR="114300" simplePos="0" relativeHeight="251661312" behindDoc="0" locked="0" layoutInCell="1" allowOverlap="1" wp14:anchorId="5785B128" wp14:editId="3EEA4225">
                    <wp:simplePos x="0" y="0"/>
                    <wp:positionH relativeFrom="page">
                      <wp:posOffset>473075</wp:posOffset>
                    </wp:positionH>
                    <wp:positionV relativeFrom="page">
                      <wp:posOffset>6463475</wp:posOffset>
                    </wp:positionV>
                    <wp:extent cx="5753100" cy="484505"/>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14:paraId="6709915B" w14:textId="77777777" w:rsidR="000F230F" w:rsidRDefault="000F230F">
                                    <w:pPr>
                                      <w:pStyle w:val="TOCHeading"/>
                                    </w:pPr>
                                    <w:r>
                                      <w:t>Contents</w:t>
                                    </w:r>
                                  </w:p>
                                  <w:p w14:paraId="5070AA62" w14:textId="7D33BB10" w:rsidR="00394583" w:rsidRDefault="000F230F">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9696321" w:history="1">
                                      <w:r w:rsidR="00394583" w:rsidRPr="00F65BFD">
                                        <w:rPr>
                                          <w:rStyle w:val="Hyperlink"/>
                                          <w:noProof/>
                                        </w:rPr>
                                        <w:t>Introduction</w:t>
                                      </w:r>
                                      <w:r w:rsidR="00394583">
                                        <w:rPr>
                                          <w:noProof/>
                                          <w:webHidden/>
                                        </w:rPr>
                                        <w:tab/>
                                      </w:r>
                                      <w:r w:rsidR="00394583">
                                        <w:rPr>
                                          <w:noProof/>
                                          <w:webHidden/>
                                        </w:rPr>
                                        <w:fldChar w:fldCharType="begin"/>
                                      </w:r>
                                      <w:r w:rsidR="00394583">
                                        <w:rPr>
                                          <w:noProof/>
                                          <w:webHidden/>
                                        </w:rPr>
                                        <w:instrText xml:space="preserve"> PAGEREF _Toc19696321 \h </w:instrText>
                                      </w:r>
                                      <w:r w:rsidR="00394583">
                                        <w:rPr>
                                          <w:noProof/>
                                          <w:webHidden/>
                                        </w:rPr>
                                      </w:r>
                                      <w:r w:rsidR="00394583">
                                        <w:rPr>
                                          <w:noProof/>
                                          <w:webHidden/>
                                        </w:rPr>
                                        <w:fldChar w:fldCharType="separate"/>
                                      </w:r>
                                      <w:r w:rsidR="00394583">
                                        <w:rPr>
                                          <w:noProof/>
                                          <w:webHidden/>
                                        </w:rPr>
                                        <w:t>1</w:t>
                                      </w:r>
                                      <w:r w:rsidR="00394583">
                                        <w:rPr>
                                          <w:noProof/>
                                          <w:webHidden/>
                                        </w:rPr>
                                        <w:fldChar w:fldCharType="end"/>
                                      </w:r>
                                    </w:hyperlink>
                                  </w:p>
                                  <w:p w14:paraId="0D453EEE" w14:textId="15C3C2D6" w:rsidR="00394583" w:rsidRDefault="00E717B9">
                                    <w:pPr>
                                      <w:pStyle w:val="TOC1"/>
                                      <w:tabs>
                                        <w:tab w:val="right" w:leader="dot" w:pos="9016"/>
                                      </w:tabs>
                                      <w:rPr>
                                        <w:rFonts w:eastAsiaTheme="minorEastAsia"/>
                                        <w:noProof/>
                                        <w:lang w:eastAsia="en-AU"/>
                                      </w:rPr>
                                    </w:pPr>
                                    <w:hyperlink w:anchor="_Toc19696322" w:history="1">
                                      <w:r w:rsidR="00394583" w:rsidRPr="00F65BFD">
                                        <w:rPr>
                                          <w:rStyle w:val="Hyperlink"/>
                                          <w:noProof/>
                                        </w:rPr>
                                        <w:t>Use of the Word ‘Anzac’ Regulations</w:t>
                                      </w:r>
                                      <w:r w:rsidR="00394583">
                                        <w:rPr>
                                          <w:noProof/>
                                          <w:webHidden/>
                                        </w:rPr>
                                        <w:tab/>
                                      </w:r>
                                      <w:r w:rsidR="00394583">
                                        <w:rPr>
                                          <w:noProof/>
                                          <w:webHidden/>
                                        </w:rPr>
                                        <w:fldChar w:fldCharType="begin"/>
                                      </w:r>
                                      <w:r w:rsidR="00394583">
                                        <w:rPr>
                                          <w:noProof/>
                                          <w:webHidden/>
                                        </w:rPr>
                                        <w:instrText xml:space="preserve"> PAGEREF _Toc19696322 \h </w:instrText>
                                      </w:r>
                                      <w:r w:rsidR="00394583">
                                        <w:rPr>
                                          <w:noProof/>
                                          <w:webHidden/>
                                        </w:rPr>
                                      </w:r>
                                      <w:r w:rsidR="00394583">
                                        <w:rPr>
                                          <w:noProof/>
                                          <w:webHidden/>
                                        </w:rPr>
                                        <w:fldChar w:fldCharType="separate"/>
                                      </w:r>
                                      <w:r w:rsidR="00394583">
                                        <w:rPr>
                                          <w:noProof/>
                                          <w:webHidden/>
                                        </w:rPr>
                                        <w:t>2</w:t>
                                      </w:r>
                                      <w:r w:rsidR="00394583">
                                        <w:rPr>
                                          <w:noProof/>
                                          <w:webHidden/>
                                        </w:rPr>
                                        <w:fldChar w:fldCharType="end"/>
                                      </w:r>
                                    </w:hyperlink>
                                  </w:p>
                                  <w:p w14:paraId="3079BEB9" w14:textId="6F0FA419" w:rsidR="00394583" w:rsidRDefault="00E717B9">
                                    <w:pPr>
                                      <w:pStyle w:val="TOC1"/>
                                      <w:tabs>
                                        <w:tab w:val="right" w:leader="dot" w:pos="9016"/>
                                      </w:tabs>
                                      <w:rPr>
                                        <w:rFonts w:eastAsiaTheme="minorEastAsia"/>
                                        <w:noProof/>
                                        <w:lang w:eastAsia="en-AU"/>
                                      </w:rPr>
                                    </w:pPr>
                                    <w:hyperlink w:anchor="_Toc19696329" w:history="1">
                                      <w:r w:rsidR="00394583" w:rsidRPr="00F65BFD">
                                        <w:rPr>
                                          <w:rStyle w:val="Hyperlink"/>
                                          <w:noProof/>
                                        </w:rPr>
                                        <w:t>Appendix A: Key performance indicators</w:t>
                                      </w:r>
                                      <w:r w:rsidR="00394583">
                                        <w:rPr>
                                          <w:noProof/>
                                          <w:webHidden/>
                                        </w:rPr>
                                        <w:tab/>
                                      </w:r>
                                      <w:r w:rsidR="00394583">
                                        <w:rPr>
                                          <w:noProof/>
                                          <w:webHidden/>
                                        </w:rPr>
                                        <w:fldChar w:fldCharType="begin"/>
                                      </w:r>
                                      <w:r w:rsidR="00394583">
                                        <w:rPr>
                                          <w:noProof/>
                                          <w:webHidden/>
                                        </w:rPr>
                                        <w:instrText xml:space="preserve"> PAGEREF _Toc19696329 \h </w:instrText>
                                      </w:r>
                                      <w:r w:rsidR="00394583">
                                        <w:rPr>
                                          <w:noProof/>
                                          <w:webHidden/>
                                        </w:rPr>
                                      </w:r>
                                      <w:r w:rsidR="00394583">
                                        <w:rPr>
                                          <w:noProof/>
                                          <w:webHidden/>
                                        </w:rPr>
                                        <w:fldChar w:fldCharType="separate"/>
                                      </w:r>
                                      <w:r w:rsidR="00394583">
                                        <w:rPr>
                                          <w:noProof/>
                                          <w:webHidden/>
                                        </w:rPr>
                                        <w:t>6</w:t>
                                      </w:r>
                                      <w:r w:rsidR="00394583">
                                        <w:rPr>
                                          <w:noProof/>
                                          <w:webHidden/>
                                        </w:rPr>
                                        <w:fldChar w:fldCharType="end"/>
                                      </w:r>
                                    </w:hyperlink>
                                  </w:p>
                                  <w:p w14:paraId="49967D9F" w14:textId="54BD02AD" w:rsidR="00394583" w:rsidRDefault="00E717B9">
                                    <w:pPr>
                                      <w:pStyle w:val="TOC1"/>
                                      <w:tabs>
                                        <w:tab w:val="right" w:leader="dot" w:pos="9016"/>
                                      </w:tabs>
                                      <w:rPr>
                                        <w:rFonts w:eastAsiaTheme="minorEastAsia"/>
                                        <w:noProof/>
                                        <w:lang w:eastAsia="en-AU"/>
                                      </w:rPr>
                                    </w:pPr>
                                    <w:hyperlink w:anchor="_Toc19696330" w:history="1">
                                      <w:r w:rsidR="00394583" w:rsidRPr="00F65BFD">
                                        <w:rPr>
                                          <w:rStyle w:val="Hyperlink"/>
                                          <w:noProof/>
                                        </w:rPr>
                                        <w:t>Appendix B: Results and evidence against each metric</w:t>
                                      </w:r>
                                      <w:r w:rsidR="00394583">
                                        <w:rPr>
                                          <w:noProof/>
                                          <w:webHidden/>
                                        </w:rPr>
                                        <w:tab/>
                                      </w:r>
                                      <w:r w:rsidR="00394583">
                                        <w:rPr>
                                          <w:noProof/>
                                          <w:webHidden/>
                                        </w:rPr>
                                        <w:fldChar w:fldCharType="begin"/>
                                      </w:r>
                                      <w:r w:rsidR="00394583">
                                        <w:rPr>
                                          <w:noProof/>
                                          <w:webHidden/>
                                        </w:rPr>
                                        <w:instrText xml:space="preserve"> PAGEREF _Toc19696330 \h </w:instrText>
                                      </w:r>
                                      <w:r w:rsidR="00394583">
                                        <w:rPr>
                                          <w:noProof/>
                                          <w:webHidden/>
                                        </w:rPr>
                                      </w:r>
                                      <w:r w:rsidR="00394583">
                                        <w:rPr>
                                          <w:noProof/>
                                          <w:webHidden/>
                                        </w:rPr>
                                        <w:fldChar w:fldCharType="separate"/>
                                      </w:r>
                                      <w:r w:rsidR="00394583">
                                        <w:rPr>
                                          <w:noProof/>
                                          <w:webHidden/>
                                        </w:rPr>
                                        <w:t>9</w:t>
                                      </w:r>
                                      <w:r w:rsidR="00394583">
                                        <w:rPr>
                                          <w:noProof/>
                                          <w:webHidden/>
                                        </w:rPr>
                                        <w:fldChar w:fldCharType="end"/>
                                      </w:r>
                                    </w:hyperlink>
                                  </w:p>
                                  <w:p w14:paraId="2D5E225E" w14:textId="15F03FBC" w:rsidR="00394583" w:rsidRDefault="00E717B9">
                                    <w:pPr>
                                      <w:pStyle w:val="TOC1"/>
                                      <w:tabs>
                                        <w:tab w:val="right" w:leader="dot" w:pos="9016"/>
                                      </w:tabs>
                                      <w:rPr>
                                        <w:rFonts w:eastAsiaTheme="minorEastAsia"/>
                                        <w:noProof/>
                                        <w:lang w:eastAsia="en-AU"/>
                                      </w:rPr>
                                    </w:pPr>
                                    <w:hyperlink w:anchor="_Toc19696331" w:history="1">
                                      <w:r w:rsidR="00394583" w:rsidRPr="00F65BFD">
                                        <w:rPr>
                                          <w:rStyle w:val="Hyperlink"/>
                                          <w:noProof/>
                                        </w:rPr>
                                        <w:t>Appendix C: Summary of feedback from consultation</w:t>
                                      </w:r>
                                      <w:r w:rsidR="00394583">
                                        <w:rPr>
                                          <w:noProof/>
                                          <w:webHidden/>
                                        </w:rPr>
                                        <w:tab/>
                                      </w:r>
                                      <w:r w:rsidR="00394583">
                                        <w:rPr>
                                          <w:noProof/>
                                          <w:webHidden/>
                                        </w:rPr>
                                        <w:fldChar w:fldCharType="begin"/>
                                      </w:r>
                                      <w:r w:rsidR="00394583">
                                        <w:rPr>
                                          <w:noProof/>
                                          <w:webHidden/>
                                        </w:rPr>
                                        <w:instrText xml:space="preserve"> PAGEREF _Toc19696331 \h </w:instrText>
                                      </w:r>
                                      <w:r w:rsidR="00394583">
                                        <w:rPr>
                                          <w:noProof/>
                                          <w:webHidden/>
                                        </w:rPr>
                                      </w:r>
                                      <w:r w:rsidR="00394583">
                                        <w:rPr>
                                          <w:noProof/>
                                          <w:webHidden/>
                                        </w:rPr>
                                        <w:fldChar w:fldCharType="separate"/>
                                      </w:r>
                                      <w:r w:rsidR="00394583">
                                        <w:rPr>
                                          <w:noProof/>
                                          <w:webHidden/>
                                        </w:rPr>
                                        <w:t>11</w:t>
                                      </w:r>
                                      <w:r w:rsidR="00394583">
                                        <w:rPr>
                                          <w:noProof/>
                                          <w:webHidden/>
                                        </w:rPr>
                                        <w:fldChar w:fldCharType="end"/>
                                      </w:r>
                                    </w:hyperlink>
                                  </w:p>
                                  <w:p w14:paraId="219BA0C6" w14:textId="77777777" w:rsidR="000F230F" w:rsidRDefault="000F230F">
                                    <w:r>
                                      <w:rPr>
                                        <w:b/>
                                        <w:bCs/>
                                        <w:noProof/>
                                      </w:rPr>
                                      <w:fldChar w:fldCharType="end"/>
                                    </w:r>
                                  </w:p>
                                </w:sdtContent>
                              </w:sdt>
                              <w:p w14:paraId="6A7393C9" w14:textId="77777777" w:rsidR="000F230F" w:rsidRDefault="000F230F" w:rsidP="000A62AD">
                                <w:pPr>
                                  <w:pStyle w:val="TOCHeading"/>
                                </w:pPr>
                              </w:p>
                              <w:p w14:paraId="6EF96746" w14:textId="77777777" w:rsidR="000F230F" w:rsidRDefault="000F230F">
                                <w:pPr>
                                  <w:pStyle w:val="NoSpacing"/>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785B128" id="_x0000_t202" coordsize="21600,21600" o:spt="202" path="m,l,21600r21600,l21600,xe">
                    <v:stroke joinstyle="miter"/>
                    <v:path gradientshapeok="t" o:connecttype="rect"/>
                  </v:shapetype>
                  <v:shape id="Text Box 129" o:spid="_x0000_s1030" type="#_x0000_t202" style="position:absolute;margin-left:37.25pt;margin-top:508.95pt;width:453pt;height:38.1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w2hQ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0mGoyHxq5NeUC/nelmxlt+U6Ept8yHB+YwJOgjBj/c4yOV&#10;QfFNL1GyNe7X3/QRD+7CSkmDoSuo/7ljTlCivmqw+mI0mUR+hHSC4JIwyi/OxzMc14Ne7+org4aM&#10;sF0sT2JEBzWI0pn6GathFR+EiWmOZwsaBvEqdFsAq4WL1SqBMJKWhVv9aHl0HfsT2fbUPjNne0oG&#10;kPnODJPJ5m+Y2WETdexqF8DPRNtY4q6gfekxzon4/eqJ++L1OaFeFuTyNwAAAP//AwBQSwMEFAAG&#10;AAgAAAAhABuyNO/fAAAADAEAAA8AAABkcnMvZG93bnJldi54bWxMj8FOwzAMhu9IvENkJG4sWTXY&#10;WppOE1IvSEgwOLBb1pg2onGqJtsKT493Ykd//vX7c7mefC+OOEYXSMN8pkAgNcE6ajV8vNd3KxAx&#10;GbKmD4QafjDCurq+Kk1hw4ne8LhNreASioXR0KU0FFLGpkNv4iwMSLz7CqM3icexlXY0Jy73vcyU&#10;epDeOOILnRnwqcPme3vwGl7irk4mxN/X+FnjbtO7Z8qc1rc30+YRRMIp/YfhrM/qULHTPhzIRtFr&#10;WC7uOclczZc5CE7kK8Vof0b5IgNZlfLyieoPAAD//wMAUEsBAi0AFAAGAAgAAAAhALaDOJL+AAAA&#10;4QEAABMAAAAAAAAAAAAAAAAAAAAAAFtDb250ZW50X1R5cGVzXS54bWxQSwECLQAUAAYACAAAACEA&#10;OP0h/9YAAACUAQAACwAAAAAAAAAAAAAAAAAvAQAAX3JlbHMvLnJlbHNQSwECLQAUAAYACAAAACEA&#10;dWXMNoUCAABoBQAADgAAAAAAAAAAAAAAAAAuAgAAZHJzL2Uyb0RvYy54bWxQSwECLQAUAAYACAAA&#10;ACEAG7I0798AAAAMAQAADwAAAAAAAAAAAAAAAADfBAAAZHJzL2Rvd25yZXYueG1sUEsFBgAAAAAE&#10;AAQA8wAAAOsFAAAAAA==&#10;" filled="f" stroked="f" strokeweight=".5pt">
                    <v:textbox style="mso-fit-shape-to-text:t" inset="1in,0,86.4pt,0">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14:paraId="6709915B" w14:textId="77777777" w:rsidR="000F230F" w:rsidRDefault="000F230F">
                              <w:pPr>
                                <w:pStyle w:val="TOCHeading"/>
                              </w:pPr>
                              <w:r>
                                <w:t>Contents</w:t>
                              </w:r>
                            </w:p>
                            <w:p w14:paraId="5070AA62" w14:textId="7D33BB10" w:rsidR="00394583" w:rsidRDefault="000F230F">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9696321" w:history="1">
                                <w:r w:rsidR="00394583" w:rsidRPr="00F65BFD">
                                  <w:rPr>
                                    <w:rStyle w:val="Hyperlink"/>
                                    <w:noProof/>
                                  </w:rPr>
                                  <w:t>Introduction</w:t>
                                </w:r>
                                <w:r w:rsidR="00394583">
                                  <w:rPr>
                                    <w:noProof/>
                                    <w:webHidden/>
                                  </w:rPr>
                                  <w:tab/>
                                </w:r>
                                <w:r w:rsidR="00394583">
                                  <w:rPr>
                                    <w:noProof/>
                                    <w:webHidden/>
                                  </w:rPr>
                                  <w:fldChar w:fldCharType="begin"/>
                                </w:r>
                                <w:r w:rsidR="00394583">
                                  <w:rPr>
                                    <w:noProof/>
                                    <w:webHidden/>
                                  </w:rPr>
                                  <w:instrText xml:space="preserve"> PAGEREF _Toc19696321 \h </w:instrText>
                                </w:r>
                                <w:r w:rsidR="00394583">
                                  <w:rPr>
                                    <w:noProof/>
                                    <w:webHidden/>
                                  </w:rPr>
                                </w:r>
                                <w:r w:rsidR="00394583">
                                  <w:rPr>
                                    <w:noProof/>
                                    <w:webHidden/>
                                  </w:rPr>
                                  <w:fldChar w:fldCharType="separate"/>
                                </w:r>
                                <w:r w:rsidR="00394583">
                                  <w:rPr>
                                    <w:noProof/>
                                    <w:webHidden/>
                                  </w:rPr>
                                  <w:t>1</w:t>
                                </w:r>
                                <w:r w:rsidR="00394583">
                                  <w:rPr>
                                    <w:noProof/>
                                    <w:webHidden/>
                                  </w:rPr>
                                  <w:fldChar w:fldCharType="end"/>
                                </w:r>
                              </w:hyperlink>
                            </w:p>
                            <w:p w14:paraId="0D453EEE" w14:textId="15C3C2D6" w:rsidR="00394583" w:rsidRDefault="00D432D4">
                              <w:pPr>
                                <w:pStyle w:val="TOC1"/>
                                <w:tabs>
                                  <w:tab w:val="right" w:leader="dot" w:pos="9016"/>
                                </w:tabs>
                                <w:rPr>
                                  <w:rFonts w:eastAsiaTheme="minorEastAsia"/>
                                  <w:noProof/>
                                  <w:lang w:eastAsia="en-AU"/>
                                </w:rPr>
                              </w:pPr>
                              <w:hyperlink w:anchor="_Toc19696322" w:history="1">
                                <w:r w:rsidR="00394583" w:rsidRPr="00F65BFD">
                                  <w:rPr>
                                    <w:rStyle w:val="Hyperlink"/>
                                    <w:noProof/>
                                  </w:rPr>
                                  <w:t>Use of the Word ‘Anzac’ Regulations</w:t>
                                </w:r>
                                <w:r w:rsidR="00394583">
                                  <w:rPr>
                                    <w:noProof/>
                                    <w:webHidden/>
                                  </w:rPr>
                                  <w:tab/>
                                </w:r>
                                <w:r w:rsidR="00394583">
                                  <w:rPr>
                                    <w:noProof/>
                                    <w:webHidden/>
                                  </w:rPr>
                                  <w:fldChar w:fldCharType="begin"/>
                                </w:r>
                                <w:r w:rsidR="00394583">
                                  <w:rPr>
                                    <w:noProof/>
                                    <w:webHidden/>
                                  </w:rPr>
                                  <w:instrText xml:space="preserve"> PAGEREF _Toc19696322 \h </w:instrText>
                                </w:r>
                                <w:r w:rsidR="00394583">
                                  <w:rPr>
                                    <w:noProof/>
                                    <w:webHidden/>
                                  </w:rPr>
                                </w:r>
                                <w:r w:rsidR="00394583">
                                  <w:rPr>
                                    <w:noProof/>
                                    <w:webHidden/>
                                  </w:rPr>
                                  <w:fldChar w:fldCharType="separate"/>
                                </w:r>
                                <w:r w:rsidR="00394583">
                                  <w:rPr>
                                    <w:noProof/>
                                    <w:webHidden/>
                                  </w:rPr>
                                  <w:t>2</w:t>
                                </w:r>
                                <w:r w:rsidR="00394583">
                                  <w:rPr>
                                    <w:noProof/>
                                    <w:webHidden/>
                                  </w:rPr>
                                  <w:fldChar w:fldCharType="end"/>
                                </w:r>
                              </w:hyperlink>
                            </w:p>
                            <w:p w14:paraId="3079BEB9" w14:textId="6F0FA419" w:rsidR="00394583" w:rsidRDefault="00D432D4">
                              <w:pPr>
                                <w:pStyle w:val="TOC1"/>
                                <w:tabs>
                                  <w:tab w:val="right" w:leader="dot" w:pos="9016"/>
                                </w:tabs>
                                <w:rPr>
                                  <w:rFonts w:eastAsiaTheme="minorEastAsia"/>
                                  <w:noProof/>
                                  <w:lang w:eastAsia="en-AU"/>
                                </w:rPr>
                              </w:pPr>
                              <w:hyperlink w:anchor="_Toc19696329" w:history="1">
                                <w:r w:rsidR="00394583" w:rsidRPr="00F65BFD">
                                  <w:rPr>
                                    <w:rStyle w:val="Hyperlink"/>
                                    <w:noProof/>
                                  </w:rPr>
                                  <w:t>Appendix A: Key performance indicators</w:t>
                                </w:r>
                                <w:r w:rsidR="00394583">
                                  <w:rPr>
                                    <w:noProof/>
                                    <w:webHidden/>
                                  </w:rPr>
                                  <w:tab/>
                                </w:r>
                                <w:r w:rsidR="00394583">
                                  <w:rPr>
                                    <w:noProof/>
                                    <w:webHidden/>
                                  </w:rPr>
                                  <w:fldChar w:fldCharType="begin"/>
                                </w:r>
                                <w:r w:rsidR="00394583">
                                  <w:rPr>
                                    <w:noProof/>
                                    <w:webHidden/>
                                  </w:rPr>
                                  <w:instrText xml:space="preserve"> PAGEREF _Toc19696329 \h </w:instrText>
                                </w:r>
                                <w:r w:rsidR="00394583">
                                  <w:rPr>
                                    <w:noProof/>
                                    <w:webHidden/>
                                  </w:rPr>
                                </w:r>
                                <w:r w:rsidR="00394583">
                                  <w:rPr>
                                    <w:noProof/>
                                    <w:webHidden/>
                                  </w:rPr>
                                  <w:fldChar w:fldCharType="separate"/>
                                </w:r>
                                <w:r w:rsidR="00394583">
                                  <w:rPr>
                                    <w:noProof/>
                                    <w:webHidden/>
                                  </w:rPr>
                                  <w:t>6</w:t>
                                </w:r>
                                <w:r w:rsidR="00394583">
                                  <w:rPr>
                                    <w:noProof/>
                                    <w:webHidden/>
                                  </w:rPr>
                                  <w:fldChar w:fldCharType="end"/>
                                </w:r>
                              </w:hyperlink>
                            </w:p>
                            <w:p w14:paraId="49967D9F" w14:textId="54BD02AD" w:rsidR="00394583" w:rsidRDefault="00D432D4">
                              <w:pPr>
                                <w:pStyle w:val="TOC1"/>
                                <w:tabs>
                                  <w:tab w:val="right" w:leader="dot" w:pos="9016"/>
                                </w:tabs>
                                <w:rPr>
                                  <w:rFonts w:eastAsiaTheme="minorEastAsia"/>
                                  <w:noProof/>
                                  <w:lang w:eastAsia="en-AU"/>
                                </w:rPr>
                              </w:pPr>
                              <w:hyperlink w:anchor="_Toc19696330" w:history="1">
                                <w:r w:rsidR="00394583" w:rsidRPr="00F65BFD">
                                  <w:rPr>
                                    <w:rStyle w:val="Hyperlink"/>
                                    <w:noProof/>
                                  </w:rPr>
                                  <w:t>Appendix B: Results and evidence against each metric</w:t>
                                </w:r>
                                <w:r w:rsidR="00394583">
                                  <w:rPr>
                                    <w:noProof/>
                                    <w:webHidden/>
                                  </w:rPr>
                                  <w:tab/>
                                </w:r>
                                <w:r w:rsidR="00394583">
                                  <w:rPr>
                                    <w:noProof/>
                                    <w:webHidden/>
                                  </w:rPr>
                                  <w:fldChar w:fldCharType="begin"/>
                                </w:r>
                                <w:r w:rsidR="00394583">
                                  <w:rPr>
                                    <w:noProof/>
                                    <w:webHidden/>
                                  </w:rPr>
                                  <w:instrText xml:space="preserve"> PAGEREF _Toc19696330 \h </w:instrText>
                                </w:r>
                                <w:r w:rsidR="00394583">
                                  <w:rPr>
                                    <w:noProof/>
                                    <w:webHidden/>
                                  </w:rPr>
                                </w:r>
                                <w:r w:rsidR="00394583">
                                  <w:rPr>
                                    <w:noProof/>
                                    <w:webHidden/>
                                  </w:rPr>
                                  <w:fldChar w:fldCharType="separate"/>
                                </w:r>
                                <w:r w:rsidR="00394583">
                                  <w:rPr>
                                    <w:noProof/>
                                    <w:webHidden/>
                                  </w:rPr>
                                  <w:t>9</w:t>
                                </w:r>
                                <w:r w:rsidR="00394583">
                                  <w:rPr>
                                    <w:noProof/>
                                    <w:webHidden/>
                                  </w:rPr>
                                  <w:fldChar w:fldCharType="end"/>
                                </w:r>
                              </w:hyperlink>
                            </w:p>
                            <w:p w14:paraId="2D5E225E" w14:textId="15F03FBC" w:rsidR="00394583" w:rsidRDefault="00D432D4">
                              <w:pPr>
                                <w:pStyle w:val="TOC1"/>
                                <w:tabs>
                                  <w:tab w:val="right" w:leader="dot" w:pos="9016"/>
                                </w:tabs>
                                <w:rPr>
                                  <w:rFonts w:eastAsiaTheme="minorEastAsia"/>
                                  <w:noProof/>
                                  <w:lang w:eastAsia="en-AU"/>
                                </w:rPr>
                              </w:pPr>
                              <w:hyperlink w:anchor="_Toc19696331" w:history="1">
                                <w:r w:rsidR="00394583" w:rsidRPr="00F65BFD">
                                  <w:rPr>
                                    <w:rStyle w:val="Hyperlink"/>
                                    <w:noProof/>
                                  </w:rPr>
                                  <w:t>Appendix C: Summary of feedback from consultation</w:t>
                                </w:r>
                                <w:r w:rsidR="00394583">
                                  <w:rPr>
                                    <w:noProof/>
                                    <w:webHidden/>
                                  </w:rPr>
                                  <w:tab/>
                                </w:r>
                                <w:r w:rsidR="00394583">
                                  <w:rPr>
                                    <w:noProof/>
                                    <w:webHidden/>
                                  </w:rPr>
                                  <w:fldChar w:fldCharType="begin"/>
                                </w:r>
                                <w:r w:rsidR="00394583">
                                  <w:rPr>
                                    <w:noProof/>
                                    <w:webHidden/>
                                  </w:rPr>
                                  <w:instrText xml:space="preserve"> PAGEREF _Toc19696331 \h </w:instrText>
                                </w:r>
                                <w:r w:rsidR="00394583">
                                  <w:rPr>
                                    <w:noProof/>
                                    <w:webHidden/>
                                  </w:rPr>
                                </w:r>
                                <w:r w:rsidR="00394583">
                                  <w:rPr>
                                    <w:noProof/>
                                    <w:webHidden/>
                                  </w:rPr>
                                  <w:fldChar w:fldCharType="separate"/>
                                </w:r>
                                <w:r w:rsidR="00394583">
                                  <w:rPr>
                                    <w:noProof/>
                                    <w:webHidden/>
                                  </w:rPr>
                                  <w:t>11</w:t>
                                </w:r>
                                <w:r w:rsidR="00394583">
                                  <w:rPr>
                                    <w:noProof/>
                                    <w:webHidden/>
                                  </w:rPr>
                                  <w:fldChar w:fldCharType="end"/>
                                </w:r>
                              </w:hyperlink>
                            </w:p>
                            <w:p w14:paraId="219BA0C6" w14:textId="77777777" w:rsidR="000F230F" w:rsidRDefault="000F230F">
                              <w:r>
                                <w:rPr>
                                  <w:b/>
                                  <w:bCs/>
                                  <w:noProof/>
                                </w:rPr>
                                <w:fldChar w:fldCharType="end"/>
                              </w:r>
                            </w:p>
                          </w:sdtContent>
                        </w:sdt>
                        <w:p w14:paraId="6A7393C9" w14:textId="77777777" w:rsidR="000F230F" w:rsidRDefault="000F230F" w:rsidP="000A62AD">
                          <w:pPr>
                            <w:pStyle w:val="TOCHeading"/>
                          </w:pPr>
                        </w:p>
                        <w:p w14:paraId="6EF96746" w14:textId="77777777" w:rsidR="000F230F" w:rsidRDefault="000F230F">
                          <w:pPr>
                            <w:pStyle w:val="NoSpacing"/>
                            <w:spacing w:before="40" w:after="40"/>
                            <w:rPr>
                              <w:caps/>
                              <w:color w:val="4472C4" w:themeColor="accent5"/>
                              <w:sz w:val="24"/>
                              <w:szCs w:val="24"/>
                            </w:rPr>
                          </w:pPr>
                        </w:p>
                      </w:txbxContent>
                    </v:textbox>
                    <w10:wrap type="square" anchorx="page" anchory="page"/>
                  </v:shape>
                </w:pict>
              </mc:Fallback>
            </mc:AlternateContent>
          </w:r>
          <w:r w:rsidR="003700D4">
            <w:rPr>
              <w:noProof/>
              <w:lang w:eastAsia="en-AU"/>
            </w:rPr>
            <mc:AlternateContent>
              <mc:Choice Requires="wps">
                <w:drawing>
                  <wp:anchor distT="0" distB="0" distL="114300" distR="114300" simplePos="0" relativeHeight="251662336" behindDoc="0" locked="0" layoutInCell="1" allowOverlap="1" wp14:anchorId="3BF84D86" wp14:editId="3FC2DD7B">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52FDD" w14:textId="77777777" w:rsidR="000F230F" w:rsidRDefault="000F230F">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BF84D86" id="Text Box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hAIAAGgFAAAOAAAAZHJzL2Uyb0RvYy54bWysVMtu2zAQvBfoPxC8N5Js52VEDtwEKQoE&#10;SVCnyJmmyFgoRbIkbcn9+g4pyQnSXlL0Ii13h8t9zO7FZdcoshPO10aXtDjKKRGam6rWzyX9/njz&#10;6YwSH5iumDJalHQvPL1cfPxw0dq5mJiNUZVwBE60n7e2pJsQ7DzLPN+IhvkjY4WGURrXsICje84q&#10;x1p4b1Q2yfOTrDWuss5w4T20172RLpJ/KQUP91J6EYgqKWIL6evSdx2/2eKCzZ8ds5uaD2Gwf4ii&#10;YbXGowdX1ywwsnX1H66amjvjjQxH3DSZkbLmIuWAbIr8TTarDbMi5YLieHsok/9/bvnd7sGRukLv&#10;JmiVZg2a9Ci6QD6bjkQdKtRaPwdwZQENHQxAj3oPZUy8k66Jf6REYEet94f6RnccyuPT42mRw8Rh&#10;K2Yn03wW3WQvt63z4YswDYlCSR36l8rKdrc+9NAREh/T5qZWKvVQadKW9GR6nKcLBwucKx2xIrFh&#10;cBMz6iNPUtgrETFKfxMS1UgJREXiobhSjuwYGMQ4Fzqk3JNfoCNKIoj3XBzwL1G953Kfx/iy0eFw&#10;uam1cSn7N2FXP8aQZY9HzV/lHcXQrbtEg+nY2LWp9ui3M/3MeMtvajTllvnwwByGBH3E4Id7fKQy&#10;KL4ZJEo2xv36mz7iwV1YKWkxdCX1P7fMCUrUVw1WnxezWeRHSCcILglFfn46OcNxPer1trkyaEiB&#10;7WJ5EiM6qFGUzjRPWA3L+CBMTHM8W9L1KF6FfgtgtXCxXCYQRtKycKtXlkfXsT+RbY/dE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g/70Y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09C52FDD" w14:textId="77777777" w:rsidR="000F230F" w:rsidRDefault="000F230F">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v:textbox>
                    <w10:wrap type="square" anchorx="page" anchory="margin"/>
                  </v:shape>
                </w:pict>
              </mc:Fallback>
            </mc:AlternateContent>
          </w:r>
          <w:r w:rsidR="003700D4">
            <w:rPr>
              <w:color w:val="404040" w:themeColor="text1" w:themeTint="BF"/>
              <w:sz w:val="36"/>
              <w:szCs w:val="36"/>
            </w:rPr>
            <w:br w:type="page"/>
          </w:r>
        </w:p>
      </w:sdtContent>
    </w:sdt>
    <w:p w14:paraId="2D176CCF" w14:textId="77777777" w:rsidR="00E43847" w:rsidRDefault="00E43847" w:rsidP="00EF1832">
      <w:pPr>
        <w:pStyle w:val="Heading1"/>
        <w:spacing w:before="0" w:after="160"/>
      </w:pPr>
      <w:bookmarkStart w:id="1" w:name="_Toc464043321"/>
      <w:bookmarkStart w:id="2" w:name="_Toc464043461"/>
      <w:bookmarkStart w:id="3" w:name="_Toc465262920"/>
      <w:bookmarkStart w:id="4" w:name="_Toc19696321"/>
      <w:r>
        <w:lastRenderedPageBreak/>
        <w:t>Introduction</w:t>
      </w:r>
      <w:bookmarkEnd w:id="1"/>
      <w:bookmarkEnd w:id="2"/>
      <w:bookmarkEnd w:id="3"/>
      <w:bookmarkEnd w:id="4"/>
    </w:p>
    <w:p w14:paraId="4109005A" w14:textId="1BA6C486" w:rsidR="0064279A" w:rsidRDefault="001D4F51" w:rsidP="00595C6A">
      <w:r>
        <w:t>In 2014 the Australian Government released its Regulator Performance Framework (the Framework) as part of its commitment to reduce the cost of unnecessary or inefficient regulation imposed on individuals, business and community organisations.</w:t>
      </w:r>
      <w:r w:rsidR="0064279A">
        <w:t xml:space="preserve"> </w:t>
      </w:r>
      <w:r>
        <w:t xml:space="preserve"> The Framework consists of six outcomes-based key performance indicators</w:t>
      </w:r>
      <w:r w:rsidR="0015090C">
        <w:t xml:space="preserve"> (KPIs)</w:t>
      </w:r>
      <w:r>
        <w:t xml:space="preserve"> to articulate the Government’s overarching expectations of regulator performance:</w:t>
      </w:r>
    </w:p>
    <w:p w14:paraId="4141527B" w14:textId="69957882" w:rsidR="0064279A" w:rsidRDefault="001D4F51">
      <w:pPr>
        <w:pStyle w:val="ListParagraph"/>
        <w:numPr>
          <w:ilvl w:val="0"/>
          <w:numId w:val="3"/>
        </w:numPr>
      </w:pPr>
      <w:r>
        <w:t>Regulators do not unnecessarily impede the efficient operation of regulated entities</w:t>
      </w:r>
      <w:r w:rsidR="00FA681D">
        <w:t>.</w:t>
      </w:r>
    </w:p>
    <w:p w14:paraId="0FBB3053" w14:textId="6557D04E" w:rsidR="0064279A" w:rsidRDefault="001D4F51">
      <w:pPr>
        <w:pStyle w:val="ListParagraph"/>
        <w:numPr>
          <w:ilvl w:val="0"/>
          <w:numId w:val="3"/>
        </w:numPr>
      </w:pPr>
      <w:r>
        <w:t>Communication with regulated entities is clear, targeted and effective.</w:t>
      </w:r>
    </w:p>
    <w:p w14:paraId="5654F162" w14:textId="32A761EE" w:rsidR="0064279A" w:rsidRDefault="001D4F51">
      <w:pPr>
        <w:pStyle w:val="ListParagraph"/>
        <w:numPr>
          <w:ilvl w:val="0"/>
          <w:numId w:val="3"/>
        </w:numPr>
      </w:pPr>
      <w:r>
        <w:t>Actions undertaken by regulators are proportionate to the regulatory risk being managed</w:t>
      </w:r>
      <w:r w:rsidR="0064279A">
        <w:t>.</w:t>
      </w:r>
    </w:p>
    <w:p w14:paraId="7468D2A2" w14:textId="2E973B0A" w:rsidR="0064279A" w:rsidRDefault="001D4F51">
      <w:pPr>
        <w:pStyle w:val="ListParagraph"/>
        <w:numPr>
          <w:ilvl w:val="0"/>
          <w:numId w:val="3"/>
        </w:numPr>
      </w:pPr>
      <w:r>
        <w:t>Compliance and monitoring approaches are streamlined and coordinated.</w:t>
      </w:r>
    </w:p>
    <w:p w14:paraId="2C986C5C" w14:textId="7AC0A94C" w:rsidR="0064279A" w:rsidRDefault="001D4F51">
      <w:pPr>
        <w:pStyle w:val="ListParagraph"/>
        <w:numPr>
          <w:ilvl w:val="0"/>
          <w:numId w:val="3"/>
        </w:numPr>
      </w:pPr>
      <w:r>
        <w:t>Regulators are open and transparent in their dealings with regulated entities.</w:t>
      </w:r>
    </w:p>
    <w:p w14:paraId="5CCABAA8" w14:textId="77777777" w:rsidR="001D4F51" w:rsidRDefault="001D4F51">
      <w:pPr>
        <w:pStyle w:val="ListParagraph"/>
        <w:numPr>
          <w:ilvl w:val="0"/>
          <w:numId w:val="3"/>
        </w:numPr>
      </w:pPr>
      <w:r>
        <w:t>Regulators actively contribute to the continuous improvement of regulatory frameworks.</w:t>
      </w:r>
    </w:p>
    <w:p w14:paraId="6867A767" w14:textId="68B9BC4D" w:rsidR="001D4F51" w:rsidRDefault="001D4F51">
      <w:r>
        <w:t xml:space="preserve">The Framework aims to encourage regulators to undertake their functions with the minimum impact necessary to achieve regulatory objectives. </w:t>
      </w:r>
      <w:r w:rsidR="0064279A">
        <w:t xml:space="preserve"> </w:t>
      </w:r>
      <w:r>
        <w:t>It is focused on the administration, monitoring and enforcement of regulation, rat</w:t>
      </w:r>
      <w:r w:rsidR="00532C32">
        <w:t>her than the setting of policy.</w:t>
      </w:r>
    </w:p>
    <w:p w14:paraId="6B8E1B98" w14:textId="15791818" w:rsidR="002F0CD8" w:rsidRDefault="008434C4">
      <w:r>
        <w:t xml:space="preserve">The </w:t>
      </w:r>
      <w:r w:rsidRPr="008434C4">
        <w:rPr>
          <w:i/>
        </w:rPr>
        <w:t>Protection of the Word</w:t>
      </w:r>
      <w:r w:rsidR="002F0CD8" w:rsidRPr="008434C4">
        <w:rPr>
          <w:i/>
        </w:rPr>
        <w:t xml:space="preserve"> ‘Anzac’ </w:t>
      </w:r>
      <w:r w:rsidRPr="008434C4">
        <w:rPr>
          <w:i/>
        </w:rPr>
        <w:t>Regulations</w:t>
      </w:r>
      <w:r>
        <w:t xml:space="preserve"> </w:t>
      </w:r>
      <w:r w:rsidRPr="008434C4">
        <w:rPr>
          <w:i/>
        </w:rPr>
        <w:t>1921</w:t>
      </w:r>
      <w:r>
        <w:t xml:space="preserve"> </w:t>
      </w:r>
      <w:r w:rsidR="0015090C">
        <w:t xml:space="preserve">(the Regulations) </w:t>
      </w:r>
      <w:r>
        <w:t xml:space="preserve">are </w:t>
      </w:r>
      <w:r w:rsidR="002F0CD8">
        <w:t xml:space="preserve">the </w:t>
      </w:r>
      <w:r>
        <w:t xml:space="preserve">responsibility of the </w:t>
      </w:r>
      <w:r w:rsidR="002F0CD8">
        <w:t>D</w:t>
      </w:r>
      <w:r w:rsidR="006F293A">
        <w:t xml:space="preserve">epartment of Veterans’ Affairs </w:t>
      </w:r>
      <w:r w:rsidR="002F0CD8">
        <w:t xml:space="preserve">(DVA) </w:t>
      </w:r>
      <w:r>
        <w:t>and</w:t>
      </w:r>
      <w:r w:rsidR="0015090C">
        <w:t xml:space="preserve"> are the Department’s</w:t>
      </w:r>
      <w:r>
        <w:t xml:space="preserve"> </w:t>
      </w:r>
      <w:r w:rsidR="002F0CD8">
        <w:t>only regulatory role.</w:t>
      </w:r>
      <w:r w:rsidR="0064279A">
        <w:t xml:space="preserve"> </w:t>
      </w:r>
      <w:r w:rsidR="002F0CD8">
        <w:t xml:space="preserve"> A very minor part of DVA’s business, </w:t>
      </w:r>
      <w:r w:rsidR="0015090C">
        <w:t xml:space="preserve">the Regulations </w:t>
      </w:r>
      <w:r w:rsidR="002F0CD8">
        <w:t>affect a small number of organisations and individuals each year.</w:t>
      </w:r>
    </w:p>
    <w:p w14:paraId="724FC72D" w14:textId="4C2BD16E" w:rsidR="0064279A" w:rsidRDefault="0015090C" w:rsidP="00595C6A">
      <w:r>
        <w:t>The Framework allows DVA to report objectively on the outcomes of our efforts to administer the Protection of the Wor</w:t>
      </w:r>
      <w:r w:rsidR="00602AD5">
        <w:t>d</w:t>
      </w:r>
      <w:r>
        <w:t xml:space="preserve"> ‘Anzac’ Regulations fairly, effecti</w:t>
      </w:r>
      <w:r w:rsidR="006F293A">
        <w:t>vely and efficiently.</w:t>
      </w:r>
      <w:r w:rsidR="0064279A">
        <w:t xml:space="preserve"> </w:t>
      </w:r>
      <w:r w:rsidR="006F293A">
        <w:t xml:space="preserve"> It is</w:t>
      </w:r>
      <w:r>
        <w:t xml:space="preserve"> a useful tool for DVA to identify opportunities for improvement </w:t>
      </w:r>
      <w:r w:rsidR="00602AD5">
        <w:t xml:space="preserve">that </w:t>
      </w:r>
      <w:r>
        <w:t>could reduce compliance costs. DVA’s Framework includes:</w:t>
      </w:r>
    </w:p>
    <w:p w14:paraId="5BBAF5A0" w14:textId="3E36ED12" w:rsidR="0064279A" w:rsidRDefault="0015090C">
      <w:pPr>
        <w:pStyle w:val="ListParagraph"/>
        <w:numPr>
          <w:ilvl w:val="0"/>
          <w:numId w:val="4"/>
        </w:numPr>
      </w:pPr>
      <w:r>
        <w:t>DVA’s outcomes-based key performance indicators</w:t>
      </w:r>
      <w:r w:rsidR="00FA681D">
        <w:t>;</w:t>
      </w:r>
    </w:p>
    <w:p w14:paraId="64EF47F0" w14:textId="644E195A" w:rsidR="0064279A" w:rsidRDefault="0015090C">
      <w:pPr>
        <w:pStyle w:val="ListParagraph"/>
        <w:numPr>
          <w:ilvl w:val="0"/>
          <w:numId w:val="4"/>
        </w:numPr>
      </w:pPr>
      <w:r>
        <w:t>DVA’s measures of good regulatory performance</w:t>
      </w:r>
      <w:r w:rsidR="00487022">
        <w:t>,</w:t>
      </w:r>
      <w:r>
        <w:t xml:space="preserve"> and</w:t>
      </w:r>
    </w:p>
    <w:p w14:paraId="6BDF5D31" w14:textId="77777777" w:rsidR="0015090C" w:rsidRDefault="0015090C">
      <w:pPr>
        <w:pStyle w:val="ListParagraph"/>
        <w:numPr>
          <w:ilvl w:val="0"/>
          <w:numId w:val="4"/>
        </w:numPr>
      </w:pPr>
      <w:r>
        <w:t>DVA’s self-assessment methodology.</w:t>
      </w:r>
    </w:p>
    <w:p w14:paraId="73071430" w14:textId="08A2C071" w:rsidR="0015090C" w:rsidRDefault="0015090C">
      <w:r w:rsidRPr="0052091F">
        <w:t>DVA developed a self-assessment methodology for the six KPIs and undertook stakeholder consultation on the proposed metrics by engaging with the ex-service</w:t>
      </w:r>
      <w:r w:rsidR="00A140FA">
        <w:t xml:space="preserve"> </w:t>
      </w:r>
      <w:r w:rsidRPr="0052091F">
        <w:t xml:space="preserve">community. </w:t>
      </w:r>
      <w:r w:rsidR="0064279A">
        <w:t xml:space="preserve"> </w:t>
      </w:r>
      <w:r w:rsidRPr="0052091F">
        <w:t xml:space="preserve">On 26 June 2015, the </w:t>
      </w:r>
      <w:r w:rsidR="00305948">
        <w:t>then-</w:t>
      </w:r>
      <w:r w:rsidRPr="0052091F">
        <w:t>Minister for Veterans’ Affairs, Senator the Hon Michael Ronaldson</w:t>
      </w:r>
      <w:r w:rsidR="00602AD5">
        <w:t>,</w:t>
      </w:r>
      <w:r w:rsidRPr="0052091F">
        <w:t xml:space="preserve"> agreed to the KPIs and the use of the existing Ex-Service Organisation Round Table (ESORT) as the stakeholder mechanism for external validation of the self-assessment results.</w:t>
      </w:r>
      <w:r w:rsidR="0064279A">
        <w:t xml:space="preserve"> </w:t>
      </w:r>
      <w:r w:rsidRPr="0052091F">
        <w:t xml:space="preserve"> The KPIs are published on DVA’s website and are available at Appendix A.</w:t>
      </w:r>
      <w:r w:rsidR="0064279A">
        <w:t xml:space="preserve"> </w:t>
      </w:r>
      <w:r w:rsidR="00224E43" w:rsidRPr="00224E43">
        <w:t xml:space="preserve"> </w:t>
      </w:r>
      <w:r w:rsidR="00224E43" w:rsidRPr="0052091F">
        <w:t>The self-assessment report at Appendix B identifies the extent to which DVA is achieving the performance indicators in the Framework and highlight</w:t>
      </w:r>
      <w:r w:rsidR="00224E43">
        <w:t>s</w:t>
      </w:r>
      <w:r w:rsidR="00224E43" w:rsidRPr="0052091F">
        <w:t xml:space="preserve"> areas for improvement.</w:t>
      </w:r>
      <w:r w:rsidR="00D22B6B">
        <w:t xml:space="preserve"> </w:t>
      </w:r>
    </w:p>
    <w:p w14:paraId="719E6B26" w14:textId="77777777" w:rsidR="002F0CD8" w:rsidRDefault="002F0CD8">
      <w:r w:rsidRPr="0044414B">
        <w:t xml:space="preserve">DVA is </w:t>
      </w:r>
      <w:r w:rsidR="003477DC" w:rsidRPr="0044414B">
        <w:t>co</w:t>
      </w:r>
      <w:r w:rsidR="003477DC">
        <w:t>nfident</w:t>
      </w:r>
      <w:r w:rsidR="003477DC" w:rsidRPr="0044414B">
        <w:t xml:space="preserve"> </w:t>
      </w:r>
      <w:r w:rsidRPr="0044414B">
        <w:t xml:space="preserve">that it is complying with the </w:t>
      </w:r>
      <w:r w:rsidR="009D5089">
        <w:t>Regulator Performance Framework</w:t>
      </w:r>
      <w:r w:rsidRPr="0044414B">
        <w:t xml:space="preserve">. </w:t>
      </w:r>
    </w:p>
    <w:p w14:paraId="6581786E" w14:textId="77777777" w:rsidR="00E43847" w:rsidRDefault="00E43847" w:rsidP="00EF1832">
      <w:pPr>
        <w:pStyle w:val="Heading1"/>
        <w:spacing w:before="0" w:after="160"/>
      </w:pPr>
      <w:bookmarkStart w:id="5" w:name="_Toc464043322"/>
      <w:bookmarkStart w:id="6" w:name="_Toc464043462"/>
      <w:bookmarkStart w:id="7" w:name="_Toc465262921"/>
      <w:bookmarkStart w:id="8" w:name="_Toc19696322"/>
      <w:r>
        <w:lastRenderedPageBreak/>
        <w:t>Use of the Word ‘Anzac’ Regulations</w:t>
      </w:r>
      <w:bookmarkEnd w:id="5"/>
      <w:bookmarkEnd w:id="6"/>
      <w:bookmarkEnd w:id="7"/>
      <w:bookmarkEnd w:id="8"/>
    </w:p>
    <w:p w14:paraId="32F5F5E5" w14:textId="77777777" w:rsidR="00E43847" w:rsidRDefault="00D025C6" w:rsidP="00EF1832">
      <w:pPr>
        <w:pStyle w:val="Heading2"/>
        <w:spacing w:before="0" w:after="160"/>
      </w:pPr>
      <w:bookmarkStart w:id="9" w:name="_Toc464043323"/>
      <w:bookmarkStart w:id="10" w:name="_Toc464043463"/>
      <w:bookmarkStart w:id="11" w:name="_Toc465262922"/>
      <w:bookmarkStart w:id="12" w:name="_Toc19696323"/>
      <w:r>
        <w:t xml:space="preserve">KPI 1: </w:t>
      </w:r>
      <w:r w:rsidR="00E43847">
        <w:t>Regulators do not unnecessarily impede the efficient operation of regulated entities</w:t>
      </w:r>
      <w:bookmarkEnd w:id="9"/>
      <w:bookmarkEnd w:id="10"/>
      <w:bookmarkEnd w:id="11"/>
      <w:bookmarkEnd w:id="12"/>
    </w:p>
    <w:p w14:paraId="20E7152E" w14:textId="01E5FBFF" w:rsidR="00E05061" w:rsidRDefault="00E05061" w:rsidP="00595C6A">
      <w:r>
        <w:t xml:space="preserve">DVA has kept detailed records of all applications to use the word ‘Anzac’ since late 2013. </w:t>
      </w:r>
      <w:r w:rsidR="00B71334">
        <w:t xml:space="preserve"> </w:t>
      </w:r>
      <w:r>
        <w:t xml:space="preserve">Those records </w:t>
      </w:r>
      <w:r w:rsidR="00B436F5">
        <w:t>are</w:t>
      </w:r>
      <w:r>
        <w:t xml:space="preserve"> deemed adequate to meet KPI 1. </w:t>
      </w:r>
      <w:r w:rsidR="00774B2F">
        <w:t xml:space="preserve"> </w:t>
      </w:r>
      <w:r w:rsidR="00B436F5">
        <w:t>A</w:t>
      </w:r>
      <w:r>
        <w:t>ll complaints received and enforcement actions taken in relation to the Protection of Word ‘Anzac’ Regulations</w:t>
      </w:r>
      <w:r w:rsidR="00B436F5">
        <w:t xml:space="preserve"> are recorded.</w:t>
      </w:r>
      <w:r>
        <w:t xml:space="preserve"> </w:t>
      </w:r>
    </w:p>
    <w:p w14:paraId="5C244805" w14:textId="70718689" w:rsidR="00074F77" w:rsidRPr="00EF1832" w:rsidRDefault="00074F77">
      <w:pPr>
        <w:rPr>
          <w:i/>
        </w:rPr>
      </w:pPr>
      <w:r w:rsidRPr="003E7156">
        <w:t xml:space="preserve">During this assessment period, </w:t>
      </w:r>
      <w:r w:rsidR="00B71334">
        <w:t xml:space="preserve">and particularly between </w:t>
      </w:r>
      <w:proofErr w:type="gramStart"/>
      <w:r w:rsidR="00B71334">
        <w:t>March</w:t>
      </w:r>
      <w:proofErr w:type="gramEnd"/>
      <w:r w:rsidR="00B71334">
        <w:t xml:space="preserve"> – June 2019, </w:t>
      </w:r>
      <w:r w:rsidRPr="003E7156">
        <w:t xml:space="preserve">additional stakeholder interactions occurred due to an unforeseen change to how websites in the .au domain space are administered.  The .au domain refers to websites that have .au in their registered domain name (for example, websites that include .com.au; or .edu.au; or .org.au; or .net.au; etc.).  Changes to the registration policies for the .au domain space, introduced by the Department of Communications and the Arts, mean that </w:t>
      </w:r>
      <w:r w:rsidR="00595C6A">
        <w:t xml:space="preserve">approval from the </w:t>
      </w:r>
      <w:r w:rsidRPr="003E7156">
        <w:t>Minister</w:t>
      </w:r>
      <w:r w:rsidR="00595C6A">
        <w:t xml:space="preserve"> for Veterans and Defence Personnel (the Minister)</w:t>
      </w:r>
      <w:r w:rsidRPr="003E7156">
        <w:t xml:space="preserve"> approval is required to register certain words that have legislative protections under Australian law at the time a domain name is registered, renewed or when changes are made.  The</w:t>
      </w:r>
      <w:r w:rsidRPr="003E7156">
        <w:rPr>
          <w:i/>
        </w:rPr>
        <w:t xml:space="preserve"> </w:t>
      </w:r>
      <w:r w:rsidR="00B71334" w:rsidRPr="00EF1832">
        <w:t>word ‘Anzac’</w:t>
      </w:r>
      <w:r w:rsidRPr="00595C6A">
        <w:t xml:space="preserve"> </w:t>
      </w:r>
      <w:r w:rsidRPr="003E7156">
        <w:t xml:space="preserve">falls within this scope when used in an .au domain name.  </w:t>
      </w:r>
    </w:p>
    <w:p w14:paraId="76EBDE80" w14:textId="08138641" w:rsidR="00074F77" w:rsidRDefault="00074F77">
      <w:r w:rsidRPr="003E7156">
        <w:t xml:space="preserve">The changes to the registration policies impacted several DVA stakeholders who use the word ‘Anzac’ in their domain name.  Stakeholders were contacted by their website service providers, who advised them of the new registration policies.  A large proportion of these stakeholders contacted DVA, expressing concern that their websites may be taken down, with many requesting clarification on the new registration policies and how it affected them.  This </w:t>
      </w:r>
      <w:r w:rsidR="00564959" w:rsidRPr="003E7156">
        <w:t xml:space="preserve">concern </w:t>
      </w:r>
      <w:r w:rsidRPr="003E7156">
        <w:t>was due in part to unfamiliar jargon used, and the absence of a communication strategy, by the website service providers. This was initially beyond the control of DVA</w:t>
      </w:r>
      <w:r w:rsidR="00A970FE">
        <w:t>,</w:t>
      </w:r>
      <w:r w:rsidRPr="003E7156">
        <w:t xml:space="preserve"> however</w:t>
      </w:r>
      <w:r w:rsidR="00A970FE">
        <w:t>,</w:t>
      </w:r>
      <w:r w:rsidRPr="003E7156">
        <w:t xml:space="preserve"> communication products were quickly developed and broadcast to inform stakeholders of the registration policies, the process to apply for Ministerial approval to use the word ‘Anzac’ in their domain name, and the need to retain a record of the approval to present to their website service provider on request. </w:t>
      </w:r>
    </w:p>
    <w:p w14:paraId="48626646" w14:textId="71FBD97C" w:rsidR="00B71334" w:rsidRDefault="00B71334">
      <w:r>
        <w:t xml:space="preserve">Additionally between </w:t>
      </w:r>
      <w:proofErr w:type="gramStart"/>
      <w:r>
        <w:t>March</w:t>
      </w:r>
      <w:proofErr w:type="gramEnd"/>
      <w:r>
        <w:t xml:space="preserve"> – June 2019, </w:t>
      </w:r>
      <w:r w:rsidRPr="003E7156">
        <w:t>significant media coverage of the Regulations in the lead up to Anzac Day heightened awareness in the broader community, which in turn caused a spike in complaints.</w:t>
      </w:r>
      <w:r>
        <w:t xml:space="preserve"> </w:t>
      </w:r>
      <w:r w:rsidRPr="003E7156">
        <w:t xml:space="preserve"> Complaints about suspected misuse of the word ‘Anzac’ increased from 51 complaints in the 2017/18 reporting period, to 96 complaints in this reporting period, with many of these complaints about the use of social media in advertising campaigns that used the word ‘Anzac’ to promote ‘Anzac’ sales events.   </w:t>
      </w:r>
    </w:p>
    <w:p w14:paraId="4B52C1D1" w14:textId="67837E8F" w:rsidR="00E43847" w:rsidRPr="003E7156" w:rsidRDefault="00E05061">
      <w:r w:rsidRPr="003E7156">
        <w:t xml:space="preserve">DVA manages applications </w:t>
      </w:r>
      <w:r w:rsidR="00BC75B9" w:rsidRPr="003E7156">
        <w:t xml:space="preserve">to use the word ‘Anzac’ </w:t>
      </w:r>
      <w:r w:rsidRPr="003E7156">
        <w:t>through a shared mailbox.</w:t>
      </w:r>
      <w:r w:rsidR="00B71334">
        <w:t xml:space="preserve"> </w:t>
      </w:r>
      <w:r w:rsidRPr="003E7156">
        <w:t xml:space="preserve"> The processing of applications is assigned to and generally requires </w:t>
      </w:r>
      <w:r w:rsidR="00464E10" w:rsidRPr="003E7156">
        <w:t>1.</w:t>
      </w:r>
      <w:r w:rsidR="00774B2F" w:rsidRPr="003E7156">
        <w:t>5</w:t>
      </w:r>
      <w:r w:rsidR="00A970FE">
        <w:t xml:space="preserve"> f</w:t>
      </w:r>
      <w:r w:rsidR="00774B2F" w:rsidRPr="003E7156">
        <w:t>ull</w:t>
      </w:r>
      <w:r w:rsidR="00A970FE">
        <w:t>-time e</w:t>
      </w:r>
      <w:r w:rsidR="00774B2F" w:rsidRPr="003E7156">
        <w:t xml:space="preserve">quivalent </w:t>
      </w:r>
      <w:r w:rsidRPr="003E7156">
        <w:t>positions.</w:t>
      </w:r>
      <w:r w:rsidR="00B71334">
        <w:t xml:space="preserve"> </w:t>
      </w:r>
      <w:r w:rsidRPr="003E7156">
        <w:t xml:space="preserve"> Record-keeping comprises a large portion of the workload and is primarily done for reporting purposes, such as under the F</w:t>
      </w:r>
      <w:r w:rsidR="00992849" w:rsidRPr="003E7156">
        <w:t>ramework</w:t>
      </w:r>
      <w:r w:rsidRPr="003E7156">
        <w:t>.</w:t>
      </w:r>
      <w:r w:rsidR="00B71334">
        <w:t xml:space="preserve">  </w:t>
      </w:r>
      <w:r w:rsidRPr="003E7156">
        <w:t>DVA does not keep detailed records of feedback received on the Regulations themselves.</w:t>
      </w:r>
    </w:p>
    <w:p w14:paraId="40E24FCF" w14:textId="5132C61D" w:rsidR="00091A4E" w:rsidRPr="003E7156" w:rsidRDefault="00E05061">
      <w:r w:rsidRPr="003E7156">
        <w:t>All applications and complaints regarding the protection of the word ‘Anz</w:t>
      </w:r>
      <w:r w:rsidR="00D025C6" w:rsidRPr="003E7156">
        <w:t xml:space="preserve">ac’ were logged over the period. </w:t>
      </w:r>
      <w:r w:rsidR="00B71334">
        <w:t xml:space="preserve"> </w:t>
      </w:r>
      <w:r w:rsidR="00D025C6" w:rsidRPr="003E7156">
        <w:t>During this time,</w:t>
      </w:r>
      <w:r w:rsidR="000F230F" w:rsidRPr="003E7156">
        <w:t xml:space="preserve"> </w:t>
      </w:r>
      <w:r w:rsidR="00AD4D93" w:rsidRPr="003E7156">
        <w:t>71</w:t>
      </w:r>
      <w:r w:rsidR="00040D59" w:rsidRPr="003E7156">
        <w:t xml:space="preserve"> </w:t>
      </w:r>
      <w:r w:rsidR="00D025C6" w:rsidRPr="003E7156">
        <w:t>a</w:t>
      </w:r>
      <w:r w:rsidRPr="003E7156">
        <w:t>pplications</w:t>
      </w:r>
      <w:r w:rsidR="00D025C6" w:rsidRPr="003E7156">
        <w:t xml:space="preserve"> were received, of which </w:t>
      </w:r>
      <w:r w:rsidR="00EC3E56" w:rsidRPr="003E7156">
        <w:t xml:space="preserve">59 </w:t>
      </w:r>
      <w:r w:rsidR="00305948" w:rsidRPr="003E7156">
        <w:t xml:space="preserve">were </w:t>
      </w:r>
      <w:r w:rsidR="00890215" w:rsidRPr="003E7156">
        <w:t>approved,</w:t>
      </w:r>
      <w:r w:rsidR="00EC3E56" w:rsidRPr="003E7156">
        <w:t xml:space="preserve"> six</w:t>
      </w:r>
      <w:r w:rsidR="00890215" w:rsidRPr="003E7156">
        <w:t xml:space="preserve"> </w:t>
      </w:r>
      <w:r w:rsidR="000F230F" w:rsidRPr="003E7156">
        <w:t xml:space="preserve">were </w:t>
      </w:r>
      <w:r w:rsidR="00890215" w:rsidRPr="003E7156">
        <w:t xml:space="preserve">declined and </w:t>
      </w:r>
      <w:r w:rsidR="003A3E3A" w:rsidRPr="003E7156">
        <w:t xml:space="preserve">six </w:t>
      </w:r>
      <w:r w:rsidR="000F230F" w:rsidRPr="003E7156">
        <w:t>did not require formal approval under the Guidelines</w:t>
      </w:r>
      <w:r w:rsidR="0043601F" w:rsidRPr="003E7156">
        <w:t xml:space="preserve">. </w:t>
      </w:r>
      <w:r w:rsidR="003A3E3A" w:rsidRPr="003E7156">
        <w:t xml:space="preserve"> </w:t>
      </w:r>
    </w:p>
    <w:p w14:paraId="734F447C" w14:textId="033699A7" w:rsidR="00E05061" w:rsidRDefault="00176CCE">
      <w:r w:rsidRPr="003E7156">
        <w:t xml:space="preserve">As reported in previous assessment reports, general </w:t>
      </w:r>
      <w:r w:rsidR="00602AD5" w:rsidRPr="003E7156">
        <w:t>enquir</w:t>
      </w:r>
      <w:r w:rsidR="00A970FE">
        <w:t>i</w:t>
      </w:r>
      <w:r w:rsidR="00602AD5" w:rsidRPr="003E7156">
        <w:t xml:space="preserve">es </w:t>
      </w:r>
      <w:r w:rsidRPr="003E7156">
        <w:t xml:space="preserve">were not logged.  However, DVA has </w:t>
      </w:r>
      <w:r w:rsidR="004A2E78" w:rsidRPr="003E7156">
        <w:t xml:space="preserve">recently </w:t>
      </w:r>
      <w:r w:rsidRPr="003E7156">
        <w:t>implemented a revised method of categorising stakeholder interactions to provide a</w:t>
      </w:r>
      <w:r w:rsidR="004A2E78" w:rsidRPr="003E7156">
        <w:t xml:space="preserve"> more </w:t>
      </w:r>
      <w:r w:rsidRPr="003E7156">
        <w:t xml:space="preserve">accurate snapshot of the caseload.  This 2018/19 assessment report will reflect a combination of previous </w:t>
      </w:r>
      <w:r w:rsidR="004A2E78" w:rsidRPr="003E7156">
        <w:t>and</w:t>
      </w:r>
      <w:r w:rsidRPr="003E7156">
        <w:t xml:space="preserve"> </w:t>
      </w:r>
      <w:r w:rsidR="004A2E78" w:rsidRPr="003E7156">
        <w:t>revised</w:t>
      </w:r>
      <w:r w:rsidRPr="003E7156">
        <w:t xml:space="preserve"> methodology</w:t>
      </w:r>
      <w:r w:rsidR="004A2E78" w:rsidRPr="003E7156">
        <w:t xml:space="preserve">. </w:t>
      </w:r>
      <w:r w:rsidR="003A3E3A" w:rsidRPr="003E7156">
        <w:t xml:space="preserve"> From December 2018, inquiries are recorded as either complex or simple inquiries, and total 33 and 27 respectively for this truncated reporting period. </w:t>
      </w:r>
      <w:r w:rsidR="004A2E78" w:rsidRPr="003E7156">
        <w:t xml:space="preserve"> </w:t>
      </w:r>
      <w:r w:rsidR="00E05061" w:rsidRPr="003E7156">
        <w:t xml:space="preserve"> </w:t>
      </w:r>
    </w:p>
    <w:p w14:paraId="7123FA21" w14:textId="7B6E7D70" w:rsidR="00595C6A" w:rsidRPr="00595C6A" w:rsidRDefault="00595C6A">
      <w:r w:rsidRPr="007A7CF1">
        <w:t xml:space="preserve">Permission is also required by the Minister to import into Australia any goods that bear the word ‘Anzac’ as per the </w:t>
      </w:r>
      <w:r w:rsidRPr="007A7CF1">
        <w:rPr>
          <w:i/>
        </w:rPr>
        <w:t xml:space="preserve">Customs (Prohibited Imports) Regulations 1956.  </w:t>
      </w:r>
      <w:r w:rsidRPr="007A7CF1">
        <w:t xml:space="preserve">If an applicant requests permission to import ‘Anzac’ goods, it is considered on the same basis as any other application to use the word ‘Anzac’.  Of the 59 approved applications during this reporting period, </w:t>
      </w:r>
      <w:r w:rsidR="008D0062">
        <w:t>two</w:t>
      </w:r>
      <w:r w:rsidRPr="007A7CF1">
        <w:t xml:space="preserve"> included permission to import ‘Anzac’ goods.</w:t>
      </w:r>
      <w:r w:rsidRPr="007A7CF1">
        <w:rPr>
          <w:i/>
        </w:rPr>
        <w:t xml:space="preserve">  </w:t>
      </w:r>
    </w:p>
    <w:p w14:paraId="43033A7D" w14:textId="4B3AF45E" w:rsidR="00E43847" w:rsidRPr="003E7156" w:rsidRDefault="00D025C6" w:rsidP="00EF1832">
      <w:pPr>
        <w:pStyle w:val="Heading2"/>
        <w:spacing w:before="0" w:after="160"/>
      </w:pPr>
      <w:bookmarkStart w:id="13" w:name="_Toc464043324"/>
      <w:bookmarkStart w:id="14" w:name="_Toc464043464"/>
      <w:bookmarkStart w:id="15" w:name="_Toc465262923"/>
      <w:bookmarkStart w:id="16" w:name="_Toc19696324"/>
      <w:r w:rsidRPr="003E7156">
        <w:t xml:space="preserve">KPI 2: </w:t>
      </w:r>
      <w:r w:rsidR="00E43847" w:rsidRPr="003E7156">
        <w:t>Communications with regulated entities are clear, targeted and effective</w:t>
      </w:r>
      <w:bookmarkEnd w:id="13"/>
      <w:bookmarkEnd w:id="14"/>
      <w:bookmarkEnd w:id="15"/>
      <w:bookmarkEnd w:id="16"/>
    </w:p>
    <w:p w14:paraId="05A26224" w14:textId="6009A40E" w:rsidR="00B71334" w:rsidRDefault="00E05061" w:rsidP="00595C6A">
      <w:r w:rsidRPr="003E7156">
        <w:t>Guidelines</w:t>
      </w:r>
      <w:r w:rsidR="0052091F" w:rsidRPr="003E7156">
        <w:t xml:space="preserve"> setting out the rules governing the use of the word ‘Anzac’ are available </w:t>
      </w:r>
      <w:r w:rsidR="00D025C6" w:rsidRPr="003E7156">
        <w:t xml:space="preserve">on </w:t>
      </w:r>
      <w:r w:rsidR="0052091F" w:rsidRPr="003E7156">
        <w:t xml:space="preserve">the </w:t>
      </w:r>
      <w:r w:rsidRPr="003E7156">
        <w:t>DVA website.</w:t>
      </w:r>
      <w:r w:rsidR="00B71334">
        <w:t xml:space="preserve"> </w:t>
      </w:r>
      <w:r w:rsidR="00D025C6" w:rsidRPr="003E7156">
        <w:t xml:space="preserve"> DVA’s w</w:t>
      </w:r>
      <w:r w:rsidRPr="003E7156">
        <w:t xml:space="preserve">ebsite and </w:t>
      </w:r>
      <w:r w:rsidR="00D025C6" w:rsidRPr="003E7156">
        <w:t xml:space="preserve">the </w:t>
      </w:r>
      <w:r w:rsidRPr="003E7156">
        <w:t>Guidelines are 100 per cent compliant with government accessibility guidelines.</w:t>
      </w:r>
      <w:r w:rsidR="00B71334">
        <w:t xml:space="preserve"> </w:t>
      </w:r>
      <w:r w:rsidR="00D025C6" w:rsidRPr="003E7156">
        <w:t xml:space="preserve"> </w:t>
      </w:r>
      <w:r w:rsidR="00D3628D" w:rsidRPr="003E7156">
        <w:t xml:space="preserve">The Guidelines </w:t>
      </w:r>
      <w:r w:rsidR="00ED13ED" w:rsidRPr="003E7156">
        <w:t>have codified several protocols associated with use of the word ‘Anzac’ and assist in meeting</w:t>
      </w:r>
      <w:r w:rsidR="00D3628D" w:rsidRPr="003E7156">
        <w:t xml:space="preserve"> the requirements of KPI 2</w:t>
      </w:r>
      <w:r w:rsidR="00ED13ED" w:rsidRPr="003E7156">
        <w:t>.</w:t>
      </w:r>
      <w:r w:rsidR="00A140FA" w:rsidRPr="003E7156">
        <w:t xml:space="preserve"> </w:t>
      </w:r>
    </w:p>
    <w:p w14:paraId="4A26000C" w14:textId="77777777" w:rsidR="00595C6A" w:rsidRDefault="00E05061">
      <w:r w:rsidRPr="003E7156">
        <w:t>This includes</w:t>
      </w:r>
      <w:r w:rsidR="00B71334">
        <w:t xml:space="preserve"> various exemptions for Ministerial approval under the Regulations such as:</w:t>
      </w:r>
    </w:p>
    <w:p w14:paraId="7F76E1A7" w14:textId="77777777" w:rsidR="000E245E" w:rsidRDefault="00B71334" w:rsidP="00EF1832">
      <w:pPr>
        <w:pStyle w:val="ListParagraph"/>
        <w:numPr>
          <w:ilvl w:val="0"/>
          <w:numId w:val="20"/>
        </w:numPr>
      </w:pPr>
      <w:r w:rsidRPr="00B71334">
        <w:t xml:space="preserve">When using the words ‘Anzac Day’ in connection with events or entertainment held on </w:t>
      </w:r>
    </w:p>
    <w:p w14:paraId="0986C22A" w14:textId="7D7EAB19" w:rsidR="00595C6A" w:rsidRDefault="00B71334" w:rsidP="000E245E">
      <w:pPr>
        <w:pStyle w:val="ListParagraph"/>
      </w:pPr>
      <w:r w:rsidRPr="00B71334">
        <w:t>25 April itself, or on cons</w:t>
      </w:r>
      <w:r>
        <w:t>ecutive days including 25 April;</w:t>
      </w:r>
    </w:p>
    <w:p w14:paraId="3D3B3335" w14:textId="77777777" w:rsidR="00595C6A" w:rsidRDefault="00B71334" w:rsidP="00EF1832">
      <w:pPr>
        <w:pStyle w:val="ListParagraph"/>
        <w:numPr>
          <w:ilvl w:val="0"/>
          <w:numId w:val="20"/>
        </w:numPr>
      </w:pPr>
      <w:r>
        <w:t>When naming a street, road or park containing (or near) a memorial to the First or Second World War;</w:t>
      </w:r>
    </w:p>
    <w:p w14:paraId="5C5366B7" w14:textId="77777777" w:rsidR="00595C6A" w:rsidRDefault="00B71334" w:rsidP="00EF1832">
      <w:pPr>
        <w:pStyle w:val="ListParagraph"/>
        <w:numPr>
          <w:ilvl w:val="0"/>
          <w:numId w:val="20"/>
        </w:numPr>
      </w:pPr>
      <w:r>
        <w:t>When naming a memorial, or using the word ‘Anzac’ on a memorial plaque;</w:t>
      </w:r>
    </w:p>
    <w:p w14:paraId="7B67085D" w14:textId="77777777" w:rsidR="00595C6A" w:rsidRDefault="00B71334" w:rsidP="00EF1832">
      <w:pPr>
        <w:pStyle w:val="ListParagraph"/>
        <w:numPr>
          <w:ilvl w:val="0"/>
          <w:numId w:val="20"/>
        </w:numPr>
      </w:pPr>
      <w:r>
        <w:t>When using the word ‘Anzac’ in a personal manner, such as the naming of a child or pet;</w:t>
      </w:r>
    </w:p>
    <w:p w14:paraId="1E0A4050" w14:textId="77777777" w:rsidR="00595C6A" w:rsidRDefault="00B71334" w:rsidP="00EF1832">
      <w:pPr>
        <w:pStyle w:val="ListParagraph"/>
        <w:numPr>
          <w:ilvl w:val="0"/>
          <w:numId w:val="20"/>
        </w:numPr>
      </w:pPr>
      <w:r>
        <w:t>When producing a book or poem, on the condition that the party producing the book or poem is not a professional writer and the content of the book or poem is historical in nature; and</w:t>
      </w:r>
    </w:p>
    <w:p w14:paraId="6F22056F" w14:textId="71D1F0A8" w:rsidR="00B71334" w:rsidRDefault="00B71334" w:rsidP="00EF1832">
      <w:pPr>
        <w:pStyle w:val="ListParagraph"/>
        <w:numPr>
          <w:ilvl w:val="0"/>
          <w:numId w:val="20"/>
        </w:numPr>
      </w:pPr>
      <w:r>
        <w:t>When the word ‘Anzac’ is used outside Australia.</w:t>
      </w:r>
    </w:p>
    <w:p w14:paraId="6B139367" w14:textId="70ED8F3C" w:rsidR="00E05061" w:rsidRPr="003E7156" w:rsidRDefault="008A618F">
      <w:r w:rsidRPr="003E7156">
        <w:t xml:space="preserve">The publication of the </w:t>
      </w:r>
      <w:r w:rsidR="00D3628D" w:rsidRPr="003E7156">
        <w:t>Guidelines</w:t>
      </w:r>
      <w:r w:rsidR="001733F3" w:rsidRPr="003E7156">
        <w:t xml:space="preserve"> </w:t>
      </w:r>
      <w:r w:rsidRPr="003E7156">
        <w:t xml:space="preserve">on the DVA website eliminated a significant workload associated with answering general </w:t>
      </w:r>
      <w:r w:rsidR="00602AD5" w:rsidRPr="003E7156">
        <w:t>enquiries</w:t>
      </w:r>
      <w:r w:rsidRPr="003E7156">
        <w:t xml:space="preserve"> </w:t>
      </w:r>
      <w:r w:rsidR="001733F3" w:rsidRPr="003E7156">
        <w:t xml:space="preserve">on use of the word </w:t>
      </w:r>
      <w:r w:rsidR="00602AD5" w:rsidRPr="003E7156">
        <w:t>‘</w:t>
      </w:r>
      <w:r w:rsidR="001733F3" w:rsidRPr="003E7156">
        <w:t>Anzac</w:t>
      </w:r>
      <w:r w:rsidR="00602AD5" w:rsidRPr="003E7156">
        <w:t>’</w:t>
      </w:r>
      <w:r w:rsidRPr="003E7156">
        <w:t>.</w:t>
      </w:r>
      <w:r w:rsidR="00B71334">
        <w:t xml:space="preserve"> </w:t>
      </w:r>
      <w:r w:rsidR="00D3628D" w:rsidRPr="003E7156">
        <w:t xml:space="preserve"> </w:t>
      </w:r>
      <w:r w:rsidR="00E05061" w:rsidRPr="003E7156">
        <w:t xml:space="preserve">DVA does not record detailed information </w:t>
      </w:r>
      <w:r w:rsidRPr="003E7156">
        <w:t xml:space="preserve">on </w:t>
      </w:r>
      <w:r w:rsidR="00E05061" w:rsidRPr="003E7156">
        <w:t xml:space="preserve">decision-making times. </w:t>
      </w:r>
      <w:r w:rsidR="00FA681D">
        <w:t xml:space="preserve"> </w:t>
      </w:r>
      <w:r w:rsidR="00E05061" w:rsidRPr="003E7156">
        <w:t>Rather, the time between an applicant’s first contact with DVA and a response is recorded.</w:t>
      </w:r>
      <w:r w:rsidR="00B71334">
        <w:t xml:space="preserve"> </w:t>
      </w:r>
      <w:r w:rsidR="00E05061" w:rsidRPr="003E7156">
        <w:t xml:space="preserve"> Clarification is often required of an initial enquiry and it is often some time before an application is made in terms </w:t>
      </w:r>
      <w:r w:rsidR="00602AD5" w:rsidRPr="003E7156">
        <w:t xml:space="preserve">that </w:t>
      </w:r>
      <w:r w:rsidR="00E05061" w:rsidRPr="003E7156">
        <w:t>a decision-maker is able to assess.</w:t>
      </w:r>
      <w:r w:rsidR="00B71334">
        <w:t xml:space="preserve"> </w:t>
      </w:r>
      <w:r w:rsidR="00E05061" w:rsidRPr="003E7156">
        <w:t xml:space="preserve"> No feedback has been recorded regarding the timeliness of decisions.</w:t>
      </w:r>
    </w:p>
    <w:p w14:paraId="5D54807A" w14:textId="77777777" w:rsidR="00E43847" w:rsidRPr="003E7156" w:rsidRDefault="00D025C6" w:rsidP="00EF1832">
      <w:pPr>
        <w:pStyle w:val="Heading2"/>
        <w:spacing w:before="0" w:after="160"/>
      </w:pPr>
      <w:bookmarkStart w:id="17" w:name="_Toc464043325"/>
      <w:bookmarkStart w:id="18" w:name="_Toc464043465"/>
      <w:bookmarkStart w:id="19" w:name="_Toc465262924"/>
      <w:bookmarkStart w:id="20" w:name="_Toc19696325"/>
      <w:r w:rsidRPr="003E7156">
        <w:t xml:space="preserve">KPI 3: </w:t>
      </w:r>
      <w:r w:rsidR="00E43847" w:rsidRPr="003E7156">
        <w:t>Actions undertaken by regulators are proportionate to the regulatory risk being managed</w:t>
      </w:r>
      <w:bookmarkEnd w:id="17"/>
      <w:bookmarkEnd w:id="18"/>
      <w:bookmarkEnd w:id="19"/>
      <w:bookmarkEnd w:id="20"/>
    </w:p>
    <w:p w14:paraId="0DD1AB14" w14:textId="4553DF22" w:rsidR="00D025C6" w:rsidRPr="003E7156" w:rsidRDefault="00D025C6" w:rsidP="00595C6A">
      <w:r w:rsidRPr="003E7156">
        <w:t>Risk associated with the Regulations is low.</w:t>
      </w:r>
      <w:r w:rsidR="00B71334">
        <w:t xml:space="preserve"> </w:t>
      </w:r>
      <w:r w:rsidRPr="003E7156">
        <w:t xml:space="preserve"> All decisions on applications</w:t>
      </w:r>
      <w:r w:rsidR="0064279A">
        <w:t xml:space="preserve"> to use the word ‘Anzac’</w:t>
      </w:r>
      <w:r w:rsidRPr="003E7156">
        <w:t xml:space="preserve"> are made by the Minister</w:t>
      </w:r>
      <w:r w:rsidR="0064279A">
        <w:t>,</w:t>
      </w:r>
      <w:r w:rsidRPr="003E7156">
        <w:t xml:space="preserve"> or by a senior officer of DVA to whom the Minister has delegated the authority to make routine decisions. </w:t>
      </w:r>
      <w:r w:rsidR="0064279A">
        <w:t xml:space="preserve"> </w:t>
      </w:r>
      <w:r w:rsidRPr="003E7156">
        <w:t>Recommendations regarding decisions are based on precedent.</w:t>
      </w:r>
      <w:r w:rsidR="0064279A">
        <w:t xml:space="preserve"> </w:t>
      </w:r>
      <w:r w:rsidRPr="003E7156">
        <w:t xml:space="preserve"> As a result, there are limited risk management actions that need to be taken around applications to use the word ‘Anzac’. </w:t>
      </w:r>
    </w:p>
    <w:p w14:paraId="3F9CE12D" w14:textId="50EE5C27" w:rsidR="00E05061" w:rsidRDefault="00E05061">
      <w:r w:rsidRPr="003E7156">
        <w:t xml:space="preserve">As the rules </w:t>
      </w:r>
      <w:r w:rsidR="00FD6999" w:rsidRPr="003E7156">
        <w:t>associated</w:t>
      </w:r>
      <w:r w:rsidRPr="003E7156">
        <w:t xml:space="preserve"> </w:t>
      </w:r>
      <w:r w:rsidR="00602AD5" w:rsidRPr="003E7156">
        <w:t xml:space="preserve">with </w:t>
      </w:r>
      <w:r w:rsidRPr="003E7156">
        <w:t>the word ‘Anzac’ are not well known, there exists a risk of businesses and members of the public misusing the word ‘Anzac’ unintentionally.</w:t>
      </w:r>
      <w:r w:rsidR="0064279A">
        <w:t xml:space="preserve"> </w:t>
      </w:r>
      <w:r w:rsidRPr="003E7156">
        <w:t xml:space="preserve"> This happens multiple times each year, with a significant increase around Anzac Day and Remembrance Day.</w:t>
      </w:r>
      <w:r w:rsidR="0064279A">
        <w:t xml:space="preserve"> </w:t>
      </w:r>
      <w:r w:rsidRPr="003E7156">
        <w:t xml:space="preserve"> The Guidelines outline what penalties are associated with misusing the word ‘Anzac’.</w:t>
      </w:r>
      <w:r w:rsidR="0064279A">
        <w:t xml:space="preserve"> </w:t>
      </w:r>
      <w:r w:rsidRPr="003E7156">
        <w:t xml:space="preserve"> During the reporting period, DVA took </w:t>
      </w:r>
      <w:r w:rsidR="00102629" w:rsidRPr="003E7156">
        <w:t xml:space="preserve">17 </w:t>
      </w:r>
      <w:r w:rsidR="00EF1832">
        <w:t>compliance</w:t>
      </w:r>
      <w:r w:rsidRPr="003E7156">
        <w:t xml:space="preserve"> actions, which involved DVA staff contacting offending parties, noting the rules around the word ‘Anzac’ and the penalties for misuse.</w:t>
      </w:r>
      <w:r w:rsidR="0064279A">
        <w:t xml:space="preserve"> </w:t>
      </w:r>
      <w:r w:rsidRPr="003E7156">
        <w:t xml:space="preserve"> In all but a few cases during the reporting period, offending parties were quick to note their ignorance</w:t>
      </w:r>
      <w:r>
        <w:t xml:space="preserve"> of the Regulations and remove the offending content.</w:t>
      </w:r>
    </w:p>
    <w:p w14:paraId="00775D0F" w14:textId="77777777" w:rsidR="00E05061" w:rsidRDefault="00E05061">
      <w:r>
        <w:t xml:space="preserve">No legal action was required or taken during the reporting period. Indeed, departmental records show that </w:t>
      </w:r>
      <w:r w:rsidR="00747628">
        <w:t xml:space="preserve">prosecution </w:t>
      </w:r>
      <w:r>
        <w:t>action to enforce the Regulations is a rare occurrence.</w:t>
      </w:r>
    </w:p>
    <w:p w14:paraId="071C4E16" w14:textId="3DA3E6BB" w:rsidR="00D025C6" w:rsidRPr="00E43847" w:rsidRDefault="007C039F">
      <w:r>
        <w:t>G</w:t>
      </w:r>
      <w:r w:rsidR="00E05061" w:rsidRPr="00E05061">
        <w:t>overnance arrangements</w:t>
      </w:r>
      <w:r>
        <w:t xml:space="preserve"> and sanctions</w:t>
      </w:r>
      <w:r w:rsidR="00E05061" w:rsidRPr="00E05061">
        <w:t xml:space="preserve"> </w:t>
      </w:r>
      <w:r>
        <w:t xml:space="preserve">associated with the </w:t>
      </w:r>
      <w:r w:rsidR="00E05061" w:rsidRPr="00E05061">
        <w:t>use</w:t>
      </w:r>
      <w:r w:rsidR="00747628">
        <w:t xml:space="preserve"> of</w:t>
      </w:r>
      <w:r w:rsidR="00E05061" w:rsidRPr="00E05061">
        <w:t xml:space="preserve"> the word ‘Anzac’ are</w:t>
      </w:r>
      <w:r>
        <w:t xml:space="preserve"> outlined in the Guidelines,</w:t>
      </w:r>
      <w:r w:rsidR="00E05061" w:rsidRPr="00E05061">
        <w:t xml:space="preserve"> provid</w:t>
      </w:r>
      <w:r>
        <w:t>ing</w:t>
      </w:r>
      <w:r w:rsidR="00E05061" w:rsidRPr="00E05061">
        <w:t xml:space="preserve"> adequate information to potential applicants and those already complying with the Regulations</w:t>
      </w:r>
      <w:r>
        <w:t>.</w:t>
      </w:r>
    </w:p>
    <w:p w14:paraId="63EC565D" w14:textId="77777777" w:rsidR="00E43847" w:rsidRDefault="00B33A0B" w:rsidP="00EF1832">
      <w:pPr>
        <w:pStyle w:val="Heading2"/>
        <w:spacing w:before="0" w:after="160"/>
      </w:pPr>
      <w:bookmarkStart w:id="21" w:name="_Toc464043326"/>
      <w:bookmarkStart w:id="22" w:name="_Toc464043466"/>
      <w:bookmarkStart w:id="23" w:name="_Toc465262925"/>
      <w:bookmarkStart w:id="24" w:name="_Toc19696326"/>
      <w:r>
        <w:t xml:space="preserve">KPI 4: </w:t>
      </w:r>
      <w:r w:rsidR="00E43847" w:rsidRPr="00E43847">
        <w:t>Compliance and monitoring approaches are streamlined and coordinated</w:t>
      </w:r>
      <w:bookmarkEnd w:id="21"/>
      <w:bookmarkEnd w:id="22"/>
      <w:bookmarkEnd w:id="23"/>
      <w:bookmarkEnd w:id="24"/>
    </w:p>
    <w:p w14:paraId="7CBA2CB6" w14:textId="725AB890" w:rsidR="00FD6999" w:rsidRDefault="00E05061" w:rsidP="00595C6A">
      <w:r>
        <w:t xml:space="preserve">DVA maintains a good relationship </w:t>
      </w:r>
      <w:r w:rsidR="00FD6999">
        <w:t xml:space="preserve">and shares information </w:t>
      </w:r>
      <w:r>
        <w:t>with the Army Brand Manager’s (ABM) Office.</w:t>
      </w:r>
      <w:r w:rsidR="0064279A">
        <w:t xml:space="preserve"> </w:t>
      </w:r>
      <w:r>
        <w:t xml:space="preserve"> This is because the imagery controlled by the ABM (the Rising Sun Badge and other </w:t>
      </w:r>
      <w:r w:rsidR="00B65A4F">
        <w:t>Army</w:t>
      </w:r>
      <w:r>
        <w:t xml:space="preserve"> Logos) will often be used alongside the word ‘Anzac’, especially by unauthorised </w:t>
      </w:r>
      <w:r w:rsidR="001733F3">
        <w:t>people</w:t>
      </w:r>
      <w:r>
        <w:t xml:space="preserve">. </w:t>
      </w:r>
    </w:p>
    <w:p w14:paraId="0D5236C9" w14:textId="27CCC8C4" w:rsidR="00982371" w:rsidRPr="00595C6A" w:rsidRDefault="00E05061" w:rsidP="00EF1832">
      <w:r w:rsidRPr="003E7156">
        <w:t xml:space="preserve">DVA </w:t>
      </w:r>
      <w:r w:rsidR="009135E6" w:rsidRPr="003E7156">
        <w:t>does</w:t>
      </w:r>
      <w:r w:rsidR="009B28F1" w:rsidRPr="003E7156">
        <w:t xml:space="preserve"> provide</w:t>
      </w:r>
      <w:r w:rsidRPr="003E7156">
        <w:t xml:space="preserve"> autonomy </w:t>
      </w:r>
      <w:r w:rsidR="009B28F1" w:rsidRPr="003E7156">
        <w:t xml:space="preserve">to organisations </w:t>
      </w:r>
      <w:r w:rsidR="009135E6" w:rsidRPr="003E7156">
        <w:t>to</w:t>
      </w:r>
      <w:r w:rsidR="009B28F1" w:rsidRPr="003E7156">
        <w:t xml:space="preserve"> use the word ‘Anzac’ where they are able to demonstrate </w:t>
      </w:r>
      <w:r w:rsidR="009135E6" w:rsidRPr="003E7156">
        <w:t xml:space="preserve">that they have </w:t>
      </w:r>
      <w:r w:rsidR="009B28F1" w:rsidRPr="003E7156">
        <w:t>adequate controls to ensure that its use is strictly in accordance with the Regulations</w:t>
      </w:r>
      <w:r w:rsidRPr="003E7156">
        <w:t>.</w:t>
      </w:r>
      <w:r w:rsidR="00136ECA" w:rsidRPr="003E7156">
        <w:t xml:space="preserve">  For example, t</w:t>
      </w:r>
      <w:r w:rsidRPr="003E7156">
        <w:t xml:space="preserve">he RSL </w:t>
      </w:r>
      <w:r w:rsidR="00136ECA" w:rsidRPr="003E7156">
        <w:t xml:space="preserve">has </w:t>
      </w:r>
      <w:r w:rsidRPr="003E7156">
        <w:t>broad permission to use the word ‘Anzac’ in connection with the ‘Anzac Appeal’, an annual fundraising event.</w:t>
      </w:r>
      <w:r w:rsidR="0064279A">
        <w:t xml:space="preserve"> </w:t>
      </w:r>
      <w:r w:rsidRPr="003E7156">
        <w:t xml:space="preserve"> This allows the RSL to handle standard Anzac Appeal business without the hindrance of seeking permission to use the word ‘Anzac’ for any new promotions or merchandise.</w:t>
      </w:r>
      <w:r w:rsidR="00595C6A">
        <w:t xml:space="preserve">  It is worth noting that as per the </w:t>
      </w:r>
      <w:r w:rsidR="00595C6A" w:rsidRPr="00EF1832">
        <w:rPr>
          <w:i/>
        </w:rPr>
        <w:t>Customs (Prohibited Imports) Regulations 1956</w:t>
      </w:r>
      <w:r w:rsidR="00595C6A">
        <w:rPr>
          <w:i/>
        </w:rPr>
        <w:t xml:space="preserve">, </w:t>
      </w:r>
      <w:r w:rsidR="00595C6A">
        <w:t>the RSL still require Ministerial authority to import goods on an item specific basis.</w:t>
      </w:r>
    </w:p>
    <w:p w14:paraId="260C6974" w14:textId="4D03574A" w:rsidR="007F7EF4" w:rsidRPr="003E7156" w:rsidRDefault="007F7EF4" w:rsidP="00595C6A">
      <w:r w:rsidRPr="003E7156">
        <w:t>DVA has also granted a level of autonomy to those organisations whose domain names include the word ‘Anzac’ in the context of the geographic location of the business to a street, road, avenue, or similar that is named ‘Anzac’.  For example, as a hypothetical, a restaurant located on Anzac Avenue may request approval to use the word ‘Anzac’ in their website and domain name ‘</w:t>
      </w:r>
      <w:r w:rsidRPr="003E7156">
        <w:rPr>
          <w:i/>
        </w:rPr>
        <w:t>www.restaurantonanzacparade.com.au’</w:t>
      </w:r>
      <w:r w:rsidRPr="003E7156">
        <w:t>.  In these types of scenarios</w:t>
      </w:r>
      <w:r w:rsidR="003D4061">
        <w:t>,</w:t>
      </w:r>
      <w:r w:rsidRPr="003E7156">
        <w:t xml:space="preserve"> DVA may grant a level of autonomy, provided that the organisation and nature of the business meets community expectations in using the word ‘Anzac’. </w:t>
      </w:r>
    </w:p>
    <w:p w14:paraId="453655F7" w14:textId="596B7E6C" w:rsidR="00E05061" w:rsidRDefault="00F25388" w:rsidP="00EF1832">
      <w:r w:rsidRPr="003E7156">
        <w:t>During this assessment period, t</w:t>
      </w:r>
      <w:r w:rsidR="00136ECA" w:rsidRPr="003E7156">
        <w:t xml:space="preserve">he </w:t>
      </w:r>
      <w:r w:rsidRPr="003E7156">
        <w:t xml:space="preserve">use of the word ‘Anzac’ in </w:t>
      </w:r>
      <w:r w:rsidR="00136ECA" w:rsidRPr="003E7156">
        <w:t>domain name</w:t>
      </w:r>
      <w:r w:rsidRPr="003E7156">
        <w:t>s</w:t>
      </w:r>
      <w:r w:rsidR="0025391E" w:rsidRPr="003E7156">
        <w:t xml:space="preserve">, coupled with </w:t>
      </w:r>
      <w:r w:rsidR="00982371" w:rsidRPr="003E7156">
        <w:t xml:space="preserve">complaints about </w:t>
      </w:r>
      <w:r w:rsidR="0025391E" w:rsidRPr="003E7156">
        <w:t xml:space="preserve">the </w:t>
      </w:r>
      <w:r w:rsidRPr="003E7156">
        <w:t xml:space="preserve">rise </w:t>
      </w:r>
      <w:r w:rsidR="0025391E" w:rsidRPr="003E7156">
        <w:t xml:space="preserve">of social media </w:t>
      </w:r>
      <w:r w:rsidRPr="003E7156">
        <w:t xml:space="preserve">use </w:t>
      </w:r>
      <w:r w:rsidR="0025391E" w:rsidRPr="003E7156">
        <w:t xml:space="preserve">in </w:t>
      </w:r>
      <w:r w:rsidRPr="003E7156">
        <w:t>‘Anzac’ related advertising campaigns,</w:t>
      </w:r>
      <w:r w:rsidR="00136ECA" w:rsidRPr="003E7156">
        <w:t xml:space="preserve"> highlighted </w:t>
      </w:r>
      <w:r w:rsidRPr="003E7156">
        <w:t xml:space="preserve">the </w:t>
      </w:r>
      <w:r w:rsidR="00982371" w:rsidRPr="003E7156">
        <w:t>enduring</w:t>
      </w:r>
      <w:r w:rsidR="007F7EF4" w:rsidRPr="003E7156">
        <w:t>,</w:t>
      </w:r>
      <w:r w:rsidR="00982371" w:rsidRPr="003E7156">
        <w:t xml:space="preserve"> </w:t>
      </w:r>
      <w:r w:rsidR="00F46FC6" w:rsidRPr="003E7156">
        <w:t>strong</w:t>
      </w:r>
      <w:r w:rsidR="00136ECA" w:rsidRPr="003E7156">
        <w:t xml:space="preserve"> community sentiment around use of the word ‘Anzac’</w:t>
      </w:r>
      <w:r w:rsidR="007F7EF4" w:rsidRPr="003E7156">
        <w:t>, even</w:t>
      </w:r>
      <w:r w:rsidRPr="003E7156">
        <w:t xml:space="preserve"> </w:t>
      </w:r>
      <w:r w:rsidR="00982371" w:rsidRPr="003E7156">
        <w:t xml:space="preserve">after </w:t>
      </w:r>
      <w:r w:rsidRPr="003E7156">
        <w:t xml:space="preserve">the conclusion of the Centenary of Anzac events. </w:t>
      </w:r>
      <w:r w:rsidR="00F46FC6" w:rsidRPr="003E7156">
        <w:t xml:space="preserve"> </w:t>
      </w:r>
      <w:r w:rsidRPr="003E7156">
        <w:t>DVA closely examines t</w:t>
      </w:r>
      <w:r w:rsidR="0025391E" w:rsidRPr="003E7156">
        <w:t xml:space="preserve">he risks of granting autonomy to organisations </w:t>
      </w:r>
      <w:r w:rsidRPr="003E7156">
        <w:t xml:space="preserve">and ongoing careful consideration is necessary before doing so, while balancing the needs of stakeholders and meeting community expectations. </w:t>
      </w:r>
      <w:r w:rsidR="00982371" w:rsidRPr="003E7156">
        <w:t xml:space="preserve"> </w:t>
      </w:r>
      <w:r w:rsidR="00E05061" w:rsidRPr="003E7156">
        <w:t xml:space="preserve">DVA will </w:t>
      </w:r>
      <w:r w:rsidR="008A6C8B" w:rsidRPr="003E7156">
        <w:t xml:space="preserve">continue to </w:t>
      </w:r>
      <w:r w:rsidR="00440284" w:rsidRPr="003E7156">
        <w:t xml:space="preserve">carefully monitor </w:t>
      </w:r>
      <w:r w:rsidR="00E05061" w:rsidRPr="003E7156">
        <w:t>any organisation granted broad permission to use the word ‘Anzac’.</w:t>
      </w:r>
    </w:p>
    <w:p w14:paraId="42F63305" w14:textId="77777777" w:rsidR="00E43847" w:rsidRPr="00E43847" w:rsidRDefault="00B33A0B" w:rsidP="00EF1832">
      <w:pPr>
        <w:pStyle w:val="Heading2"/>
        <w:spacing w:before="0" w:after="160"/>
      </w:pPr>
      <w:bookmarkStart w:id="25" w:name="_Toc464043327"/>
      <w:bookmarkStart w:id="26" w:name="_Toc464043467"/>
      <w:bookmarkStart w:id="27" w:name="_Toc465262926"/>
      <w:bookmarkStart w:id="28" w:name="_Toc19696327"/>
      <w:r>
        <w:t xml:space="preserve">KPI5: </w:t>
      </w:r>
      <w:r w:rsidR="00E43847" w:rsidRPr="00E43847">
        <w:t>Regulators are open and transparent in their dealings with regulated entities</w:t>
      </w:r>
      <w:bookmarkEnd w:id="25"/>
      <w:bookmarkEnd w:id="26"/>
      <w:bookmarkEnd w:id="27"/>
      <w:bookmarkEnd w:id="28"/>
    </w:p>
    <w:p w14:paraId="7A102AB1" w14:textId="77777777" w:rsidR="00E05061" w:rsidRDefault="00E05061" w:rsidP="00595C6A">
      <w:r w:rsidRPr="00E05061">
        <w:t xml:space="preserve">DVA’s enforcement strategy is </w:t>
      </w:r>
      <w:r w:rsidR="00FD6999">
        <w:t>outlined</w:t>
      </w:r>
      <w:r w:rsidR="00FD6999" w:rsidRPr="00E05061">
        <w:t xml:space="preserve"> </w:t>
      </w:r>
      <w:r w:rsidRPr="00E05061">
        <w:t xml:space="preserve">in the Guidelines, which are publicly available. While the Guidelines do not include information on the number of applications approved, these </w:t>
      </w:r>
      <w:r w:rsidR="008A6C8B">
        <w:t>details</w:t>
      </w:r>
      <w:r w:rsidR="008A6C8B" w:rsidRPr="00E05061">
        <w:t xml:space="preserve"> </w:t>
      </w:r>
      <w:r w:rsidRPr="00E05061">
        <w:t xml:space="preserve">are </w:t>
      </w:r>
      <w:r w:rsidR="008A6C8B">
        <w:t>maintained</w:t>
      </w:r>
      <w:r w:rsidR="00992849">
        <w:t xml:space="preserve"> as part of the Framework</w:t>
      </w:r>
      <w:r w:rsidR="008A6C8B">
        <w:t>.</w:t>
      </w:r>
    </w:p>
    <w:p w14:paraId="5942CD5F" w14:textId="77777777" w:rsidR="00FD6999" w:rsidRDefault="008A6C8B">
      <w:r>
        <w:t>DVA ha</w:t>
      </w:r>
      <w:r w:rsidR="00FD6999">
        <w:t>s</w:t>
      </w:r>
      <w:r>
        <w:t xml:space="preserve"> not received any direct feedback on the Guidelines. It can be assumed that</w:t>
      </w:r>
      <w:r w:rsidR="00E31E90">
        <w:t>,</w:t>
      </w:r>
      <w:r>
        <w:t xml:space="preserve"> based on the quality of the application</w:t>
      </w:r>
      <w:r w:rsidR="00E31E90">
        <w:t>s</w:t>
      </w:r>
      <w:r>
        <w:t xml:space="preserve"> submitted,</w:t>
      </w:r>
      <w:r w:rsidR="00E31E90">
        <w:t xml:space="preserve"> </w:t>
      </w:r>
      <w:r>
        <w:t xml:space="preserve">the Guidelines are helpful to regulated entities. </w:t>
      </w:r>
    </w:p>
    <w:p w14:paraId="566B1A0D" w14:textId="77777777" w:rsidR="00E43847" w:rsidRPr="00E43847" w:rsidRDefault="00B33A0B" w:rsidP="00EF1832">
      <w:pPr>
        <w:pStyle w:val="Heading2"/>
        <w:spacing w:before="0" w:after="160"/>
      </w:pPr>
      <w:bookmarkStart w:id="29" w:name="_Toc464043328"/>
      <w:bookmarkStart w:id="30" w:name="_Toc464043468"/>
      <w:bookmarkStart w:id="31" w:name="_Toc465262927"/>
      <w:bookmarkStart w:id="32" w:name="_Toc19696328"/>
      <w:r>
        <w:t xml:space="preserve">KPI 6: </w:t>
      </w:r>
      <w:r w:rsidR="00E43847" w:rsidRPr="00E43847">
        <w:t>Regulators actively contribute to the continuous improvement of regulatory frameworks</w:t>
      </w:r>
      <w:bookmarkEnd w:id="29"/>
      <w:bookmarkEnd w:id="30"/>
      <w:bookmarkEnd w:id="31"/>
      <w:bookmarkEnd w:id="32"/>
    </w:p>
    <w:p w14:paraId="75F9ED02" w14:textId="68ED59A5" w:rsidR="00595C6A" w:rsidRDefault="00595C6A" w:rsidP="00595C6A">
      <w:r>
        <w:t xml:space="preserve">DVA is committed to the continuous improvement of the Regulations.  For example, departmental staff recently met with representatives of the Australian Border Force </w:t>
      </w:r>
      <w:r w:rsidR="00C776B9">
        <w:t xml:space="preserve">(ABF) </w:t>
      </w:r>
      <w:r>
        <w:t>operated by the Department of Home Affairs to discuss</w:t>
      </w:r>
      <w:r w:rsidR="00C776B9">
        <w:t xml:space="preserve"> the Border Permits Review</w:t>
      </w:r>
      <w:r w:rsidR="005F0F1B">
        <w:t xml:space="preserve"> (BPF)</w:t>
      </w:r>
      <w:r w:rsidR="00C776B9">
        <w:t>.  The</w:t>
      </w:r>
      <w:r w:rsidR="005F0F1B">
        <w:t xml:space="preserve"> BPF aims to </w:t>
      </w:r>
      <w:r w:rsidR="005F0F1B" w:rsidRPr="005F0F1B">
        <w:t>create a future international trade system for Australia that is seamless, digita</w:t>
      </w:r>
      <w:r w:rsidR="005F0F1B">
        <w:t xml:space="preserve">l, automated and user-friendly.  </w:t>
      </w:r>
      <w:r w:rsidR="005F0F1B" w:rsidRPr="005F0F1B">
        <w:t>This will ensure the international competiveness of Australia</w:t>
      </w:r>
      <w:r w:rsidR="005F0F1B">
        <w:t xml:space="preserve">n businesses and strengthen </w:t>
      </w:r>
      <w:r w:rsidR="005F0F1B" w:rsidRPr="005F0F1B">
        <w:t>border integrity.</w:t>
      </w:r>
      <w:r w:rsidR="005F0F1B">
        <w:t xml:space="preserve">  DVA provided input into this process and have since been advised that a public consultation process has occurred and the BPF team are now considering possible recommendations based on analysis of public submissions and meetings with various permit issuing agencies (such as DVA).</w:t>
      </w:r>
    </w:p>
    <w:p w14:paraId="7494FB49" w14:textId="451A32D2" w:rsidR="00C035F6" w:rsidRDefault="00C035F6" w:rsidP="00595C6A">
      <w:r w:rsidRPr="00C035F6">
        <w:t xml:space="preserve">Based on feedback from several stakeholders, an application form </w:t>
      </w:r>
      <w:r w:rsidR="00394583">
        <w:t>to use the word</w:t>
      </w:r>
      <w:r w:rsidRPr="00C035F6">
        <w:t xml:space="preserve"> ‘Anzac’ would remove some confusion about the type of information DVA requires, rather than relying on dot points in the Guidelines.</w:t>
      </w:r>
      <w:r w:rsidR="00394583">
        <w:t xml:space="preserve">  DVA have consulted with the relevant area to have an application form developed, and </w:t>
      </w:r>
      <w:r w:rsidR="00EF1832">
        <w:t xml:space="preserve">has been </w:t>
      </w:r>
      <w:r w:rsidR="00394583">
        <w:t>uploaded to the DVA website for use</w:t>
      </w:r>
      <w:r w:rsidR="00EF1832">
        <w:t>.</w:t>
      </w:r>
    </w:p>
    <w:p w14:paraId="6FACD1CC" w14:textId="1CB7203F" w:rsidR="00595C6A" w:rsidRDefault="00E05061" w:rsidP="00595C6A">
      <w:r w:rsidRPr="00E05061">
        <w:t xml:space="preserve">Feedback mechanisms, including how to </w:t>
      </w:r>
      <w:r w:rsidR="008A6C8B">
        <w:t>appeal</w:t>
      </w:r>
      <w:r w:rsidRPr="00E05061">
        <w:t xml:space="preserve"> a decision, are available in the </w:t>
      </w:r>
      <w:r w:rsidR="00FD6999">
        <w:t>G</w:t>
      </w:r>
      <w:r w:rsidRPr="00E05061">
        <w:t xml:space="preserve">uidelines. </w:t>
      </w:r>
    </w:p>
    <w:p w14:paraId="65D34B73" w14:textId="2A330D50" w:rsidR="002F0CD8" w:rsidRDefault="00E31E90">
      <w:r>
        <w:t>Documented p</w:t>
      </w:r>
      <w:r w:rsidR="00FD6999">
        <w:t>roce</w:t>
      </w:r>
      <w:r>
        <w:t>dures and</w:t>
      </w:r>
      <w:r w:rsidR="00FD6999">
        <w:t xml:space="preserve"> </w:t>
      </w:r>
      <w:r w:rsidR="009135E6">
        <w:t xml:space="preserve">use of </w:t>
      </w:r>
      <w:r w:rsidR="00FD6999">
        <w:t>templates</w:t>
      </w:r>
      <w:r>
        <w:t xml:space="preserve"> assist in ensuring </w:t>
      </w:r>
      <w:r w:rsidR="002E1037">
        <w:t xml:space="preserve">clarity, consistency and </w:t>
      </w:r>
      <w:r w:rsidR="00E05061" w:rsidRPr="00E05061">
        <w:t>continuity</w:t>
      </w:r>
      <w:r w:rsidR="002E1037">
        <w:t xml:space="preserve"> in how applications </w:t>
      </w:r>
      <w:r w:rsidR="00C035F6">
        <w:t>to</w:t>
      </w:r>
      <w:r w:rsidR="002E1037">
        <w:t xml:space="preserve"> use the word ‘Anzac’ are processed</w:t>
      </w:r>
      <w:r w:rsidR="00E05061" w:rsidRPr="00E05061">
        <w:t>.</w:t>
      </w:r>
    </w:p>
    <w:p w14:paraId="760255BD" w14:textId="77777777" w:rsidR="00B33A0B" w:rsidRDefault="00B33A0B">
      <w:pPr>
        <w:rPr>
          <w:rFonts w:asciiTheme="majorHAnsi" w:eastAsiaTheme="majorEastAsia" w:hAnsiTheme="majorHAnsi" w:cstheme="majorBidi"/>
          <w:color w:val="2E74B5" w:themeColor="accent1" w:themeShade="BF"/>
          <w:sz w:val="32"/>
          <w:szCs w:val="32"/>
        </w:rPr>
      </w:pPr>
      <w:bookmarkStart w:id="33" w:name="_Toc464043329"/>
      <w:bookmarkStart w:id="34" w:name="_Toc464043469"/>
      <w:r>
        <w:br w:type="page"/>
      </w:r>
    </w:p>
    <w:p w14:paraId="52A02121" w14:textId="77777777" w:rsidR="0012517C" w:rsidRDefault="0012517C" w:rsidP="00E43847">
      <w:pPr>
        <w:pStyle w:val="Heading1"/>
      </w:pPr>
      <w:bookmarkStart w:id="35" w:name="_Toc465262928"/>
      <w:bookmarkStart w:id="36" w:name="_Toc19696329"/>
      <w:r>
        <w:t>Appendix A: Key performance indicators</w:t>
      </w:r>
      <w:bookmarkEnd w:id="35"/>
      <w:bookmarkEnd w:id="36"/>
    </w:p>
    <w:tbl>
      <w:tblPr>
        <w:tblStyle w:val="TableGrid"/>
        <w:tblW w:w="5000" w:type="pct"/>
        <w:tblLook w:val="04A0" w:firstRow="1" w:lastRow="0" w:firstColumn="1" w:lastColumn="0" w:noHBand="0" w:noVBand="1"/>
      </w:tblPr>
      <w:tblGrid>
        <w:gridCol w:w="1837"/>
        <w:gridCol w:w="2393"/>
        <w:gridCol w:w="2393"/>
        <w:gridCol w:w="2393"/>
      </w:tblGrid>
      <w:tr w:rsidR="0012517C" w:rsidRPr="00D44AAF" w14:paraId="0B9504DD" w14:textId="77777777" w:rsidTr="00EF1832">
        <w:trPr>
          <w:cantSplit/>
          <w:tblHeader/>
        </w:trPr>
        <w:tc>
          <w:tcPr>
            <w:tcW w:w="1019" w:type="pct"/>
            <w:shd w:val="clear" w:color="auto" w:fill="D9D9D9" w:themeFill="background1" w:themeFillShade="D9"/>
            <w:vAlign w:val="center"/>
          </w:tcPr>
          <w:p w14:paraId="6423D75D" w14:textId="77777777" w:rsidR="0012517C" w:rsidRPr="0012517C" w:rsidRDefault="0012517C" w:rsidP="00EF1832">
            <w:pPr>
              <w:rPr>
                <w:b/>
                <w:sz w:val="18"/>
                <w:szCs w:val="18"/>
              </w:rPr>
            </w:pPr>
            <w:r>
              <w:rPr>
                <w:b/>
                <w:sz w:val="18"/>
                <w:szCs w:val="18"/>
              </w:rPr>
              <w:t>Key Performance Indicator</w:t>
            </w:r>
          </w:p>
        </w:tc>
        <w:tc>
          <w:tcPr>
            <w:tcW w:w="1327" w:type="pct"/>
            <w:shd w:val="clear" w:color="auto" w:fill="D9D9D9" w:themeFill="background1" w:themeFillShade="D9"/>
            <w:vAlign w:val="center"/>
          </w:tcPr>
          <w:p w14:paraId="4E09E599" w14:textId="77777777" w:rsidR="0012517C" w:rsidRPr="0012517C" w:rsidRDefault="0012517C" w:rsidP="00EF1832">
            <w:pPr>
              <w:rPr>
                <w:b/>
                <w:sz w:val="18"/>
                <w:szCs w:val="18"/>
              </w:rPr>
            </w:pPr>
            <w:r w:rsidRPr="0012517C">
              <w:rPr>
                <w:b/>
                <w:sz w:val="18"/>
                <w:szCs w:val="18"/>
              </w:rPr>
              <w:t>Measure</w:t>
            </w:r>
          </w:p>
          <w:p w14:paraId="6CB9FE1D" w14:textId="77777777" w:rsidR="0012517C" w:rsidRPr="0012517C" w:rsidRDefault="0012517C" w:rsidP="00EF1832">
            <w:pPr>
              <w:ind w:left="360"/>
              <w:rPr>
                <w:b/>
                <w:i/>
                <w:sz w:val="18"/>
                <w:szCs w:val="18"/>
              </w:rPr>
            </w:pPr>
          </w:p>
        </w:tc>
        <w:tc>
          <w:tcPr>
            <w:tcW w:w="1327" w:type="pct"/>
            <w:shd w:val="clear" w:color="auto" w:fill="D9D9D9" w:themeFill="background1" w:themeFillShade="D9"/>
            <w:vAlign w:val="center"/>
          </w:tcPr>
          <w:p w14:paraId="36568F14" w14:textId="77777777" w:rsidR="0012517C" w:rsidRPr="0012517C" w:rsidRDefault="0012517C" w:rsidP="00EF1832">
            <w:pPr>
              <w:rPr>
                <w:b/>
                <w:sz w:val="18"/>
                <w:szCs w:val="18"/>
              </w:rPr>
            </w:pPr>
            <w:r w:rsidRPr="0012517C">
              <w:rPr>
                <w:b/>
                <w:sz w:val="18"/>
                <w:szCs w:val="18"/>
              </w:rPr>
              <w:t>Output/activity-based evidence</w:t>
            </w:r>
          </w:p>
        </w:tc>
        <w:tc>
          <w:tcPr>
            <w:tcW w:w="1327" w:type="pct"/>
            <w:shd w:val="clear" w:color="auto" w:fill="D9D9D9" w:themeFill="background1" w:themeFillShade="D9"/>
            <w:vAlign w:val="center"/>
          </w:tcPr>
          <w:p w14:paraId="31BBC583" w14:textId="77777777" w:rsidR="0012517C" w:rsidRPr="0012517C" w:rsidRDefault="0012517C" w:rsidP="00EF1832">
            <w:pPr>
              <w:rPr>
                <w:b/>
                <w:sz w:val="18"/>
                <w:szCs w:val="18"/>
              </w:rPr>
            </w:pPr>
            <w:r w:rsidRPr="0012517C">
              <w:rPr>
                <w:b/>
                <w:sz w:val="18"/>
                <w:szCs w:val="18"/>
              </w:rPr>
              <w:t xml:space="preserve">Self-assessment </w:t>
            </w:r>
          </w:p>
        </w:tc>
      </w:tr>
      <w:tr w:rsidR="0012517C" w:rsidRPr="00D44AAF" w14:paraId="03D0EB33" w14:textId="77777777" w:rsidTr="00EF1832">
        <w:trPr>
          <w:cantSplit/>
          <w:trHeight w:val="2064"/>
        </w:trPr>
        <w:tc>
          <w:tcPr>
            <w:tcW w:w="1019" w:type="pct"/>
            <w:vAlign w:val="center"/>
          </w:tcPr>
          <w:p w14:paraId="6EE856B1" w14:textId="77777777" w:rsidR="0012517C" w:rsidRPr="0012517C" w:rsidRDefault="0012517C">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1 – Regulators do not unnecessarily impede the efficient operation of regulated entities</w:t>
            </w:r>
          </w:p>
        </w:tc>
        <w:tc>
          <w:tcPr>
            <w:tcW w:w="1327" w:type="pct"/>
            <w:vAlign w:val="center"/>
          </w:tcPr>
          <w:p w14:paraId="6252BE48" w14:textId="77777777" w:rsidR="0012517C" w:rsidRPr="0012517C" w:rsidRDefault="0012517C">
            <w:pPr>
              <w:pStyle w:val="bullets"/>
              <w:numPr>
                <w:ilvl w:val="0"/>
                <w:numId w:val="8"/>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 xml:space="preserve">DVA takes actions to minimise the potential for unintended negative impacts of regulatory activities on regulated entities or affected supplier industries and supply chains. </w:t>
            </w:r>
          </w:p>
          <w:p w14:paraId="1B5AC546" w14:textId="77777777" w:rsidR="0012517C" w:rsidRPr="0012517C" w:rsidRDefault="0012517C">
            <w:pPr>
              <w:pStyle w:val="bullets"/>
              <w:numPr>
                <w:ilvl w:val="0"/>
                <w:numId w:val="8"/>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implements continuous improvement strategies to reduce the costs of compliance for those they regulate.</w:t>
            </w:r>
          </w:p>
        </w:tc>
        <w:tc>
          <w:tcPr>
            <w:tcW w:w="1327" w:type="pct"/>
            <w:vAlign w:val="center"/>
          </w:tcPr>
          <w:p w14:paraId="044EBE3D"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Documented responsiveness to feedback from regulated entities, including feedback from existing complaint mechanisms and surveys of regulated entities.</w:t>
            </w:r>
          </w:p>
          <w:p w14:paraId="5BE4D94A"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Environment scanning is undertaken regularly and at a minimum, on an annual basis.</w:t>
            </w:r>
          </w:p>
        </w:tc>
        <w:tc>
          <w:tcPr>
            <w:tcW w:w="1327" w:type="pct"/>
            <w:vAlign w:val="center"/>
          </w:tcPr>
          <w:p w14:paraId="7570CF62" w14:textId="77777777" w:rsidR="0012517C" w:rsidRPr="0012517C" w:rsidRDefault="0012517C">
            <w:pPr>
              <w:rPr>
                <w:sz w:val="18"/>
                <w:szCs w:val="18"/>
              </w:rPr>
            </w:pPr>
            <w:r w:rsidRPr="0012517C">
              <w:rPr>
                <w:sz w:val="18"/>
                <w:szCs w:val="18"/>
              </w:rPr>
              <w:t>Logging all applications, queries, complaints and other feedback regarding the protection of the word ‘Anzac’.</w:t>
            </w:r>
          </w:p>
        </w:tc>
      </w:tr>
      <w:tr w:rsidR="0012517C" w:rsidRPr="00D44AAF" w14:paraId="78A4D1BD" w14:textId="77777777" w:rsidTr="00EF1832">
        <w:trPr>
          <w:trHeight w:val="4446"/>
        </w:trPr>
        <w:tc>
          <w:tcPr>
            <w:tcW w:w="1019" w:type="pct"/>
            <w:vAlign w:val="center"/>
          </w:tcPr>
          <w:p w14:paraId="00DBBC1A" w14:textId="77777777" w:rsidR="0012517C" w:rsidRPr="001D4F51" w:rsidRDefault="0012517C">
            <w:pPr>
              <w:rPr>
                <w:rFonts w:eastAsia="Times New Roman"/>
                <w:b/>
                <w:bCs/>
                <w:sz w:val="18"/>
                <w:szCs w:val="18"/>
                <w:lang w:eastAsia="en-AU"/>
              </w:rPr>
            </w:pPr>
            <w:r w:rsidRPr="001D4F51">
              <w:rPr>
                <w:rFonts w:eastAsia="Times New Roman"/>
                <w:b/>
                <w:bCs/>
                <w:sz w:val="18"/>
                <w:szCs w:val="18"/>
                <w:lang w:eastAsia="en-AU"/>
              </w:rPr>
              <w:t>KPI 2 – Communication with regulated entities is clear, targeted and effective</w:t>
            </w:r>
          </w:p>
          <w:p w14:paraId="08CBEA3F" w14:textId="77777777" w:rsidR="0012517C" w:rsidRPr="0012517C" w:rsidRDefault="0012517C">
            <w:pPr>
              <w:pStyle w:val="bullets"/>
              <w:spacing w:after="120" w:line="240" w:lineRule="auto"/>
              <w:rPr>
                <w:rFonts w:asciiTheme="minorHAnsi" w:hAnsiTheme="minorHAnsi" w:cs="Times New Roman"/>
                <w:sz w:val="18"/>
                <w:szCs w:val="18"/>
              </w:rPr>
            </w:pPr>
          </w:p>
        </w:tc>
        <w:tc>
          <w:tcPr>
            <w:tcW w:w="1327" w:type="pct"/>
            <w:vAlign w:val="center"/>
          </w:tcPr>
          <w:p w14:paraId="11E61A3A" w14:textId="77777777" w:rsidR="0012517C" w:rsidRPr="0012517C" w:rsidRDefault="0012517C">
            <w:pPr>
              <w:pStyle w:val="bullets"/>
              <w:numPr>
                <w:ilvl w:val="0"/>
                <w:numId w:val="9"/>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provides guidance and information that is up to date, clear, accessible and concise through media appropriate to the target audience.</w:t>
            </w:r>
          </w:p>
          <w:p w14:paraId="4388EFE9" w14:textId="77777777" w:rsidR="0012517C" w:rsidRPr="0012517C" w:rsidRDefault="0012517C">
            <w:pPr>
              <w:pStyle w:val="bullets"/>
              <w:numPr>
                <w:ilvl w:val="0"/>
                <w:numId w:val="9"/>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decisions and advice are provided in a timely manner, clearly articulating expectations and the underlying reasons for decisions.</w:t>
            </w:r>
          </w:p>
          <w:p w14:paraId="77688EC0" w14:textId="77777777" w:rsidR="0012517C" w:rsidRPr="0012517C" w:rsidRDefault="0012517C">
            <w:pPr>
              <w:pStyle w:val="bullets"/>
              <w:numPr>
                <w:ilvl w:val="0"/>
                <w:numId w:val="9"/>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advice is consistent and supports predictable outcomes.</w:t>
            </w:r>
          </w:p>
        </w:tc>
        <w:tc>
          <w:tcPr>
            <w:tcW w:w="1327" w:type="pct"/>
            <w:vAlign w:val="center"/>
          </w:tcPr>
          <w:p w14:paraId="013960D4"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Percentage of guidance materials that complies with government accessibility guidelines.</w:t>
            </w:r>
          </w:p>
          <w:p w14:paraId="114448E9"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Maximum, minimum and average time for decision.</w:t>
            </w:r>
          </w:p>
          <w:p w14:paraId="03ADC65A"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Published timeframes for decision making.</w:t>
            </w:r>
          </w:p>
          <w:p w14:paraId="3C9F100C"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Percentage of decisions accompanied by statement of reasons and advice about relevant review or appeal mechanisms, where appropriate.</w:t>
            </w:r>
          </w:p>
          <w:p w14:paraId="3D377809"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Approved procedures for communications (including issue-specific scripts if relevant) are available for staff use when interacting with regulated entities.</w:t>
            </w:r>
          </w:p>
          <w:p w14:paraId="1404C0FF"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Advice provided to regulated entities is consistent with communication policies.</w:t>
            </w:r>
          </w:p>
        </w:tc>
        <w:tc>
          <w:tcPr>
            <w:tcW w:w="1327" w:type="pct"/>
            <w:vAlign w:val="center"/>
          </w:tcPr>
          <w:p w14:paraId="156CB44E" w14:textId="77777777" w:rsidR="0012517C" w:rsidRPr="0012517C" w:rsidRDefault="0012517C">
            <w:pPr>
              <w:rPr>
                <w:sz w:val="18"/>
                <w:szCs w:val="18"/>
              </w:rPr>
            </w:pPr>
            <w:r w:rsidRPr="0012517C">
              <w:rPr>
                <w:sz w:val="18"/>
                <w:szCs w:val="18"/>
              </w:rPr>
              <w:t xml:space="preserve">A Use of the word ‘Anzac’ Guidelines document, featuring information on </w:t>
            </w:r>
            <w:r w:rsidR="004205C6">
              <w:rPr>
                <w:sz w:val="18"/>
                <w:szCs w:val="18"/>
              </w:rPr>
              <w:t xml:space="preserve">use of the word ‘Anzac’ and </w:t>
            </w:r>
            <w:r w:rsidRPr="0012517C">
              <w:rPr>
                <w:sz w:val="18"/>
                <w:szCs w:val="18"/>
              </w:rPr>
              <w:t xml:space="preserve">how to apply, timeframes, and appeal mechanisms </w:t>
            </w:r>
            <w:r w:rsidR="008D0BB8">
              <w:rPr>
                <w:sz w:val="18"/>
                <w:szCs w:val="18"/>
              </w:rPr>
              <w:t>published</w:t>
            </w:r>
            <w:r w:rsidR="00F95140">
              <w:rPr>
                <w:sz w:val="18"/>
                <w:szCs w:val="18"/>
              </w:rPr>
              <w:t xml:space="preserve"> </w:t>
            </w:r>
            <w:r w:rsidRPr="0012517C">
              <w:rPr>
                <w:sz w:val="18"/>
                <w:szCs w:val="18"/>
              </w:rPr>
              <w:t>on the DVA website.</w:t>
            </w:r>
          </w:p>
          <w:p w14:paraId="064DDA9F" w14:textId="77777777" w:rsidR="0012517C" w:rsidRPr="0012517C" w:rsidRDefault="0012517C">
            <w:pPr>
              <w:rPr>
                <w:sz w:val="18"/>
                <w:szCs w:val="18"/>
              </w:rPr>
            </w:pPr>
          </w:p>
          <w:p w14:paraId="73C8C7C5" w14:textId="77777777" w:rsidR="0012517C" w:rsidRPr="0012517C" w:rsidRDefault="0012517C">
            <w:pPr>
              <w:rPr>
                <w:sz w:val="18"/>
                <w:szCs w:val="18"/>
              </w:rPr>
            </w:pPr>
            <w:r w:rsidRPr="0012517C">
              <w:rPr>
                <w:sz w:val="18"/>
                <w:szCs w:val="18"/>
              </w:rPr>
              <w:t xml:space="preserve">A </w:t>
            </w:r>
            <w:r w:rsidR="00E33048">
              <w:rPr>
                <w:sz w:val="18"/>
                <w:szCs w:val="18"/>
              </w:rPr>
              <w:t>staff h</w:t>
            </w:r>
            <w:r w:rsidR="00D85C08">
              <w:rPr>
                <w:sz w:val="18"/>
                <w:szCs w:val="18"/>
              </w:rPr>
              <w:t>andbook</w:t>
            </w:r>
            <w:r w:rsidRPr="0012517C">
              <w:rPr>
                <w:sz w:val="18"/>
                <w:szCs w:val="18"/>
              </w:rPr>
              <w:t xml:space="preserve"> </w:t>
            </w:r>
            <w:r w:rsidR="00E33048">
              <w:rPr>
                <w:sz w:val="18"/>
                <w:szCs w:val="18"/>
              </w:rPr>
              <w:t xml:space="preserve">comprising of procedural information and templates </w:t>
            </w:r>
            <w:r w:rsidRPr="0012517C">
              <w:rPr>
                <w:sz w:val="18"/>
                <w:szCs w:val="18"/>
              </w:rPr>
              <w:t xml:space="preserve">for use of the word ‘Anzac’, </w:t>
            </w:r>
            <w:r w:rsidR="00E33048">
              <w:rPr>
                <w:sz w:val="18"/>
                <w:szCs w:val="18"/>
              </w:rPr>
              <w:t xml:space="preserve"> </w:t>
            </w:r>
            <w:r w:rsidRPr="0012517C">
              <w:rPr>
                <w:sz w:val="18"/>
                <w:szCs w:val="18"/>
              </w:rPr>
              <w:t>available to DVA staff and staff from the Minister’s office.</w:t>
            </w:r>
          </w:p>
        </w:tc>
      </w:tr>
      <w:tr w:rsidR="0012517C" w:rsidRPr="00D44AAF" w14:paraId="01BF6100" w14:textId="77777777" w:rsidTr="00EF1832">
        <w:tc>
          <w:tcPr>
            <w:tcW w:w="1019" w:type="pct"/>
            <w:vAlign w:val="center"/>
          </w:tcPr>
          <w:p w14:paraId="660F458E" w14:textId="77777777" w:rsidR="0012517C" w:rsidRPr="0012517C" w:rsidRDefault="0012517C">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3 – Actions undertaken by regulators are proportionate to the regulatory risk being managed</w:t>
            </w:r>
          </w:p>
        </w:tc>
        <w:tc>
          <w:tcPr>
            <w:tcW w:w="1327" w:type="pct"/>
            <w:vAlign w:val="center"/>
          </w:tcPr>
          <w:p w14:paraId="72EC4933" w14:textId="77777777" w:rsidR="0012517C" w:rsidRPr="0012517C" w:rsidRDefault="0012517C">
            <w:pPr>
              <w:pStyle w:val="bullets"/>
              <w:numPr>
                <w:ilvl w:val="0"/>
                <w:numId w:val="10"/>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 xml:space="preserve">DVA applies a risk-based, proportionate approach to compliance obligations, engagement and regulatory enforcement actions. </w:t>
            </w:r>
          </w:p>
          <w:p w14:paraId="6DC129F4" w14:textId="77777777" w:rsidR="0012517C" w:rsidRPr="0012517C" w:rsidRDefault="0012517C">
            <w:pPr>
              <w:pStyle w:val="bullets"/>
              <w:numPr>
                <w:ilvl w:val="0"/>
                <w:numId w:val="10"/>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preferred approach to regulatory risk is regularly reassessed. Strategies, activities and enforcement actions are amended to reflect changing priorities that result from new and evolving regulatory threats, without diminishing regulatory certainty or impact.</w:t>
            </w:r>
          </w:p>
          <w:p w14:paraId="26735C5F" w14:textId="77777777" w:rsidR="0012517C" w:rsidRPr="0012517C" w:rsidRDefault="0012517C">
            <w:pPr>
              <w:pStyle w:val="bullets"/>
              <w:numPr>
                <w:ilvl w:val="0"/>
                <w:numId w:val="10"/>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recognises the compliance record of regulated entities, including using earned autonomy where this is appropriate. All available and relevant data on compliance, including evidence of relevant external verification is considered.</w:t>
            </w:r>
          </w:p>
        </w:tc>
        <w:tc>
          <w:tcPr>
            <w:tcW w:w="1327" w:type="pct"/>
            <w:vAlign w:val="center"/>
          </w:tcPr>
          <w:p w14:paraId="32AB5D30"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Risk management policies and procedures are available to regulator staff and the public.</w:t>
            </w:r>
          </w:p>
          <w:p w14:paraId="7322C883"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Compliance and enforcement strategies, consistent with agreed risk management policies are published.</w:t>
            </w:r>
          </w:p>
          <w:p w14:paraId="18732DC6"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Documented enforcement strategy which allows for the compliance records of regulated entities to be considered in determining regulatory actions. </w:t>
            </w:r>
          </w:p>
          <w:p w14:paraId="15AFB2DD"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Documented enforcement strategy includes options for graduated compliance actions consistent with regulators’ powers. </w:t>
            </w:r>
          </w:p>
        </w:tc>
        <w:tc>
          <w:tcPr>
            <w:tcW w:w="1327" w:type="pct"/>
            <w:vAlign w:val="center"/>
          </w:tcPr>
          <w:p w14:paraId="106D8907" w14:textId="77777777" w:rsidR="0012517C" w:rsidRPr="0012517C" w:rsidRDefault="0012517C">
            <w:pPr>
              <w:rPr>
                <w:sz w:val="18"/>
                <w:szCs w:val="18"/>
              </w:rPr>
            </w:pPr>
          </w:p>
          <w:p w14:paraId="552E829F" w14:textId="77777777" w:rsidR="0012517C" w:rsidRPr="0012517C" w:rsidRDefault="0012517C">
            <w:pPr>
              <w:rPr>
                <w:sz w:val="18"/>
                <w:szCs w:val="18"/>
              </w:rPr>
            </w:pPr>
            <w:r w:rsidRPr="0012517C">
              <w:rPr>
                <w:sz w:val="18"/>
                <w:szCs w:val="18"/>
              </w:rPr>
              <w:t>T</w:t>
            </w:r>
            <w:r w:rsidR="000B4336" w:rsidRPr="0012517C">
              <w:rPr>
                <w:sz w:val="18"/>
                <w:szCs w:val="18"/>
              </w:rPr>
              <w:t>he Use of the Word ‘Anzac’ Guidelines</w:t>
            </w:r>
            <w:r w:rsidRPr="0012517C">
              <w:rPr>
                <w:sz w:val="18"/>
                <w:szCs w:val="18"/>
              </w:rPr>
              <w:t xml:space="preserve"> </w:t>
            </w:r>
            <w:r w:rsidR="008A0152">
              <w:rPr>
                <w:sz w:val="18"/>
                <w:szCs w:val="18"/>
              </w:rPr>
              <w:t xml:space="preserve">are </w:t>
            </w:r>
            <w:r w:rsidRPr="0012517C">
              <w:rPr>
                <w:sz w:val="18"/>
                <w:szCs w:val="18"/>
              </w:rPr>
              <w:t>reviewed</w:t>
            </w:r>
            <w:r w:rsidR="000B4336">
              <w:rPr>
                <w:sz w:val="18"/>
                <w:szCs w:val="18"/>
              </w:rPr>
              <w:t xml:space="preserve"> as necessary.</w:t>
            </w:r>
          </w:p>
          <w:p w14:paraId="7455E6A0" w14:textId="77777777" w:rsidR="0012517C" w:rsidRPr="0012517C" w:rsidRDefault="0012517C">
            <w:pPr>
              <w:rPr>
                <w:sz w:val="18"/>
                <w:szCs w:val="18"/>
              </w:rPr>
            </w:pPr>
          </w:p>
          <w:p w14:paraId="1E7D724D" w14:textId="77777777" w:rsidR="0012517C" w:rsidRPr="0012517C" w:rsidRDefault="0012517C">
            <w:pPr>
              <w:rPr>
                <w:sz w:val="18"/>
                <w:szCs w:val="18"/>
              </w:rPr>
            </w:pPr>
            <w:r w:rsidRPr="0012517C">
              <w:rPr>
                <w:sz w:val="18"/>
                <w:szCs w:val="18"/>
              </w:rPr>
              <w:t>Enforcement strateg</w:t>
            </w:r>
            <w:r w:rsidR="00E33048">
              <w:rPr>
                <w:sz w:val="18"/>
                <w:szCs w:val="18"/>
              </w:rPr>
              <w:t>ies are documented</w:t>
            </w:r>
            <w:r w:rsidRPr="0012517C">
              <w:rPr>
                <w:sz w:val="18"/>
                <w:szCs w:val="18"/>
              </w:rPr>
              <w:t xml:space="preserve"> in the Guidelines.</w:t>
            </w:r>
          </w:p>
          <w:p w14:paraId="4D96B649" w14:textId="77777777" w:rsidR="0012517C" w:rsidRPr="0012517C" w:rsidRDefault="0012517C">
            <w:pPr>
              <w:rPr>
                <w:sz w:val="18"/>
                <w:szCs w:val="18"/>
              </w:rPr>
            </w:pPr>
          </w:p>
          <w:p w14:paraId="29DBDED8" w14:textId="77777777" w:rsidR="0012517C" w:rsidRPr="0012517C" w:rsidRDefault="0012517C">
            <w:pPr>
              <w:rPr>
                <w:sz w:val="18"/>
                <w:szCs w:val="18"/>
              </w:rPr>
            </w:pPr>
            <w:r w:rsidRPr="0012517C">
              <w:rPr>
                <w:sz w:val="18"/>
                <w:szCs w:val="18"/>
              </w:rPr>
              <w:t xml:space="preserve">The number of enforcement actions </w:t>
            </w:r>
            <w:r w:rsidR="008A0152">
              <w:rPr>
                <w:sz w:val="18"/>
                <w:szCs w:val="18"/>
              </w:rPr>
              <w:t>are</w:t>
            </w:r>
            <w:r w:rsidRPr="0012517C">
              <w:rPr>
                <w:sz w:val="18"/>
                <w:szCs w:val="18"/>
              </w:rPr>
              <w:t xml:space="preserve"> tracked.</w:t>
            </w:r>
          </w:p>
          <w:p w14:paraId="7300D384" w14:textId="77777777" w:rsidR="0012517C" w:rsidRPr="0012517C" w:rsidRDefault="0012517C">
            <w:pPr>
              <w:rPr>
                <w:sz w:val="18"/>
                <w:szCs w:val="18"/>
              </w:rPr>
            </w:pPr>
          </w:p>
        </w:tc>
      </w:tr>
      <w:tr w:rsidR="0012517C" w:rsidRPr="00D44AAF" w14:paraId="15DB9A1A" w14:textId="77777777" w:rsidTr="00EF1832">
        <w:trPr>
          <w:trHeight w:val="3413"/>
        </w:trPr>
        <w:tc>
          <w:tcPr>
            <w:tcW w:w="1019" w:type="pct"/>
            <w:vAlign w:val="center"/>
          </w:tcPr>
          <w:p w14:paraId="25F8DBCC" w14:textId="77777777" w:rsidR="0012517C" w:rsidRPr="0012517C" w:rsidRDefault="0012517C">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4 – Compliance and monitoring approaches are streamlined and coordinated</w:t>
            </w:r>
          </w:p>
        </w:tc>
        <w:tc>
          <w:tcPr>
            <w:tcW w:w="1327" w:type="pct"/>
            <w:vAlign w:val="center"/>
          </w:tcPr>
          <w:p w14:paraId="5714EDB0" w14:textId="77777777" w:rsidR="0012517C" w:rsidRPr="0012517C" w:rsidRDefault="0012517C">
            <w:pPr>
              <w:pStyle w:val="bullets"/>
              <w:numPr>
                <w:ilvl w:val="0"/>
                <w:numId w:val="11"/>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utilises existing information to limit the reliance on requests from regulated entities and shares the information among other regulators, where possible.</w:t>
            </w:r>
          </w:p>
          <w:p w14:paraId="58EF5BD7" w14:textId="77777777" w:rsidR="0012517C" w:rsidRPr="0012517C" w:rsidRDefault="0012517C">
            <w:pPr>
              <w:pStyle w:val="bullets"/>
              <w:numPr>
                <w:ilvl w:val="0"/>
                <w:numId w:val="11"/>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 xml:space="preserve">DVA bases monitoring and inspection approaches on risk and, where possible, takes into account the circumstance and operational needs of the regulated entity. </w:t>
            </w:r>
          </w:p>
        </w:tc>
        <w:tc>
          <w:tcPr>
            <w:tcW w:w="1327" w:type="pct"/>
            <w:vAlign w:val="center"/>
          </w:tcPr>
          <w:p w14:paraId="71A33E50"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Information shared and received among regulators.</w:t>
            </w:r>
          </w:p>
          <w:p w14:paraId="1E9A82E4"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Evidence of collected information being acted upon, stored and re-used. </w:t>
            </w:r>
          </w:p>
          <w:p w14:paraId="289C3A2C"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Regular review and assessment of agreed monitoring and compliance strategies, including use of earned autonomy approaches.</w:t>
            </w:r>
          </w:p>
        </w:tc>
        <w:tc>
          <w:tcPr>
            <w:tcW w:w="1327" w:type="pct"/>
            <w:vAlign w:val="center"/>
          </w:tcPr>
          <w:p w14:paraId="0C707F8E" w14:textId="77777777" w:rsidR="0012517C" w:rsidRPr="0012517C" w:rsidRDefault="008A0152">
            <w:pPr>
              <w:rPr>
                <w:sz w:val="18"/>
                <w:szCs w:val="18"/>
              </w:rPr>
            </w:pPr>
            <w:r>
              <w:rPr>
                <w:sz w:val="18"/>
                <w:szCs w:val="18"/>
              </w:rPr>
              <w:t>I</w:t>
            </w:r>
            <w:r w:rsidR="0012517C" w:rsidRPr="0012517C">
              <w:rPr>
                <w:sz w:val="18"/>
                <w:szCs w:val="18"/>
              </w:rPr>
              <w:t>nformation will be shared with similar regulators, such as the Army Brand Manager.</w:t>
            </w:r>
          </w:p>
          <w:p w14:paraId="52DA2EB2" w14:textId="77777777" w:rsidR="0012517C" w:rsidRPr="0012517C" w:rsidRDefault="0012517C">
            <w:pPr>
              <w:rPr>
                <w:sz w:val="18"/>
                <w:szCs w:val="18"/>
              </w:rPr>
            </w:pPr>
          </w:p>
          <w:p w14:paraId="173E40C7" w14:textId="77777777" w:rsidR="0012517C" w:rsidRPr="0012517C" w:rsidRDefault="0012517C">
            <w:pPr>
              <w:rPr>
                <w:sz w:val="18"/>
                <w:szCs w:val="18"/>
              </w:rPr>
            </w:pPr>
            <w:r w:rsidRPr="0012517C">
              <w:rPr>
                <w:sz w:val="18"/>
                <w:szCs w:val="18"/>
              </w:rPr>
              <w:t>Information collected will be used to update the Use of the Word ‘Anzac’ Guidelines as necessary.</w:t>
            </w:r>
          </w:p>
          <w:p w14:paraId="4A47CB2A" w14:textId="77777777" w:rsidR="0012517C" w:rsidRPr="0012517C" w:rsidRDefault="0012517C">
            <w:pPr>
              <w:rPr>
                <w:sz w:val="18"/>
                <w:szCs w:val="18"/>
              </w:rPr>
            </w:pPr>
          </w:p>
          <w:p w14:paraId="3F49DEED" w14:textId="77777777" w:rsidR="0012517C" w:rsidRDefault="0012517C">
            <w:pPr>
              <w:rPr>
                <w:sz w:val="18"/>
                <w:szCs w:val="18"/>
              </w:rPr>
            </w:pPr>
            <w:r w:rsidRPr="0012517C">
              <w:rPr>
                <w:sz w:val="18"/>
                <w:szCs w:val="18"/>
              </w:rPr>
              <w:t>Where appropriate, earned autonomy approaches will be considered for organisations that make use of the word ‘Anzac’ regularly.</w:t>
            </w:r>
          </w:p>
          <w:p w14:paraId="0FFA0DAE" w14:textId="77777777" w:rsidR="0061082B" w:rsidRDefault="0061082B">
            <w:pPr>
              <w:rPr>
                <w:sz w:val="18"/>
                <w:szCs w:val="18"/>
              </w:rPr>
            </w:pPr>
          </w:p>
          <w:p w14:paraId="06EB8F0D" w14:textId="77777777" w:rsidR="0061082B" w:rsidRPr="0012517C" w:rsidRDefault="0061082B">
            <w:pPr>
              <w:rPr>
                <w:sz w:val="18"/>
                <w:szCs w:val="18"/>
              </w:rPr>
            </w:pPr>
          </w:p>
        </w:tc>
      </w:tr>
      <w:tr w:rsidR="0012517C" w:rsidRPr="00D44AAF" w14:paraId="0490E494" w14:textId="77777777" w:rsidTr="00EF1832">
        <w:tc>
          <w:tcPr>
            <w:tcW w:w="1019" w:type="pct"/>
            <w:vAlign w:val="center"/>
          </w:tcPr>
          <w:p w14:paraId="24B389A6" w14:textId="77777777" w:rsidR="0012517C" w:rsidRPr="0012517C" w:rsidRDefault="0012517C">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 xml:space="preserve">KPI 5 </w:t>
            </w:r>
            <w:r w:rsidR="00487022" w:rsidRPr="0012517C">
              <w:rPr>
                <w:rFonts w:asciiTheme="minorHAnsi" w:hAnsiTheme="minorHAnsi" w:cs="Times New Roman"/>
                <w:b/>
                <w:sz w:val="18"/>
                <w:szCs w:val="18"/>
                <w:lang w:val="en-AU"/>
              </w:rPr>
              <w:t>–</w:t>
            </w:r>
            <w:r w:rsidRPr="0012517C">
              <w:rPr>
                <w:rFonts w:asciiTheme="minorHAnsi" w:hAnsiTheme="minorHAnsi" w:cs="Times New Roman"/>
                <w:b/>
                <w:sz w:val="18"/>
                <w:szCs w:val="18"/>
                <w:lang w:val="en-AU"/>
              </w:rPr>
              <w:t xml:space="preserve"> Regulators are open and transparent in their dealings with regulated entities</w:t>
            </w:r>
          </w:p>
        </w:tc>
        <w:tc>
          <w:tcPr>
            <w:tcW w:w="1327" w:type="pct"/>
            <w:vAlign w:val="center"/>
          </w:tcPr>
          <w:p w14:paraId="16B4739C" w14:textId="77777777" w:rsidR="0012517C" w:rsidRPr="0012517C" w:rsidRDefault="0012517C">
            <w:pPr>
              <w:pStyle w:val="bullets"/>
              <w:numPr>
                <w:ilvl w:val="0"/>
                <w:numId w:val="12"/>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risk-based framework is publicly available in a format which is clear, understandable and accessible.</w:t>
            </w:r>
          </w:p>
          <w:p w14:paraId="23C3D408" w14:textId="77777777" w:rsidR="0012517C" w:rsidRPr="0012517C" w:rsidRDefault="0012517C">
            <w:pPr>
              <w:pStyle w:val="bullets"/>
              <w:numPr>
                <w:ilvl w:val="0"/>
                <w:numId w:val="12"/>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is open and responsive to requests from regulated entities regarding the operation of the regulatory framework, and approaches implemented by regulators.</w:t>
            </w:r>
          </w:p>
          <w:p w14:paraId="2AA9FEC4" w14:textId="77777777" w:rsidR="0012517C" w:rsidRPr="0012517C" w:rsidRDefault="0012517C">
            <w:pPr>
              <w:pStyle w:val="bullets"/>
              <w:numPr>
                <w:ilvl w:val="0"/>
                <w:numId w:val="12"/>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DVA’s performance measurement results are published in a timely manner to ensure accountability to the public.</w:t>
            </w:r>
          </w:p>
        </w:tc>
        <w:tc>
          <w:tcPr>
            <w:tcW w:w="1327" w:type="pct"/>
            <w:vAlign w:val="center"/>
          </w:tcPr>
          <w:p w14:paraId="569F6019"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Enforcement strategy and risk approach are published.</w:t>
            </w:r>
          </w:p>
          <w:p w14:paraId="3B367015"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Performance measurement results are published.</w:t>
            </w:r>
          </w:p>
          <w:p w14:paraId="327696AB"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Number of responses to requests from regulated entities provided within specified timeframes.</w:t>
            </w:r>
          </w:p>
          <w:p w14:paraId="0A7EEB13" w14:textId="77777777" w:rsidR="0012517C" w:rsidRPr="0012517C" w:rsidRDefault="0012517C">
            <w:pPr>
              <w:pStyle w:val="ListParagraph"/>
              <w:numPr>
                <w:ilvl w:val="0"/>
                <w:numId w:val="1"/>
              </w:numPr>
              <w:spacing w:after="120"/>
              <w:ind w:left="317" w:hanging="283"/>
              <w:rPr>
                <w:color w:val="000000" w:themeColor="text1"/>
                <w:sz w:val="18"/>
                <w:szCs w:val="18"/>
                <w:lang w:val="en-GB"/>
              </w:rPr>
            </w:pPr>
            <w:r w:rsidRPr="0012517C">
              <w:rPr>
                <w:color w:val="000000" w:themeColor="text1"/>
                <w:sz w:val="18"/>
                <w:szCs w:val="18"/>
                <w:lang w:val="en-GB"/>
              </w:rPr>
              <w:t>Advice and guidance is widely available to stakeholders, with feedback mechanisms in place to support and inform continuous improvement.</w:t>
            </w:r>
          </w:p>
        </w:tc>
        <w:tc>
          <w:tcPr>
            <w:tcW w:w="1327" w:type="pct"/>
            <w:vAlign w:val="center"/>
          </w:tcPr>
          <w:p w14:paraId="420D0049" w14:textId="77777777" w:rsidR="0012517C" w:rsidRPr="0012517C" w:rsidRDefault="0012517C">
            <w:pPr>
              <w:rPr>
                <w:sz w:val="18"/>
                <w:szCs w:val="18"/>
              </w:rPr>
            </w:pPr>
            <w:r w:rsidRPr="0012517C">
              <w:rPr>
                <w:sz w:val="18"/>
                <w:szCs w:val="18"/>
              </w:rPr>
              <w:t>The Use of the Word ‘Anzac’ Guidelines will contain information on DVA’s enforcement strategy and risk approach.</w:t>
            </w:r>
          </w:p>
          <w:p w14:paraId="07D0B5D5" w14:textId="77777777" w:rsidR="0012517C" w:rsidRPr="0012517C" w:rsidRDefault="0012517C">
            <w:pPr>
              <w:rPr>
                <w:sz w:val="18"/>
                <w:szCs w:val="18"/>
              </w:rPr>
            </w:pPr>
          </w:p>
          <w:p w14:paraId="6CDC6087" w14:textId="77777777" w:rsidR="0012517C" w:rsidRPr="0012517C" w:rsidRDefault="0012517C">
            <w:pPr>
              <w:rPr>
                <w:sz w:val="18"/>
                <w:szCs w:val="18"/>
              </w:rPr>
            </w:pPr>
            <w:r w:rsidRPr="0012517C">
              <w:rPr>
                <w:sz w:val="18"/>
                <w:szCs w:val="18"/>
              </w:rPr>
              <w:t>Information on responses will be collected</w:t>
            </w:r>
            <w:r w:rsidR="00A24C6E">
              <w:rPr>
                <w:sz w:val="18"/>
                <w:szCs w:val="18"/>
              </w:rPr>
              <w:t>.</w:t>
            </w:r>
          </w:p>
          <w:p w14:paraId="5D700511" w14:textId="77777777" w:rsidR="0012517C" w:rsidRPr="0012517C" w:rsidRDefault="0012517C">
            <w:pPr>
              <w:rPr>
                <w:sz w:val="18"/>
                <w:szCs w:val="18"/>
              </w:rPr>
            </w:pPr>
          </w:p>
          <w:p w14:paraId="2D7F37EA" w14:textId="77777777" w:rsidR="0012517C" w:rsidRPr="0012517C" w:rsidRDefault="0012517C">
            <w:pPr>
              <w:rPr>
                <w:sz w:val="18"/>
                <w:szCs w:val="18"/>
              </w:rPr>
            </w:pPr>
            <w:r w:rsidRPr="0012517C">
              <w:rPr>
                <w:sz w:val="18"/>
                <w:szCs w:val="18"/>
              </w:rPr>
              <w:t>The Guidelines include information for the public. Feedback will be used to update the Guidelines as necessary.</w:t>
            </w:r>
          </w:p>
        </w:tc>
      </w:tr>
      <w:tr w:rsidR="0012517C" w:rsidRPr="00D44AAF" w14:paraId="32EEFE05" w14:textId="77777777" w:rsidTr="00EF1832">
        <w:trPr>
          <w:trHeight w:val="3018"/>
        </w:trPr>
        <w:tc>
          <w:tcPr>
            <w:tcW w:w="1019" w:type="pct"/>
            <w:vAlign w:val="center"/>
          </w:tcPr>
          <w:p w14:paraId="459DA9B4" w14:textId="77777777" w:rsidR="0012517C" w:rsidRPr="0012517C" w:rsidRDefault="0012517C">
            <w:pPr>
              <w:pStyle w:val="bullets"/>
              <w:spacing w:after="120" w:line="240" w:lineRule="auto"/>
              <w:ind w:left="0" w:firstLine="0"/>
              <w:rPr>
                <w:rFonts w:asciiTheme="minorHAnsi" w:hAnsiTheme="minorHAnsi" w:cs="Times New Roman"/>
                <w:sz w:val="18"/>
                <w:szCs w:val="18"/>
              </w:rPr>
            </w:pPr>
            <w:r w:rsidRPr="0012517C">
              <w:rPr>
                <w:rFonts w:asciiTheme="minorHAnsi" w:hAnsiTheme="minorHAnsi" w:cs="Times New Roman"/>
                <w:b/>
                <w:sz w:val="18"/>
                <w:szCs w:val="18"/>
                <w:lang w:val="en-AU"/>
              </w:rPr>
              <w:t>KPI 6 – Regulators actively contribute to the continuous improvement of regulatory frameworks</w:t>
            </w:r>
          </w:p>
        </w:tc>
        <w:tc>
          <w:tcPr>
            <w:tcW w:w="1327" w:type="pct"/>
            <w:vAlign w:val="center"/>
          </w:tcPr>
          <w:p w14:paraId="4C84311C" w14:textId="77777777" w:rsidR="0012517C" w:rsidRPr="0012517C" w:rsidRDefault="0012517C">
            <w:pPr>
              <w:pStyle w:val="bullets"/>
              <w:numPr>
                <w:ilvl w:val="0"/>
                <w:numId w:val="13"/>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establishes cooperative and collaborative relationships with stakeholders to promote trust and improve the efficiency and effectiveness of the regulatory framework.</w:t>
            </w:r>
          </w:p>
          <w:p w14:paraId="065CED65" w14:textId="77777777" w:rsidR="0012517C" w:rsidRPr="0012517C" w:rsidRDefault="0012517C">
            <w:pPr>
              <w:pStyle w:val="bullets"/>
              <w:numPr>
                <w:ilvl w:val="0"/>
                <w:numId w:val="13"/>
              </w:numPr>
              <w:spacing w:after="120" w:line="240" w:lineRule="auto"/>
              <w:rPr>
                <w:rFonts w:asciiTheme="minorHAnsi" w:hAnsiTheme="minorHAnsi" w:cs="Times New Roman"/>
                <w:sz w:val="18"/>
                <w:szCs w:val="18"/>
              </w:rPr>
            </w:pPr>
            <w:r w:rsidRPr="0012517C">
              <w:rPr>
                <w:rFonts w:asciiTheme="minorHAnsi" w:hAnsiTheme="minorHAnsi" w:cs="Times New Roman"/>
                <w:sz w:val="18"/>
                <w:szCs w:val="18"/>
              </w:rPr>
              <w:t>DVA regularly shares feedback from stakeholders and performance information (including from inspections) with policy departments to improve the operation of the regulatory framework and administrative processes.</w:t>
            </w:r>
          </w:p>
        </w:tc>
        <w:tc>
          <w:tcPr>
            <w:tcW w:w="1327" w:type="pct"/>
            <w:vAlign w:val="center"/>
          </w:tcPr>
          <w:p w14:paraId="360BF696"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 xml:space="preserve">Feedback mechanisms are </w:t>
            </w:r>
            <w:r w:rsidR="00A24C6E" w:rsidRPr="0012517C">
              <w:rPr>
                <w:rFonts w:asciiTheme="minorHAnsi" w:hAnsiTheme="minorHAnsi" w:cs="Times New Roman"/>
                <w:sz w:val="18"/>
                <w:szCs w:val="18"/>
              </w:rPr>
              <w:t>available</w:t>
            </w:r>
            <w:r w:rsidRPr="0012517C">
              <w:rPr>
                <w:rFonts w:asciiTheme="minorHAnsi" w:hAnsiTheme="minorHAnsi" w:cs="Times New Roman"/>
                <w:sz w:val="18"/>
                <w:szCs w:val="18"/>
              </w:rPr>
              <w:t>.</w:t>
            </w:r>
          </w:p>
          <w:p w14:paraId="03FFA97E" w14:textId="77777777" w:rsidR="0012517C" w:rsidRPr="0012517C" w:rsidRDefault="0012517C">
            <w:pPr>
              <w:pStyle w:val="bullets"/>
              <w:numPr>
                <w:ilvl w:val="0"/>
                <w:numId w:val="1"/>
              </w:numPr>
              <w:spacing w:after="120" w:line="240" w:lineRule="auto"/>
              <w:ind w:left="317" w:hanging="283"/>
              <w:rPr>
                <w:rFonts w:asciiTheme="minorHAnsi" w:hAnsiTheme="minorHAnsi" w:cs="Times New Roman"/>
                <w:sz w:val="18"/>
                <w:szCs w:val="18"/>
              </w:rPr>
            </w:pPr>
            <w:r w:rsidRPr="0012517C">
              <w:rPr>
                <w:rFonts w:asciiTheme="minorHAnsi" w:hAnsiTheme="minorHAnsi" w:cs="Times New Roman"/>
                <w:sz w:val="18"/>
                <w:szCs w:val="18"/>
              </w:rPr>
              <w:t>Documented procedures are in place to facilitate the flow of information between the regulator and policy departments.</w:t>
            </w:r>
          </w:p>
        </w:tc>
        <w:tc>
          <w:tcPr>
            <w:tcW w:w="1327" w:type="pct"/>
            <w:vAlign w:val="center"/>
          </w:tcPr>
          <w:p w14:paraId="021607D1" w14:textId="77777777" w:rsidR="0012517C" w:rsidRPr="0012517C" w:rsidRDefault="00C67922">
            <w:pPr>
              <w:rPr>
                <w:sz w:val="18"/>
                <w:szCs w:val="18"/>
              </w:rPr>
            </w:pPr>
            <w:r>
              <w:rPr>
                <w:sz w:val="18"/>
                <w:szCs w:val="18"/>
              </w:rPr>
              <w:t>Regulated entities are able to provide feedback.</w:t>
            </w:r>
          </w:p>
          <w:p w14:paraId="22368384" w14:textId="77777777" w:rsidR="0012517C" w:rsidRPr="0012517C" w:rsidRDefault="0012517C">
            <w:pPr>
              <w:rPr>
                <w:sz w:val="18"/>
                <w:szCs w:val="18"/>
              </w:rPr>
            </w:pPr>
          </w:p>
          <w:p w14:paraId="20602757" w14:textId="77777777" w:rsidR="0012517C" w:rsidRDefault="0012517C">
            <w:pPr>
              <w:rPr>
                <w:sz w:val="18"/>
                <w:szCs w:val="18"/>
              </w:rPr>
            </w:pPr>
            <w:r w:rsidRPr="0012517C">
              <w:rPr>
                <w:sz w:val="18"/>
                <w:szCs w:val="18"/>
              </w:rPr>
              <w:t xml:space="preserve">A </w:t>
            </w:r>
            <w:r w:rsidR="00487022">
              <w:rPr>
                <w:sz w:val="18"/>
                <w:szCs w:val="18"/>
              </w:rPr>
              <w:t>h</w:t>
            </w:r>
            <w:r w:rsidR="00C67922">
              <w:rPr>
                <w:sz w:val="18"/>
                <w:szCs w:val="18"/>
              </w:rPr>
              <w:t>andbook</w:t>
            </w:r>
            <w:r w:rsidRPr="0012517C">
              <w:rPr>
                <w:sz w:val="18"/>
                <w:szCs w:val="18"/>
              </w:rPr>
              <w:t xml:space="preserve"> outlining internal processes for use of the word ‘Anzac’, including standard words and templates </w:t>
            </w:r>
            <w:r w:rsidR="00A24C6E">
              <w:rPr>
                <w:sz w:val="18"/>
                <w:szCs w:val="18"/>
              </w:rPr>
              <w:t>is</w:t>
            </w:r>
            <w:r w:rsidRPr="0012517C">
              <w:rPr>
                <w:sz w:val="18"/>
                <w:szCs w:val="18"/>
              </w:rPr>
              <w:t xml:space="preserve"> available to DVA staff.</w:t>
            </w:r>
          </w:p>
          <w:p w14:paraId="23D1EA8E" w14:textId="77777777" w:rsidR="00973645" w:rsidRDefault="00973645">
            <w:pPr>
              <w:rPr>
                <w:sz w:val="18"/>
                <w:szCs w:val="18"/>
              </w:rPr>
            </w:pPr>
          </w:p>
          <w:p w14:paraId="47201B08" w14:textId="77777777" w:rsidR="00973645" w:rsidRDefault="00973645">
            <w:pPr>
              <w:rPr>
                <w:sz w:val="18"/>
                <w:szCs w:val="18"/>
              </w:rPr>
            </w:pPr>
            <w:r w:rsidRPr="003E7156">
              <w:rPr>
                <w:sz w:val="18"/>
                <w:szCs w:val="18"/>
              </w:rPr>
              <w:t>Based on feedback from several stakeholders, an application form for approval to use the word ‘Anzac’ would remove some confusion about the type of information DVA requires, rather than relying on dot points in the Guidelines.</w:t>
            </w:r>
            <w:r>
              <w:rPr>
                <w:sz w:val="18"/>
                <w:szCs w:val="18"/>
              </w:rPr>
              <w:t xml:space="preserve"> </w:t>
            </w:r>
          </w:p>
          <w:p w14:paraId="35B9ECC1" w14:textId="77777777" w:rsidR="00485A40" w:rsidRDefault="00485A40">
            <w:pPr>
              <w:rPr>
                <w:sz w:val="18"/>
                <w:szCs w:val="18"/>
              </w:rPr>
            </w:pPr>
          </w:p>
          <w:p w14:paraId="38BC82B4" w14:textId="77777777" w:rsidR="00485A40" w:rsidRPr="0012517C" w:rsidRDefault="00485A40">
            <w:pPr>
              <w:rPr>
                <w:sz w:val="18"/>
                <w:szCs w:val="18"/>
              </w:rPr>
            </w:pPr>
          </w:p>
        </w:tc>
      </w:tr>
    </w:tbl>
    <w:p w14:paraId="1593DC5D" w14:textId="77777777" w:rsidR="0012517C" w:rsidRPr="0012517C" w:rsidRDefault="0012517C" w:rsidP="0012517C"/>
    <w:p w14:paraId="64798764" w14:textId="77777777" w:rsidR="00B33A0B" w:rsidRDefault="00B33A0B"/>
    <w:p w14:paraId="254BFC98" w14:textId="77777777" w:rsidR="008F129B" w:rsidRDefault="008F129B"/>
    <w:p w14:paraId="6F2610F5" w14:textId="77777777" w:rsidR="008F129B" w:rsidRDefault="008F129B">
      <w:r>
        <w:br w:type="page"/>
      </w:r>
    </w:p>
    <w:p w14:paraId="22657A9F" w14:textId="77777777" w:rsidR="00E43847" w:rsidRDefault="00E43847" w:rsidP="00E43847">
      <w:pPr>
        <w:pStyle w:val="Heading1"/>
      </w:pPr>
      <w:bookmarkStart w:id="37" w:name="_Toc465262929"/>
      <w:bookmarkStart w:id="38" w:name="_Toc19696330"/>
      <w:r>
        <w:t xml:space="preserve">Appendix </w:t>
      </w:r>
      <w:bookmarkEnd w:id="33"/>
      <w:bookmarkEnd w:id="34"/>
      <w:r w:rsidR="0012517C">
        <w:t>B</w:t>
      </w:r>
      <w:r w:rsidR="001D4F51">
        <w:t>: Results and evidence against each metric</w:t>
      </w:r>
      <w:bookmarkEnd w:id="37"/>
      <w:bookmarkEnd w:id="38"/>
    </w:p>
    <w:tbl>
      <w:tblPr>
        <w:tblStyle w:val="TableGrid1"/>
        <w:tblW w:w="5000" w:type="pct"/>
        <w:tblLook w:val="04A0" w:firstRow="1" w:lastRow="0" w:firstColumn="1" w:lastColumn="0" w:noHBand="0" w:noVBand="1"/>
      </w:tblPr>
      <w:tblGrid>
        <w:gridCol w:w="1838"/>
        <w:gridCol w:w="3589"/>
        <w:gridCol w:w="3589"/>
      </w:tblGrid>
      <w:tr w:rsidR="001D4F51" w:rsidRPr="00D44AAF" w14:paraId="232FFC29" w14:textId="77777777" w:rsidTr="00797AE5">
        <w:trPr>
          <w:cantSplit/>
          <w:tblHeader/>
        </w:trPr>
        <w:tc>
          <w:tcPr>
            <w:tcW w:w="1019" w:type="pct"/>
            <w:shd w:val="clear" w:color="auto" w:fill="D9D9D9"/>
          </w:tcPr>
          <w:p w14:paraId="2A1DE3BB" w14:textId="77777777" w:rsidR="001D4F51" w:rsidRPr="001D4F51" w:rsidRDefault="001D4F51" w:rsidP="00583965">
            <w:pPr>
              <w:ind w:left="360" w:hanging="218"/>
              <w:rPr>
                <w:rFonts w:eastAsia="Times New Roman"/>
                <w:b/>
                <w:sz w:val="18"/>
                <w:szCs w:val="18"/>
                <w:lang w:eastAsia="en-AU"/>
              </w:rPr>
            </w:pPr>
            <w:r w:rsidRPr="001D4F51">
              <w:rPr>
                <w:rFonts w:eastAsia="Times New Roman"/>
                <w:b/>
                <w:sz w:val="18"/>
                <w:szCs w:val="18"/>
                <w:lang w:eastAsia="en-AU"/>
              </w:rPr>
              <w:t>KPI</w:t>
            </w:r>
          </w:p>
        </w:tc>
        <w:tc>
          <w:tcPr>
            <w:tcW w:w="1990" w:type="pct"/>
            <w:shd w:val="clear" w:color="auto" w:fill="D9D9D9"/>
          </w:tcPr>
          <w:p w14:paraId="57B638BA" w14:textId="77777777" w:rsidR="001D4F51" w:rsidRPr="001D4F51" w:rsidRDefault="001D4F51" w:rsidP="00583965">
            <w:pPr>
              <w:ind w:left="720" w:hanging="686"/>
              <w:contextualSpacing/>
              <w:jc w:val="center"/>
              <w:rPr>
                <w:rFonts w:eastAsia="Times New Roman"/>
                <w:b/>
                <w:sz w:val="18"/>
                <w:szCs w:val="18"/>
                <w:lang w:eastAsia="en-AU"/>
              </w:rPr>
            </w:pPr>
            <w:r w:rsidRPr="001D4F51">
              <w:rPr>
                <w:rFonts w:eastAsia="Times New Roman"/>
                <w:b/>
                <w:sz w:val="18"/>
                <w:szCs w:val="18"/>
                <w:lang w:eastAsia="en-AU"/>
              </w:rPr>
              <w:t>Output Metric</w:t>
            </w:r>
          </w:p>
          <w:p w14:paraId="04AB0F77" w14:textId="77777777" w:rsidR="001D4F51" w:rsidRPr="001D4F51" w:rsidRDefault="001D4F51" w:rsidP="00583965">
            <w:pPr>
              <w:jc w:val="center"/>
              <w:rPr>
                <w:rFonts w:eastAsia="Times New Roman"/>
                <w:b/>
                <w:i/>
                <w:sz w:val="18"/>
                <w:szCs w:val="18"/>
                <w:lang w:eastAsia="en-AU"/>
              </w:rPr>
            </w:pPr>
          </w:p>
        </w:tc>
        <w:tc>
          <w:tcPr>
            <w:tcW w:w="1990" w:type="pct"/>
            <w:shd w:val="clear" w:color="auto" w:fill="D9D9D9"/>
          </w:tcPr>
          <w:p w14:paraId="317CFE2E" w14:textId="77777777" w:rsidR="001D4F51" w:rsidRPr="001D4F51" w:rsidRDefault="001D4F51" w:rsidP="00583965">
            <w:pPr>
              <w:ind w:left="720" w:hanging="686"/>
              <w:contextualSpacing/>
              <w:jc w:val="center"/>
              <w:rPr>
                <w:rFonts w:eastAsia="Times New Roman"/>
                <w:b/>
                <w:sz w:val="18"/>
                <w:szCs w:val="18"/>
                <w:lang w:eastAsia="en-AU"/>
              </w:rPr>
            </w:pPr>
            <w:r w:rsidRPr="001D4F51">
              <w:rPr>
                <w:rFonts w:eastAsia="Times New Roman"/>
                <w:b/>
                <w:sz w:val="18"/>
                <w:szCs w:val="18"/>
                <w:lang w:eastAsia="en-AU"/>
              </w:rPr>
              <w:t>Evidence and Results</w:t>
            </w:r>
          </w:p>
        </w:tc>
      </w:tr>
      <w:tr w:rsidR="001D4F51" w:rsidRPr="00D44AAF" w14:paraId="561E9E7C" w14:textId="77777777" w:rsidTr="00EF1832">
        <w:trPr>
          <w:cantSplit/>
          <w:trHeight w:val="497"/>
        </w:trPr>
        <w:tc>
          <w:tcPr>
            <w:tcW w:w="1019" w:type="pct"/>
            <w:vMerge w:val="restart"/>
          </w:tcPr>
          <w:p w14:paraId="02E97562" w14:textId="77777777"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 xml:space="preserve">KPI 1 – Regulators do not unnecessarily impede the </w:t>
            </w:r>
            <w:r w:rsidR="00797AE5">
              <w:rPr>
                <w:rFonts w:eastAsia="Times New Roman"/>
                <w:b/>
                <w:sz w:val="18"/>
                <w:szCs w:val="18"/>
                <w:lang w:eastAsia="en-AU"/>
              </w:rPr>
              <w:t xml:space="preserve">efficient operation </w:t>
            </w:r>
            <w:r w:rsidRPr="001D4F51">
              <w:rPr>
                <w:rFonts w:eastAsia="Times New Roman"/>
                <w:b/>
                <w:sz w:val="18"/>
                <w:szCs w:val="18"/>
                <w:lang w:eastAsia="en-AU"/>
              </w:rPr>
              <w:t>of regulated entities</w:t>
            </w:r>
          </w:p>
        </w:tc>
        <w:tc>
          <w:tcPr>
            <w:tcW w:w="1990" w:type="pct"/>
            <w:vAlign w:val="center"/>
          </w:tcPr>
          <w:p w14:paraId="5148E4D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Documented responsiveness to feedback from regulated entities, including feedback from existing complaint mechanisms and surveys of regulated entities.</w:t>
            </w:r>
          </w:p>
        </w:tc>
        <w:tc>
          <w:tcPr>
            <w:tcW w:w="1990" w:type="pct"/>
            <w:shd w:val="clear" w:color="auto" w:fill="auto"/>
            <w:vAlign w:val="center"/>
          </w:tcPr>
          <w:p w14:paraId="747F63A5" w14:textId="6218FE3C"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Register of interactions with regulated entities stored in Department’s </w:t>
            </w:r>
            <w:r w:rsidR="00394583">
              <w:rPr>
                <w:rFonts w:eastAsia="Times New Roman"/>
                <w:color w:val="000000"/>
                <w:sz w:val="18"/>
                <w:szCs w:val="18"/>
                <w:lang w:val="en-GB"/>
              </w:rPr>
              <w:t xml:space="preserve">record keeping </w:t>
            </w:r>
            <w:r w:rsidRPr="001D4F51">
              <w:rPr>
                <w:rFonts w:eastAsia="Times New Roman"/>
                <w:color w:val="000000"/>
                <w:sz w:val="18"/>
                <w:szCs w:val="18"/>
                <w:lang w:val="en-GB"/>
              </w:rPr>
              <w:t>system.</w:t>
            </w:r>
          </w:p>
        </w:tc>
      </w:tr>
      <w:tr w:rsidR="001D4F51" w:rsidRPr="00D44AAF" w14:paraId="0BF5B62D" w14:textId="77777777" w:rsidTr="00EF1832">
        <w:trPr>
          <w:cantSplit/>
          <w:trHeight w:val="70"/>
        </w:trPr>
        <w:tc>
          <w:tcPr>
            <w:tcW w:w="1019" w:type="pct"/>
            <w:vMerge/>
          </w:tcPr>
          <w:p w14:paraId="6FB2EA76" w14:textId="77777777" w:rsidR="001D4F51" w:rsidRPr="001D4F51" w:rsidRDefault="001D4F51" w:rsidP="0012517C">
            <w:pPr>
              <w:jc w:val="center"/>
              <w:rPr>
                <w:rFonts w:eastAsia="Times New Roman"/>
                <w:b/>
                <w:sz w:val="18"/>
                <w:szCs w:val="18"/>
                <w:lang w:eastAsia="en-AU"/>
              </w:rPr>
            </w:pPr>
          </w:p>
        </w:tc>
        <w:tc>
          <w:tcPr>
            <w:tcW w:w="1990" w:type="pct"/>
            <w:vAlign w:val="center"/>
          </w:tcPr>
          <w:p w14:paraId="3DD9B4E4"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Environment scanning is undertaken regularly and at a minimum, on an annual basis.</w:t>
            </w:r>
          </w:p>
        </w:tc>
        <w:tc>
          <w:tcPr>
            <w:tcW w:w="1990" w:type="pct"/>
            <w:shd w:val="clear" w:color="auto" w:fill="auto"/>
            <w:vAlign w:val="center"/>
          </w:tcPr>
          <w:p w14:paraId="63FD6AC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Department-initiated enforcements resulting from environment scanning recorded.</w:t>
            </w:r>
          </w:p>
        </w:tc>
      </w:tr>
      <w:tr w:rsidR="001D4F51" w:rsidRPr="00D44AAF" w14:paraId="6FB93544" w14:textId="77777777" w:rsidTr="00EF1832">
        <w:trPr>
          <w:cantSplit/>
          <w:trHeight w:val="335"/>
        </w:trPr>
        <w:tc>
          <w:tcPr>
            <w:tcW w:w="1019" w:type="pct"/>
            <w:vMerge w:val="restart"/>
            <w:shd w:val="clear" w:color="auto" w:fill="auto"/>
          </w:tcPr>
          <w:p w14:paraId="6C5A8F12" w14:textId="77777777" w:rsidR="001D4F51" w:rsidRPr="001D4F51" w:rsidRDefault="001D4F51" w:rsidP="00797AE5">
            <w:pPr>
              <w:rPr>
                <w:rFonts w:eastAsia="Times New Roman"/>
                <w:b/>
                <w:bCs/>
                <w:sz w:val="18"/>
                <w:szCs w:val="18"/>
                <w:lang w:eastAsia="en-AU"/>
              </w:rPr>
            </w:pPr>
            <w:r w:rsidRPr="001D4F51">
              <w:rPr>
                <w:rFonts w:eastAsia="Times New Roman"/>
                <w:b/>
                <w:bCs/>
                <w:sz w:val="18"/>
                <w:szCs w:val="18"/>
                <w:lang w:eastAsia="en-AU"/>
              </w:rPr>
              <w:t xml:space="preserve">KPI 2 – </w:t>
            </w:r>
            <w:r w:rsidR="00797AE5">
              <w:rPr>
                <w:rFonts w:eastAsia="Times New Roman"/>
                <w:b/>
                <w:bCs/>
                <w:sz w:val="18"/>
                <w:szCs w:val="18"/>
                <w:lang w:eastAsia="en-AU"/>
              </w:rPr>
              <w:t>C</w:t>
            </w:r>
            <w:r w:rsidRPr="001D4F51">
              <w:rPr>
                <w:rFonts w:eastAsia="Times New Roman"/>
                <w:b/>
                <w:bCs/>
                <w:sz w:val="18"/>
                <w:szCs w:val="18"/>
                <w:lang w:eastAsia="en-AU"/>
              </w:rPr>
              <w:t>ommunication with regulated entities is clear, targeted and effective</w:t>
            </w:r>
          </w:p>
          <w:p w14:paraId="692FA49E" w14:textId="77777777" w:rsidR="001D4F51" w:rsidRPr="001D4F51" w:rsidRDefault="001D4F51" w:rsidP="0012517C">
            <w:pPr>
              <w:jc w:val="center"/>
              <w:rPr>
                <w:rFonts w:eastAsia="Times New Roman"/>
                <w:b/>
                <w:sz w:val="18"/>
                <w:szCs w:val="18"/>
                <w:lang w:eastAsia="en-AU"/>
              </w:rPr>
            </w:pPr>
          </w:p>
        </w:tc>
        <w:tc>
          <w:tcPr>
            <w:tcW w:w="1990" w:type="pct"/>
            <w:vAlign w:val="center"/>
          </w:tcPr>
          <w:p w14:paraId="63CB1DA2"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Percentage of guidance materials that complies with government accessibility guidelines.</w:t>
            </w:r>
          </w:p>
        </w:tc>
        <w:tc>
          <w:tcPr>
            <w:tcW w:w="1990" w:type="pct"/>
            <w:shd w:val="clear" w:color="auto" w:fill="auto"/>
            <w:vAlign w:val="center"/>
          </w:tcPr>
          <w:p w14:paraId="023CC0B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100% of website and </w:t>
            </w:r>
            <w:r w:rsidRPr="003B568A">
              <w:rPr>
                <w:rFonts w:eastAsia="Times New Roman"/>
                <w:color w:val="000000"/>
                <w:sz w:val="18"/>
                <w:szCs w:val="18"/>
                <w:lang w:val="en-GB"/>
              </w:rPr>
              <w:t>Guidelines</w:t>
            </w:r>
            <w:r w:rsidRPr="001D4F51">
              <w:rPr>
                <w:rFonts w:eastAsia="Times New Roman"/>
                <w:i/>
                <w:color w:val="000000"/>
                <w:sz w:val="18"/>
                <w:szCs w:val="18"/>
                <w:lang w:val="en-GB"/>
              </w:rPr>
              <w:t xml:space="preserve"> </w:t>
            </w:r>
            <w:r w:rsidRPr="001D4F51">
              <w:rPr>
                <w:rFonts w:eastAsia="Times New Roman"/>
                <w:color w:val="000000"/>
                <w:sz w:val="18"/>
                <w:szCs w:val="18"/>
                <w:lang w:val="en-GB"/>
              </w:rPr>
              <w:t>complies with government accessibility guidelines.</w:t>
            </w:r>
          </w:p>
        </w:tc>
      </w:tr>
      <w:tr w:rsidR="001D4F51" w:rsidRPr="00D44AAF" w14:paraId="42CAAC78" w14:textId="77777777" w:rsidTr="00EF1832">
        <w:trPr>
          <w:cantSplit/>
          <w:trHeight w:val="251"/>
        </w:trPr>
        <w:tc>
          <w:tcPr>
            <w:tcW w:w="1019" w:type="pct"/>
            <w:vMerge/>
            <w:shd w:val="clear" w:color="auto" w:fill="auto"/>
          </w:tcPr>
          <w:p w14:paraId="2F3D7249" w14:textId="77777777" w:rsidR="001D4F51" w:rsidRPr="001D4F51" w:rsidRDefault="001D4F51" w:rsidP="0012517C">
            <w:pPr>
              <w:jc w:val="center"/>
              <w:rPr>
                <w:rFonts w:eastAsia="Times New Roman"/>
                <w:b/>
                <w:bCs/>
                <w:sz w:val="18"/>
                <w:szCs w:val="18"/>
                <w:lang w:eastAsia="en-AU"/>
              </w:rPr>
            </w:pPr>
          </w:p>
        </w:tc>
        <w:tc>
          <w:tcPr>
            <w:tcW w:w="1990" w:type="pct"/>
            <w:vAlign w:val="center"/>
          </w:tcPr>
          <w:p w14:paraId="63561962"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Maximum, minimum and average time for decision.</w:t>
            </w:r>
          </w:p>
        </w:tc>
        <w:tc>
          <w:tcPr>
            <w:tcW w:w="1990" w:type="pct"/>
            <w:shd w:val="clear" w:color="auto" w:fill="auto"/>
            <w:vAlign w:val="center"/>
          </w:tcPr>
          <w:p w14:paraId="7918ADA6"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Information not recorded.</w:t>
            </w:r>
          </w:p>
        </w:tc>
      </w:tr>
      <w:tr w:rsidR="001D4F51" w:rsidRPr="00D44AAF" w14:paraId="5BB2FDE7" w14:textId="77777777" w:rsidTr="00EF1832">
        <w:trPr>
          <w:cantSplit/>
          <w:trHeight w:val="259"/>
        </w:trPr>
        <w:tc>
          <w:tcPr>
            <w:tcW w:w="1019" w:type="pct"/>
            <w:vMerge/>
            <w:shd w:val="clear" w:color="auto" w:fill="auto"/>
          </w:tcPr>
          <w:p w14:paraId="74475879" w14:textId="77777777" w:rsidR="001D4F51" w:rsidRPr="001D4F51" w:rsidRDefault="001D4F51" w:rsidP="0012517C">
            <w:pPr>
              <w:jc w:val="center"/>
              <w:rPr>
                <w:rFonts w:eastAsia="Times New Roman"/>
                <w:b/>
                <w:bCs/>
                <w:sz w:val="18"/>
                <w:szCs w:val="18"/>
                <w:lang w:eastAsia="en-AU"/>
              </w:rPr>
            </w:pPr>
          </w:p>
        </w:tc>
        <w:tc>
          <w:tcPr>
            <w:tcW w:w="1990" w:type="pct"/>
            <w:vAlign w:val="center"/>
          </w:tcPr>
          <w:p w14:paraId="701A14D6"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Published timeframes for decision making.</w:t>
            </w:r>
          </w:p>
        </w:tc>
        <w:tc>
          <w:tcPr>
            <w:tcW w:w="1990" w:type="pct"/>
            <w:shd w:val="clear" w:color="auto" w:fill="auto"/>
            <w:vAlign w:val="center"/>
          </w:tcPr>
          <w:p w14:paraId="339E51C0"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No timeframes specified.</w:t>
            </w:r>
          </w:p>
        </w:tc>
      </w:tr>
      <w:tr w:rsidR="001D4F51" w:rsidRPr="00D44AAF" w14:paraId="24FD90F9" w14:textId="77777777" w:rsidTr="00EF1832">
        <w:trPr>
          <w:cantSplit/>
          <w:trHeight w:val="898"/>
        </w:trPr>
        <w:tc>
          <w:tcPr>
            <w:tcW w:w="1019" w:type="pct"/>
            <w:vMerge/>
            <w:shd w:val="clear" w:color="auto" w:fill="auto"/>
          </w:tcPr>
          <w:p w14:paraId="7CC367DF" w14:textId="77777777" w:rsidR="001D4F51" w:rsidRPr="001D4F51" w:rsidRDefault="001D4F51" w:rsidP="0012517C">
            <w:pPr>
              <w:jc w:val="center"/>
              <w:rPr>
                <w:rFonts w:eastAsia="Times New Roman"/>
                <w:b/>
                <w:bCs/>
                <w:sz w:val="18"/>
                <w:szCs w:val="18"/>
                <w:lang w:eastAsia="en-AU"/>
              </w:rPr>
            </w:pPr>
          </w:p>
        </w:tc>
        <w:tc>
          <w:tcPr>
            <w:tcW w:w="1990" w:type="pct"/>
            <w:vAlign w:val="center"/>
          </w:tcPr>
          <w:p w14:paraId="6F74D7DC"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Percentage of decisions accompanied by statement of reasons and advice about relevant review or appeal mechanisms, where appropriate.</w:t>
            </w:r>
          </w:p>
        </w:tc>
        <w:tc>
          <w:tcPr>
            <w:tcW w:w="1990" w:type="pct"/>
            <w:shd w:val="clear" w:color="auto" w:fill="auto"/>
            <w:vAlign w:val="center"/>
          </w:tcPr>
          <w:p w14:paraId="708A0AE1"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Advice to all applicants on review rights available in </w:t>
            </w:r>
            <w:r w:rsidRPr="003B568A">
              <w:rPr>
                <w:rFonts w:eastAsia="Times New Roman"/>
                <w:color w:val="000000"/>
                <w:sz w:val="18"/>
                <w:szCs w:val="18"/>
                <w:lang w:val="en-GB"/>
              </w:rPr>
              <w:t>Guidelines</w:t>
            </w:r>
            <w:r w:rsidRPr="001D4F51">
              <w:rPr>
                <w:rFonts w:eastAsia="Times New Roman"/>
                <w:color w:val="000000"/>
                <w:sz w:val="18"/>
                <w:szCs w:val="18"/>
                <w:lang w:val="en-GB"/>
              </w:rPr>
              <w:t>.</w:t>
            </w:r>
          </w:p>
          <w:p w14:paraId="7AD05298"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All decisions are communicated by explanatory letter</w:t>
            </w:r>
            <w:r w:rsidR="007774F9">
              <w:rPr>
                <w:rFonts w:eastAsia="Times New Roman"/>
                <w:color w:val="000000"/>
                <w:sz w:val="18"/>
                <w:szCs w:val="18"/>
                <w:lang w:val="en-GB"/>
              </w:rPr>
              <w:t xml:space="preserve"> or email</w:t>
            </w:r>
            <w:r w:rsidRPr="001D4F51">
              <w:rPr>
                <w:rFonts w:eastAsia="Times New Roman"/>
                <w:color w:val="000000"/>
                <w:sz w:val="18"/>
                <w:szCs w:val="18"/>
                <w:lang w:val="en-GB"/>
              </w:rPr>
              <w:t>. Letters include contact details in case of further queries.</w:t>
            </w:r>
          </w:p>
        </w:tc>
      </w:tr>
      <w:tr w:rsidR="001D4F51" w:rsidRPr="00D44AAF" w14:paraId="37E1BFDC" w14:textId="77777777" w:rsidTr="00EF1832">
        <w:trPr>
          <w:cantSplit/>
          <w:trHeight w:val="640"/>
        </w:trPr>
        <w:tc>
          <w:tcPr>
            <w:tcW w:w="1019" w:type="pct"/>
            <w:vMerge/>
            <w:shd w:val="clear" w:color="auto" w:fill="auto"/>
          </w:tcPr>
          <w:p w14:paraId="2EAF6EC2" w14:textId="77777777" w:rsidR="001D4F51" w:rsidRPr="001D4F51" w:rsidRDefault="001D4F51" w:rsidP="0012517C">
            <w:pPr>
              <w:jc w:val="center"/>
              <w:rPr>
                <w:rFonts w:eastAsia="Times New Roman"/>
                <w:b/>
                <w:bCs/>
                <w:sz w:val="18"/>
                <w:szCs w:val="18"/>
                <w:lang w:eastAsia="en-AU"/>
              </w:rPr>
            </w:pPr>
          </w:p>
        </w:tc>
        <w:tc>
          <w:tcPr>
            <w:tcW w:w="1990" w:type="pct"/>
            <w:vAlign w:val="center"/>
          </w:tcPr>
          <w:p w14:paraId="1B38DB3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Approved procedures for communications (including issue-specific scripts if relevant) are available for staff use when interacting with regulated entities.</w:t>
            </w:r>
          </w:p>
        </w:tc>
        <w:tc>
          <w:tcPr>
            <w:tcW w:w="1990" w:type="pct"/>
            <w:shd w:val="clear" w:color="auto" w:fill="auto"/>
            <w:vAlign w:val="center"/>
          </w:tcPr>
          <w:p w14:paraId="6F3DFB62"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Templates exist and are used for decisions and enforcement actions. </w:t>
            </w:r>
          </w:p>
        </w:tc>
      </w:tr>
      <w:tr w:rsidR="001D4F51" w:rsidRPr="00D44AAF" w14:paraId="063D43E4" w14:textId="77777777" w:rsidTr="00EF1832">
        <w:trPr>
          <w:cantSplit/>
          <w:trHeight w:val="372"/>
        </w:trPr>
        <w:tc>
          <w:tcPr>
            <w:tcW w:w="1019" w:type="pct"/>
            <w:vMerge/>
            <w:shd w:val="clear" w:color="auto" w:fill="auto"/>
          </w:tcPr>
          <w:p w14:paraId="6A8A2C11" w14:textId="77777777" w:rsidR="001D4F51" w:rsidRPr="001D4F51" w:rsidRDefault="001D4F51" w:rsidP="0012517C">
            <w:pPr>
              <w:jc w:val="center"/>
              <w:rPr>
                <w:rFonts w:eastAsia="Times New Roman"/>
                <w:b/>
                <w:bCs/>
                <w:sz w:val="18"/>
                <w:szCs w:val="18"/>
                <w:lang w:eastAsia="en-AU"/>
              </w:rPr>
            </w:pPr>
          </w:p>
        </w:tc>
        <w:tc>
          <w:tcPr>
            <w:tcW w:w="1990" w:type="pct"/>
            <w:vAlign w:val="center"/>
          </w:tcPr>
          <w:p w14:paraId="51C97D8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Advice provided to regulated entities is consistent with communication policies.</w:t>
            </w:r>
          </w:p>
        </w:tc>
        <w:tc>
          <w:tcPr>
            <w:tcW w:w="1990" w:type="pct"/>
            <w:shd w:val="clear" w:color="auto" w:fill="auto"/>
            <w:vAlign w:val="center"/>
          </w:tcPr>
          <w:p w14:paraId="39E0F5AA"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Advice is consistent with DVA’s Communications Framework.</w:t>
            </w:r>
          </w:p>
        </w:tc>
      </w:tr>
      <w:tr w:rsidR="001D4F51" w:rsidRPr="00D44AAF" w14:paraId="56FA1310" w14:textId="77777777" w:rsidTr="00EF1832">
        <w:trPr>
          <w:cantSplit/>
          <w:trHeight w:val="394"/>
        </w:trPr>
        <w:tc>
          <w:tcPr>
            <w:tcW w:w="1019" w:type="pct"/>
            <w:vMerge w:val="restart"/>
            <w:shd w:val="clear" w:color="auto" w:fill="auto"/>
          </w:tcPr>
          <w:p w14:paraId="77624017" w14:textId="77777777"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KPI 3 – Actions undertaken by regulators are proportionate to the regulatory risk being managed</w:t>
            </w:r>
          </w:p>
        </w:tc>
        <w:tc>
          <w:tcPr>
            <w:tcW w:w="1990" w:type="pct"/>
            <w:vAlign w:val="center"/>
          </w:tcPr>
          <w:p w14:paraId="0F41B06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Risk management policies and procedures are available to regulator staff and the public.</w:t>
            </w:r>
          </w:p>
        </w:tc>
        <w:tc>
          <w:tcPr>
            <w:tcW w:w="1990" w:type="pct"/>
            <w:shd w:val="clear" w:color="auto" w:fill="auto"/>
            <w:vAlign w:val="center"/>
          </w:tcPr>
          <w:p w14:paraId="66188D85"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Handbook, available to staff, contains procedures.</w:t>
            </w:r>
          </w:p>
        </w:tc>
      </w:tr>
      <w:tr w:rsidR="001D4F51" w:rsidRPr="00D44AAF" w14:paraId="620F698B" w14:textId="77777777" w:rsidTr="00EF1832">
        <w:trPr>
          <w:cantSplit/>
          <w:trHeight w:val="757"/>
        </w:trPr>
        <w:tc>
          <w:tcPr>
            <w:tcW w:w="1019" w:type="pct"/>
            <w:vMerge/>
            <w:shd w:val="clear" w:color="auto" w:fill="auto"/>
          </w:tcPr>
          <w:p w14:paraId="52BA2E4B" w14:textId="77777777" w:rsidR="001D4F51" w:rsidRPr="001D4F51" w:rsidRDefault="001D4F51" w:rsidP="0012517C">
            <w:pPr>
              <w:jc w:val="center"/>
              <w:rPr>
                <w:rFonts w:eastAsia="Times New Roman"/>
                <w:b/>
                <w:sz w:val="18"/>
                <w:szCs w:val="18"/>
                <w:lang w:eastAsia="en-AU"/>
              </w:rPr>
            </w:pPr>
          </w:p>
        </w:tc>
        <w:tc>
          <w:tcPr>
            <w:tcW w:w="1990" w:type="pct"/>
            <w:vAlign w:val="center"/>
          </w:tcPr>
          <w:p w14:paraId="4B8ED926"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Compliance and enforcement strategies, consistent with agreed risk management policies are published.</w:t>
            </w:r>
          </w:p>
        </w:tc>
        <w:tc>
          <w:tcPr>
            <w:tcW w:w="1990" w:type="pct"/>
            <w:shd w:val="clear" w:color="auto" w:fill="auto"/>
            <w:vAlign w:val="center"/>
          </w:tcPr>
          <w:p w14:paraId="422D61D8"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Compliance and enforcement strategies contained in </w:t>
            </w:r>
            <w:r w:rsidRPr="003B568A">
              <w:rPr>
                <w:rFonts w:eastAsia="Times New Roman"/>
                <w:color w:val="000000"/>
                <w:sz w:val="18"/>
                <w:szCs w:val="18"/>
                <w:lang w:val="en-GB"/>
              </w:rPr>
              <w:t>Guidelines</w:t>
            </w:r>
            <w:r w:rsidRPr="00487022">
              <w:rPr>
                <w:rFonts w:eastAsia="Times New Roman"/>
                <w:color w:val="000000"/>
                <w:sz w:val="18"/>
                <w:szCs w:val="18"/>
                <w:lang w:val="en-GB"/>
              </w:rPr>
              <w:t>.</w:t>
            </w:r>
          </w:p>
        </w:tc>
      </w:tr>
      <w:tr w:rsidR="001D4F51" w:rsidRPr="00D44AAF" w14:paraId="0FE1C844" w14:textId="77777777" w:rsidTr="00EF1832">
        <w:trPr>
          <w:cantSplit/>
          <w:trHeight w:val="757"/>
        </w:trPr>
        <w:tc>
          <w:tcPr>
            <w:tcW w:w="1019" w:type="pct"/>
            <w:vMerge/>
            <w:shd w:val="clear" w:color="auto" w:fill="auto"/>
          </w:tcPr>
          <w:p w14:paraId="0450DDAE" w14:textId="77777777" w:rsidR="001D4F51" w:rsidRPr="001D4F51" w:rsidRDefault="001D4F51" w:rsidP="0012517C">
            <w:pPr>
              <w:jc w:val="center"/>
              <w:rPr>
                <w:rFonts w:eastAsia="Times New Roman"/>
                <w:b/>
                <w:sz w:val="18"/>
                <w:szCs w:val="18"/>
                <w:lang w:eastAsia="en-AU"/>
              </w:rPr>
            </w:pPr>
          </w:p>
        </w:tc>
        <w:tc>
          <w:tcPr>
            <w:tcW w:w="1990" w:type="pct"/>
            <w:vAlign w:val="center"/>
          </w:tcPr>
          <w:p w14:paraId="2D550A12"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Documented enforcement strategy which allows for the compliance records of regulated entities to be considered in determining regulatory actions. </w:t>
            </w:r>
          </w:p>
        </w:tc>
        <w:tc>
          <w:tcPr>
            <w:tcW w:w="1990" w:type="pct"/>
            <w:vMerge w:val="restart"/>
            <w:shd w:val="clear" w:color="auto" w:fill="auto"/>
            <w:vAlign w:val="center"/>
          </w:tcPr>
          <w:p w14:paraId="32700E4F"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Handbook contains enforcement strategy.</w:t>
            </w:r>
          </w:p>
        </w:tc>
      </w:tr>
      <w:tr w:rsidR="001D4F51" w:rsidRPr="00D44AAF" w14:paraId="0D3C44DA" w14:textId="77777777" w:rsidTr="00EF1832">
        <w:trPr>
          <w:cantSplit/>
          <w:trHeight w:val="757"/>
        </w:trPr>
        <w:tc>
          <w:tcPr>
            <w:tcW w:w="1019" w:type="pct"/>
            <w:vMerge/>
            <w:shd w:val="clear" w:color="auto" w:fill="auto"/>
          </w:tcPr>
          <w:p w14:paraId="63CC8AD4" w14:textId="77777777" w:rsidR="001D4F51" w:rsidRPr="001D4F51" w:rsidRDefault="001D4F51" w:rsidP="0012517C">
            <w:pPr>
              <w:jc w:val="center"/>
              <w:rPr>
                <w:rFonts w:eastAsia="Times New Roman"/>
                <w:b/>
                <w:sz w:val="18"/>
                <w:szCs w:val="18"/>
                <w:lang w:eastAsia="en-AU"/>
              </w:rPr>
            </w:pPr>
          </w:p>
        </w:tc>
        <w:tc>
          <w:tcPr>
            <w:tcW w:w="1990" w:type="pct"/>
            <w:vAlign w:val="center"/>
          </w:tcPr>
          <w:p w14:paraId="38F6D4B6"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Documented enforcement strategy includes options for graduated compliance actions consistent with regulators’ powers.</w:t>
            </w:r>
          </w:p>
        </w:tc>
        <w:tc>
          <w:tcPr>
            <w:tcW w:w="1990" w:type="pct"/>
            <w:vMerge/>
            <w:shd w:val="clear" w:color="auto" w:fill="auto"/>
            <w:vAlign w:val="center"/>
          </w:tcPr>
          <w:p w14:paraId="704B20F5" w14:textId="77777777" w:rsidR="001D4F51" w:rsidRPr="001D4F51" w:rsidRDefault="001D4F51">
            <w:pPr>
              <w:widowControl w:val="0"/>
              <w:numPr>
                <w:ilvl w:val="0"/>
                <w:numId w:val="1"/>
              </w:numPr>
              <w:suppressAutoHyphens/>
              <w:autoSpaceDE w:val="0"/>
              <w:autoSpaceDN w:val="0"/>
              <w:adjustRightInd w:val="0"/>
              <w:spacing w:after="120"/>
              <w:ind w:left="317" w:hanging="283"/>
              <w:textAlignment w:val="center"/>
              <w:rPr>
                <w:rFonts w:eastAsia="Times New Roman"/>
                <w:color w:val="000000"/>
                <w:sz w:val="18"/>
                <w:szCs w:val="18"/>
                <w:lang w:val="en-GB"/>
              </w:rPr>
            </w:pPr>
          </w:p>
        </w:tc>
      </w:tr>
      <w:tr w:rsidR="001D4F51" w:rsidRPr="00D44AAF" w14:paraId="6CAD43BB" w14:textId="77777777" w:rsidTr="00EF1832">
        <w:trPr>
          <w:cantSplit/>
          <w:trHeight w:val="1033"/>
        </w:trPr>
        <w:tc>
          <w:tcPr>
            <w:tcW w:w="1019" w:type="pct"/>
            <w:vMerge w:val="restart"/>
            <w:shd w:val="clear" w:color="auto" w:fill="auto"/>
          </w:tcPr>
          <w:p w14:paraId="5C2A1DC2" w14:textId="77777777"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KPI 4 – Compliance and monitoring approaches are streamlined and coordinated</w:t>
            </w:r>
          </w:p>
        </w:tc>
        <w:tc>
          <w:tcPr>
            <w:tcW w:w="1990" w:type="pct"/>
            <w:vAlign w:val="center"/>
          </w:tcPr>
          <w:p w14:paraId="56C48F04"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Information shared and received among regulators.</w:t>
            </w:r>
          </w:p>
        </w:tc>
        <w:tc>
          <w:tcPr>
            <w:tcW w:w="1990" w:type="pct"/>
            <w:shd w:val="clear" w:color="auto" w:fill="auto"/>
            <w:vAlign w:val="center"/>
          </w:tcPr>
          <w:p w14:paraId="4DAF69BD" w14:textId="77777777" w:rsidR="001D4F51" w:rsidRPr="0053444A" w:rsidRDefault="00BC4D5E">
            <w:pPr>
              <w:widowControl w:val="0"/>
              <w:suppressAutoHyphens/>
              <w:autoSpaceDE w:val="0"/>
              <w:autoSpaceDN w:val="0"/>
              <w:adjustRightInd w:val="0"/>
              <w:spacing w:after="120"/>
              <w:textAlignment w:val="center"/>
              <w:rPr>
                <w:rFonts w:eastAsia="Times New Roman"/>
                <w:color w:val="000000"/>
                <w:sz w:val="18"/>
                <w:szCs w:val="18"/>
                <w:lang w:val="en-GB"/>
              </w:rPr>
            </w:pPr>
            <w:r>
              <w:rPr>
                <w:rFonts w:eastAsia="Times New Roman"/>
                <w:color w:val="000000"/>
                <w:sz w:val="18"/>
                <w:szCs w:val="18"/>
                <w:lang w:val="en-GB"/>
              </w:rPr>
              <w:t>Two</w:t>
            </w:r>
            <w:r w:rsidRPr="0053444A">
              <w:rPr>
                <w:rFonts w:eastAsia="Times New Roman"/>
                <w:color w:val="000000"/>
                <w:sz w:val="18"/>
                <w:szCs w:val="18"/>
                <w:lang w:val="en-GB"/>
              </w:rPr>
              <w:t xml:space="preserve"> </w:t>
            </w:r>
            <w:r w:rsidR="0053444A" w:rsidRPr="0053444A">
              <w:rPr>
                <w:rFonts w:eastAsia="Times New Roman"/>
                <w:color w:val="000000"/>
                <w:sz w:val="18"/>
                <w:szCs w:val="18"/>
                <w:lang w:val="en-GB"/>
              </w:rPr>
              <w:t>matter</w:t>
            </w:r>
            <w:r>
              <w:rPr>
                <w:rFonts w:eastAsia="Times New Roman"/>
                <w:color w:val="000000"/>
                <w:sz w:val="18"/>
                <w:szCs w:val="18"/>
                <w:lang w:val="en-GB"/>
              </w:rPr>
              <w:t>s</w:t>
            </w:r>
            <w:r w:rsidR="001D4F51" w:rsidRPr="0053444A">
              <w:rPr>
                <w:rFonts w:eastAsia="Times New Roman"/>
                <w:color w:val="000000"/>
                <w:sz w:val="18"/>
                <w:szCs w:val="18"/>
                <w:lang w:val="en-GB"/>
              </w:rPr>
              <w:t xml:space="preserve"> referred to Army Brand Manager.</w:t>
            </w:r>
          </w:p>
          <w:p w14:paraId="5D7856F8" w14:textId="77777777" w:rsidR="001D4F51" w:rsidRPr="00305948" w:rsidRDefault="0053444A">
            <w:pPr>
              <w:widowControl w:val="0"/>
              <w:suppressAutoHyphens/>
              <w:autoSpaceDE w:val="0"/>
              <w:autoSpaceDN w:val="0"/>
              <w:adjustRightInd w:val="0"/>
              <w:spacing w:after="120"/>
              <w:textAlignment w:val="center"/>
              <w:rPr>
                <w:rFonts w:eastAsia="Times New Roman"/>
                <w:color w:val="000000"/>
                <w:sz w:val="18"/>
                <w:szCs w:val="18"/>
                <w:highlight w:val="yellow"/>
                <w:lang w:val="en-GB"/>
              </w:rPr>
            </w:pPr>
            <w:r w:rsidRPr="0053444A">
              <w:rPr>
                <w:rFonts w:eastAsia="Times New Roman"/>
                <w:color w:val="000000"/>
                <w:sz w:val="18"/>
                <w:szCs w:val="18"/>
                <w:lang w:val="en-GB"/>
              </w:rPr>
              <w:t>No</w:t>
            </w:r>
            <w:r w:rsidR="001D4F51" w:rsidRPr="0053444A">
              <w:rPr>
                <w:rFonts w:eastAsia="Times New Roman"/>
                <w:color w:val="000000"/>
                <w:sz w:val="18"/>
                <w:szCs w:val="18"/>
                <w:lang w:val="en-GB"/>
              </w:rPr>
              <w:t xml:space="preserve"> referral</w:t>
            </w:r>
            <w:r w:rsidRPr="0053444A">
              <w:rPr>
                <w:rFonts w:eastAsia="Times New Roman"/>
                <w:color w:val="000000"/>
                <w:sz w:val="18"/>
                <w:szCs w:val="18"/>
                <w:lang w:val="en-GB"/>
              </w:rPr>
              <w:t>s were</w:t>
            </w:r>
            <w:r w:rsidR="001D4F51" w:rsidRPr="0053444A">
              <w:rPr>
                <w:rFonts w:eastAsia="Times New Roman"/>
                <w:color w:val="000000"/>
                <w:sz w:val="18"/>
                <w:szCs w:val="18"/>
                <w:lang w:val="en-GB"/>
              </w:rPr>
              <w:t xml:space="preserve"> received from Army Brand Manager</w:t>
            </w:r>
            <w:r w:rsidRPr="0053444A">
              <w:rPr>
                <w:rFonts w:eastAsia="Times New Roman"/>
                <w:color w:val="000000"/>
                <w:sz w:val="18"/>
                <w:szCs w:val="18"/>
                <w:lang w:val="en-GB"/>
              </w:rPr>
              <w:t xml:space="preserve"> in </w:t>
            </w:r>
            <w:r w:rsidR="00962658">
              <w:rPr>
                <w:rFonts w:eastAsia="Times New Roman"/>
                <w:color w:val="000000"/>
                <w:sz w:val="18"/>
                <w:szCs w:val="18"/>
                <w:lang w:val="en-GB"/>
              </w:rPr>
              <w:t>2018-19</w:t>
            </w:r>
            <w:r w:rsidR="001D4F51" w:rsidRPr="0053444A">
              <w:rPr>
                <w:rFonts w:eastAsia="Times New Roman"/>
                <w:color w:val="000000"/>
                <w:sz w:val="18"/>
                <w:szCs w:val="18"/>
                <w:lang w:val="en-GB"/>
              </w:rPr>
              <w:t>.</w:t>
            </w:r>
          </w:p>
        </w:tc>
      </w:tr>
      <w:tr w:rsidR="001D4F51" w:rsidRPr="00D44AAF" w14:paraId="05CE696E" w14:textId="77777777" w:rsidTr="00EF1832">
        <w:trPr>
          <w:cantSplit/>
          <w:trHeight w:val="1032"/>
        </w:trPr>
        <w:tc>
          <w:tcPr>
            <w:tcW w:w="1019" w:type="pct"/>
            <w:vMerge/>
            <w:shd w:val="clear" w:color="auto" w:fill="auto"/>
          </w:tcPr>
          <w:p w14:paraId="4E0C3C64" w14:textId="77777777" w:rsidR="001D4F51" w:rsidRPr="001D4F51" w:rsidRDefault="001D4F51" w:rsidP="0012517C">
            <w:pPr>
              <w:jc w:val="center"/>
              <w:rPr>
                <w:rFonts w:eastAsia="Times New Roman"/>
                <w:b/>
                <w:sz w:val="18"/>
                <w:szCs w:val="18"/>
                <w:lang w:eastAsia="en-AU"/>
              </w:rPr>
            </w:pPr>
          </w:p>
        </w:tc>
        <w:tc>
          <w:tcPr>
            <w:tcW w:w="1990" w:type="pct"/>
            <w:vAlign w:val="center"/>
          </w:tcPr>
          <w:p w14:paraId="4675B20D"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Evidence of collected information being acted upon, stored and re-used. </w:t>
            </w:r>
          </w:p>
        </w:tc>
        <w:tc>
          <w:tcPr>
            <w:tcW w:w="1990" w:type="pct"/>
            <w:shd w:val="clear" w:color="auto" w:fill="auto"/>
            <w:vAlign w:val="center"/>
          </w:tcPr>
          <w:p w14:paraId="2C3C81E1" w14:textId="73DE2B1F" w:rsid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Register of interactions with regulated entities stored in Department’s </w:t>
            </w:r>
            <w:r w:rsidR="00394583">
              <w:rPr>
                <w:rFonts w:eastAsia="Times New Roman"/>
                <w:color w:val="000000"/>
                <w:sz w:val="18"/>
                <w:szCs w:val="18"/>
                <w:lang w:val="en-GB"/>
              </w:rPr>
              <w:t>record keeping</w:t>
            </w:r>
            <w:r w:rsidRPr="001D4F51">
              <w:rPr>
                <w:rFonts w:eastAsia="Times New Roman"/>
                <w:color w:val="000000"/>
                <w:sz w:val="18"/>
                <w:szCs w:val="18"/>
                <w:lang w:val="en-GB"/>
              </w:rPr>
              <w:t xml:space="preserve"> system.</w:t>
            </w:r>
          </w:p>
          <w:p w14:paraId="284F5075" w14:textId="203A9D53" w:rsidR="001D4F51" w:rsidRPr="001D4F51" w:rsidRDefault="00394583">
            <w:pPr>
              <w:widowControl w:val="0"/>
              <w:suppressAutoHyphens/>
              <w:autoSpaceDE w:val="0"/>
              <w:autoSpaceDN w:val="0"/>
              <w:adjustRightInd w:val="0"/>
              <w:spacing w:after="120"/>
              <w:textAlignment w:val="center"/>
              <w:rPr>
                <w:rFonts w:eastAsia="Times New Roman"/>
                <w:color w:val="000000"/>
                <w:sz w:val="18"/>
                <w:szCs w:val="18"/>
                <w:lang w:val="en-GB"/>
              </w:rPr>
            </w:pPr>
            <w:r>
              <w:rPr>
                <w:rFonts w:eastAsia="Times New Roman"/>
                <w:color w:val="000000"/>
                <w:sz w:val="18"/>
                <w:szCs w:val="18"/>
                <w:lang w:val="en-GB"/>
              </w:rPr>
              <w:t>Internal records</w:t>
            </w:r>
            <w:r w:rsidR="001D4F51" w:rsidRPr="001D4F51">
              <w:rPr>
                <w:rFonts w:eastAsia="Times New Roman"/>
                <w:color w:val="000000"/>
                <w:sz w:val="18"/>
                <w:szCs w:val="18"/>
                <w:lang w:val="en-GB"/>
              </w:rPr>
              <w:t xml:space="preserve"> consulted whe</w:t>
            </w:r>
            <w:r w:rsidR="007774F9">
              <w:rPr>
                <w:rFonts w:eastAsia="Times New Roman"/>
                <w:color w:val="000000"/>
                <w:sz w:val="18"/>
                <w:szCs w:val="18"/>
                <w:lang w:val="en-GB"/>
              </w:rPr>
              <w:t>n</w:t>
            </w:r>
            <w:r w:rsidR="001D4F51" w:rsidRPr="001D4F51">
              <w:rPr>
                <w:rFonts w:eastAsia="Times New Roman"/>
                <w:color w:val="000000"/>
                <w:sz w:val="18"/>
                <w:szCs w:val="18"/>
                <w:lang w:val="en-GB"/>
              </w:rPr>
              <w:t>ever complaint received.</w:t>
            </w:r>
          </w:p>
        </w:tc>
      </w:tr>
      <w:tr w:rsidR="001D4F51" w:rsidRPr="00D44AAF" w14:paraId="4AF66075" w14:textId="77777777" w:rsidTr="00EF1832">
        <w:trPr>
          <w:cantSplit/>
          <w:trHeight w:val="1032"/>
        </w:trPr>
        <w:tc>
          <w:tcPr>
            <w:tcW w:w="1019" w:type="pct"/>
            <w:vMerge/>
            <w:shd w:val="clear" w:color="auto" w:fill="auto"/>
          </w:tcPr>
          <w:p w14:paraId="5AAF5B07" w14:textId="77777777" w:rsidR="001D4F51" w:rsidRPr="001D4F51" w:rsidRDefault="001D4F51" w:rsidP="0012517C">
            <w:pPr>
              <w:jc w:val="center"/>
              <w:rPr>
                <w:rFonts w:eastAsia="Times New Roman"/>
                <w:b/>
                <w:sz w:val="18"/>
                <w:szCs w:val="18"/>
                <w:lang w:eastAsia="en-AU"/>
              </w:rPr>
            </w:pPr>
          </w:p>
        </w:tc>
        <w:tc>
          <w:tcPr>
            <w:tcW w:w="1990" w:type="pct"/>
            <w:vAlign w:val="center"/>
          </w:tcPr>
          <w:p w14:paraId="144412FB"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Regular review and assessment of agreed monitoring and compliance strategies, including use of earned autonomy approaches.</w:t>
            </w:r>
          </w:p>
        </w:tc>
        <w:tc>
          <w:tcPr>
            <w:tcW w:w="1990" w:type="pct"/>
            <w:shd w:val="clear" w:color="auto" w:fill="auto"/>
            <w:vAlign w:val="center"/>
          </w:tcPr>
          <w:p w14:paraId="1298EF31" w14:textId="77777777" w:rsidR="004D7C6A" w:rsidRPr="003E7156" w:rsidRDefault="004D7C6A">
            <w:pPr>
              <w:widowControl w:val="0"/>
              <w:suppressAutoHyphens/>
              <w:autoSpaceDE w:val="0"/>
              <w:autoSpaceDN w:val="0"/>
              <w:adjustRightInd w:val="0"/>
              <w:spacing w:after="120"/>
              <w:textAlignment w:val="center"/>
              <w:rPr>
                <w:rFonts w:eastAsia="Times New Roman"/>
                <w:color w:val="000000"/>
                <w:sz w:val="18"/>
                <w:szCs w:val="18"/>
                <w:lang w:val="en-GB"/>
              </w:rPr>
            </w:pPr>
            <w:r w:rsidRPr="003E7156">
              <w:rPr>
                <w:rFonts w:eastAsia="Times New Roman"/>
                <w:color w:val="000000"/>
                <w:sz w:val="18"/>
                <w:szCs w:val="18"/>
                <w:lang w:val="en-GB"/>
              </w:rPr>
              <w:t>During this reporting period several Anzac biscuit manufacturers (mostly small business) were deemed as a low risk and granted autonomy.</w:t>
            </w:r>
          </w:p>
          <w:p w14:paraId="41BB569B" w14:textId="03B24C07" w:rsidR="001D4F51" w:rsidRPr="001D4F51" w:rsidRDefault="00DA4068">
            <w:pPr>
              <w:widowControl w:val="0"/>
              <w:suppressAutoHyphens/>
              <w:autoSpaceDE w:val="0"/>
              <w:autoSpaceDN w:val="0"/>
              <w:adjustRightInd w:val="0"/>
              <w:spacing w:after="120"/>
              <w:textAlignment w:val="center"/>
              <w:rPr>
                <w:rFonts w:eastAsia="Times New Roman"/>
                <w:color w:val="000000"/>
                <w:sz w:val="18"/>
                <w:szCs w:val="18"/>
                <w:lang w:val="en-GB"/>
              </w:rPr>
            </w:pPr>
            <w:r w:rsidRPr="003E7156">
              <w:rPr>
                <w:rFonts w:eastAsia="Times New Roman"/>
                <w:color w:val="000000"/>
                <w:sz w:val="18"/>
                <w:szCs w:val="18"/>
                <w:lang w:val="en-GB"/>
              </w:rPr>
              <w:t>In the context of websites/domain names containing Anzac, a level of autonomy is now being granted to those organisations whose geographic</w:t>
            </w:r>
            <w:r w:rsidRPr="003E7156">
              <w:t xml:space="preserve"> </w:t>
            </w:r>
            <w:r w:rsidRPr="003E7156">
              <w:rPr>
                <w:sz w:val="18"/>
                <w:szCs w:val="18"/>
              </w:rPr>
              <w:t xml:space="preserve">location is on a street, road, avenue, or similar, that is named ‘Anzac’ (hypothetical example: </w:t>
            </w:r>
            <w:r w:rsidRPr="003E7156">
              <w:rPr>
                <w:i/>
                <w:sz w:val="18"/>
                <w:szCs w:val="18"/>
              </w:rPr>
              <w:t>‘www.restaurantonanzacavenue.com.au’</w:t>
            </w:r>
            <w:r w:rsidRPr="003E7156">
              <w:rPr>
                <w:sz w:val="18"/>
                <w:szCs w:val="18"/>
              </w:rPr>
              <w:t>)</w:t>
            </w:r>
          </w:p>
        </w:tc>
      </w:tr>
      <w:tr w:rsidR="001D4F51" w:rsidRPr="00D44AAF" w14:paraId="483B5933" w14:textId="77777777" w:rsidTr="00EF1832">
        <w:trPr>
          <w:cantSplit/>
          <w:trHeight w:val="634"/>
        </w:trPr>
        <w:tc>
          <w:tcPr>
            <w:tcW w:w="1019" w:type="pct"/>
            <w:vMerge w:val="restart"/>
            <w:shd w:val="clear" w:color="auto" w:fill="auto"/>
          </w:tcPr>
          <w:p w14:paraId="68DF54C6" w14:textId="77777777" w:rsidR="001D4F51" w:rsidRPr="001D4F51" w:rsidRDefault="001D4F51" w:rsidP="00797AE5">
            <w:pPr>
              <w:rPr>
                <w:rFonts w:eastAsia="Times New Roman"/>
                <w:b/>
                <w:sz w:val="18"/>
                <w:szCs w:val="18"/>
                <w:lang w:eastAsia="en-AU"/>
              </w:rPr>
            </w:pPr>
            <w:r w:rsidRPr="001D4F51">
              <w:br w:type="page"/>
            </w:r>
            <w:r w:rsidRPr="001D4F51">
              <w:rPr>
                <w:rFonts w:eastAsia="Times New Roman"/>
                <w:b/>
                <w:sz w:val="18"/>
                <w:szCs w:val="18"/>
                <w:lang w:eastAsia="en-AU"/>
              </w:rPr>
              <w:t>KPI 5 - Regulators are open and transparent in their dealings with regulated entities</w:t>
            </w:r>
          </w:p>
        </w:tc>
        <w:tc>
          <w:tcPr>
            <w:tcW w:w="1990" w:type="pct"/>
            <w:vAlign w:val="center"/>
          </w:tcPr>
          <w:p w14:paraId="5AC41BD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Enforcement strategy and risk approach are published.</w:t>
            </w:r>
          </w:p>
        </w:tc>
        <w:tc>
          <w:tcPr>
            <w:tcW w:w="1990" w:type="pct"/>
            <w:shd w:val="clear" w:color="auto" w:fill="auto"/>
            <w:vAlign w:val="center"/>
          </w:tcPr>
          <w:p w14:paraId="306C5D12"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 xml:space="preserve">Compliance and enforcement strategies contained in </w:t>
            </w:r>
            <w:r w:rsidRPr="003B568A">
              <w:rPr>
                <w:rFonts w:eastAsia="Times New Roman"/>
                <w:color w:val="000000"/>
                <w:sz w:val="18"/>
                <w:szCs w:val="18"/>
                <w:lang w:val="en-GB"/>
              </w:rPr>
              <w:t>Guideline</w:t>
            </w:r>
            <w:r w:rsidRPr="001D4F51">
              <w:rPr>
                <w:rFonts w:eastAsia="Times New Roman"/>
                <w:i/>
                <w:color w:val="000000"/>
                <w:sz w:val="18"/>
                <w:szCs w:val="18"/>
                <w:lang w:val="en-GB"/>
              </w:rPr>
              <w:t>s</w:t>
            </w:r>
            <w:r w:rsidRPr="001D4F51">
              <w:rPr>
                <w:rFonts w:eastAsia="Times New Roman"/>
                <w:color w:val="000000"/>
                <w:sz w:val="18"/>
                <w:szCs w:val="18"/>
                <w:lang w:val="en-GB"/>
              </w:rPr>
              <w:t>.</w:t>
            </w:r>
          </w:p>
        </w:tc>
      </w:tr>
      <w:tr w:rsidR="001D4F51" w:rsidRPr="00D44AAF" w14:paraId="3EC9F1C9" w14:textId="77777777" w:rsidTr="00EF1832">
        <w:trPr>
          <w:cantSplit/>
          <w:trHeight w:val="631"/>
        </w:trPr>
        <w:tc>
          <w:tcPr>
            <w:tcW w:w="1019" w:type="pct"/>
            <w:vMerge/>
            <w:shd w:val="clear" w:color="auto" w:fill="auto"/>
          </w:tcPr>
          <w:p w14:paraId="27D9D551" w14:textId="77777777" w:rsidR="001D4F51" w:rsidRPr="001D4F51" w:rsidRDefault="001D4F51" w:rsidP="0012517C">
            <w:pPr>
              <w:jc w:val="center"/>
              <w:rPr>
                <w:rFonts w:eastAsia="Times New Roman"/>
                <w:b/>
                <w:sz w:val="18"/>
                <w:szCs w:val="18"/>
                <w:lang w:eastAsia="en-AU"/>
              </w:rPr>
            </w:pPr>
          </w:p>
        </w:tc>
        <w:tc>
          <w:tcPr>
            <w:tcW w:w="1990" w:type="pct"/>
            <w:vAlign w:val="center"/>
          </w:tcPr>
          <w:p w14:paraId="6AD94B75"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Performance measurement results are published.</w:t>
            </w:r>
          </w:p>
        </w:tc>
        <w:tc>
          <w:tcPr>
            <w:tcW w:w="1990" w:type="pct"/>
            <w:shd w:val="clear" w:color="auto" w:fill="auto"/>
            <w:vAlign w:val="center"/>
          </w:tcPr>
          <w:p w14:paraId="2D30A8D6"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No results published.</w:t>
            </w:r>
          </w:p>
        </w:tc>
      </w:tr>
      <w:tr w:rsidR="001D4F51" w:rsidRPr="00D44AAF" w14:paraId="3A40ED7D" w14:textId="77777777" w:rsidTr="00EF1832">
        <w:trPr>
          <w:cantSplit/>
          <w:trHeight w:val="631"/>
        </w:trPr>
        <w:tc>
          <w:tcPr>
            <w:tcW w:w="1019" w:type="pct"/>
            <w:vMerge/>
            <w:shd w:val="clear" w:color="auto" w:fill="auto"/>
          </w:tcPr>
          <w:p w14:paraId="644D6FE7" w14:textId="77777777" w:rsidR="001D4F51" w:rsidRPr="001D4F51" w:rsidRDefault="001D4F51" w:rsidP="0012517C">
            <w:pPr>
              <w:jc w:val="center"/>
              <w:rPr>
                <w:rFonts w:eastAsia="Times New Roman"/>
                <w:b/>
                <w:sz w:val="18"/>
                <w:szCs w:val="18"/>
                <w:lang w:eastAsia="en-AU"/>
              </w:rPr>
            </w:pPr>
          </w:p>
        </w:tc>
        <w:tc>
          <w:tcPr>
            <w:tcW w:w="1990" w:type="pct"/>
            <w:vAlign w:val="center"/>
          </w:tcPr>
          <w:p w14:paraId="09CAE07D"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Number of responses to requests from regulated entities provided within specified timeframes.</w:t>
            </w:r>
          </w:p>
        </w:tc>
        <w:tc>
          <w:tcPr>
            <w:tcW w:w="1990" w:type="pct"/>
            <w:shd w:val="clear" w:color="auto" w:fill="auto"/>
            <w:vAlign w:val="center"/>
          </w:tcPr>
          <w:p w14:paraId="4712E0A5"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No timeframes specified.</w:t>
            </w:r>
          </w:p>
        </w:tc>
      </w:tr>
      <w:tr w:rsidR="001D4F51" w:rsidRPr="00D44AAF" w14:paraId="41AA21FC" w14:textId="77777777" w:rsidTr="00EF1832">
        <w:trPr>
          <w:cantSplit/>
          <w:trHeight w:val="631"/>
        </w:trPr>
        <w:tc>
          <w:tcPr>
            <w:tcW w:w="1019" w:type="pct"/>
            <w:vMerge/>
            <w:shd w:val="clear" w:color="auto" w:fill="auto"/>
          </w:tcPr>
          <w:p w14:paraId="67E39C30" w14:textId="77777777" w:rsidR="001D4F51" w:rsidRPr="001D4F51" w:rsidRDefault="001D4F51" w:rsidP="0012517C">
            <w:pPr>
              <w:jc w:val="center"/>
              <w:rPr>
                <w:rFonts w:eastAsia="Times New Roman"/>
                <w:b/>
                <w:sz w:val="18"/>
                <w:szCs w:val="18"/>
                <w:lang w:eastAsia="en-AU"/>
              </w:rPr>
            </w:pPr>
          </w:p>
        </w:tc>
        <w:tc>
          <w:tcPr>
            <w:tcW w:w="1990" w:type="pct"/>
            <w:vAlign w:val="center"/>
          </w:tcPr>
          <w:p w14:paraId="21EBDE17"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Advice and guidance is widely available to stakeholders, with feedback mechanisms in place to support and inform continuous improvement.</w:t>
            </w:r>
          </w:p>
        </w:tc>
        <w:tc>
          <w:tcPr>
            <w:tcW w:w="1990" w:type="pct"/>
            <w:shd w:val="clear" w:color="auto" w:fill="auto"/>
            <w:vAlign w:val="center"/>
          </w:tcPr>
          <w:p w14:paraId="70B3ED79"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3B568A">
              <w:rPr>
                <w:rFonts w:eastAsia="Times New Roman"/>
                <w:color w:val="000000"/>
                <w:sz w:val="18"/>
                <w:szCs w:val="18"/>
                <w:lang w:val="en-GB"/>
              </w:rPr>
              <w:t>Guidelines</w:t>
            </w:r>
            <w:r w:rsidRPr="00487022">
              <w:rPr>
                <w:rFonts w:eastAsia="Times New Roman"/>
                <w:color w:val="000000"/>
                <w:sz w:val="18"/>
                <w:szCs w:val="18"/>
                <w:lang w:val="en-GB"/>
              </w:rPr>
              <w:t xml:space="preserve"> </w:t>
            </w:r>
            <w:r w:rsidRPr="001D4F51">
              <w:rPr>
                <w:rFonts w:eastAsia="Times New Roman"/>
                <w:color w:val="000000"/>
                <w:sz w:val="18"/>
                <w:szCs w:val="18"/>
                <w:lang w:val="en-GB"/>
              </w:rPr>
              <w:t>published on DVA website.</w:t>
            </w:r>
          </w:p>
        </w:tc>
      </w:tr>
      <w:tr w:rsidR="001D4F51" w:rsidRPr="00D44AAF" w14:paraId="5BEDBE64" w14:textId="77777777" w:rsidTr="00EF1832">
        <w:trPr>
          <w:cantSplit/>
          <w:trHeight w:val="844"/>
        </w:trPr>
        <w:tc>
          <w:tcPr>
            <w:tcW w:w="1019" w:type="pct"/>
            <w:vMerge w:val="restart"/>
            <w:shd w:val="clear" w:color="auto" w:fill="auto"/>
          </w:tcPr>
          <w:p w14:paraId="36E69118" w14:textId="77777777" w:rsidR="001D4F51" w:rsidRPr="001D4F51" w:rsidRDefault="001D4F51" w:rsidP="00797AE5">
            <w:pPr>
              <w:rPr>
                <w:rFonts w:eastAsia="Times New Roman"/>
                <w:b/>
                <w:sz w:val="18"/>
                <w:szCs w:val="18"/>
                <w:lang w:eastAsia="en-AU"/>
              </w:rPr>
            </w:pPr>
            <w:r w:rsidRPr="001D4F51">
              <w:rPr>
                <w:rFonts w:eastAsia="Times New Roman"/>
                <w:b/>
                <w:sz w:val="18"/>
                <w:szCs w:val="18"/>
                <w:lang w:eastAsia="en-AU"/>
              </w:rPr>
              <w:t>KPI 6 – Regulators actively contribute to the continuous improvement of regulatory frameworks</w:t>
            </w:r>
          </w:p>
        </w:tc>
        <w:tc>
          <w:tcPr>
            <w:tcW w:w="1990" w:type="pct"/>
            <w:vAlign w:val="center"/>
          </w:tcPr>
          <w:p w14:paraId="465929AC"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Feedback mechanisms are available and made known to all stakeholders.</w:t>
            </w:r>
          </w:p>
        </w:tc>
        <w:tc>
          <w:tcPr>
            <w:tcW w:w="1990" w:type="pct"/>
            <w:shd w:val="clear" w:color="auto" w:fill="auto"/>
            <w:vAlign w:val="center"/>
          </w:tcPr>
          <w:p w14:paraId="65A09129"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Shared mailbox address published on DVA website.</w:t>
            </w:r>
          </w:p>
        </w:tc>
      </w:tr>
      <w:tr w:rsidR="001D4F51" w:rsidRPr="00D44AAF" w14:paraId="016C7412" w14:textId="77777777" w:rsidTr="00EF1832">
        <w:trPr>
          <w:cantSplit/>
          <w:trHeight w:val="842"/>
        </w:trPr>
        <w:tc>
          <w:tcPr>
            <w:tcW w:w="1019" w:type="pct"/>
            <w:vMerge/>
            <w:shd w:val="clear" w:color="auto" w:fill="auto"/>
            <w:textDirection w:val="btLr"/>
          </w:tcPr>
          <w:p w14:paraId="4AADDCC4" w14:textId="77777777" w:rsidR="001D4F51" w:rsidRPr="001D4F51" w:rsidRDefault="001D4F51" w:rsidP="00583965">
            <w:pPr>
              <w:ind w:left="113" w:right="113"/>
              <w:jc w:val="center"/>
              <w:rPr>
                <w:rFonts w:eastAsia="Times New Roman"/>
                <w:b/>
                <w:sz w:val="18"/>
                <w:szCs w:val="18"/>
                <w:lang w:eastAsia="en-AU"/>
              </w:rPr>
            </w:pPr>
          </w:p>
        </w:tc>
        <w:tc>
          <w:tcPr>
            <w:tcW w:w="1990" w:type="pct"/>
            <w:vAlign w:val="center"/>
          </w:tcPr>
          <w:p w14:paraId="0AFB2E43" w14:textId="77777777" w:rsidR="001D4F51"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Documented procedures are in place to facilitate the flow of information between the regulator and policy departments.</w:t>
            </w:r>
          </w:p>
        </w:tc>
        <w:tc>
          <w:tcPr>
            <w:tcW w:w="1990" w:type="pct"/>
            <w:shd w:val="clear" w:color="auto" w:fill="auto"/>
            <w:vAlign w:val="center"/>
          </w:tcPr>
          <w:p w14:paraId="612A78C2" w14:textId="77777777" w:rsidR="00EE2588" w:rsidRDefault="00EE2588">
            <w:pPr>
              <w:widowControl w:val="0"/>
              <w:suppressAutoHyphens/>
              <w:autoSpaceDE w:val="0"/>
              <w:autoSpaceDN w:val="0"/>
              <w:adjustRightInd w:val="0"/>
              <w:spacing w:after="120"/>
              <w:textAlignment w:val="center"/>
              <w:rPr>
                <w:rFonts w:eastAsia="Times New Roman"/>
                <w:color w:val="000000"/>
                <w:sz w:val="18"/>
                <w:szCs w:val="18"/>
                <w:lang w:val="en-GB"/>
              </w:rPr>
            </w:pPr>
            <w:r w:rsidRPr="003E7156">
              <w:rPr>
                <w:sz w:val="18"/>
                <w:szCs w:val="18"/>
              </w:rPr>
              <w:t>Following feedback from stakeholders, DVA is developing an application form for approval to use the word ‘Anzac’.  The form will reduce the need for additional stakeholder interactions as once completed by the applicant, the information contained in the form will be more targeted and specific.  The aim is to streamline the application process by reducing interactions and timelines.</w:t>
            </w:r>
          </w:p>
          <w:p w14:paraId="63C115C1" w14:textId="6A1B57F8" w:rsidR="00EE2588" w:rsidRPr="001D4F51" w:rsidRDefault="001D4F51">
            <w:pPr>
              <w:widowControl w:val="0"/>
              <w:suppressAutoHyphens/>
              <w:autoSpaceDE w:val="0"/>
              <w:autoSpaceDN w:val="0"/>
              <w:adjustRightInd w:val="0"/>
              <w:spacing w:after="120"/>
              <w:textAlignment w:val="center"/>
              <w:rPr>
                <w:rFonts w:eastAsia="Times New Roman"/>
                <w:color w:val="000000"/>
                <w:sz w:val="18"/>
                <w:szCs w:val="18"/>
                <w:lang w:val="en-GB"/>
              </w:rPr>
            </w:pPr>
            <w:r w:rsidRPr="001D4F51">
              <w:rPr>
                <w:rFonts w:eastAsia="Times New Roman"/>
                <w:color w:val="000000"/>
                <w:sz w:val="18"/>
                <w:szCs w:val="18"/>
                <w:lang w:val="en-GB"/>
              </w:rPr>
              <w:t>Use of ‘Anzac’ policy and regulation co-compartmentalised.</w:t>
            </w:r>
          </w:p>
        </w:tc>
      </w:tr>
    </w:tbl>
    <w:p w14:paraId="38AD79AE" w14:textId="77777777" w:rsidR="00B33A0B" w:rsidRDefault="00B33A0B" w:rsidP="00E43847">
      <w:pPr>
        <w:pStyle w:val="Heading1"/>
      </w:pPr>
      <w:bookmarkStart w:id="39" w:name="_Toc464043330"/>
      <w:bookmarkStart w:id="40" w:name="_Toc464043470"/>
    </w:p>
    <w:p w14:paraId="7221E951" w14:textId="77777777" w:rsidR="00B33A0B" w:rsidRDefault="00B33A0B">
      <w:pPr>
        <w:rPr>
          <w:rFonts w:asciiTheme="majorHAnsi" w:eastAsiaTheme="majorEastAsia" w:hAnsiTheme="majorHAnsi" w:cstheme="majorBidi"/>
          <w:color w:val="2E74B5" w:themeColor="accent1" w:themeShade="BF"/>
          <w:sz w:val="32"/>
          <w:szCs w:val="32"/>
        </w:rPr>
      </w:pPr>
      <w:r>
        <w:br w:type="page"/>
      </w:r>
    </w:p>
    <w:p w14:paraId="1A00BD51" w14:textId="77777777" w:rsidR="00E43847" w:rsidRDefault="00E43847" w:rsidP="00E43847">
      <w:pPr>
        <w:pStyle w:val="Heading1"/>
      </w:pPr>
      <w:bookmarkStart w:id="41" w:name="_Toc465262930"/>
      <w:bookmarkStart w:id="42" w:name="_Toc19696331"/>
      <w:r>
        <w:t xml:space="preserve">Appendix </w:t>
      </w:r>
      <w:bookmarkEnd w:id="39"/>
      <w:bookmarkEnd w:id="40"/>
      <w:r w:rsidR="0012517C">
        <w:t>C</w:t>
      </w:r>
      <w:r w:rsidR="001D4F51">
        <w:t>: Summary of feedback from consultation</w:t>
      </w:r>
      <w:bookmarkEnd w:id="41"/>
      <w:bookmarkEnd w:id="42"/>
    </w:p>
    <w:tbl>
      <w:tblPr>
        <w:tblStyle w:val="TableGrid2"/>
        <w:tblW w:w="9209" w:type="dxa"/>
        <w:tblInd w:w="0" w:type="dxa"/>
        <w:tblLook w:val="04A0" w:firstRow="1" w:lastRow="0" w:firstColumn="1" w:lastColumn="0" w:noHBand="0" w:noVBand="1"/>
      </w:tblPr>
      <w:tblGrid>
        <w:gridCol w:w="3256"/>
        <w:gridCol w:w="5953"/>
      </w:tblGrid>
      <w:tr w:rsidR="00E862D1" w:rsidRPr="00E862D1" w14:paraId="0D887730" w14:textId="77777777" w:rsidTr="00B2235F">
        <w:tc>
          <w:tcPr>
            <w:tcW w:w="3256" w:type="dxa"/>
            <w:shd w:val="clear" w:color="auto" w:fill="BFBFBF" w:themeFill="background1" w:themeFillShade="BF"/>
            <w:hideMark/>
          </w:tcPr>
          <w:p w14:paraId="296B8DB1" w14:textId="77777777" w:rsidR="00E862D1" w:rsidRPr="00E862D1" w:rsidRDefault="00E862D1" w:rsidP="00B2235F">
            <w:pPr>
              <w:spacing w:before="120" w:after="120"/>
              <w:rPr>
                <w:b/>
                <w:sz w:val="18"/>
                <w:szCs w:val="18"/>
              </w:rPr>
            </w:pPr>
          </w:p>
          <w:p w14:paraId="1E277ACC" w14:textId="77777777" w:rsidR="00E862D1" w:rsidRPr="00E862D1" w:rsidRDefault="00E862D1" w:rsidP="00B2235F">
            <w:pPr>
              <w:spacing w:before="120" w:after="120"/>
              <w:rPr>
                <w:b/>
                <w:sz w:val="18"/>
                <w:szCs w:val="18"/>
              </w:rPr>
            </w:pPr>
            <w:r w:rsidRPr="00E862D1">
              <w:rPr>
                <w:b/>
                <w:sz w:val="18"/>
                <w:szCs w:val="18"/>
              </w:rPr>
              <w:t>Ex-Service Organisation</w:t>
            </w:r>
          </w:p>
        </w:tc>
        <w:tc>
          <w:tcPr>
            <w:tcW w:w="5953" w:type="dxa"/>
            <w:shd w:val="clear" w:color="auto" w:fill="BFBFBF" w:themeFill="background1" w:themeFillShade="BF"/>
            <w:hideMark/>
          </w:tcPr>
          <w:p w14:paraId="6B9EA020" w14:textId="77777777" w:rsidR="00E862D1" w:rsidRPr="00E862D1" w:rsidRDefault="00E862D1" w:rsidP="00B2235F">
            <w:pPr>
              <w:spacing w:before="120" w:after="120"/>
              <w:rPr>
                <w:b/>
                <w:sz w:val="18"/>
                <w:szCs w:val="18"/>
              </w:rPr>
            </w:pPr>
          </w:p>
          <w:p w14:paraId="3F71D86C" w14:textId="77777777" w:rsidR="00E862D1" w:rsidRPr="00E862D1" w:rsidRDefault="00E862D1" w:rsidP="00B2235F">
            <w:pPr>
              <w:spacing w:before="120" w:after="120"/>
              <w:rPr>
                <w:b/>
                <w:sz w:val="18"/>
                <w:szCs w:val="18"/>
              </w:rPr>
            </w:pPr>
            <w:r w:rsidRPr="00E862D1">
              <w:rPr>
                <w:b/>
                <w:sz w:val="18"/>
                <w:szCs w:val="18"/>
              </w:rPr>
              <w:t>Feedback</w:t>
            </w:r>
          </w:p>
        </w:tc>
      </w:tr>
      <w:tr w:rsidR="00E862D1" w:rsidRPr="00E862D1" w14:paraId="51FE3E35" w14:textId="77777777" w:rsidTr="00EF1832">
        <w:tc>
          <w:tcPr>
            <w:tcW w:w="3256" w:type="dxa"/>
            <w:hideMark/>
          </w:tcPr>
          <w:p w14:paraId="475118A5" w14:textId="77777777" w:rsidR="00E862D1" w:rsidRPr="00E862D1" w:rsidRDefault="00E862D1" w:rsidP="00B2235F">
            <w:pPr>
              <w:spacing w:before="120" w:after="120"/>
              <w:rPr>
                <w:sz w:val="18"/>
                <w:szCs w:val="18"/>
              </w:rPr>
            </w:pPr>
            <w:r w:rsidRPr="00E862D1">
              <w:rPr>
                <w:sz w:val="18"/>
                <w:szCs w:val="18"/>
              </w:rPr>
              <w:t>Partners of Veterans Association of Australia</w:t>
            </w:r>
          </w:p>
        </w:tc>
        <w:tc>
          <w:tcPr>
            <w:tcW w:w="5953" w:type="dxa"/>
            <w:vAlign w:val="center"/>
          </w:tcPr>
          <w:p w14:paraId="0D2B523A" w14:textId="0A49DCD5" w:rsidR="00E862D1" w:rsidRPr="00E862D1" w:rsidRDefault="00043879">
            <w:pPr>
              <w:spacing w:before="120" w:after="120"/>
              <w:rPr>
                <w:sz w:val="18"/>
                <w:szCs w:val="18"/>
              </w:rPr>
            </w:pPr>
            <w:r>
              <w:rPr>
                <w:sz w:val="18"/>
                <w:szCs w:val="18"/>
              </w:rPr>
              <w:t>Nil</w:t>
            </w:r>
          </w:p>
        </w:tc>
      </w:tr>
      <w:tr w:rsidR="00A5614D" w:rsidRPr="00E862D1" w14:paraId="2332FEB7" w14:textId="77777777" w:rsidTr="00EF1832">
        <w:tc>
          <w:tcPr>
            <w:tcW w:w="3256" w:type="dxa"/>
          </w:tcPr>
          <w:p w14:paraId="21A54781" w14:textId="77777777" w:rsidR="00A5614D" w:rsidRPr="00E862D1" w:rsidRDefault="00A5614D" w:rsidP="00B2235F">
            <w:pPr>
              <w:spacing w:before="120" w:after="120"/>
              <w:rPr>
                <w:sz w:val="18"/>
                <w:szCs w:val="18"/>
              </w:rPr>
            </w:pPr>
            <w:r w:rsidRPr="00A5614D">
              <w:rPr>
                <w:sz w:val="18"/>
                <w:szCs w:val="18"/>
              </w:rPr>
              <w:t xml:space="preserve">RSL of Australia </w:t>
            </w:r>
          </w:p>
        </w:tc>
        <w:tc>
          <w:tcPr>
            <w:tcW w:w="5953" w:type="dxa"/>
            <w:vAlign w:val="center"/>
          </w:tcPr>
          <w:p w14:paraId="5CB4E7F1" w14:textId="799B85C5" w:rsidR="00A5614D" w:rsidRDefault="00043879">
            <w:pPr>
              <w:spacing w:before="120" w:after="120"/>
              <w:rPr>
                <w:sz w:val="18"/>
                <w:szCs w:val="18"/>
              </w:rPr>
            </w:pPr>
            <w:r>
              <w:rPr>
                <w:sz w:val="18"/>
                <w:szCs w:val="18"/>
              </w:rPr>
              <w:t>Nil</w:t>
            </w:r>
          </w:p>
        </w:tc>
      </w:tr>
      <w:tr w:rsidR="00A5614D" w:rsidRPr="00E862D1" w14:paraId="6E243445" w14:textId="77777777" w:rsidTr="00EF1832">
        <w:tc>
          <w:tcPr>
            <w:tcW w:w="3256" w:type="dxa"/>
          </w:tcPr>
          <w:p w14:paraId="7662771D" w14:textId="77777777" w:rsidR="00A5614D" w:rsidRPr="00E862D1" w:rsidRDefault="00A5614D" w:rsidP="00B2235F">
            <w:pPr>
              <w:spacing w:before="120" w:after="120"/>
              <w:rPr>
                <w:sz w:val="18"/>
                <w:szCs w:val="18"/>
              </w:rPr>
            </w:pPr>
            <w:r w:rsidRPr="00E862D1">
              <w:rPr>
                <w:sz w:val="18"/>
                <w:szCs w:val="18"/>
              </w:rPr>
              <w:t>Vietnam Veterans Association of Australia</w:t>
            </w:r>
          </w:p>
        </w:tc>
        <w:tc>
          <w:tcPr>
            <w:tcW w:w="5953" w:type="dxa"/>
            <w:vAlign w:val="center"/>
          </w:tcPr>
          <w:p w14:paraId="3A807C10" w14:textId="1AF9293F" w:rsidR="00A5614D" w:rsidRDefault="00043879">
            <w:pPr>
              <w:spacing w:before="120" w:after="120"/>
              <w:rPr>
                <w:sz w:val="18"/>
                <w:szCs w:val="18"/>
              </w:rPr>
            </w:pPr>
            <w:r>
              <w:rPr>
                <w:sz w:val="18"/>
                <w:szCs w:val="18"/>
              </w:rPr>
              <w:t>Nil</w:t>
            </w:r>
          </w:p>
        </w:tc>
      </w:tr>
      <w:tr w:rsidR="00A5614D" w:rsidRPr="00E862D1" w14:paraId="01A62E6B" w14:textId="77777777" w:rsidTr="00EF1832">
        <w:tc>
          <w:tcPr>
            <w:tcW w:w="3256" w:type="dxa"/>
          </w:tcPr>
          <w:p w14:paraId="7DF63FB0" w14:textId="77777777" w:rsidR="00A5614D" w:rsidRPr="00E862D1" w:rsidRDefault="00A5614D" w:rsidP="00B2235F">
            <w:pPr>
              <w:spacing w:before="120" w:after="120"/>
              <w:rPr>
                <w:sz w:val="18"/>
                <w:szCs w:val="18"/>
              </w:rPr>
            </w:pPr>
            <w:r>
              <w:rPr>
                <w:sz w:val="18"/>
                <w:szCs w:val="18"/>
              </w:rPr>
              <w:t>Legacy Australia Inc.</w:t>
            </w:r>
          </w:p>
        </w:tc>
        <w:tc>
          <w:tcPr>
            <w:tcW w:w="5953" w:type="dxa"/>
            <w:vAlign w:val="center"/>
          </w:tcPr>
          <w:p w14:paraId="6AF63041" w14:textId="1B9DD04D" w:rsidR="00A5614D" w:rsidRDefault="00043879">
            <w:pPr>
              <w:spacing w:before="120" w:after="120"/>
              <w:rPr>
                <w:sz w:val="18"/>
                <w:szCs w:val="18"/>
              </w:rPr>
            </w:pPr>
            <w:r>
              <w:rPr>
                <w:sz w:val="18"/>
                <w:szCs w:val="18"/>
              </w:rPr>
              <w:t>Nil</w:t>
            </w:r>
          </w:p>
        </w:tc>
      </w:tr>
      <w:tr w:rsidR="00A5614D" w:rsidRPr="00E862D1" w14:paraId="4A235FA9" w14:textId="77777777" w:rsidTr="00EF1832">
        <w:tc>
          <w:tcPr>
            <w:tcW w:w="3256" w:type="dxa"/>
            <w:hideMark/>
          </w:tcPr>
          <w:p w14:paraId="5F4F7BA3" w14:textId="77777777" w:rsidR="00A5614D" w:rsidRPr="00E862D1" w:rsidRDefault="00A5614D" w:rsidP="00B2235F">
            <w:pPr>
              <w:spacing w:before="120" w:after="120"/>
              <w:rPr>
                <w:sz w:val="18"/>
                <w:szCs w:val="18"/>
              </w:rPr>
            </w:pPr>
            <w:r>
              <w:rPr>
                <w:sz w:val="18"/>
                <w:szCs w:val="18"/>
              </w:rPr>
              <w:t>War Widows’ Guild of Australia</w:t>
            </w:r>
          </w:p>
        </w:tc>
        <w:tc>
          <w:tcPr>
            <w:tcW w:w="5953" w:type="dxa"/>
            <w:vAlign w:val="center"/>
          </w:tcPr>
          <w:p w14:paraId="074701F9" w14:textId="674E2738" w:rsidR="00A5614D" w:rsidRPr="00E862D1" w:rsidRDefault="00043879">
            <w:pPr>
              <w:spacing w:before="120" w:after="120"/>
              <w:rPr>
                <w:sz w:val="18"/>
                <w:szCs w:val="18"/>
              </w:rPr>
            </w:pPr>
            <w:r>
              <w:rPr>
                <w:sz w:val="18"/>
                <w:szCs w:val="18"/>
              </w:rPr>
              <w:t>Nil</w:t>
            </w:r>
          </w:p>
        </w:tc>
      </w:tr>
      <w:tr w:rsidR="00E707A2" w:rsidRPr="00E862D1" w14:paraId="4D8484D2" w14:textId="77777777" w:rsidTr="00EF1832">
        <w:tc>
          <w:tcPr>
            <w:tcW w:w="3256" w:type="dxa"/>
          </w:tcPr>
          <w:p w14:paraId="4A19A4B2" w14:textId="77777777" w:rsidR="00E707A2" w:rsidRDefault="00E707A2" w:rsidP="00B2235F">
            <w:pPr>
              <w:spacing w:before="120" w:after="120"/>
              <w:rPr>
                <w:sz w:val="18"/>
                <w:szCs w:val="18"/>
              </w:rPr>
            </w:pPr>
            <w:r w:rsidRPr="00E862D1">
              <w:rPr>
                <w:sz w:val="18"/>
                <w:szCs w:val="18"/>
              </w:rPr>
              <w:t>Defence Force Welfare Association</w:t>
            </w:r>
          </w:p>
        </w:tc>
        <w:tc>
          <w:tcPr>
            <w:tcW w:w="5953" w:type="dxa"/>
            <w:vAlign w:val="center"/>
          </w:tcPr>
          <w:p w14:paraId="54D01362" w14:textId="64149ACC" w:rsidR="00E707A2" w:rsidRDefault="00043879">
            <w:pPr>
              <w:spacing w:before="120" w:after="120"/>
              <w:rPr>
                <w:sz w:val="18"/>
                <w:szCs w:val="18"/>
              </w:rPr>
            </w:pPr>
            <w:r>
              <w:rPr>
                <w:sz w:val="18"/>
                <w:szCs w:val="18"/>
              </w:rPr>
              <w:t>Nil</w:t>
            </w:r>
          </w:p>
        </w:tc>
      </w:tr>
      <w:tr w:rsidR="00E707A2" w:rsidRPr="00E862D1" w14:paraId="4BD3ED09" w14:textId="77777777" w:rsidTr="00EF1832">
        <w:tc>
          <w:tcPr>
            <w:tcW w:w="3256" w:type="dxa"/>
          </w:tcPr>
          <w:p w14:paraId="6FE84D8B" w14:textId="77777777" w:rsidR="00E707A2" w:rsidRPr="00E862D1" w:rsidRDefault="00E707A2" w:rsidP="00B2235F">
            <w:pPr>
              <w:spacing w:before="120" w:after="120"/>
              <w:rPr>
                <w:sz w:val="18"/>
                <w:szCs w:val="18"/>
              </w:rPr>
            </w:pPr>
            <w:r>
              <w:rPr>
                <w:sz w:val="18"/>
                <w:szCs w:val="18"/>
              </w:rPr>
              <w:t>TPI</w:t>
            </w:r>
            <w:r w:rsidRPr="00A5614D">
              <w:rPr>
                <w:sz w:val="18"/>
                <w:szCs w:val="18"/>
              </w:rPr>
              <w:t xml:space="preserve"> Federation Australia</w:t>
            </w:r>
          </w:p>
        </w:tc>
        <w:tc>
          <w:tcPr>
            <w:tcW w:w="5953" w:type="dxa"/>
            <w:vAlign w:val="center"/>
          </w:tcPr>
          <w:p w14:paraId="3DF3C4DB" w14:textId="6A6150EE" w:rsidR="00E707A2" w:rsidRPr="00C2730D" w:rsidRDefault="00043879" w:rsidP="00043879">
            <w:pPr>
              <w:spacing w:before="120" w:after="120"/>
              <w:rPr>
                <w:sz w:val="18"/>
                <w:szCs w:val="18"/>
              </w:rPr>
            </w:pPr>
            <w:r>
              <w:rPr>
                <w:sz w:val="18"/>
                <w:szCs w:val="18"/>
              </w:rPr>
              <w:t>Nil</w:t>
            </w:r>
          </w:p>
        </w:tc>
      </w:tr>
      <w:tr w:rsidR="00E707A2" w:rsidRPr="00E862D1" w14:paraId="192B4D80" w14:textId="77777777" w:rsidTr="00EF1832">
        <w:tc>
          <w:tcPr>
            <w:tcW w:w="3256" w:type="dxa"/>
          </w:tcPr>
          <w:p w14:paraId="1C394631" w14:textId="77777777" w:rsidR="00E707A2" w:rsidRPr="00E862D1" w:rsidRDefault="00E707A2" w:rsidP="00B2235F">
            <w:pPr>
              <w:spacing w:before="120" w:after="120"/>
              <w:rPr>
                <w:sz w:val="18"/>
                <w:szCs w:val="18"/>
              </w:rPr>
            </w:pPr>
            <w:r w:rsidRPr="00A5614D">
              <w:rPr>
                <w:sz w:val="18"/>
                <w:szCs w:val="18"/>
              </w:rPr>
              <w:t>Australian Special Air Service Association</w:t>
            </w:r>
          </w:p>
        </w:tc>
        <w:tc>
          <w:tcPr>
            <w:tcW w:w="5953" w:type="dxa"/>
            <w:vAlign w:val="center"/>
          </w:tcPr>
          <w:p w14:paraId="5C468A0F" w14:textId="0E1A19B5" w:rsidR="00E707A2" w:rsidRDefault="00043879">
            <w:pPr>
              <w:spacing w:before="120" w:after="120"/>
              <w:rPr>
                <w:sz w:val="18"/>
                <w:szCs w:val="18"/>
              </w:rPr>
            </w:pPr>
            <w:r>
              <w:rPr>
                <w:sz w:val="18"/>
                <w:szCs w:val="18"/>
              </w:rPr>
              <w:t>Nil</w:t>
            </w:r>
          </w:p>
        </w:tc>
      </w:tr>
      <w:tr w:rsidR="00E707A2" w:rsidRPr="00E862D1" w14:paraId="11C55552" w14:textId="77777777" w:rsidTr="00EF1832">
        <w:tc>
          <w:tcPr>
            <w:tcW w:w="3256" w:type="dxa"/>
          </w:tcPr>
          <w:p w14:paraId="2D48D821" w14:textId="77777777" w:rsidR="00E707A2" w:rsidRPr="00E862D1" w:rsidRDefault="00E707A2" w:rsidP="00B2235F">
            <w:pPr>
              <w:spacing w:before="120" w:after="120"/>
              <w:rPr>
                <w:sz w:val="18"/>
                <w:szCs w:val="18"/>
              </w:rPr>
            </w:pPr>
            <w:r w:rsidRPr="001C65F2">
              <w:rPr>
                <w:sz w:val="18"/>
                <w:szCs w:val="18"/>
              </w:rPr>
              <w:t>Naval Association of Australia</w:t>
            </w:r>
          </w:p>
        </w:tc>
        <w:tc>
          <w:tcPr>
            <w:tcW w:w="5953" w:type="dxa"/>
            <w:vAlign w:val="center"/>
          </w:tcPr>
          <w:p w14:paraId="5E983F68" w14:textId="34B9DF18" w:rsidR="00E707A2" w:rsidRDefault="00043879">
            <w:pPr>
              <w:spacing w:before="120" w:after="120"/>
              <w:rPr>
                <w:sz w:val="18"/>
                <w:szCs w:val="18"/>
              </w:rPr>
            </w:pPr>
            <w:r>
              <w:rPr>
                <w:sz w:val="18"/>
                <w:szCs w:val="18"/>
              </w:rPr>
              <w:t>Nil</w:t>
            </w:r>
          </w:p>
        </w:tc>
      </w:tr>
      <w:tr w:rsidR="00E707A2" w:rsidRPr="00E862D1" w14:paraId="5B5C5801" w14:textId="77777777" w:rsidTr="00EF1832">
        <w:tc>
          <w:tcPr>
            <w:tcW w:w="3256" w:type="dxa"/>
          </w:tcPr>
          <w:p w14:paraId="5A66EAC7" w14:textId="77777777" w:rsidR="00E707A2" w:rsidRPr="00E862D1" w:rsidRDefault="00E707A2" w:rsidP="00B2235F">
            <w:pPr>
              <w:spacing w:before="120" w:after="120"/>
              <w:rPr>
                <w:sz w:val="18"/>
                <w:szCs w:val="18"/>
              </w:rPr>
            </w:pPr>
            <w:r w:rsidRPr="001C65F2">
              <w:rPr>
                <w:sz w:val="18"/>
                <w:szCs w:val="18"/>
              </w:rPr>
              <w:t>Defence Families Australia</w:t>
            </w:r>
          </w:p>
        </w:tc>
        <w:tc>
          <w:tcPr>
            <w:tcW w:w="5953" w:type="dxa"/>
            <w:vAlign w:val="center"/>
          </w:tcPr>
          <w:p w14:paraId="3949B2C7" w14:textId="189CB797" w:rsidR="00E707A2" w:rsidRDefault="00043879">
            <w:pPr>
              <w:spacing w:before="120" w:after="120"/>
              <w:rPr>
                <w:sz w:val="18"/>
                <w:szCs w:val="18"/>
              </w:rPr>
            </w:pPr>
            <w:r>
              <w:rPr>
                <w:sz w:val="18"/>
                <w:szCs w:val="18"/>
              </w:rPr>
              <w:t>Nil</w:t>
            </w:r>
          </w:p>
        </w:tc>
      </w:tr>
      <w:tr w:rsidR="00E707A2" w:rsidRPr="00E862D1" w14:paraId="2ABF4F56" w14:textId="77777777" w:rsidTr="00EF1832">
        <w:tc>
          <w:tcPr>
            <w:tcW w:w="3256" w:type="dxa"/>
          </w:tcPr>
          <w:p w14:paraId="00A904CB" w14:textId="77777777" w:rsidR="00E707A2" w:rsidRPr="00E862D1" w:rsidRDefault="00E707A2" w:rsidP="00B2235F">
            <w:pPr>
              <w:spacing w:before="120" w:after="120"/>
              <w:rPr>
                <w:sz w:val="18"/>
                <w:szCs w:val="18"/>
              </w:rPr>
            </w:pPr>
            <w:r w:rsidRPr="001C65F2">
              <w:rPr>
                <w:sz w:val="18"/>
                <w:szCs w:val="18"/>
              </w:rPr>
              <w:t>Australian Peacekeeper &amp; Peacemaker Veterans Association</w:t>
            </w:r>
          </w:p>
        </w:tc>
        <w:tc>
          <w:tcPr>
            <w:tcW w:w="5953" w:type="dxa"/>
            <w:vAlign w:val="center"/>
          </w:tcPr>
          <w:p w14:paraId="6F299ED5" w14:textId="0CB236AC" w:rsidR="00E707A2" w:rsidRDefault="00043879">
            <w:pPr>
              <w:spacing w:before="120" w:after="120"/>
              <w:rPr>
                <w:sz w:val="18"/>
                <w:szCs w:val="18"/>
              </w:rPr>
            </w:pPr>
            <w:r>
              <w:rPr>
                <w:sz w:val="18"/>
                <w:szCs w:val="18"/>
              </w:rPr>
              <w:t>Nil</w:t>
            </w:r>
          </w:p>
        </w:tc>
      </w:tr>
      <w:tr w:rsidR="00E707A2" w:rsidRPr="00E862D1" w14:paraId="3F25F27B" w14:textId="77777777" w:rsidTr="00EF1832">
        <w:tc>
          <w:tcPr>
            <w:tcW w:w="3256" w:type="dxa"/>
          </w:tcPr>
          <w:p w14:paraId="0853624C" w14:textId="77777777" w:rsidR="00E707A2" w:rsidRPr="00E862D1" w:rsidRDefault="00E707A2" w:rsidP="00B2235F">
            <w:pPr>
              <w:spacing w:before="120" w:after="120"/>
              <w:rPr>
                <w:sz w:val="18"/>
                <w:szCs w:val="18"/>
              </w:rPr>
            </w:pPr>
            <w:r w:rsidRPr="001C65F2">
              <w:rPr>
                <w:sz w:val="18"/>
                <w:szCs w:val="18"/>
              </w:rPr>
              <w:t>The Royal Australian Regiment Corporation</w:t>
            </w:r>
          </w:p>
        </w:tc>
        <w:tc>
          <w:tcPr>
            <w:tcW w:w="5953" w:type="dxa"/>
            <w:vAlign w:val="center"/>
          </w:tcPr>
          <w:p w14:paraId="01EEBF1A" w14:textId="7549C1D6" w:rsidR="00E707A2" w:rsidRDefault="00043879">
            <w:pPr>
              <w:spacing w:before="120" w:after="120"/>
              <w:rPr>
                <w:sz w:val="18"/>
                <w:szCs w:val="18"/>
              </w:rPr>
            </w:pPr>
            <w:r>
              <w:rPr>
                <w:sz w:val="18"/>
                <w:szCs w:val="18"/>
              </w:rPr>
              <w:t>Nil</w:t>
            </w:r>
          </w:p>
        </w:tc>
      </w:tr>
      <w:tr w:rsidR="00E707A2" w:rsidRPr="00E862D1" w14:paraId="562285F5" w14:textId="77777777" w:rsidTr="00EF1832">
        <w:tc>
          <w:tcPr>
            <w:tcW w:w="3256" w:type="dxa"/>
          </w:tcPr>
          <w:p w14:paraId="2DD42EB4" w14:textId="77777777" w:rsidR="00E707A2" w:rsidRPr="00E862D1" w:rsidRDefault="00E707A2" w:rsidP="00B2235F">
            <w:pPr>
              <w:spacing w:before="120" w:after="120"/>
              <w:rPr>
                <w:sz w:val="18"/>
                <w:szCs w:val="18"/>
              </w:rPr>
            </w:pPr>
            <w:r w:rsidRPr="001C65F2">
              <w:rPr>
                <w:sz w:val="18"/>
                <w:szCs w:val="18"/>
              </w:rPr>
              <w:t>Defence Reserves Association</w:t>
            </w:r>
          </w:p>
        </w:tc>
        <w:tc>
          <w:tcPr>
            <w:tcW w:w="5953" w:type="dxa"/>
            <w:vAlign w:val="center"/>
          </w:tcPr>
          <w:p w14:paraId="40108DF3" w14:textId="42A6B4F9" w:rsidR="00E707A2" w:rsidRDefault="00043879">
            <w:pPr>
              <w:spacing w:before="120" w:after="120"/>
              <w:rPr>
                <w:sz w:val="18"/>
                <w:szCs w:val="18"/>
              </w:rPr>
            </w:pPr>
            <w:r>
              <w:rPr>
                <w:sz w:val="18"/>
                <w:szCs w:val="18"/>
              </w:rPr>
              <w:t>Nil</w:t>
            </w:r>
          </w:p>
        </w:tc>
      </w:tr>
      <w:tr w:rsidR="00E707A2" w:rsidRPr="00E862D1" w14:paraId="0380151E" w14:textId="77777777" w:rsidTr="00EF1832">
        <w:tc>
          <w:tcPr>
            <w:tcW w:w="3256" w:type="dxa"/>
          </w:tcPr>
          <w:p w14:paraId="0579EA50" w14:textId="77777777" w:rsidR="00E707A2" w:rsidRPr="00E862D1" w:rsidRDefault="00E707A2" w:rsidP="00B2235F">
            <w:pPr>
              <w:spacing w:before="120" w:after="120"/>
              <w:rPr>
                <w:sz w:val="18"/>
                <w:szCs w:val="18"/>
              </w:rPr>
            </w:pPr>
            <w:r>
              <w:rPr>
                <w:sz w:val="18"/>
                <w:szCs w:val="18"/>
              </w:rPr>
              <w:t xml:space="preserve">Royal Australian </w:t>
            </w:r>
            <w:r w:rsidRPr="00E862D1">
              <w:rPr>
                <w:sz w:val="18"/>
                <w:szCs w:val="18"/>
              </w:rPr>
              <w:t>Air Force Association</w:t>
            </w:r>
          </w:p>
        </w:tc>
        <w:tc>
          <w:tcPr>
            <w:tcW w:w="5953" w:type="dxa"/>
            <w:vAlign w:val="center"/>
          </w:tcPr>
          <w:p w14:paraId="311EBE87" w14:textId="4C8152EB" w:rsidR="00E707A2" w:rsidRDefault="00043879" w:rsidP="00043879">
            <w:pPr>
              <w:rPr>
                <w:sz w:val="18"/>
                <w:szCs w:val="18"/>
              </w:rPr>
            </w:pPr>
            <w:r w:rsidRPr="00043879">
              <w:rPr>
                <w:sz w:val="18"/>
                <w:szCs w:val="18"/>
              </w:rPr>
              <w:t>The self-assessment methodology appear most adequate for the task.  </w:t>
            </w:r>
          </w:p>
        </w:tc>
      </w:tr>
      <w:tr w:rsidR="00E707A2" w:rsidRPr="00E862D1" w14:paraId="3F003267" w14:textId="77777777" w:rsidTr="00EF1832">
        <w:tc>
          <w:tcPr>
            <w:tcW w:w="3256" w:type="dxa"/>
          </w:tcPr>
          <w:p w14:paraId="63B6CBBB" w14:textId="77777777" w:rsidR="00E707A2" w:rsidRPr="00E862D1" w:rsidRDefault="00E707A2" w:rsidP="00B2235F">
            <w:pPr>
              <w:spacing w:before="120" w:after="120"/>
              <w:rPr>
                <w:sz w:val="18"/>
                <w:szCs w:val="18"/>
              </w:rPr>
            </w:pPr>
            <w:r w:rsidRPr="00E862D1">
              <w:rPr>
                <w:sz w:val="18"/>
                <w:szCs w:val="18"/>
              </w:rPr>
              <w:t>Vietnam Veterans Federation of Australia</w:t>
            </w:r>
          </w:p>
        </w:tc>
        <w:tc>
          <w:tcPr>
            <w:tcW w:w="5953" w:type="dxa"/>
            <w:vAlign w:val="center"/>
          </w:tcPr>
          <w:p w14:paraId="76B2A8BC" w14:textId="49B21C70" w:rsidR="00E707A2" w:rsidRDefault="00043879">
            <w:pPr>
              <w:spacing w:before="120" w:after="120"/>
              <w:rPr>
                <w:sz w:val="18"/>
                <w:szCs w:val="18"/>
              </w:rPr>
            </w:pPr>
            <w:r>
              <w:rPr>
                <w:sz w:val="18"/>
                <w:szCs w:val="18"/>
              </w:rPr>
              <w:t>Nil</w:t>
            </w:r>
          </w:p>
        </w:tc>
      </w:tr>
    </w:tbl>
    <w:p w14:paraId="059A67DF" w14:textId="77777777" w:rsidR="00E43847" w:rsidRPr="00E43847" w:rsidRDefault="00E43847" w:rsidP="00E43847"/>
    <w:p w14:paraId="0F8F904F" w14:textId="77777777" w:rsidR="00E43847" w:rsidRPr="00E43847" w:rsidRDefault="00E43847" w:rsidP="00E43847"/>
    <w:p w14:paraId="119FE651" w14:textId="77777777" w:rsidR="00E43847" w:rsidRPr="00E43847" w:rsidRDefault="00E43847" w:rsidP="00E43847"/>
    <w:p w14:paraId="3E536D12" w14:textId="77777777" w:rsidR="00E43847" w:rsidRPr="00E43847" w:rsidRDefault="00E43847" w:rsidP="00E43847"/>
    <w:p w14:paraId="218C157F" w14:textId="77777777" w:rsidR="00E43847" w:rsidRPr="00E43847" w:rsidRDefault="00E43847" w:rsidP="00E43847"/>
    <w:p w14:paraId="16216755" w14:textId="77777777" w:rsidR="00E43847" w:rsidRPr="00E43847" w:rsidRDefault="00E43847" w:rsidP="00E43847">
      <w:pPr>
        <w:tabs>
          <w:tab w:val="left" w:pos="3366"/>
        </w:tabs>
      </w:pPr>
      <w:r>
        <w:tab/>
      </w:r>
    </w:p>
    <w:p w14:paraId="1A85D237" w14:textId="77777777" w:rsidR="00E43847" w:rsidRPr="00E43847" w:rsidRDefault="00E43847" w:rsidP="00E43847"/>
    <w:p w14:paraId="1ADE5383" w14:textId="77777777" w:rsidR="00583965" w:rsidRPr="00E43847" w:rsidRDefault="00583965" w:rsidP="00E43847"/>
    <w:sectPr w:rsidR="00583965" w:rsidRPr="00E43847" w:rsidSect="003700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2395C" w14:textId="77777777" w:rsidR="00AC29A3" w:rsidRDefault="00AC29A3" w:rsidP="00E43847">
      <w:pPr>
        <w:spacing w:after="0" w:line="240" w:lineRule="auto"/>
      </w:pPr>
      <w:r>
        <w:separator/>
      </w:r>
    </w:p>
  </w:endnote>
  <w:endnote w:type="continuationSeparator" w:id="0">
    <w:p w14:paraId="54DB4926" w14:textId="77777777" w:rsidR="00AC29A3" w:rsidRDefault="00AC29A3" w:rsidP="00E4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B004" w14:textId="77777777" w:rsidR="00E717B9" w:rsidRDefault="00E71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2429" w14:textId="77777777" w:rsidR="000F230F" w:rsidRDefault="000F230F">
    <w:pPr>
      <w:pStyle w:val="Footer"/>
    </w:pPr>
    <w:r>
      <w:rPr>
        <w:noProof/>
        <w:lang w:eastAsia="en-AU"/>
      </w:rPr>
      <mc:AlternateContent>
        <mc:Choice Requires="wpg">
          <w:drawing>
            <wp:anchor distT="0" distB="0" distL="114300" distR="114300" simplePos="0" relativeHeight="251659264" behindDoc="0" locked="0" layoutInCell="1" allowOverlap="1" wp14:anchorId="6B773286" wp14:editId="56DA3E82">
              <wp:simplePos x="0" y="0"/>
              <wp:positionH relativeFrom="page">
                <wp:posOffset>676894</wp:posOffset>
              </wp:positionH>
              <wp:positionV relativeFrom="bottomMargin">
                <wp:posOffset>245044</wp:posOffset>
              </wp:positionV>
              <wp:extent cx="6884719"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884719" cy="274320"/>
                        <a:chOff x="-712519" y="0"/>
                        <a:chExt cx="6884719"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712519" y="9525"/>
                          <a:ext cx="665607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5DD82" w14:textId="77777777" w:rsidR="000F230F" w:rsidRDefault="000F230F" w:rsidP="00B33A0B">
                            <w:pPr>
                              <w:pStyle w:val="Footer"/>
                            </w:pPr>
                            <w:r>
                              <w:rPr>
                                <w:caps/>
                                <w:color w:val="5B9BD5" w:themeColor="accent1"/>
                                <w:sz w:val="20"/>
                                <w:szCs w:val="20"/>
                              </w:rPr>
                              <w:t>201</w:t>
                            </w:r>
                            <w:r w:rsidR="003441F5">
                              <w:rPr>
                                <w:caps/>
                                <w:color w:val="5B9BD5" w:themeColor="accent1"/>
                                <w:sz w:val="20"/>
                                <w:szCs w:val="20"/>
                              </w:rPr>
                              <w:t>8-19</w:t>
                            </w:r>
                            <w:r>
                              <w:rPr>
                                <w:caps/>
                                <w:color w:val="5B9BD5" w:themeColor="accent1"/>
                                <w:sz w:val="20"/>
                                <w:szCs w:val="20"/>
                              </w:rPr>
                              <w:t xml:space="preserve">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6B773286" id="Group 164" o:spid="_x0000_s1032" style="position:absolute;margin-left:53.3pt;margin-top:19.3pt;width:542.1pt;height:21.6pt;z-index:251659264;mso-position-horizontal-relative:page;mso-position-vertical-relative:bottom-margin-area;mso-width-relative:margin" coordorigin="-7125" coordsize="68847,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jykgMAALsKAAAOAAAAZHJzL2Uyb0RvYy54bWzEVltP5DYUfq/U/2D5fZmZMMlARFhRtqBK&#10;aBctVPvscZyL6tiu7SGhv77n2EkG2BFF24ryEHw5F5/P5/vGZx+HTpIHYV2rVUFXR0tKhOK6bFVd&#10;0N/vrz6cUOI8UyWTWomCPgpHP57//NNZb3KR6EbLUlgCQZTLe1PQxnuTLxaON6Jj7kgboWCz0rZj&#10;Hqa2XpSW9RC9k4tkucwWvbalsZoL52D1U9yk5yF+VQnuv1SVE57IgsLZfPja8N3id3F+xvLaMtO0&#10;fDwG+4FTdKxVkHQO9Yl5Rna2/S5U13Krna78EdfdQldVy0WoAapZLV9Uc231zoRa6ryvzQwTQPsC&#10;px8Oyz8/3FrSlnB32ZoSxTq4pJCX4ALA05s6B6tra+7MrR0X6jjDiofKdvgfaiFDAPZxBlYMnnBY&#10;zE5O1pvVKSUc9pLN+jgZkecNXA+6fdiskhQt9s68+fV198WUfIFnnI/UG2glt0fL/Tu07hpmRLgE&#10;hzjMaKUTWl+hyZiqpQDE0ohYsJzhcrkD5A5glSQn2RK6cl/zBFh6uj4OW88BmytmubHOXwvdERwU&#10;1MIhQgOyhxvn4ZbAdDLBzE7LtrxqpQwTZJe4lJY8MODFtl5FV2kaFpfC9UCIwEO0DAGfBZEKQymN&#10;QWM+XIGrmMoNI/8oBdpJ9VVU0Gdw1UlINkeOCRnnQvl4DtewUsTldAl/iOl3ZwkBMXIF+efYY4Dn&#10;9U2xY5jRHl1FEIjZefnawaLz7BEya+Vn565V2h4KIKGqMXO0n0CK0CBKW10+Ql9ZHeXJGX7Vwq3e&#10;MOdvmQU9gh4BjfVf4FNJ3RdUjyNKGm3/OrSO9tD4sEtJD/pWUPfnjllBifxNASVOV+s1CmKYrNMN&#10;MJLYpzvbpztq111qaJUVqLnhYYj2Xk7DyuruG0jxBWaFLaY45C4o93aaXPqouyDmXFxcBDMQQcP8&#10;jbozHIMjqti198M3Zs3Y2h5I8VlPNGT5iw6Ptuip9MXO66oN7b/HdcQbJAHF7F20IZu04R4J/Yse&#10;QBqyF9JA/AAbWDV0R+DKYZF4qoynaRIUBlp3ksYszZYbADwIRZpsjie6TLo8qcAbhWImNHKWQKtl&#10;x2kkxrwDXIzkj2wY9WZfQhgdIP4b+HWY1W9wfG9Wl3/8I6v9sB3Gq/0/CA49cYDcsPrfENu/G62d&#10;QVpfvUbr8ACAF1L4nRhfc/gEezoPMrB/c57/DQAA//8DAFBLAwQUAAYACAAAACEA/qBZqN8AAAAK&#10;AQAADwAAAGRycy9kb3ducmV2LnhtbEyPTUvDQBCG74L/YRnBm92NxRBjNqUU9VQEW0G8TbPTJDS7&#10;G7LbJP33Tk96Gl7m4f0oVrPtxEhDaL3TkCwUCHKVN62rNXzt3x4yECGiM9h5RxouFGBV3t4UmBs/&#10;uU8ad7EWbOJCjhqaGPtcylA1ZDEsfE+Of0c/WIwsh1qaASc2t518VCqVFlvHCQ32tGmoOu3OVsP7&#10;hNN6mbyO29Nxc/nZP318bxPS+v5uXr+AiDTHPxiu9bk6lNzp4M/OBNGxVmnKqIZlxvcKJM+Kxxw0&#10;ZEkGsizk/wnlLwAAAP//AwBQSwECLQAUAAYACAAAACEAtoM4kv4AAADhAQAAEwAAAAAAAAAAAAAA&#10;AAAAAAAAW0NvbnRlbnRfVHlwZXNdLnhtbFBLAQItABQABgAIAAAAIQA4/SH/1gAAAJQBAAALAAAA&#10;AAAAAAAAAAAAAC8BAABfcmVscy8ucmVsc1BLAQItABQABgAIAAAAIQBHCxjykgMAALsKAAAOAAAA&#10;AAAAAAAAAAAAAC4CAABkcnMvZTJvRG9jLnhtbFBLAQItABQABgAIAAAAIQD+oFmo3wAAAAoBAAAP&#10;AAAAAAAAAAAAAAAAAOwFAABkcnMvZG93bnJldi54bWxQSwUGAAAAAAQABADzAAAA+AY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4" type="#_x0000_t202" style="position:absolute;left:-7125;top:95;width:6656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145DD82" w14:textId="77777777" w:rsidR="000F230F" w:rsidRDefault="000F230F" w:rsidP="00B33A0B">
                      <w:pPr>
                        <w:pStyle w:val="Footer"/>
                      </w:pPr>
                      <w:r>
                        <w:rPr>
                          <w:caps/>
                          <w:color w:val="5B9BD5" w:themeColor="accent1"/>
                          <w:sz w:val="20"/>
                          <w:szCs w:val="20"/>
                        </w:rPr>
                        <w:t>201</w:t>
                      </w:r>
                      <w:r w:rsidR="003441F5">
                        <w:rPr>
                          <w:caps/>
                          <w:color w:val="5B9BD5" w:themeColor="accent1"/>
                          <w:sz w:val="20"/>
                          <w:szCs w:val="20"/>
                        </w:rPr>
                        <w:t>8-19</w:t>
                      </w:r>
                      <w:r>
                        <w:rPr>
                          <w:caps/>
                          <w:color w:val="5B9BD5" w:themeColor="accent1"/>
                          <w:sz w:val="20"/>
                          <w:szCs w:val="20"/>
                        </w:rPr>
                        <w:t xml:space="preserve">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877A" w14:textId="77777777" w:rsidR="00E717B9" w:rsidRDefault="00E7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43EAC" w14:textId="77777777" w:rsidR="00AC29A3" w:rsidRDefault="00AC29A3" w:rsidP="00E43847">
      <w:pPr>
        <w:spacing w:after="0" w:line="240" w:lineRule="auto"/>
      </w:pPr>
      <w:r>
        <w:separator/>
      </w:r>
    </w:p>
  </w:footnote>
  <w:footnote w:type="continuationSeparator" w:id="0">
    <w:p w14:paraId="5BACEF86" w14:textId="77777777" w:rsidR="00AC29A3" w:rsidRDefault="00AC29A3" w:rsidP="00E4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4E98" w14:textId="77777777" w:rsidR="00E717B9" w:rsidRDefault="00E7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21243"/>
      <w:docPartObj>
        <w:docPartGallery w:val="Page Numbers (Top of Page)"/>
        <w:docPartUnique/>
      </w:docPartObj>
    </w:sdtPr>
    <w:sdtEndPr>
      <w:rPr>
        <w:noProof/>
      </w:rPr>
    </w:sdtEndPr>
    <w:sdtContent>
      <w:p w14:paraId="236863A3" w14:textId="4851F1DC" w:rsidR="000F230F" w:rsidRDefault="000F230F">
        <w:pPr>
          <w:pStyle w:val="Header"/>
          <w:jc w:val="right"/>
        </w:pPr>
        <w:r>
          <w:fldChar w:fldCharType="begin"/>
        </w:r>
        <w:r>
          <w:instrText xml:space="preserve"> PAGE   \* MERGEFORMAT </w:instrText>
        </w:r>
        <w:r>
          <w:fldChar w:fldCharType="separate"/>
        </w:r>
        <w:r w:rsidR="00E717B9">
          <w:rPr>
            <w:noProof/>
          </w:rPr>
          <w:t>1</w:t>
        </w:r>
        <w:r>
          <w:rPr>
            <w:noProof/>
          </w:rPr>
          <w:fldChar w:fldCharType="end"/>
        </w:r>
      </w:p>
    </w:sdtContent>
  </w:sdt>
  <w:p w14:paraId="76C32699" w14:textId="77777777" w:rsidR="000F230F" w:rsidRDefault="000F230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4C70" w14:textId="77777777" w:rsidR="00E717B9" w:rsidRDefault="00E71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6BC"/>
    <w:multiLevelType w:val="hybridMultilevel"/>
    <w:tmpl w:val="0970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828A6"/>
    <w:multiLevelType w:val="hybridMultilevel"/>
    <w:tmpl w:val="38322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761E3"/>
    <w:multiLevelType w:val="hybridMultilevel"/>
    <w:tmpl w:val="0F58E5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C903B7"/>
    <w:multiLevelType w:val="hybridMultilevel"/>
    <w:tmpl w:val="76CC0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42E68"/>
    <w:multiLevelType w:val="hybridMultilevel"/>
    <w:tmpl w:val="305EE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237A92"/>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0C3FB9"/>
    <w:multiLevelType w:val="hybridMultilevel"/>
    <w:tmpl w:val="BA3C30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F1C2377"/>
    <w:multiLevelType w:val="hybridMultilevel"/>
    <w:tmpl w:val="833A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664576"/>
    <w:multiLevelType w:val="hybridMultilevel"/>
    <w:tmpl w:val="76C01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FA38D1"/>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0695427"/>
    <w:multiLevelType w:val="hybridMultilevel"/>
    <w:tmpl w:val="921C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45EE5"/>
    <w:multiLevelType w:val="hybridMultilevel"/>
    <w:tmpl w:val="88BCF79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63D47AF0"/>
    <w:multiLevelType w:val="hybridMultilevel"/>
    <w:tmpl w:val="33EC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B785C"/>
    <w:multiLevelType w:val="hybridMultilevel"/>
    <w:tmpl w:val="4FCCB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FF009E"/>
    <w:multiLevelType w:val="hybridMultilevel"/>
    <w:tmpl w:val="D284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385195"/>
    <w:multiLevelType w:val="hybridMultilevel"/>
    <w:tmpl w:val="31A291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F316B93"/>
    <w:multiLevelType w:val="hybridMultilevel"/>
    <w:tmpl w:val="640206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2E91674"/>
    <w:multiLevelType w:val="hybridMultilevel"/>
    <w:tmpl w:val="EFF052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6B31C3"/>
    <w:multiLevelType w:val="hybridMultilevel"/>
    <w:tmpl w:val="1DFCA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221108"/>
    <w:multiLevelType w:val="hybridMultilevel"/>
    <w:tmpl w:val="1F08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0"/>
  </w:num>
  <w:num w:numId="5">
    <w:abstractNumId w:val="7"/>
  </w:num>
  <w:num w:numId="6">
    <w:abstractNumId w:val="19"/>
  </w:num>
  <w:num w:numId="7">
    <w:abstractNumId w:val="0"/>
  </w:num>
  <w:num w:numId="8">
    <w:abstractNumId w:val="5"/>
  </w:num>
  <w:num w:numId="9">
    <w:abstractNumId w:val="9"/>
  </w:num>
  <w:num w:numId="10">
    <w:abstractNumId w:val="15"/>
  </w:num>
  <w:num w:numId="11">
    <w:abstractNumId w:val="2"/>
  </w:num>
  <w:num w:numId="12">
    <w:abstractNumId w:val="6"/>
  </w:num>
  <w:num w:numId="13">
    <w:abstractNumId w:val="16"/>
  </w:num>
  <w:num w:numId="14">
    <w:abstractNumId w:val="11"/>
  </w:num>
  <w:num w:numId="15">
    <w:abstractNumId w:val="12"/>
  </w:num>
  <w:num w:numId="16">
    <w:abstractNumId w:val="4"/>
  </w:num>
  <w:num w:numId="17">
    <w:abstractNumId w:val="18"/>
  </w:num>
  <w:num w:numId="18">
    <w:abstractNumId w:val="17"/>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D4"/>
    <w:rsid w:val="0000063E"/>
    <w:rsid w:val="00040D59"/>
    <w:rsid w:val="00043879"/>
    <w:rsid w:val="00074F77"/>
    <w:rsid w:val="000761CF"/>
    <w:rsid w:val="00091A4E"/>
    <w:rsid w:val="000A62AD"/>
    <w:rsid w:val="000A7892"/>
    <w:rsid w:val="000B4336"/>
    <w:rsid w:val="000E245E"/>
    <w:rsid w:val="000F230F"/>
    <w:rsid w:val="00102629"/>
    <w:rsid w:val="0012517C"/>
    <w:rsid w:val="0013022F"/>
    <w:rsid w:val="00136ECA"/>
    <w:rsid w:val="001448AE"/>
    <w:rsid w:val="001475E4"/>
    <w:rsid w:val="0015090C"/>
    <w:rsid w:val="0016395E"/>
    <w:rsid w:val="001661C2"/>
    <w:rsid w:val="001733F3"/>
    <w:rsid w:val="00176CCE"/>
    <w:rsid w:val="001774B2"/>
    <w:rsid w:val="00190201"/>
    <w:rsid w:val="001A53C0"/>
    <w:rsid w:val="001B1088"/>
    <w:rsid w:val="001C0723"/>
    <w:rsid w:val="001C22BF"/>
    <w:rsid w:val="001C65F2"/>
    <w:rsid w:val="001D0978"/>
    <w:rsid w:val="001D4F51"/>
    <w:rsid w:val="001F0053"/>
    <w:rsid w:val="001F2F53"/>
    <w:rsid w:val="00203E8B"/>
    <w:rsid w:val="00224E43"/>
    <w:rsid w:val="00225715"/>
    <w:rsid w:val="0025391E"/>
    <w:rsid w:val="00293BD2"/>
    <w:rsid w:val="00295A35"/>
    <w:rsid w:val="002B0552"/>
    <w:rsid w:val="002C0036"/>
    <w:rsid w:val="002D5224"/>
    <w:rsid w:val="002E1037"/>
    <w:rsid w:val="002E5289"/>
    <w:rsid w:val="002F0CD8"/>
    <w:rsid w:val="002F1438"/>
    <w:rsid w:val="00305948"/>
    <w:rsid w:val="003253D2"/>
    <w:rsid w:val="003314E3"/>
    <w:rsid w:val="00343D0C"/>
    <w:rsid w:val="003441F5"/>
    <w:rsid w:val="003477DC"/>
    <w:rsid w:val="0035460D"/>
    <w:rsid w:val="003700D4"/>
    <w:rsid w:val="0037132F"/>
    <w:rsid w:val="00394583"/>
    <w:rsid w:val="0039715C"/>
    <w:rsid w:val="003A3E3A"/>
    <w:rsid w:val="003A7B8E"/>
    <w:rsid w:val="003B568A"/>
    <w:rsid w:val="003C2CE0"/>
    <w:rsid w:val="003C3255"/>
    <w:rsid w:val="003C4322"/>
    <w:rsid w:val="003D4061"/>
    <w:rsid w:val="003E7156"/>
    <w:rsid w:val="003F4EDF"/>
    <w:rsid w:val="004007F2"/>
    <w:rsid w:val="00404607"/>
    <w:rsid w:val="004205C6"/>
    <w:rsid w:val="00435B64"/>
    <w:rsid w:val="0043601F"/>
    <w:rsid w:val="00440284"/>
    <w:rsid w:val="0044414B"/>
    <w:rsid w:val="004471DD"/>
    <w:rsid w:val="00447F61"/>
    <w:rsid w:val="00464E10"/>
    <w:rsid w:val="00473D9C"/>
    <w:rsid w:val="00485A40"/>
    <w:rsid w:val="00487022"/>
    <w:rsid w:val="004970FD"/>
    <w:rsid w:val="004A2E78"/>
    <w:rsid w:val="004D1A4E"/>
    <w:rsid w:val="004D3E85"/>
    <w:rsid w:val="004D7C6A"/>
    <w:rsid w:val="004F2F70"/>
    <w:rsid w:val="0050547B"/>
    <w:rsid w:val="005054B3"/>
    <w:rsid w:val="005074F7"/>
    <w:rsid w:val="0052091F"/>
    <w:rsid w:val="00526E5C"/>
    <w:rsid w:val="005321CC"/>
    <w:rsid w:val="00532C32"/>
    <w:rsid w:val="0053444A"/>
    <w:rsid w:val="005611FA"/>
    <w:rsid w:val="00564959"/>
    <w:rsid w:val="00583965"/>
    <w:rsid w:val="00583D67"/>
    <w:rsid w:val="00595C6A"/>
    <w:rsid w:val="005B26B2"/>
    <w:rsid w:val="005B4A7A"/>
    <w:rsid w:val="005B6D44"/>
    <w:rsid w:val="005D3A46"/>
    <w:rsid w:val="005E01AE"/>
    <w:rsid w:val="005E64D4"/>
    <w:rsid w:val="005F0F1B"/>
    <w:rsid w:val="00602AD5"/>
    <w:rsid w:val="0061082B"/>
    <w:rsid w:val="0064279A"/>
    <w:rsid w:val="006758E0"/>
    <w:rsid w:val="006A1BD6"/>
    <w:rsid w:val="006A7BFD"/>
    <w:rsid w:val="006B37E7"/>
    <w:rsid w:val="006F293A"/>
    <w:rsid w:val="00702407"/>
    <w:rsid w:val="00730635"/>
    <w:rsid w:val="00736285"/>
    <w:rsid w:val="00747628"/>
    <w:rsid w:val="0075193E"/>
    <w:rsid w:val="007575D8"/>
    <w:rsid w:val="00764AB5"/>
    <w:rsid w:val="00774B2F"/>
    <w:rsid w:val="007759CE"/>
    <w:rsid w:val="007774F9"/>
    <w:rsid w:val="00781E2D"/>
    <w:rsid w:val="007911F9"/>
    <w:rsid w:val="00797AE5"/>
    <w:rsid w:val="007A29E3"/>
    <w:rsid w:val="007A7CF1"/>
    <w:rsid w:val="007C039F"/>
    <w:rsid w:val="007C46C4"/>
    <w:rsid w:val="007F7EF4"/>
    <w:rsid w:val="0082524E"/>
    <w:rsid w:val="008261C4"/>
    <w:rsid w:val="008434C4"/>
    <w:rsid w:val="008604CB"/>
    <w:rsid w:val="008632FE"/>
    <w:rsid w:val="00874CF9"/>
    <w:rsid w:val="00885337"/>
    <w:rsid w:val="00890215"/>
    <w:rsid w:val="008A0152"/>
    <w:rsid w:val="008A618F"/>
    <w:rsid w:val="008A6C8B"/>
    <w:rsid w:val="008C62A1"/>
    <w:rsid w:val="008D0062"/>
    <w:rsid w:val="008D0BB8"/>
    <w:rsid w:val="008D6EB3"/>
    <w:rsid w:val="008F129B"/>
    <w:rsid w:val="009135E6"/>
    <w:rsid w:val="00935E60"/>
    <w:rsid w:val="009415B9"/>
    <w:rsid w:val="009578EF"/>
    <w:rsid w:val="00962658"/>
    <w:rsid w:val="00963715"/>
    <w:rsid w:val="00963F37"/>
    <w:rsid w:val="00966568"/>
    <w:rsid w:val="00970E00"/>
    <w:rsid w:val="00971C65"/>
    <w:rsid w:val="00973645"/>
    <w:rsid w:val="00982371"/>
    <w:rsid w:val="00992849"/>
    <w:rsid w:val="00993B82"/>
    <w:rsid w:val="0099690A"/>
    <w:rsid w:val="009A2C26"/>
    <w:rsid w:val="009B28F1"/>
    <w:rsid w:val="009D5089"/>
    <w:rsid w:val="009F686C"/>
    <w:rsid w:val="009F7D5C"/>
    <w:rsid w:val="00A066C5"/>
    <w:rsid w:val="00A140FA"/>
    <w:rsid w:val="00A24C6E"/>
    <w:rsid w:val="00A36C54"/>
    <w:rsid w:val="00A5614D"/>
    <w:rsid w:val="00A970FE"/>
    <w:rsid w:val="00AA42B8"/>
    <w:rsid w:val="00AC29A3"/>
    <w:rsid w:val="00AD4D93"/>
    <w:rsid w:val="00B16559"/>
    <w:rsid w:val="00B17A0D"/>
    <w:rsid w:val="00B2235F"/>
    <w:rsid w:val="00B33A0B"/>
    <w:rsid w:val="00B436F5"/>
    <w:rsid w:val="00B437FC"/>
    <w:rsid w:val="00B50B18"/>
    <w:rsid w:val="00B517A5"/>
    <w:rsid w:val="00B56960"/>
    <w:rsid w:val="00B65A4F"/>
    <w:rsid w:val="00B71334"/>
    <w:rsid w:val="00B77C88"/>
    <w:rsid w:val="00BC4D5E"/>
    <w:rsid w:val="00BC75B9"/>
    <w:rsid w:val="00BD5B24"/>
    <w:rsid w:val="00BF5308"/>
    <w:rsid w:val="00C035F6"/>
    <w:rsid w:val="00C13FF5"/>
    <w:rsid w:val="00C2730D"/>
    <w:rsid w:val="00C43E23"/>
    <w:rsid w:val="00C45C99"/>
    <w:rsid w:val="00C56A7D"/>
    <w:rsid w:val="00C67922"/>
    <w:rsid w:val="00C776B9"/>
    <w:rsid w:val="00C86A30"/>
    <w:rsid w:val="00C94AA9"/>
    <w:rsid w:val="00CD20EF"/>
    <w:rsid w:val="00D025C6"/>
    <w:rsid w:val="00D051CE"/>
    <w:rsid w:val="00D20D0D"/>
    <w:rsid w:val="00D22B6B"/>
    <w:rsid w:val="00D32AD3"/>
    <w:rsid w:val="00D3568E"/>
    <w:rsid w:val="00D3628D"/>
    <w:rsid w:val="00D432D4"/>
    <w:rsid w:val="00D67961"/>
    <w:rsid w:val="00D71124"/>
    <w:rsid w:val="00D85C08"/>
    <w:rsid w:val="00D96EA9"/>
    <w:rsid w:val="00DA17E2"/>
    <w:rsid w:val="00DA4068"/>
    <w:rsid w:val="00DA6E9C"/>
    <w:rsid w:val="00DD749F"/>
    <w:rsid w:val="00DF470E"/>
    <w:rsid w:val="00E05061"/>
    <w:rsid w:val="00E0607C"/>
    <w:rsid w:val="00E24802"/>
    <w:rsid w:val="00E31E90"/>
    <w:rsid w:val="00E33048"/>
    <w:rsid w:val="00E353B5"/>
    <w:rsid w:val="00E43847"/>
    <w:rsid w:val="00E501BE"/>
    <w:rsid w:val="00E50848"/>
    <w:rsid w:val="00E66D1A"/>
    <w:rsid w:val="00E707A2"/>
    <w:rsid w:val="00E717B9"/>
    <w:rsid w:val="00E862D1"/>
    <w:rsid w:val="00E91B88"/>
    <w:rsid w:val="00EA34C5"/>
    <w:rsid w:val="00EB445C"/>
    <w:rsid w:val="00EC3E56"/>
    <w:rsid w:val="00ED078E"/>
    <w:rsid w:val="00ED13ED"/>
    <w:rsid w:val="00ED71F4"/>
    <w:rsid w:val="00EE2588"/>
    <w:rsid w:val="00EF0913"/>
    <w:rsid w:val="00EF1832"/>
    <w:rsid w:val="00F00B6A"/>
    <w:rsid w:val="00F11471"/>
    <w:rsid w:val="00F25388"/>
    <w:rsid w:val="00F46FC6"/>
    <w:rsid w:val="00F64077"/>
    <w:rsid w:val="00F95140"/>
    <w:rsid w:val="00FA681D"/>
    <w:rsid w:val="00FD6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54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8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38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00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00D4"/>
    <w:rPr>
      <w:rFonts w:eastAsiaTheme="minorEastAsia"/>
      <w:lang w:val="en-US"/>
    </w:rPr>
  </w:style>
  <w:style w:type="paragraph" w:styleId="Header">
    <w:name w:val="header"/>
    <w:basedOn w:val="Normal"/>
    <w:link w:val="HeaderChar"/>
    <w:uiPriority w:val="99"/>
    <w:unhideWhenUsed/>
    <w:rsid w:val="00E43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847"/>
  </w:style>
  <w:style w:type="paragraph" w:styleId="Footer">
    <w:name w:val="footer"/>
    <w:basedOn w:val="Normal"/>
    <w:link w:val="FooterChar"/>
    <w:uiPriority w:val="99"/>
    <w:unhideWhenUsed/>
    <w:rsid w:val="00E4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847"/>
  </w:style>
  <w:style w:type="character" w:customStyle="1" w:styleId="Heading1Char">
    <w:name w:val="Heading 1 Char"/>
    <w:basedOn w:val="DefaultParagraphFont"/>
    <w:link w:val="Heading1"/>
    <w:uiPriority w:val="9"/>
    <w:rsid w:val="00E438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384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A62AD"/>
    <w:pPr>
      <w:outlineLvl w:val="9"/>
    </w:pPr>
    <w:rPr>
      <w:lang w:val="en-US"/>
    </w:rPr>
  </w:style>
  <w:style w:type="paragraph" w:styleId="TOC1">
    <w:name w:val="toc 1"/>
    <w:basedOn w:val="Normal"/>
    <w:next w:val="Normal"/>
    <w:autoRedefine/>
    <w:uiPriority w:val="39"/>
    <w:unhideWhenUsed/>
    <w:rsid w:val="000A62AD"/>
    <w:pPr>
      <w:spacing w:after="100"/>
    </w:pPr>
  </w:style>
  <w:style w:type="paragraph" w:styleId="TOC2">
    <w:name w:val="toc 2"/>
    <w:basedOn w:val="Normal"/>
    <w:next w:val="Normal"/>
    <w:autoRedefine/>
    <w:uiPriority w:val="39"/>
    <w:unhideWhenUsed/>
    <w:rsid w:val="000A62AD"/>
    <w:pPr>
      <w:spacing w:after="100"/>
      <w:ind w:left="220"/>
    </w:pPr>
  </w:style>
  <w:style w:type="character" w:styleId="Hyperlink">
    <w:name w:val="Hyperlink"/>
    <w:basedOn w:val="DefaultParagraphFont"/>
    <w:uiPriority w:val="99"/>
    <w:unhideWhenUsed/>
    <w:rsid w:val="000A62AD"/>
    <w:rPr>
      <w:color w:val="0563C1" w:themeColor="hyperlink"/>
      <w:u w:val="single"/>
    </w:rPr>
  </w:style>
  <w:style w:type="table" w:customStyle="1" w:styleId="TableGrid1">
    <w:name w:val="Table Grid1"/>
    <w:basedOn w:val="TableNormal"/>
    <w:next w:val="TableGrid"/>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F51"/>
    <w:pPr>
      <w:ind w:left="720"/>
      <w:contextualSpacing/>
    </w:pPr>
  </w:style>
  <w:style w:type="paragraph" w:styleId="BalloonText">
    <w:name w:val="Balloon Text"/>
    <w:basedOn w:val="Normal"/>
    <w:link w:val="BalloonTextChar"/>
    <w:uiPriority w:val="99"/>
    <w:semiHidden/>
    <w:unhideWhenUsed/>
    <w:rsid w:val="0040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7F2"/>
    <w:rPr>
      <w:rFonts w:ascii="Segoe UI" w:hAnsi="Segoe UI" w:cs="Segoe UI"/>
      <w:sz w:val="18"/>
      <w:szCs w:val="18"/>
    </w:rPr>
  </w:style>
  <w:style w:type="paragraph" w:customStyle="1" w:styleId="bullets">
    <w:name w:val="bullets"/>
    <w:basedOn w:val="Normal"/>
    <w:uiPriority w:val="99"/>
    <w:rsid w:val="0012517C"/>
    <w:pPr>
      <w:widowControl w:val="0"/>
      <w:suppressAutoHyphens/>
      <w:autoSpaceDE w:val="0"/>
      <w:autoSpaceDN w:val="0"/>
      <w:adjustRightInd w:val="0"/>
      <w:spacing w:after="85" w:line="230" w:lineRule="atLeast"/>
      <w:ind w:left="170" w:hanging="170"/>
      <w:textAlignment w:val="center"/>
    </w:pPr>
    <w:rPr>
      <w:rFonts w:ascii="TimesNewRomanPSMT" w:eastAsia="Times New Roman" w:hAnsi="TimesNewRomanPSMT" w:cs="TimesNewRomanPSMT"/>
      <w:color w:val="000000" w:themeColor="text1"/>
      <w:sz w:val="24"/>
      <w:szCs w:val="24"/>
      <w:lang w:val="en-GB"/>
    </w:rPr>
  </w:style>
  <w:style w:type="table" w:customStyle="1" w:styleId="TableGrid2">
    <w:name w:val="Table Grid2"/>
    <w:basedOn w:val="TableNormal"/>
    <w:next w:val="TableGrid"/>
    <w:uiPriority w:val="39"/>
    <w:rsid w:val="00E862D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33F3"/>
    <w:rPr>
      <w:sz w:val="16"/>
      <w:szCs w:val="16"/>
    </w:rPr>
  </w:style>
  <w:style w:type="paragraph" w:styleId="CommentText">
    <w:name w:val="annotation text"/>
    <w:basedOn w:val="Normal"/>
    <w:link w:val="CommentTextChar"/>
    <w:uiPriority w:val="99"/>
    <w:semiHidden/>
    <w:unhideWhenUsed/>
    <w:rsid w:val="001733F3"/>
    <w:pPr>
      <w:spacing w:line="240" w:lineRule="auto"/>
    </w:pPr>
    <w:rPr>
      <w:sz w:val="20"/>
      <w:szCs w:val="20"/>
    </w:rPr>
  </w:style>
  <w:style w:type="character" w:customStyle="1" w:styleId="CommentTextChar">
    <w:name w:val="Comment Text Char"/>
    <w:basedOn w:val="DefaultParagraphFont"/>
    <w:link w:val="CommentText"/>
    <w:uiPriority w:val="99"/>
    <w:semiHidden/>
    <w:rsid w:val="001733F3"/>
    <w:rPr>
      <w:sz w:val="20"/>
      <w:szCs w:val="20"/>
    </w:rPr>
  </w:style>
  <w:style w:type="paragraph" w:styleId="CommentSubject">
    <w:name w:val="annotation subject"/>
    <w:basedOn w:val="CommentText"/>
    <w:next w:val="CommentText"/>
    <w:link w:val="CommentSubjectChar"/>
    <w:uiPriority w:val="99"/>
    <w:semiHidden/>
    <w:unhideWhenUsed/>
    <w:rsid w:val="001733F3"/>
    <w:rPr>
      <w:b/>
      <w:bCs/>
    </w:rPr>
  </w:style>
  <w:style w:type="character" w:customStyle="1" w:styleId="CommentSubjectChar">
    <w:name w:val="Comment Subject Char"/>
    <w:basedOn w:val="CommentTextChar"/>
    <w:link w:val="CommentSubject"/>
    <w:uiPriority w:val="99"/>
    <w:semiHidden/>
    <w:rsid w:val="001733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5381">
      <w:bodyDiv w:val="1"/>
      <w:marLeft w:val="0"/>
      <w:marRight w:val="0"/>
      <w:marTop w:val="0"/>
      <w:marBottom w:val="0"/>
      <w:divBdr>
        <w:top w:val="none" w:sz="0" w:space="0" w:color="auto"/>
        <w:left w:val="none" w:sz="0" w:space="0" w:color="auto"/>
        <w:bottom w:val="none" w:sz="0" w:space="0" w:color="auto"/>
        <w:right w:val="none" w:sz="0" w:space="0" w:color="auto"/>
      </w:divBdr>
    </w:div>
    <w:div w:id="987514008">
      <w:bodyDiv w:val="1"/>
      <w:marLeft w:val="0"/>
      <w:marRight w:val="0"/>
      <w:marTop w:val="0"/>
      <w:marBottom w:val="0"/>
      <w:divBdr>
        <w:top w:val="none" w:sz="0" w:space="0" w:color="auto"/>
        <w:left w:val="none" w:sz="0" w:space="0" w:color="auto"/>
        <w:bottom w:val="none" w:sz="0" w:space="0" w:color="auto"/>
        <w:right w:val="none" w:sz="0" w:space="0" w:color="auto"/>
      </w:divBdr>
    </w:div>
    <w:div w:id="1125584259">
      <w:bodyDiv w:val="1"/>
      <w:marLeft w:val="0"/>
      <w:marRight w:val="0"/>
      <w:marTop w:val="0"/>
      <w:marBottom w:val="0"/>
      <w:divBdr>
        <w:top w:val="none" w:sz="0" w:space="0" w:color="auto"/>
        <w:left w:val="none" w:sz="0" w:space="0" w:color="auto"/>
        <w:bottom w:val="none" w:sz="0" w:space="0" w:color="auto"/>
        <w:right w:val="none" w:sz="0" w:space="0" w:color="auto"/>
      </w:divBdr>
    </w:div>
    <w:div w:id="1626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9D8D87-6861-4355-813C-39A13483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3970</Words>
  <Characters>22631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2020-05-04T01:25:00Z</dcterms:created>
  <dcterms:modified xsi:type="dcterms:W3CDTF">2020-05-04T01:25:00Z</dcterms:modified>
  <cp:contentStatus/>
</cp:coreProperties>
</file>