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4.xml" ContentType="application/vnd.openxmlformats-officedocument.drawingml.chart+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24.xml" ContentType="application/vnd.openxmlformats-officedocument.wordprocessingml.footer+xml"/>
  <Override PartName="/word/footer25.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26.xml" ContentType="application/vnd.openxmlformats-officedocument.wordprocessingml.footer+xml"/>
  <Override PartName="/word/footer27.xml" ContentType="application/vnd.openxmlformats-officedocument.wordprocessingml.footer+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0F18F" w14:textId="77777777" w:rsidR="00A85062" w:rsidRPr="0047058F" w:rsidRDefault="00A85062">
      <w:bookmarkStart w:id="0" w:name="_GoBack"/>
      <w:bookmarkEnd w:id="0"/>
    </w:p>
    <w:p w14:paraId="13AFE739" w14:textId="77777777" w:rsidR="007A7F0B" w:rsidRPr="0047058F" w:rsidRDefault="007A7F0B"/>
    <w:p w14:paraId="5E463B50" w14:textId="77777777" w:rsidR="007A7F0B" w:rsidRPr="0047058F" w:rsidRDefault="007A7F0B"/>
    <w:p w14:paraId="475E6273" w14:textId="77777777" w:rsidR="007A7F0B" w:rsidRPr="0047058F" w:rsidRDefault="007A7F0B"/>
    <w:p w14:paraId="0AF3AF52" w14:textId="77777777" w:rsidR="007A7F0B" w:rsidRPr="0047058F" w:rsidRDefault="007A7F0B"/>
    <w:p w14:paraId="41999296" w14:textId="77777777" w:rsidR="007A7F0B" w:rsidRPr="0047058F" w:rsidRDefault="007A7F0B"/>
    <w:p w14:paraId="3B996E5E" w14:textId="77777777" w:rsidR="007A7F0B" w:rsidRPr="0047058F" w:rsidRDefault="007A7F0B"/>
    <w:p w14:paraId="082BD8E1" w14:textId="77777777" w:rsidR="007A7F0B" w:rsidRPr="0047058F" w:rsidRDefault="007A7F0B" w:rsidP="00746525">
      <w:pPr>
        <w:spacing w:after="240" w:line="201" w:lineRule="atLeast"/>
        <w:ind w:left="1152"/>
        <w:rPr>
          <w:b/>
          <w:color w:val="720829"/>
          <w:sz w:val="25"/>
          <w:szCs w:val="25"/>
        </w:rPr>
      </w:pPr>
      <w:r w:rsidRPr="0047058F">
        <w:rPr>
          <w:b/>
          <w:color w:val="720829"/>
          <w:sz w:val="25"/>
        </w:rPr>
        <w:t>TRANSITION AND WELLBEING RESEARCH PROGRAMME</w:t>
      </w:r>
    </w:p>
    <w:p w14:paraId="152BE338" w14:textId="77777777" w:rsidR="007A7F0B" w:rsidRPr="0047058F" w:rsidRDefault="007A7F0B" w:rsidP="00746525">
      <w:pPr>
        <w:spacing w:after="240"/>
        <w:ind w:left="1152"/>
        <w:rPr>
          <w:b/>
          <w:color w:val="002561"/>
          <w:sz w:val="25"/>
          <w:szCs w:val="25"/>
        </w:rPr>
      </w:pPr>
      <w:r w:rsidRPr="0047058F">
        <w:rPr>
          <w:b/>
          <w:color w:val="002561"/>
          <w:sz w:val="25"/>
        </w:rPr>
        <w:t>MENTAL HEALTH AND WELLBEING TRANSITION STUDY</w:t>
      </w:r>
    </w:p>
    <w:p w14:paraId="4FB886A7" w14:textId="77777777" w:rsidR="007A7F0B" w:rsidRPr="0047058F" w:rsidRDefault="003B7430" w:rsidP="00BD0C61">
      <w:pPr>
        <w:spacing w:before="480" w:after="240" w:line="240" w:lineRule="auto"/>
        <w:ind w:right="259"/>
        <w:jc w:val="right"/>
        <w:rPr>
          <w:color w:val="002561"/>
          <w:sz w:val="50"/>
          <w:szCs w:val="50"/>
        </w:rPr>
      </w:pPr>
      <w:r w:rsidRPr="0047058F">
        <w:rPr>
          <w:color w:val="002561"/>
          <w:sz w:val="44"/>
          <w:szCs w:val="50"/>
          <w:lang w:eastAsia="en-AU"/>
        </w:rPr>
        <w:t>Mental Health Changes Over Time:</w:t>
      </w:r>
      <w:r w:rsidR="00BD0C61" w:rsidRPr="0047058F">
        <w:rPr>
          <w:color w:val="002561"/>
          <w:sz w:val="44"/>
          <w:szCs w:val="50"/>
          <w:lang w:eastAsia="en-AU"/>
        </w:rPr>
        <w:t xml:space="preserve"> </w:t>
      </w:r>
      <w:r w:rsidR="00750441" w:rsidRPr="0047058F">
        <w:rPr>
          <w:color w:val="002561"/>
          <w:sz w:val="44"/>
          <w:szCs w:val="50"/>
          <w:lang w:eastAsia="en-AU"/>
        </w:rPr>
        <w:t>a</w:t>
      </w:r>
      <w:r w:rsidR="00BD0C61" w:rsidRPr="0047058F">
        <w:rPr>
          <w:color w:val="002561"/>
          <w:sz w:val="44"/>
          <w:szCs w:val="50"/>
          <w:lang w:eastAsia="en-AU"/>
        </w:rPr>
        <w:t> </w:t>
      </w:r>
      <w:r w:rsidRPr="0047058F">
        <w:rPr>
          <w:color w:val="002561"/>
          <w:sz w:val="44"/>
          <w:szCs w:val="50"/>
          <w:lang w:eastAsia="en-AU"/>
        </w:rPr>
        <w:t>Longitudinal Perspective</w:t>
      </w:r>
    </w:p>
    <w:p w14:paraId="75128E0E" w14:textId="77777777" w:rsidR="007A7F0B" w:rsidRPr="0047058F" w:rsidRDefault="00BD0C61">
      <w:r w:rsidRPr="0047058F">
        <w:rPr>
          <w:noProof/>
          <w:color w:val="002561"/>
          <w:sz w:val="44"/>
          <w:szCs w:val="50"/>
          <w:lang w:eastAsia="en-AU"/>
        </w:rPr>
        <mc:AlternateContent>
          <mc:Choice Requires="wpg">
            <w:drawing>
              <wp:anchor distT="0" distB="0" distL="114300" distR="114300" simplePos="0" relativeHeight="251619328" behindDoc="0" locked="0" layoutInCell="1" allowOverlap="1" wp14:anchorId="6715E065" wp14:editId="4D4E7DB9">
                <wp:simplePos x="0" y="0"/>
                <wp:positionH relativeFrom="column">
                  <wp:posOffset>1068705</wp:posOffset>
                </wp:positionH>
                <wp:positionV relativeFrom="paragraph">
                  <wp:posOffset>6350</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0958A4" id="Group 6" o:spid="_x0000_s1026" style="position:absolute;margin-left:84.15pt;margin-top:.5pt;width:259.2pt;height:12.75pt;z-index:251619328"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p>
    <w:p w14:paraId="63E0A3AC" w14:textId="77777777" w:rsidR="007A7F0B" w:rsidRPr="0047058F" w:rsidRDefault="007A7F0B"/>
    <w:p w14:paraId="3BF3EF9A" w14:textId="77777777" w:rsidR="007A7F0B" w:rsidRPr="0047058F" w:rsidRDefault="007A7F0B"/>
    <w:p w14:paraId="183BB2ED" w14:textId="77777777" w:rsidR="007A7F0B" w:rsidRPr="0047058F" w:rsidRDefault="007A7F0B"/>
    <w:p w14:paraId="454BE89E" w14:textId="77777777" w:rsidR="007A7F0B" w:rsidRPr="0047058F" w:rsidRDefault="007A7F0B"/>
    <w:p w14:paraId="0C27C9EC" w14:textId="77777777" w:rsidR="007A7F0B" w:rsidRPr="0047058F" w:rsidRDefault="007A7F0B"/>
    <w:p w14:paraId="6D7A1203" w14:textId="77777777" w:rsidR="007A7F0B" w:rsidRPr="0047058F" w:rsidRDefault="007A7F0B"/>
    <w:p w14:paraId="7F11EE87" w14:textId="77777777" w:rsidR="007A7F0B" w:rsidRPr="0047058F" w:rsidRDefault="007A7F0B"/>
    <w:p w14:paraId="6DF8B18B" w14:textId="77777777" w:rsidR="007A7F0B" w:rsidRPr="0047058F" w:rsidRDefault="00EE564B" w:rsidP="007A7F0B">
      <w:pPr>
        <w:jc w:val="right"/>
        <w:rPr>
          <w:b/>
          <w:color w:val="002561"/>
          <w:sz w:val="24"/>
        </w:rPr>
      </w:pPr>
      <w:r w:rsidRPr="0047058F">
        <w:rPr>
          <w:b/>
          <w:color w:val="002561"/>
          <w:sz w:val="24"/>
        </w:rPr>
        <w:t>2019</w:t>
      </w:r>
    </w:p>
    <w:p w14:paraId="78C00F1D" w14:textId="77777777" w:rsidR="00BD0C61" w:rsidRPr="0047058F" w:rsidRDefault="00BD0C61">
      <w:pPr>
        <w:spacing w:after="0" w:line="240" w:lineRule="auto"/>
      </w:pPr>
      <w:r w:rsidRPr="0047058F">
        <w:br w:type="page"/>
      </w:r>
    </w:p>
    <w:p w14:paraId="7B10C1D8" w14:textId="77777777" w:rsidR="00BD0C61" w:rsidRPr="0047058F" w:rsidRDefault="00BD0C61" w:rsidP="00BD0C61">
      <w:pPr>
        <w:spacing w:line="240" w:lineRule="auto"/>
        <w:rPr>
          <w:sz w:val="18"/>
          <w:szCs w:val="18"/>
        </w:rPr>
      </w:pPr>
      <w:r w:rsidRPr="0047058F">
        <w:rPr>
          <w:sz w:val="18"/>
          <w:szCs w:val="18"/>
        </w:rPr>
        <w:lastRenderedPageBreak/>
        <w:t xml:space="preserve">ISBN </w:t>
      </w:r>
      <w:r w:rsidRPr="0047058F">
        <w:t>978-0-6481609-8-4 (PDF)</w:t>
      </w:r>
      <w:r w:rsidRPr="0047058F">
        <w:rPr>
          <w:sz w:val="18"/>
          <w:szCs w:val="18"/>
        </w:rPr>
        <w:br/>
        <w:t xml:space="preserve">ISBN </w:t>
      </w:r>
      <w:r w:rsidRPr="0047058F">
        <w:t>978-0-6481609-9-1 (print)</w:t>
      </w:r>
    </w:p>
    <w:p w14:paraId="4CE9747A" w14:textId="77777777" w:rsidR="00BD0C61" w:rsidRPr="0047058F" w:rsidRDefault="00BD0C61" w:rsidP="00BD0C61">
      <w:pPr>
        <w:spacing w:line="240" w:lineRule="auto"/>
        <w:rPr>
          <w:sz w:val="18"/>
          <w:szCs w:val="18"/>
        </w:rPr>
      </w:pPr>
      <w:r w:rsidRPr="0047058F">
        <w:rPr>
          <w:sz w:val="18"/>
          <w:szCs w:val="18"/>
        </w:rPr>
        <w:t>© Commonwealth of Australia 2019</w:t>
      </w:r>
    </w:p>
    <w:p w14:paraId="332653A6" w14:textId="77777777" w:rsidR="00BD0C61" w:rsidRPr="0047058F" w:rsidRDefault="00BD0C61" w:rsidP="00BD0C61">
      <w:pPr>
        <w:spacing w:line="240" w:lineRule="auto"/>
        <w:rPr>
          <w:color w:val="auto"/>
          <w:sz w:val="18"/>
          <w:szCs w:val="24"/>
        </w:rPr>
      </w:pPr>
      <w:r w:rsidRPr="0047058F">
        <w:rPr>
          <w:color w:val="auto"/>
          <w:sz w:val="18"/>
          <w:szCs w:val="24"/>
        </w:rPr>
        <w:t>Unless otherwise noted, copyright (and other intellectual property rights, if any) in this publication is owned by the Commonwealth of Australia.</w:t>
      </w:r>
    </w:p>
    <w:p w14:paraId="6063CD49" w14:textId="77777777" w:rsidR="00BD0C61" w:rsidRPr="0047058F" w:rsidRDefault="00BD0C61" w:rsidP="00BD0C61">
      <w:pPr>
        <w:spacing w:line="240" w:lineRule="auto"/>
        <w:rPr>
          <w:color w:val="auto"/>
          <w:sz w:val="18"/>
          <w:szCs w:val="24"/>
        </w:rPr>
      </w:pPr>
      <w:r w:rsidRPr="0047058F">
        <w:rPr>
          <w:noProof/>
          <w:color w:val="auto"/>
          <w:sz w:val="18"/>
          <w:szCs w:val="24"/>
          <w:lang w:eastAsia="en-AU"/>
        </w:rPr>
        <w:drawing>
          <wp:inline distT="0" distB="0" distL="0" distR="0" wp14:anchorId="573A05C9" wp14:editId="67FCD937">
            <wp:extent cx="838200" cy="295275"/>
            <wp:effectExtent l="0" t="0" r="0" b="9525"/>
            <wp:docPr id="459" name="Picture 45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FC75C62" w14:textId="77777777" w:rsidR="00BD0C61" w:rsidRPr="0047058F" w:rsidRDefault="00BD0C61" w:rsidP="00BD0C61">
      <w:pPr>
        <w:spacing w:line="240" w:lineRule="auto"/>
        <w:rPr>
          <w:sz w:val="18"/>
          <w:szCs w:val="24"/>
        </w:rPr>
      </w:pPr>
      <w:r w:rsidRPr="0047058F">
        <w:rPr>
          <w:sz w:val="18"/>
          <w:szCs w:val="24"/>
        </w:rPr>
        <w:t>With the exception of the Coat of Arms and all photographs and graphic design elements, this publication is licensed under a Creative Commons Attribution 3.0 Australia licence. This is a standard-form licence agreement that allows you to copy, distribute, transmit and adapt this publication, provided that you attribute the work.</w:t>
      </w:r>
    </w:p>
    <w:p w14:paraId="4E3006E6" w14:textId="0844C263" w:rsidR="00BD0C61" w:rsidRPr="0047058F" w:rsidRDefault="00BD0C61" w:rsidP="00BD0C61">
      <w:pPr>
        <w:spacing w:line="240" w:lineRule="auto"/>
        <w:rPr>
          <w:spacing w:val="-2"/>
          <w:sz w:val="18"/>
          <w:szCs w:val="18"/>
        </w:rPr>
      </w:pPr>
      <w:r w:rsidRPr="0047058F">
        <w:rPr>
          <w:spacing w:val="-2"/>
          <w:sz w:val="18"/>
          <w:szCs w:val="18"/>
        </w:rPr>
        <w:t xml:space="preserve">The full licence terms are available from </w:t>
      </w:r>
      <w:hyperlink r:id="rId8" w:history="1">
        <w:r w:rsidRPr="00EC635D">
          <w:rPr>
            <w:rStyle w:val="Hyperlink"/>
            <w:sz w:val="18"/>
            <w:szCs w:val="24"/>
          </w:rPr>
          <w:t>creativecommons.org/licenses/by/3.0/au/legalcode</w:t>
        </w:r>
      </w:hyperlink>
      <w:r w:rsidRPr="0047058F">
        <w:rPr>
          <w:sz w:val="18"/>
          <w:szCs w:val="24"/>
        </w:rPr>
        <w:t>.</w:t>
      </w:r>
    </w:p>
    <w:p w14:paraId="23858397" w14:textId="77777777" w:rsidR="00BD0C61" w:rsidRPr="0047058F" w:rsidRDefault="00BD0C61" w:rsidP="00BD0C61">
      <w:pPr>
        <w:spacing w:line="240" w:lineRule="auto"/>
        <w:rPr>
          <w:sz w:val="18"/>
          <w:szCs w:val="24"/>
        </w:rPr>
      </w:pPr>
      <w:r w:rsidRPr="0047058F">
        <w:rPr>
          <w:sz w:val="18"/>
          <w:szCs w:val="24"/>
        </w:rPr>
        <w:t>Requests and enquiries concerning reproduction and rights should be emailed to:</w:t>
      </w:r>
    </w:p>
    <w:p w14:paraId="5416101F" w14:textId="77777777" w:rsidR="00BD0C61" w:rsidRPr="0047058F" w:rsidRDefault="00E27528" w:rsidP="00BD0C61">
      <w:pPr>
        <w:spacing w:line="240" w:lineRule="auto"/>
        <w:ind w:left="360"/>
        <w:rPr>
          <w:sz w:val="18"/>
          <w:szCs w:val="24"/>
        </w:rPr>
      </w:pPr>
      <w:hyperlink r:id="rId9" w:history="1">
        <w:r w:rsidR="00BD0C61" w:rsidRPr="0047058F">
          <w:rPr>
            <w:rStyle w:val="Hyperlink"/>
            <w:sz w:val="18"/>
            <w:szCs w:val="24"/>
          </w:rPr>
          <w:t>publications@dva.gov.au</w:t>
        </w:r>
      </w:hyperlink>
    </w:p>
    <w:p w14:paraId="6D754E0D" w14:textId="77777777" w:rsidR="00BD0C61" w:rsidRPr="0047058F" w:rsidRDefault="00BD0C61" w:rsidP="00BD0C61">
      <w:pPr>
        <w:spacing w:line="240" w:lineRule="auto"/>
        <w:rPr>
          <w:sz w:val="18"/>
          <w:szCs w:val="24"/>
        </w:rPr>
      </w:pPr>
      <w:r w:rsidRPr="0047058F">
        <w:rPr>
          <w:sz w:val="18"/>
          <w:szCs w:val="24"/>
        </w:rPr>
        <w:t>or posted to:</w:t>
      </w:r>
    </w:p>
    <w:p w14:paraId="48402BED" w14:textId="77777777" w:rsidR="00BD0C61" w:rsidRPr="0047058F" w:rsidRDefault="00BD0C61" w:rsidP="00BD0C61">
      <w:pPr>
        <w:spacing w:line="240" w:lineRule="auto"/>
        <w:ind w:left="360"/>
        <w:rPr>
          <w:sz w:val="18"/>
          <w:szCs w:val="24"/>
        </w:rPr>
      </w:pPr>
      <w:r w:rsidRPr="0047058F">
        <w:rPr>
          <w:sz w:val="18"/>
          <w:szCs w:val="24"/>
        </w:rPr>
        <w:t>Department of Veterans’ Affairs</w:t>
      </w:r>
      <w:r w:rsidRPr="0047058F">
        <w:rPr>
          <w:sz w:val="18"/>
          <w:szCs w:val="24"/>
        </w:rPr>
        <w:br/>
        <w:t>GPO Box 9998</w:t>
      </w:r>
      <w:r w:rsidRPr="0047058F">
        <w:rPr>
          <w:sz w:val="18"/>
          <w:szCs w:val="24"/>
        </w:rPr>
        <w:br/>
        <w:t>Brisbane QLD 4001</w:t>
      </w:r>
    </w:p>
    <w:p w14:paraId="60E20FD1" w14:textId="77777777" w:rsidR="00BD0C61" w:rsidRPr="0047058F" w:rsidRDefault="00BD0C61" w:rsidP="00BD0C61">
      <w:pPr>
        <w:spacing w:line="240" w:lineRule="auto"/>
        <w:rPr>
          <w:sz w:val="18"/>
          <w:szCs w:val="18"/>
        </w:rPr>
      </w:pPr>
      <w:r w:rsidRPr="0047058F">
        <w:rPr>
          <w:sz w:val="18"/>
          <w:szCs w:val="18"/>
        </w:rPr>
        <w:t>Suggested citation:</w:t>
      </w:r>
    </w:p>
    <w:p w14:paraId="5B85B445" w14:textId="709F4228" w:rsidR="00BD0C61" w:rsidRPr="0047058F" w:rsidRDefault="00BD0C61" w:rsidP="00BD0C61">
      <w:pPr>
        <w:spacing w:line="240" w:lineRule="auto"/>
        <w:ind w:left="360"/>
        <w:rPr>
          <w:iCs/>
          <w:sz w:val="18"/>
          <w:szCs w:val="24"/>
        </w:rPr>
      </w:pPr>
      <w:r w:rsidRPr="0047058F">
        <w:rPr>
          <w:sz w:val="18"/>
          <w:szCs w:val="18"/>
        </w:rPr>
        <w:t>Bryant, R., Lawrence-Wood, E., Baur, J., McFarlane, A., Hodson, S., Sadler, N., Benassi, H., Howell, S., Abraham, M., Iannos, M., Hansen, C., Searle, A., &amp; Van Hooff, M. (2019).</w:t>
      </w:r>
      <w:r w:rsidRPr="0047058F">
        <w:rPr>
          <w:i/>
          <w:iCs/>
          <w:sz w:val="18"/>
          <w:szCs w:val="18"/>
        </w:rPr>
        <w:t xml:space="preserve"> Mental Health Changes Over Time: </w:t>
      </w:r>
      <w:r w:rsidR="005E2890">
        <w:rPr>
          <w:i/>
          <w:iCs/>
          <w:sz w:val="18"/>
          <w:szCs w:val="18"/>
        </w:rPr>
        <w:t>a</w:t>
      </w:r>
      <w:r w:rsidRPr="0047058F">
        <w:rPr>
          <w:i/>
          <w:iCs/>
          <w:sz w:val="18"/>
          <w:szCs w:val="18"/>
        </w:rPr>
        <w:t xml:space="preserve"> Longitudinal Perspective</w:t>
      </w:r>
      <w:r w:rsidR="00EC635D">
        <w:rPr>
          <w:i/>
          <w:iCs/>
          <w:sz w:val="18"/>
          <w:szCs w:val="18"/>
        </w:rPr>
        <w:t>:</w:t>
      </w:r>
      <w:r w:rsidRPr="0047058F">
        <w:rPr>
          <w:i/>
          <w:iCs/>
          <w:sz w:val="18"/>
          <w:szCs w:val="18"/>
        </w:rPr>
        <w:t xml:space="preserve"> Mental Health and Wellbeing Transition Study. </w:t>
      </w:r>
      <w:r w:rsidRPr="0047058F">
        <w:rPr>
          <w:iCs/>
          <w:sz w:val="18"/>
          <w:szCs w:val="24"/>
        </w:rPr>
        <w:t xml:space="preserve">Canberra: </w:t>
      </w:r>
      <w:r w:rsidRPr="0047058F">
        <w:rPr>
          <w:sz w:val="18"/>
          <w:szCs w:val="24"/>
        </w:rPr>
        <w:t>Department of Defence and Department of Veterans’ Affairs.</w:t>
      </w:r>
    </w:p>
    <w:p w14:paraId="336191C2" w14:textId="77777777" w:rsidR="00BD0C61" w:rsidRPr="0047058F" w:rsidRDefault="00BD0C61" w:rsidP="00BD0C61">
      <w:pPr>
        <w:autoSpaceDE w:val="0"/>
        <w:autoSpaceDN w:val="0"/>
        <w:spacing w:line="240" w:lineRule="auto"/>
        <w:rPr>
          <w:sz w:val="18"/>
          <w:szCs w:val="24"/>
        </w:rPr>
      </w:pPr>
      <w:r w:rsidRPr="0047058F">
        <w:rPr>
          <w:sz w:val="18"/>
          <w:szCs w:val="24"/>
        </w:rPr>
        <w:t>The views expressed in this report are those of the individual authors and may not reflect the views of the Australian Government, including the Department of Defence and the Department of Veterans’ Affairs.</w:t>
      </w:r>
    </w:p>
    <w:p w14:paraId="41219F63" w14:textId="77777777" w:rsidR="00BD0C61" w:rsidRPr="0047058F" w:rsidRDefault="00BD0C61" w:rsidP="00BD0C61">
      <w:pPr>
        <w:spacing w:line="240" w:lineRule="auto"/>
        <w:rPr>
          <w:sz w:val="18"/>
          <w:szCs w:val="24"/>
        </w:rPr>
      </w:pPr>
      <w:r w:rsidRPr="0047058F">
        <w:rPr>
          <w:sz w:val="18"/>
          <w:szCs w:val="24"/>
        </w:rPr>
        <w:t>This report is available online from:</w:t>
      </w:r>
    </w:p>
    <w:p w14:paraId="41EC5F9F" w14:textId="77777777" w:rsidR="00BD0C61" w:rsidRPr="0047058F" w:rsidRDefault="00BD0C61" w:rsidP="00BD0C61">
      <w:pPr>
        <w:spacing w:line="240" w:lineRule="auto"/>
        <w:ind w:left="360"/>
        <w:rPr>
          <w:sz w:val="18"/>
          <w:szCs w:val="24"/>
          <w:lang w:eastAsia="en-AU"/>
        </w:rPr>
      </w:pPr>
      <w:r w:rsidRPr="0047058F">
        <w:rPr>
          <w:sz w:val="18"/>
          <w:szCs w:val="24"/>
          <w:lang w:eastAsia="en-AU"/>
        </w:rPr>
        <w:t>Department of Defence</w:t>
      </w:r>
      <w:r w:rsidRPr="0047058F">
        <w:rPr>
          <w:sz w:val="18"/>
          <w:szCs w:val="24"/>
          <w:lang w:eastAsia="en-AU"/>
        </w:rPr>
        <w:br/>
      </w:r>
      <w:hyperlink r:id="rId10" w:history="1">
        <w:r w:rsidRPr="0047058F">
          <w:rPr>
            <w:rStyle w:val="Hyperlink"/>
            <w:sz w:val="18"/>
            <w:szCs w:val="24"/>
            <w:lang w:eastAsia="en-AU"/>
          </w:rPr>
          <w:t>defence.gov.au/Health/DMH/ResearchSurveillancePlan.asp</w:t>
        </w:r>
      </w:hyperlink>
    </w:p>
    <w:p w14:paraId="241D3B9E" w14:textId="77777777" w:rsidR="00BD0C61" w:rsidRPr="0047058F" w:rsidRDefault="00BD0C61" w:rsidP="00BD0C61">
      <w:pPr>
        <w:spacing w:line="240" w:lineRule="auto"/>
        <w:ind w:left="360"/>
        <w:rPr>
          <w:sz w:val="18"/>
          <w:szCs w:val="24"/>
        </w:rPr>
      </w:pPr>
      <w:r w:rsidRPr="0047058F">
        <w:rPr>
          <w:sz w:val="18"/>
          <w:szCs w:val="24"/>
          <w:lang w:eastAsia="en-AU"/>
        </w:rPr>
        <w:t>Department of Veterans’ Affairs</w:t>
      </w:r>
      <w:r w:rsidRPr="0047058F">
        <w:rPr>
          <w:sz w:val="18"/>
          <w:szCs w:val="24"/>
          <w:lang w:eastAsia="en-AU"/>
        </w:rPr>
        <w:br/>
      </w:r>
      <w:hyperlink r:id="rId11" w:history="1">
        <w:r w:rsidRPr="0047058F">
          <w:rPr>
            <w:rStyle w:val="Hyperlink"/>
            <w:sz w:val="18"/>
            <w:szCs w:val="24"/>
          </w:rPr>
          <w:t>dva.gov.au/mental-health-changes-over-time-report</w:t>
        </w:r>
      </w:hyperlink>
    </w:p>
    <w:p w14:paraId="1084E29C" w14:textId="77777777" w:rsidR="00BD0C61" w:rsidRPr="0047058F" w:rsidRDefault="00BD0C61" w:rsidP="00BD0C61">
      <w:pPr>
        <w:spacing w:after="120" w:line="240" w:lineRule="auto"/>
        <w:rPr>
          <w:sz w:val="18"/>
          <w:szCs w:val="24"/>
        </w:rPr>
      </w:pPr>
      <w:r w:rsidRPr="0047058F">
        <w:rPr>
          <w:sz w:val="18"/>
          <w:szCs w:val="24"/>
        </w:rPr>
        <w:t>Published by the Department of Veterans’ Affairs, Canberra.</w:t>
      </w:r>
    </w:p>
    <w:p w14:paraId="54F635B7" w14:textId="77777777" w:rsidR="00191932" w:rsidRPr="0047058F" w:rsidRDefault="00BD0C61" w:rsidP="00BD0C61">
      <w:pPr>
        <w:spacing w:line="240" w:lineRule="auto"/>
      </w:pPr>
      <w:r w:rsidRPr="0047058F">
        <w:rPr>
          <w:sz w:val="18"/>
          <w:szCs w:val="18"/>
        </w:rPr>
        <w:t xml:space="preserve">Publication no.: </w:t>
      </w:r>
      <w:r w:rsidRPr="0047058F">
        <w:rPr>
          <w:sz w:val="18"/>
          <w:szCs w:val="24"/>
        </w:rPr>
        <w:t>P03639</w:t>
      </w:r>
    </w:p>
    <w:p w14:paraId="04778C6B" w14:textId="77777777" w:rsidR="00191932" w:rsidRPr="0047058F" w:rsidRDefault="00191932">
      <w:pPr>
        <w:sectPr w:rsidR="00191932" w:rsidRPr="0047058F" w:rsidSect="004C041A">
          <w:footerReference w:type="even" r:id="rId12"/>
          <w:pgSz w:w="9979" w:h="14170" w:code="243"/>
          <w:pgMar w:top="1440" w:right="1152" w:bottom="1440" w:left="1728" w:header="576" w:footer="576" w:gutter="0"/>
          <w:pgNumType w:fmt="lowerRoman"/>
          <w:cols w:space="708"/>
          <w:docGrid w:linePitch="360"/>
        </w:sectPr>
      </w:pPr>
    </w:p>
    <w:p w14:paraId="79529DAA" w14:textId="77777777" w:rsidR="004C041A" w:rsidRPr="00A14346" w:rsidRDefault="004C041A" w:rsidP="004C041A">
      <w:pPr>
        <w:pStyle w:val="Heading1"/>
        <w:numPr>
          <w:ilvl w:val="0"/>
          <w:numId w:val="0"/>
        </w:numPr>
      </w:pPr>
      <w:bookmarkStart w:id="1" w:name="_Toc532474321"/>
      <w:r w:rsidRPr="00A14346">
        <w:lastRenderedPageBreak/>
        <w:t xml:space="preserve">Key </w:t>
      </w:r>
      <w:r>
        <w:t>f</w:t>
      </w:r>
      <w:r w:rsidRPr="00A14346">
        <w:t>indings</w:t>
      </w:r>
      <w:bookmarkEnd w:id="1"/>
    </w:p>
    <w:p w14:paraId="717776D2" w14:textId="18889043" w:rsidR="004C041A" w:rsidRPr="005A3198" w:rsidRDefault="004C041A" w:rsidP="004C041A">
      <w:r>
        <w:t xml:space="preserve">The </w:t>
      </w:r>
      <w:r w:rsidRPr="00DC7C9E">
        <w:rPr>
          <w:i/>
        </w:rPr>
        <w:t>Mental Health Changes Over Time: a Longitudinal Perspective</w:t>
      </w:r>
      <w:r w:rsidRPr="00FB023B">
        <w:t xml:space="preserve"> </w:t>
      </w:r>
      <w:r w:rsidR="003F0291" w:rsidRPr="004A17C6">
        <w:rPr>
          <w:i/>
        </w:rPr>
        <w:t>R</w:t>
      </w:r>
      <w:r w:rsidRPr="004A17C6">
        <w:rPr>
          <w:i/>
        </w:rPr>
        <w:t>eport</w:t>
      </w:r>
      <w:r>
        <w:t xml:space="preserve"> examines </w:t>
      </w:r>
      <w:r w:rsidRPr="005A3198">
        <w:t xml:space="preserve">the shifts in mental health status </w:t>
      </w:r>
      <w:r>
        <w:t>over a five–</w:t>
      </w:r>
      <w:r w:rsidRPr="005A3198">
        <w:t>year period (2010</w:t>
      </w:r>
      <w:r>
        <w:t>–</w:t>
      </w:r>
      <w:r w:rsidRPr="005A3198">
        <w:t>2014) in those who have transitioned out of regular</w:t>
      </w:r>
      <w:r>
        <w:t>,</w:t>
      </w:r>
      <w:r w:rsidRPr="005A3198">
        <w:t xml:space="preserve"> </w:t>
      </w:r>
      <w:r>
        <w:t>full–</w:t>
      </w:r>
      <w:r w:rsidRPr="005A3198">
        <w:t xml:space="preserve">time </w:t>
      </w:r>
      <w:r>
        <w:t xml:space="preserve">military </w:t>
      </w:r>
      <w:r w:rsidRPr="005A3198">
        <w:t xml:space="preserve">service compared with those who remain in the Regular </w:t>
      </w:r>
      <w:r>
        <w:t>Australian Defence Force (</w:t>
      </w:r>
      <w:r w:rsidRPr="005A3198">
        <w:t>ADF</w:t>
      </w:r>
      <w:r>
        <w:t>)</w:t>
      </w:r>
      <w:r w:rsidRPr="005A3198">
        <w:t>.</w:t>
      </w:r>
    </w:p>
    <w:p w14:paraId="0F163E11" w14:textId="0E4A38F7" w:rsidR="004C041A" w:rsidRDefault="004C041A" w:rsidP="004C041A">
      <w:r w:rsidRPr="00C774D0">
        <w:t>This report is part of the Transition and Wellbeing Research Programme</w:t>
      </w:r>
      <w:r>
        <w:t xml:space="preserve"> (</w:t>
      </w:r>
      <w:r w:rsidR="000D39D7">
        <w:t xml:space="preserve">the </w:t>
      </w:r>
      <w:r>
        <w:t>Programme)</w:t>
      </w:r>
      <w:r w:rsidRPr="00C774D0">
        <w:t xml:space="preserve">, which is the most comprehensive study undertaken in Australia on the impact of military service on the mental, physical and social health of serving and ex-serving ADF members and their families. The Programme is made up of three studies, with this report comprising part of the Mental Health and </w:t>
      </w:r>
      <w:r w:rsidR="00EC635D">
        <w:t xml:space="preserve">Wellbeing </w:t>
      </w:r>
      <w:r w:rsidRPr="00C774D0">
        <w:t xml:space="preserve">Transition Study. The other two studies are </w:t>
      </w:r>
      <w:r w:rsidR="00EC635D">
        <w:t xml:space="preserve">the </w:t>
      </w:r>
      <w:r w:rsidRPr="00C774D0">
        <w:t xml:space="preserve">Impact of Combat </w:t>
      </w:r>
      <w:r w:rsidR="00EC635D">
        <w:t xml:space="preserve">Study </w:t>
      </w:r>
      <w:r w:rsidRPr="00C774D0">
        <w:t>and</w:t>
      </w:r>
      <w:r w:rsidR="00EC635D">
        <w:t xml:space="preserve"> the</w:t>
      </w:r>
      <w:r w:rsidRPr="00C774D0">
        <w:t xml:space="preserve"> Family Wellbeing</w:t>
      </w:r>
      <w:r w:rsidR="00EC635D">
        <w:t xml:space="preserve"> Study</w:t>
      </w:r>
      <w:r w:rsidRPr="00C774D0">
        <w:t>.</w:t>
      </w:r>
    </w:p>
    <w:p w14:paraId="6357DBAE" w14:textId="144695A4" w:rsidR="004C041A" w:rsidRPr="005A3198" w:rsidRDefault="004C041A" w:rsidP="004C041A">
      <w:pPr>
        <w:rPr>
          <w:rFonts w:eastAsia="MS Mincho"/>
        </w:rPr>
      </w:pPr>
      <w:r w:rsidRPr="005A3198">
        <w:t xml:space="preserve">The primary aims of </w:t>
      </w:r>
      <w:r w:rsidRPr="00DC7C9E">
        <w:t xml:space="preserve">the </w:t>
      </w:r>
      <w:bookmarkStart w:id="2" w:name="_Hlk531355103"/>
      <w:r w:rsidRPr="004C041A">
        <w:rPr>
          <w:i/>
        </w:rPr>
        <w:t>Mental Health Changes Over Time: a Longitudinal Perspective</w:t>
      </w:r>
      <w:r w:rsidRPr="004A17C6">
        <w:t xml:space="preserve"> </w:t>
      </w:r>
      <w:r w:rsidRPr="004A17C6">
        <w:rPr>
          <w:i/>
        </w:rPr>
        <w:t>Report</w:t>
      </w:r>
      <w:bookmarkEnd w:id="2"/>
      <w:r w:rsidRPr="00DC7C9E">
        <w:t xml:space="preserve"> </w:t>
      </w:r>
      <w:r>
        <w:t>are</w:t>
      </w:r>
      <w:r w:rsidRPr="005A3198">
        <w:t xml:space="preserve"> to:</w:t>
      </w:r>
    </w:p>
    <w:p w14:paraId="3C938352" w14:textId="112A6D75" w:rsidR="004C041A" w:rsidRPr="005A3198" w:rsidRDefault="004C041A" w:rsidP="004C041A">
      <w:pPr>
        <w:pStyle w:val="Bullet"/>
      </w:pPr>
      <w:r w:rsidRPr="005A3198">
        <w:t xml:space="preserve">examine the longitudinal course of mental disorder and symptoms among a cohort of ADF members who previously participated </w:t>
      </w:r>
      <w:r w:rsidRPr="00EC51CF">
        <w:t xml:space="preserve">in the </w:t>
      </w:r>
      <w:r w:rsidRPr="0035265F">
        <w:t>Military Health Outcomes Program</w:t>
      </w:r>
    </w:p>
    <w:p w14:paraId="0221A3DB" w14:textId="77777777" w:rsidR="004C041A" w:rsidRPr="005A3198" w:rsidRDefault="004C041A" w:rsidP="004C041A">
      <w:pPr>
        <w:pStyle w:val="Bullet"/>
      </w:pPr>
      <w:r w:rsidRPr="005A3198">
        <w:t>explore a range of potential demographic, service-related and transition-related predictors of the course of mental health outcomes between active service and transition.</w:t>
      </w:r>
    </w:p>
    <w:p w14:paraId="5F97AB79" w14:textId="23B5CBEA" w:rsidR="004C041A" w:rsidRPr="003512A4" w:rsidRDefault="004C041A" w:rsidP="004C041A">
      <w:r>
        <w:t xml:space="preserve">The study </w:t>
      </w:r>
      <w:r w:rsidRPr="00DC7C9E">
        <w:t xml:space="preserve">sample </w:t>
      </w:r>
      <w:r>
        <w:t>for this report comprises</w:t>
      </w:r>
      <w:r w:rsidRPr="00DC7C9E">
        <w:t xml:space="preserve"> two groups: </w:t>
      </w:r>
      <w:r w:rsidRPr="003512A4">
        <w:t xml:space="preserve">Transitioned ADF members who participated in the 2010 </w:t>
      </w:r>
      <w:r w:rsidR="00EC635D">
        <w:t>ADF Mental Health Prevalence and Wellbeing Study (</w:t>
      </w:r>
      <w:r w:rsidRPr="003512A4">
        <w:t>MHPWS</w:t>
      </w:r>
      <w:r w:rsidR="00EC635D">
        <w:t>)</w:t>
      </w:r>
      <w:r w:rsidRPr="003512A4">
        <w:t xml:space="preserve"> as a regular ADF member but have since transitioned, and 2015 regular ADF members who participated in the 2010 MHPWS as a </w:t>
      </w:r>
      <w:r w:rsidR="0080650F">
        <w:t>r</w:t>
      </w:r>
      <w:r w:rsidRPr="003512A4">
        <w:t>egular ADF member and who remained in the ADF as a regular member in 2015.</w:t>
      </w:r>
    </w:p>
    <w:p w14:paraId="589A3386" w14:textId="56ED93F7" w:rsidR="004C041A" w:rsidRPr="002A3AD4" w:rsidRDefault="004C041A" w:rsidP="004C041A">
      <w:pPr>
        <w:rPr>
          <w:rFonts w:cstheme="minorHAnsi"/>
        </w:rPr>
      </w:pPr>
      <w:r w:rsidRPr="002A3AD4">
        <w:rPr>
          <w:rFonts w:cstheme="minorHAnsi"/>
        </w:rPr>
        <w:t xml:space="preserve">Similar to other international military and veteran studies, the results from this report indicate that </w:t>
      </w:r>
      <w:r w:rsidRPr="002A3AD4">
        <w:rPr>
          <w:lang w:val="en-US"/>
        </w:rPr>
        <w:t xml:space="preserve">most people </w:t>
      </w:r>
      <w:r w:rsidRPr="002A3AD4">
        <w:t>are in good mental health following discharge from active military service</w:t>
      </w:r>
      <w:r w:rsidRPr="002A3AD4">
        <w:rPr>
          <w:rFonts w:cstheme="minorHAnsi"/>
        </w:rPr>
        <w:t>.</w:t>
      </w:r>
      <w:r>
        <w:t xml:space="preserve"> O</w:t>
      </w:r>
      <w:r w:rsidRPr="002A3AD4">
        <w:t xml:space="preserve">f those who do go on to develop problems, anxiety disorders and </w:t>
      </w:r>
      <w:r w:rsidR="0080650F">
        <w:t>p</w:t>
      </w:r>
      <w:r w:rsidRPr="002A3AD4">
        <w:t xml:space="preserve">osttraumatic </w:t>
      </w:r>
      <w:r w:rsidR="0080650F">
        <w:t>s</w:t>
      </w:r>
      <w:r w:rsidRPr="002A3AD4">
        <w:t xml:space="preserve">tress </w:t>
      </w:r>
      <w:r w:rsidR="0080650F">
        <w:t>d</w:t>
      </w:r>
      <w:r w:rsidRPr="002A3AD4">
        <w:t xml:space="preserve">isorder </w:t>
      </w:r>
      <w:r w:rsidR="00CA5406">
        <w:t xml:space="preserve">(PTSD) </w:t>
      </w:r>
      <w:r w:rsidRPr="002A3AD4">
        <w:t xml:space="preserve">were </w:t>
      </w:r>
      <w:r>
        <w:t xml:space="preserve">the disorder types </w:t>
      </w:r>
      <w:r w:rsidRPr="002A3AD4">
        <w:t xml:space="preserve">most likely to worsen following transition. This risk </w:t>
      </w:r>
      <w:r>
        <w:t xml:space="preserve">was </w:t>
      </w:r>
      <w:r w:rsidRPr="002A3AD4">
        <w:t>heightened if there were indications of these problems during ADF service.</w:t>
      </w:r>
    </w:p>
    <w:p w14:paraId="2EB7821C" w14:textId="5EC19F95" w:rsidR="004C041A" w:rsidRDefault="004C041A" w:rsidP="004C041A">
      <w:r w:rsidRPr="005A3198">
        <w:lastRenderedPageBreak/>
        <w:t>This pattern was consistent for depressive disorders, anger and suicidality</w:t>
      </w:r>
      <w:r>
        <w:t>,</w:t>
      </w:r>
      <w:r w:rsidRPr="005A3198">
        <w:t xml:space="preserve"> indicating that psychologically healthier individuals tend to remain in the ADF</w:t>
      </w:r>
      <w:r w:rsidR="0080650F">
        <w:t>,</w:t>
      </w:r>
      <w:r w:rsidRPr="005A3198">
        <w:t xml:space="preserve"> whereas those who are more symptomatic are more likely to discharge.</w:t>
      </w:r>
    </w:p>
    <w:p w14:paraId="51072B43" w14:textId="29BA4AA3" w:rsidR="004C041A" w:rsidRDefault="004C041A" w:rsidP="004C041A">
      <w:r w:rsidRPr="003B115C">
        <w:t xml:space="preserve">Further results are summarised in the </w:t>
      </w:r>
      <w:r w:rsidR="0080650F">
        <w:t>k</w:t>
      </w:r>
      <w:r w:rsidRPr="003B115C">
        <w:t xml:space="preserve">ey </w:t>
      </w:r>
      <w:r w:rsidR="0080650F">
        <w:t>f</w:t>
      </w:r>
      <w:r w:rsidRPr="003B115C">
        <w:t xml:space="preserve">indings below. </w:t>
      </w:r>
      <w:r>
        <w:t>It is important to note that references to the ‘last 12 months’ is referring to the 12 months before the date of participation in the study</w:t>
      </w:r>
      <w:r w:rsidR="0080650F">
        <w:t>,</w:t>
      </w:r>
      <w:r>
        <w:t xml:space="preserve"> with all data collection having been undertaken between 1</w:t>
      </w:r>
      <w:r w:rsidR="0080650F">
        <w:t> </w:t>
      </w:r>
      <w:r>
        <w:t>June and 31 December 2015. P</w:t>
      </w:r>
      <w:r w:rsidRPr="003B115C">
        <w:t>lease refer to the glossary for definitions of key terms.</w:t>
      </w:r>
    </w:p>
    <w:p w14:paraId="1B1380EF" w14:textId="768A02CA" w:rsidR="004C041A" w:rsidRPr="00003AF8" w:rsidRDefault="004C041A" w:rsidP="004C041A">
      <w:pPr>
        <w:pStyle w:val="ShadedBoxTitle"/>
      </w:pPr>
      <w:r w:rsidRPr="00003AF8">
        <w:t xml:space="preserve">Demographic </w:t>
      </w:r>
      <w:r w:rsidR="00EC635D">
        <w:t>c</w:t>
      </w:r>
      <w:r w:rsidRPr="00003AF8">
        <w:t xml:space="preserve">haracteristics of the </w:t>
      </w:r>
      <w:r w:rsidR="00EC635D">
        <w:t>l</w:t>
      </w:r>
      <w:r w:rsidRPr="00003AF8">
        <w:t xml:space="preserve">ongitudinal </w:t>
      </w:r>
      <w:r w:rsidR="00EC635D">
        <w:t>c</w:t>
      </w:r>
      <w:r w:rsidRPr="00003AF8">
        <w:t>ohort</w:t>
      </w:r>
    </w:p>
    <w:p w14:paraId="56461143" w14:textId="77777777" w:rsidR="004C041A" w:rsidRPr="004C041A" w:rsidRDefault="004C041A" w:rsidP="004C041A">
      <w:pPr>
        <w:pStyle w:val="ShadedBullet"/>
      </w:pPr>
      <w:r w:rsidRPr="004C041A">
        <w:t>Almost half of responders in both the Transitioned and Regular ADF longitudinal cohort reported serving 20+ years. More Transitioned ADF than Regular ADF reported serving for either 1 month to 9 years, or 20+ years.</w:t>
      </w:r>
    </w:p>
    <w:p w14:paraId="59111945" w14:textId="77777777" w:rsidR="004C041A" w:rsidRPr="004C041A" w:rsidRDefault="004C041A" w:rsidP="004C041A">
      <w:pPr>
        <w:pStyle w:val="ShadedBullet"/>
      </w:pPr>
      <w:r w:rsidRPr="004C041A">
        <w:t>The most common type of discharge/resignation reported was ‘own request’, which was the case for more than half of the Transitioned ADF (57.7%).</w:t>
      </w:r>
    </w:p>
    <w:p w14:paraId="0003556B" w14:textId="6ACE05E9" w:rsidR="004C041A" w:rsidRPr="004C041A" w:rsidRDefault="004C041A" w:rsidP="004C041A">
      <w:pPr>
        <w:pStyle w:val="ShadedBullet"/>
      </w:pPr>
      <w:r w:rsidRPr="004C041A">
        <w:t>The second most common type of discharge was ‘medical discharge’</w:t>
      </w:r>
      <w:r w:rsidR="0080650F">
        <w:t>,</w:t>
      </w:r>
      <w:r w:rsidRPr="004C041A">
        <w:t xml:space="preserve"> with almost one</w:t>
      </w:r>
      <w:r w:rsidR="0080650F">
        <w:t>-</w:t>
      </w:r>
      <w:r w:rsidRPr="004C041A">
        <w:t>fifth (18.6%) of Transitioned ADF reporting this type of discharge. The most commonly reported reasons for transition were ‘impact of service life on family’ (11.0%), ‘better employment prospects in civilian life’ (6.2%), ‘posting issues’ (6.1%), ‘mental health problems’ (6.1%), and ‘physical health problems’ (5.9%).</w:t>
      </w:r>
    </w:p>
    <w:p w14:paraId="1AF0AC2F" w14:textId="3CFA78E2" w:rsidR="004C041A" w:rsidRPr="004C041A" w:rsidRDefault="004C041A" w:rsidP="004C041A">
      <w:pPr>
        <w:pStyle w:val="ShadedBullet"/>
      </w:pPr>
      <w:r w:rsidRPr="004C041A">
        <w:t>38.4% of Transitioned ADF responders remained in the ADF as Active Reservists and 30.1% as Inactive Reservists.</w:t>
      </w:r>
    </w:p>
    <w:p w14:paraId="1E0A5767" w14:textId="07872ED5" w:rsidR="004C041A" w:rsidRPr="004C041A" w:rsidRDefault="004C041A" w:rsidP="004C041A">
      <w:pPr>
        <w:pStyle w:val="ShadedBullet"/>
      </w:pPr>
      <w:r w:rsidRPr="004C041A">
        <w:t xml:space="preserve">Similar proportions of Transitioned ADF and Regular ADF reported their highest level of education to be </w:t>
      </w:r>
      <w:r w:rsidR="0080650F">
        <w:t>p</w:t>
      </w:r>
      <w:r w:rsidRPr="004C041A">
        <w:t>rimary/</w:t>
      </w:r>
      <w:r w:rsidR="0080650F">
        <w:t>s</w:t>
      </w:r>
      <w:r w:rsidRPr="004C041A">
        <w:t xml:space="preserve">econdary school or a </w:t>
      </w:r>
      <w:r w:rsidR="0080650F">
        <w:t>d</w:t>
      </w:r>
      <w:r w:rsidRPr="004C041A">
        <w:t xml:space="preserve">iploma. Marginally more Regular ADF reported a </w:t>
      </w:r>
      <w:r w:rsidR="0080650F">
        <w:t>u</w:t>
      </w:r>
      <w:r w:rsidRPr="004C041A">
        <w:t>niversity qualification as their highest level of education (35.0% vs 30.9%).</w:t>
      </w:r>
    </w:p>
    <w:p w14:paraId="0DC7C0EF" w14:textId="77777777" w:rsidR="004C041A" w:rsidRPr="004C041A" w:rsidRDefault="004C041A" w:rsidP="004C041A">
      <w:pPr>
        <w:pStyle w:val="ShadedBullet"/>
      </w:pPr>
      <w:r w:rsidRPr="004C041A">
        <w:t>No differences existed between the groups regarding stable housing.</w:t>
      </w:r>
    </w:p>
    <w:p w14:paraId="434136A0" w14:textId="681C65F0" w:rsidR="004C041A" w:rsidRPr="004C041A" w:rsidRDefault="004C041A" w:rsidP="004C041A">
      <w:pPr>
        <w:pStyle w:val="ShadedBullet"/>
      </w:pPr>
      <w:r w:rsidRPr="004C041A">
        <w:t>Over half of the Transitioned ADF responders reported being engaged in civilian employment (55.3%), with the most common industries of employment being government administration and Defence (29.0%), transport and storage (9.1%)</w:t>
      </w:r>
      <w:r w:rsidR="0080650F">
        <w:t>,</w:t>
      </w:r>
      <w:r w:rsidRPr="004C041A">
        <w:t xml:space="preserve"> and health and community services (9.0%).</w:t>
      </w:r>
    </w:p>
    <w:p w14:paraId="37D9773F" w14:textId="77777777" w:rsidR="004C041A" w:rsidRPr="004C041A" w:rsidRDefault="004C041A" w:rsidP="004C041A">
      <w:pPr>
        <w:pStyle w:val="ShadedBullet"/>
      </w:pPr>
      <w:r w:rsidRPr="004C041A">
        <w:t>Of those who were not engaged in civilian employment, a considerable proportion reported a period of three months or longer in which they were unemployed (38.8%) since transitioning from the Regular ADF.</w:t>
      </w:r>
    </w:p>
    <w:p w14:paraId="2CC08940" w14:textId="50D4EE6B" w:rsidR="004C041A" w:rsidRPr="004C041A" w:rsidRDefault="004C041A" w:rsidP="004C041A">
      <w:pPr>
        <w:pStyle w:val="ShadedBullet"/>
      </w:pPr>
      <w:r w:rsidRPr="004C041A">
        <w:t>Over 45% of Transitioned ADF members reported accessing DVA</w:t>
      </w:r>
      <w:r w:rsidR="0080650F">
        <w:t>-</w:t>
      </w:r>
      <w:r w:rsidRPr="004C041A">
        <w:t xml:space="preserve">funded treatment through either a DVA </w:t>
      </w:r>
      <w:r w:rsidR="00CA5406">
        <w:t>W</w:t>
      </w:r>
      <w:r w:rsidRPr="004C041A">
        <w:t xml:space="preserve">hite </w:t>
      </w:r>
      <w:r w:rsidR="00CA5406">
        <w:t>C</w:t>
      </w:r>
      <w:r w:rsidRPr="004C041A">
        <w:t xml:space="preserve">ard (39.3%) or DVA </w:t>
      </w:r>
      <w:r w:rsidR="00CA5406">
        <w:t>G</w:t>
      </w:r>
      <w:r w:rsidRPr="004C041A">
        <w:t xml:space="preserve">old </w:t>
      </w:r>
      <w:r w:rsidR="00CA5406">
        <w:t>C</w:t>
      </w:r>
      <w:r w:rsidRPr="004C041A">
        <w:t>ard (5.9%).</w:t>
      </w:r>
    </w:p>
    <w:p w14:paraId="715E1C29" w14:textId="77777777" w:rsidR="004C041A" w:rsidRPr="004C041A" w:rsidRDefault="004C041A" w:rsidP="004C041A">
      <w:pPr>
        <w:pStyle w:val="ShadedBullet"/>
      </w:pPr>
      <w:r w:rsidRPr="004C041A">
        <w:t>Just under half of the Transitioned ADF reported joining an ex-service organisation or voluntary group.</w:t>
      </w:r>
    </w:p>
    <w:p w14:paraId="426B4EC6" w14:textId="77777777" w:rsidR="004C041A" w:rsidRPr="00A02523" w:rsidRDefault="004C041A" w:rsidP="004C041A"/>
    <w:p w14:paraId="29B9E1C4" w14:textId="1B8B4219" w:rsidR="004C041A" w:rsidRPr="00003AF8" w:rsidRDefault="004C041A" w:rsidP="004C041A">
      <w:pPr>
        <w:pStyle w:val="ShadedBoxTitle"/>
      </w:pPr>
      <w:r w:rsidRPr="00003AF8">
        <w:t>12-</w:t>
      </w:r>
      <w:r w:rsidR="00EC635D">
        <w:t>m</w:t>
      </w:r>
      <w:r w:rsidRPr="00003AF8">
        <w:t xml:space="preserve">onth CIDI </w:t>
      </w:r>
      <w:r w:rsidR="00EC635D">
        <w:t>d</w:t>
      </w:r>
      <w:r w:rsidRPr="00003AF8">
        <w:t xml:space="preserve">isorder in the </w:t>
      </w:r>
      <w:r w:rsidR="00EC635D">
        <w:t>l</w:t>
      </w:r>
      <w:r w:rsidRPr="00003AF8">
        <w:t xml:space="preserve">ongitudinal </w:t>
      </w:r>
      <w:r w:rsidR="00EC635D">
        <w:t>c</w:t>
      </w:r>
      <w:r w:rsidRPr="00003AF8">
        <w:t>ohort</w:t>
      </w:r>
    </w:p>
    <w:p w14:paraId="5B16DBE4" w14:textId="77777777" w:rsidR="004C041A" w:rsidRPr="00003AF8" w:rsidRDefault="004C041A" w:rsidP="004C041A">
      <w:pPr>
        <w:pStyle w:val="ShadedBullet"/>
        <w:rPr>
          <w:color w:val="000000" w:themeColor="text1"/>
        </w:rPr>
      </w:pPr>
      <w:r w:rsidRPr="00003AF8">
        <w:t>In both 2010 and 2015, the most common mental disorders among the longitudinal cohort were anxiety disorders (32.6% in 2010 and 37.8% in 2015).</w:t>
      </w:r>
    </w:p>
    <w:p w14:paraId="16FEA2CE" w14:textId="77777777" w:rsidR="004C041A" w:rsidRPr="00F93562" w:rsidRDefault="004C041A" w:rsidP="004C041A">
      <w:pPr>
        <w:pStyle w:val="ShadedBullet"/>
        <w:rPr>
          <w:color w:val="000000" w:themeColor="text1"/>
        </w:rPr>
      </w:pPr>
      <w:r w:rsidRPr="00F93562">
        <w:t>Anxiety disorders were the only disorder category that showed a significant change over time, with a greater proportion of participants reporting anxiety disorders in 2015 (37.8%) compared to 2010 (32.6%).</w:t>
      </w:r>
    </w:p>
    <w:p w14:paraId="41B87EAB" w14:textId="72DAF458" w:rsidR="004C041A" w:rsidRPr="003253DF" w:rsidRDefault="004C041A" w:rsidP="004C041A">
      <w:pPr>
        <w:pStyle w:val="ShadedBullet"/>
        <w:rPr>
          <w:color w:val="000000" w:themeColor="text1"/>
        </w:rPr>
      </w:pPr>
      <w:r w:rsidRPr="0099290F">
        <w:t xml:space="preserve">Those in the </w:t>
      </w:r>
      <w:r w:rsidR="00CA5406">
        <w:t>l</w:t>
      </w:r>
      <w:r w:rsidRPr="0099290F">
        <w:t xml:space="preserve">ongitudinal </w:t>
      </w:r>
      <w:r w:rsidR="00CA5406">
        <w:t>c</w:t>
      </w:r>
      <w:r w:rsidRPr="0099290F">
        <w:t xml:space="preserve">ohort who had transitioned in 2015 had higher levels of anxiety disorder in both 2010 and 2015, </w:t>
      </w:r>
      <w:r w:rsidRPr="00713B07">
        <w:t xml:space="preserve">compared to </w:t>
      </w:r>
      <w:r w:rsidRPr="009013A1">
        <w:t xml:space="preserve">those who remained in the </w:t>
      </w:r>
      <w:r w:rsidRPr="00857DF6">
        <w:t xml:space="preserve">Regular ADF in </w:t>
      </w:r>
      <w:r w:rsidRPr="003253DF">
        <w:t>2015.</w:t>
      </w:r>
    </w:p>
    <w:p w14:paraId="5DE04B0C" w14:textId="33BEE240" w:rsidR="004C041A" w:rsidRPr="00F93562" w:rsidRDefault="004C041A" w:rsidP="004C041A">
      <w:pPr>
        <w:pStyle w:val="ShadedBullet"/>
        <w:rPr>
          <w:color w:val="000000" w:themeColor="text1"/>
        </w:rPr>
      </w:pPr>
      <w:r w:rsidRPr="00F93562">
        <w:t>Comparable proportions of Transitioned and Regular ADF had affective disorders in 2010 (Transitioned: 18.3% vs Regular ADF: 21.1%) and 2015 (Transitioned: 21.1% vs Regular ADF: 23.4%).</w:t>
      </w:r>
    </w:p>
    <w:p w14:paraId="00ABFEE7" w14:textId="77777777" w:rsidR="004C041A" w:rsidRPr="00F93562" w:rsidRDefault="004C041A" w:rsidP="004C041A">
      <w:pPr>
        <w:pStyle w:val="ShadedBullet"/>
        <w:rPr>
          <w:color w:val="000000" w:themeColor="text1"/>
        </w:rPr>
      </w:pPr>
      <w:r w:rsidRPr="00F93562">
        <w:t>Alcohol disorders were reported at relatively low rates overall, with no significant difference over time, with 6.5% reported in 2010 and 6.3% in 2015.</w:t>
      </w:r>
    </w:p>
    <w:p w14:paraId="615E9AD7" w14:textId="54DCC868" w:rsidR="004C041A" w:rsidRPr="0099290F" w:rsidRDefault="004C041A" w:rsidP="004C041A">
      <w:pPr>
        <w:pStyle w:val="ShadedBullet"/>
      </w:pPr>
      <w:r w:rsidRPr="0099290F">
        <w:t xml:space="preserve">Comparable proportions of </w:t>
      </w:r>
      <w:r w:rsidRPr="0099290F">
        <w:rPr>
          <w:color w:val="000000" w:themeColor="text1"/>
        </w:rPr>
        <w:t xml:space="preserve">Transitioned and Regular ADF had </w:t>
      </w:r>
      <w:r w:rsidRPr="0099290F">
        <w:t>alcohol disorders in 2010 (7.7% vs 5.9%)</w:t>
      </w:r>
      <w:r w:rsidR="00CA5406">
        <w:t>;</w:t>
      </w:r>
      <w:r w:rsidRPr="0099290F">
        <w:t xml:space="preserve"> however</w:t>
      </w:r>
      <w:r w:rsidR="00CA5406">
        <w:t>,</w:t>
      </w:r>
      <w:r w:rsidRPr="0099290F">
        <w:t xml:space="preserve"> those who had transitioned had</w:t>
      </w:r>
      <w:r w:rsidRPr="00713B07">
        <w:t xml:space="preserve"> higher </w:t>
      </w:r>
      <w:r w:rsidRPr="009013A1">
        <w:t>rates in</w:t>
      </w:r>
      <w:r w:rsidRPr="00857DF6">
        <w:t xml:space="preserve"> 2015 </w:t>
      </w:r>
      <w:r w:rsidRPr="003253DF">
        <w:t>compared to those who remained in the Regular ADF (9.2% vs 5.0%).</w:t>
      </w:r>
    </w:p>
    <w:p w14:paraId="0567096B" w14:textId="77777777" w:rsidR="004C041A" w:rsidRPr="00F93562" w:rsidRDefault="004C041A" w:rsidP="004C041A">
      <w:pPr>
        <w:pStyle w:val="ShadedBullet"/>
        <w:rPr>
          <w:color w:val="000000" w:themeColor="text1"/>
        </w:rPr>
      </w:pPr>
      <w:r w:rsidRPr="00F93562">
        <w:t>There were higher rates of PTSD in 2010 among Transitioned ADF compared to Regular ADF (19.5% vs 10.6%) and this pattern was repeated in 2015 (24.5% vs 13.1%).</w:t>
      </w:r>
    </w:p>
    <w:p w14:paraId="5CE10E9C" w14:textId="07866E55" w:rsidR="004C041A" w:rsidRPr="00F93562" w:rsidRDefault="004C041A" w:rsidP="004C041A">
      <w:pPr>
        <w:pStyle w:val="ShadedBullet"/>
        <w:rPr>
          <w:color w:val="000000" w:themeColor="text1"/>
        </w:rPr>
      </w:pPr>
      <w:r w:rsidRPr="00F93562">
        <w:t xml:space="preserve">Rates of any disorder were higher in both 2010 and 2015 for those members of the </w:t>
      </w:r>
      <w:r w:rsidR="00CA5406">
        <w:t>l</w:t>
      </w:r>
      <w:r w:rsidRPr="00F93562">
        <w:t xml:space="preserve">ongitudinal </w:t>
      </w:r>
      <w:r w:rsidR="00CA5406">
        <w:t>c</w:t>
      </w:r>
      <w:r w:rsidRPr="00F93562">
        <w:t>ohort who had transitioned in 2015 compared to those who remained in the Regular ADF in 2015 (2010: 48.3% vs 39.0%; 2015: 51.7 vs 43.3%).</w:t>
      </w:r>
    </w:p>
    <w:p w14:paraId="40FA4E1D" w14:textId="1F8A30E4" w:rsidR="004C041A" w:rsidRPr="0099290F" w:rsidRDefault="004C041A" w:rsidP="004C041A">
      <w:pPr>
        <w:pStyle w:val="ShadedBullet"/>
      </w:pPr>
      <w:r w:rsidRPr="0099290F">
        <w:t xml:space="preserve">Panic disorder rates were similar in 2010 among those who had transitioned compared to those who remained in the </w:t>
      </w:r>
      <w:r w:rsidRPr="00713B07">
        <w:t xml:space="preserve">Regular ADF </w:t>
      </w:r>
      <w:r w:rsidRPr="009013A1">
        <w:t xml:space="preserve">(5.4% vs 3.6%), but higher in 2015 among those who had transitioned </w:t>
      </w:r>
      <w:r w:rsidRPr="00857DF6">
        <w:t>(8.0% vs 2.3%</w:t>
      </w:r>
      <w:r w:rsidRPr="003253DF">
        <w:t>). Similarly, rates of s</w:t>
      </w:r>
      <w:r w:rsidRPr="0099290F">
        <w:t xml:space="preserve">pecific phobia in 2010 were similar among those who had transitioned compared to </w:t>
      </w:r>
      <w:r w:rsidR="00CA5406">
        <w:t xml:space="preserve">those </w:t>
      </w:r>
      <w:r w:rsidRPr="0099290F">
        <w:t>remaining in the Regular ADF in 2015 (10.0% vs 8.4%), but a greater proportion of those who transitioned had a phobia in 2015 (15.7% vs 9.5%).</w:t>
      </w:r>
    </w:p>
    <w:p w14:paraId="5D938766" w14:textId="66296ED4" w:rsidR="004C041A" w:rsidRPr="0099290F" w:rsidRDefault="004C041A" w:rsidP="004C041A">
      <w:pPr>
        <w:pStyle w:val="ShadedBullet"/>
      </w:pPr>
      <w:r w:rsidRPr="0099290F">
        <w:t xml:space="preserve">Similarly, rates of specific phobia in 2010 were similar among those who had transitioned compared to </w:t>
      </w:r>
      <w:r w:rsidR="00CA5406">
        <w:t xml:space="preserve">those </w:t>
      </w:r>
      <w:r w:rsidRPr="0099290F">
        <w:t>remaining in the Regular ADF in 2015 (10.0% vs 8.4%), but a greater proportion of those who transitioned had a phobia in 2015 (15.7% vs 9.5%).</w:t>
      </w:r>
    </w:p>
    <w:p w14:paraId="7FBE3E39" w14:textId="4B436468" w:rsidR="004C041A" w:rsidRPr="0099290F" w:rsidRDefault="004C041A" w:rsidP="004C041A">
      <w:pPr>
        <w:pStyle w:val="ShadedBullet"/>
      </w:pPr>
      <w:r w:rsidRPr="0099290F">
        <w:t xml:space="preserve">Rates of </w:t>
      </w:r>
      <w:r w:rsidR="00CA5406">
        <w:t>a</w:t>
      </w:r>
      <w:r w:rsidRPr="0099290F">
        <w:t>goraphobia were greater in both 2010 and 2015 among those who transitioned compared to those who remained in the Regular ADF in 2015 (2010: 8.4% vs 3.9%; 2015: 14.9% vs 6.6%).</w:t>
      </w:r>
    </w:p>
    <w:p w14:paraId="40661FAC" w14:textId="736FC617" w:rsidR="004C041A" w:rsidRPr="0099290F" w:rsidRDefault="004C041A" w:rsidP="004C041A">
      <w:pPr>
        <w:pStyle w:val="ShadedBullet"/>
        <w:rPr>
          <w:color w:val="000000" w:themeColor="text1"/>
        </w:rPr>
      </w:pPr>
      <w:r w:rsidRPr="0099290F">
        <w:rPr>
          <w:color w:val="000000" w:themeColor="text1"/>
        </w:rPr>
        <w:lastRenderedPageBreak/>
        <w:t xml:space="preserve">Although </w:t>
      </w:r>
      <w:r w:rsidRPr="0099290F">
        <w:t xml:space="preserve">rates of </w:t>
      </w:r>
      <w:r>
        <w:t xml:space="preserve">generalised anxiety disorder </w:t>
      </w:r>
      <w:r w:rsidRPr="0099290F">
        <w:t>in 2010 were higher among those who had transitioned compared to those who remained in the Regular ADF in 2015 (4.6% vs 2.0%), they were similar between groups in 2015 (5.0% vs 5.5%) due to a larger increase among those who remained in the Regular ADF.</w:t>
      </w:r>
    </w:p>
    <w:p w14:paraId="28D9D2D7" w14:textId="4AAA2993" w:rsidR="004C041A" w:rsidRPr="00F93562" w:rsidRDefault="004C041A" w:rsidP="004C041A">
      <w:pPr>
        <w:pStyle w:val="ShadedBullet"/>
        <w:rPr>
          <w:color w:val="000000" w:themeColor="text1"/>
        </w:rPr>
      </w:pPr>
      <w:r w:rsidRPr="00F93562">
        <w:t xml:space="preserve">The most common affective disorder in the </w:t>
      </w:r>
      <w:r w:rsidR="00CA5406">
        <w:t>l</w:t>
      </w:r>
      <w:r w:rsidRPr="00F93562">
        <w:t xml:space="preserve">ongitudinal </w:t>
      </w:r>
      <w:r w:rsidR="00CA5406">
        <w:t>c</w:t>
      </w:r>
      <w:r w:rsidRPr="00F93562">
        <w:t xml:space="preserve">ohort was depressive episodes, with 13.8% meeting criteria for this disorder in 2010 and 13.4% in 2015. Dysthymia was the only affective disorder that showed a significant increase between 2010 and 2015 in the </w:t>
      </w:r>
      <w:r w:rsidR="00CA5406">
        <w:t>l</w:t>
      </w:r>
      <w:r w:rsidRPr="00F93562">
        <w:t xml:space="preserve">ongitudinal </w:t>
      </w:r>
      <w:r w:rsidR="00CA5406">
        <w:t>c</w:t>
      </w:r>
      <w:r w:rsidRPr="00F93562">
        <w:t>ohort overall (2.2% vs 4.5%).</w:t>
      </w:r>
    </w:p>
    <w:p w14:paraId="477A5547" w14:textId="77777777" w:rsidR="004C041A" w:rsidRPr="00713B07" w:rsidRDefault="004C041A" w:rsidP="004C041A">
      <w:pPr>
        <w:pStyle w:val="ShadedBullet"/>
        <w:rPr>
          <w:color w:val="000000" w:themeColor="text1"/>
        </w:rPr>
      </w:pPr>
      <w:r w:rsidRPr="0099290F">
        <w:t>Those who had transitioned had higher rates of dysthymia (7.3% vs 3.2%) in 2015 compared to those who remained in the Regular ADF (7.3% vs 3.2%).</w:t>
      </w:r>
    </w:p>
    <w:p w14:paraId="3B265019" w14:textId="5AF99466" w:rsidR="004C041A" w:rsidRPr="003253DF" w:rsidRDefault="004C041A" w:rsidP="004C041A">
      <w:pPr>
        <w:pStyle w:val="ShadedBullet"/>
      </w:pPr>
      <w:r w:rsidRPr="009013A1">
        <w:t>Alcohol harmful use was higher in 2010 among those who had transitioned compared to those who remained in the Regular ADF (4.6% vs 2.1%), and also higher in 2015 among those who had transitioned (3.4% vs 1.1%)</w:t>
      </w:r>
      <w:r w:rsidRPr="00857DF6">
        <w:t>.</w:t>
      </w:r>
    </w:p>
    <w:p w14:paraId="47DB979D" w14:textId="43FDBD11" w:rsidR="004C041A" w:rsidRPr="00F93562" w:rsidRDefault="004C041A" w:rsidP="004C041A">
      <w:pPr>
        <w:pStyle w:val="ShadedBullet"/>
      </w:pPr>
      <w:r w:rsidRPr="00F93562">
        <w:t>Comparable proportions of Transitioned and Regular ADF personnel with no anxiety disorder in 2010 became new anxiety cases in 2015 (22.4% vs 24.0%). However, of those reporting any anxiety disorder in 2010, a greater proportion of those who transitioned compared to those remaining in the Regular ADF retained their disorder in 2015 (75.0% vs 62.9%).</w:t>
      </w:r>
    </w:p>
    <w:p w14:paraId="4E543548" w14:textId="77777777" w:rsidR="004C041A" w:rsidRPr="0099290F" w:rsidRDefault="004C041A" w:rsidP="004C041A">
      <w:pPr>
        <w:pStyle w:val="ShadedBullet"/>
        <w:rPr>
          <w:color w:val="000000" w:themeColor="text1"/>
        </w:rPr>
      </w:pPr>
      <w:r w:rsidRPr="0099290F">
        <w:rPr>
          <w:color w:val="000000" w:themeColor="text1"/>
        </w:rPr>
        <w:t xml:space="preserve">Regarding PTSD, </w:t>
      </w:r>
      <w:r w:rsidRPr="0099290F">
        <w:t>a greater proportion of those who had transitioned (18.1%) became new cases in 2015 compared to those who remained in the Regular ADF (9.4%).</w:t>
      </w:r>
    </w:p>
    <w:p w14:paraId="0F8CDD6E" w14:textId="77777777" w:rsidR="004C041A" w:rsidRPr="0099290F" w:rsidRDefault="004C041A" w:rsidP="004C041A">
      <w:pPr>
        <w:pStyle w:val="ShadedBullet"/>
        <w:rPr>
          <w:color w:val="000000" w:themeColor="text1"/>
        </w:rPr>
      </w:pPr>
      <w:r w:rsidRPr="00713B07">
        <w:t>Of those who had no alcohol disorder in 2010, a greater proportion of those who had transitioned compared to those who remained in the Regular ADF became new cases in 2015 (6.6% vs 3.4%).</w:t>
      </w:r>
      <w:r w:rsidRPr="009013A1">
        <w:t xml:space="preserve"> </w:t>
      </w:r>
      <w:r w:rsidRPr="00857DF6">
        <w:t>Among those who were cases in 2010, a greater proporti</w:t>
      </w:r>
      <w:r w:rsidRPr="0099290F">
        <w:t>on of those who had transitioned compared to those who remained in the Regular ADF retained their disorder in 2015 (40.0% vs 30.3%).</w:t>
      </w:r>
    </w:p>
    <w:p w14:paraId="2A17895F" w14:textId="77777777" w:rsidR="004C041A" w:rsidRPr="0099290F" w:rsidRDefault="004C041A" w:rsidP="004C041A">
      <w:pPr>
        <w:pStyle w:val="ShadedBullet"/>
        <w:rPr>
          <w:color w:val="000000" w:themeColor="text1"/>
        </w:rPr>
      </w:pPr>
      <w:r w:rsidRPr="0099290F">
        <w:t>Overall, the proportion of the longitudinal cohort with any new disorder in 2015 were similar among those who had transitioned (29.6%) and those who remained in the Regular ADF (27.6%). A higher proportion of those who had transitioned (75.4%) retained their disorder from 2010 to 2015 compared to those who remained in the Regular ADF (67.9%).</w:t>
      </w:r>
    </w:p>
    <w:p w14:paraId="63FDD521" w14:textId="77777777" w:rsidR="004C041A" w:rsidRPr="00EA4E78" w:rsidRDefault="004C041A" w:rsidP="004C041A">
      <w:pPr>
        <w:spacing w:before="200" w:after="0"/>
        <w:rPr>
          <w:highlight w:val="yellow"/>
        </w:rPr>
      </w:pPr>
    </w:p>
    <w:p w14:paraId="1BE6481B" w14:textId="37AC6AB7" w:rsidR="004C041A" w:rsidRPr="00003AF8" w:rsidRDefault="004C041A" w:rsidP="004C041A">
      <w:pPr>
        <w:pStyle w:val="ShadedBoxTitle"/>
      </w:pPr>
      <w:r w:rsidRPr="00003AF8">
        <w:lastRenderedPageBreak/>
        <w:t>Self-</w:t>
      </w:r>
      <w:r w:rsidR="00EC635D">
        <w:t>r</w:t>
      </w:r>
      <w:r w:rsidRPr="00003AF8">
        <w:t xml:space="preserve">eported </w:t>
      </w:r>
      <w:r w:rsidR="00EC635D">
        <w:t>m</w:t>
      </w:r>
      <w:r w:rsidRPr="00003AF8">
        <w:t xml:space="preserve">ental </w:t>
      </w:r>
      <w:r w:rsidR="00EC635D">
        <w:t>h</w:t>
      </w:r>
      <w:r w:rsidRPr="00003AF8">
        <w:t xml:space="preserve">ealth in the </w:t>
      </w:r>
      <w:r w:rsidR="00EC635D">
        <w:t>l</w:t>
      </w:r>
      <w:r w:rsidRPr="00003AF8">
        <w:t xml:space="preserve">ongitudinal </w:t>
      </w:r>
      <w:r w:rsidR="00EC635D">
        <w:t>c</w:t>
      </w:r>
      <w:r w:rsidRPr="00003AF8">
        <w:t>ohort</w:t>
      </w:r>
    </w:p>
    <w:p w14:paraId="6C68E39C" w14:textId="7D09C351" w:rsidR="004C041A" w:rsidRPr="00003AF8" w:rsidRDefault="004C041A" w:rsidP="004C041A">
      <w:pPr>
        <w:pStyle w:val="ShadedBoxSubheading"/>
      </w:pPr>
      <w:r w:rsidRPr="00003AF8">
        <w:t>Psychological distress</w:t>
      </w:r>
    </w:p>
    <w:p w14:paraId="0EF0D388" w14:textId="0B64D7E5" w:rsidR="004C041A" w:rsidRPr="00003AF8" w:rsidRDefault="004C041A" w:rsidP="002548A9">
      <w:pPr>
        <w:pStyle w:val="ShadedBullet"/>
        <w:keepNext/>
        <w:spacing w:after="160"/>
      </w:pPr>
      <w:r w:rsidRPr="00003AF8">
        <w:t xml:space="preserve">On the </w:t>
      </w:r>
      <w:r w:rsidR="00A32E0B">
        <w:t>Kessler Psychological Distress 10-item scale (</w:t>
      </w:r>
      <w:r w:rsidRPr="00003AF8">
        <w:t>K10</w:t>
      </w:r>
      <w:r w:rsidR="00A32E0B">
        <w:t>)</w:t>
      </w:r>
      <w:r w:rsidRPr="00003AF8">
        <w:t>, one</w:t>
      </w:r>
      <w:r w:rsidR="00A32E0B">
        <w:t>-</w:t>
      </w:r>
      <w:r w:rsidRPr="00003AF8">
        <w:t>third (33%) of Transitioned ADF who had symptom levels that were subsyndromal in 2010, had subsyndromal distress in 2015. Around one</w:t>
      </w:r>
      <w:r w:rsidR="00A32E0B">
        <w:t>-</w:t>
      </w:r>
      <w:r w:rsidRPr="00003AF8">
        <w:t>quarter (25.2%) had symptom levels indicating probable disorder in 2015. Among those who remained in the Regular ADF and had subsyndromal symptoms in 2010, 32.5% still had subsyndromal symptoms in 2015 and a smaller 17.5% had symptom levels indicating probable disorder.</w:t>
      </w:r>
    </w:p>
    <w:p w14:paraId="47EFC59F" w14:textId="53FE39BB" w:rsidR="004C041A" w:rsidRPr="00003AF8" w:rsidRDefault="004C041A" w:rsidP="002548A9">
      <w:pPr>
        <w:pStyle w:val="ShadedBullet"/>
        <w:spacing w:after="160"/>
      </w:pPr>
      <w:r w:rsidRPr="00003AF8">
        <w:t>Of those with symptom levels indicating probable disorder on the K10 in 2010, a greater proportion of ADF members who transitioned out of the ADF still had probable disorder symptom levels in 2015 than those who remained in the ADF (58.0% vs 32.0%).</w:t>
      </w:r>
    </w:p>
    <w:p w14:paraId="547D4DF6" w14:textId="36BB32DA" w:rsidR="004C041A" w:rsidRPr="00003AF8" w:rsidRDefault="004C041A" w:rsidP="004C041A">
      <w:pPr>
        <w:pStyle w:val="ShadedBoxSubheading"/>
      </w:pPr>
      <w:r w:rsidRPr="00003AF8">
        <w:t xml:space="preserve">Posttraumatic </w:t>
      </w:r>
      <w:r w:rsidR="00EC635D">
        <w:t>s</w:t>
      </w:r>
      <w:r w:rsidRPr="00003AF8">
        <w:t xml:space="preserve">tress </w:t>
      </w:r>
      <w:r w:rsidR="00EC635D">
        <w:t>s</w:t>
      </w:r>
      <w:r w:rsidRPr="00003AF8">
        <w:t>ymptoms</w:t>
      </w:r>
    </w:p>
    <w:p w14:paraId="6624B11A" w14:textId="072A3CD1" w:rsidR="004C041A" w:rsidRPr="00003AF8" w:rsidRDefault="004C041A" w:rsidP="002548A9">
      <w:pPr>
        <w:pStyle w:val="ShadedBullet"/>
        <w:spacing w:after="160"/>
      </w:pPr>
      <w:r w:rsidRPr="00003AF8">
        <w:t>Among those with no disorder symptom levels in 2010, a greater proportion of Transitioned compared to Regular ADF members had symptoms indicating probable disorder in 2015 (19.8% vs 1.4%)</w:t>
      </w:r>
      <w:r w:rsidR="00BA696E">
        <w:t xml:space="preserve">, </w:t>
      </w:r>
      <w:r w:rsidR="009D2348">
        <w:t>based on</w:t>
      </w:r>
      <w:r w:rsidR="00BA696E">
        <w:t xml:space="preserve"> the Posttraumatic Stress Disorder Checklist – civilian version (PCL-C)</w:t>
      </w:r>
      <w:r w:rsidRPr="00003AF8">
        <w:t>.</w:t>
      </w:r>
    </w:p>
    <w:p w14:paraId="28AB3160" w14:textId="469A93AF" w:rsidR="004C041A" w:rsidRPr="00003AF8" w:rsidRDefault="004C041A" w:rsidP="002548A9">
      <w:pPr>
        <w:pStyle w:val="ShadedBullet"/>
        <w:spacing w:after="160"/>
      </w:pPr>
      <w:r w:rsidRPr="00003AF8">
        <w:t>Among those with symptoms of probable disorder in 2010, again a greater proportion of Transitioned compared to Regular ADF members had probable disorder symptoms in 2015 (55.0% vs 17.7%). In contrast, similar proportions of Transitioned and Regular ADF members with subsyndromal PTSD symptoms in 2010 (19.6% and 14.9% respectively) still had subsyndromal PTSD symptoms in 2015 (42.0% and 39.5 respectively).</w:t>
      </w:r>
    </w:p>
    <w:p w14:paraId="4A91FE2D" w14:textId="33208D25" w:rsidR="004C041A" w:rsidRPr="00003AF8" w:rsidRDefault="004C041A" w:rsidP="004C041A">
      <w:pPr>
        <w:pStyle w:val="ShadedBoxSubheading"/>
      </w:pPr>
      <w:r w:rsidRPr="00003AF8">
        <w:t>Alcohol use disorders</w:t>
      </w:r>
    </w:p>
    <w:p w14:paraId="2F93851C" w14:textId="02D3A5DA" w:rsidR="008A131F" w:rsidRDefault="00BA696E" w:rsidP="002548A9">
      <w:pPr>
        <w:pStyle w:val="ShadedBullet"/>
        <w:spacing w:after="160"/>
      </w:pPr>
      <w:r>
        <w:t>Using the Alcohol Use Disorders Identification Test (AUDIT), a</w:t>
      </w:r>
      <w:r w:rsidR="004C041A" w:rsidRPr="00003AF8">
        <w:t xml:space="preserve"> greater proportion of Transitioned ADF compared to Regular ADF moved from no disorder symptoms in 2010 to subsyndromal symptom levels in 2015 (15.2% vs 9.2%), and a greater proportion worsened from no disorder symptoms to probable disorder symptoms (2.1% vs 0.2%).</w:t>
      </w:r>
    </w:p>
    <w:p w14:paraId="5DD0D711" w14:textId="0C8E54C5" w:rsidR="004C041A" w:rsidRPr="00003AF8" w:rsidRDefault="004C041A" w:rsidP="002548A9">
      <w:pPr>
        <w:pStyle w:val="ShadedBullet"/>
        <w:spacing w:after="160"/>
      </w:pPr>
      <w:r w:rsidRPr="00003AF8">
        <w:t>Proportionally more Transitioned ADF members</w:t>
      </w:r>
      <w:r w:rsidR="004C1628">
        <w:t>,</w:t>
      </w:r>
      <w:r w:rsidRPr="00003AF8">
        <w:t xml:space="preserve"> compared to Regular ADF members, with subsyndromal symptoms in 2010 worsened to symptom levels indicating probable disorder in 2015 (11.9% vs 4.2%).</w:t>
      </w:r>
    </w:p>
    <w:p w14:paraId="2FD79566" w14:textId="4B56C25D" w:rsidR="004C041A" w:rsidRPr="00003AF8" w:rsidRDefault="004C041A" w:rsidP="004C041A">
      <w:pPr>
        <w:pStyle w:val="ShadedBoxSubheading"/>
      </w:pPr>
      <w:r w:rsidRPr="00003AF8">
        <w:t>Depression</w:t>
      </w:r>
    </w:p>
    <w:p w14:paraId="2BDB2511" w14:textId="04B5A880" w:rsidR="00BA696E" w:rsidRDefault="004C041A" w:rsidP="002548A9">
      <w:pPr>
        <w:pStyle w:val="ShadedBullet"/>
        <w:spacing w:after="160"/>
      </w:pPr>
      <w:r w:rsidRPr="00003AF8">
        <w:t>Proportionally more Transitioned ADF than Regular ADF members who had no disorder symptom levels in 2010 worsened to probable disorder symptom levels in 2015 (6.4% vs 1.8%)</w:t>
      </w:r>
      <w:r w:rsidR="00BA696E">
        <w:t>, based on the Patient Health Questionnaire 9-item scale (PHQ-9)</w:t>
      </w:r>
      <w:r w:rsidRPr="00003AF8">
        <w:t>.</w:t>
      </w:r>
    </w:p>
    <w:p w14:paraId="7C8B24F2" w14:textId="5A6B4E7A" w:rsidR="004C041A" w:rsidRPr="00003AF8" w:rsidRDefault="004C041A" w:rsidP="004C041A">
      <w:pPr>
        <w:pStyle w:val="ShadedBullet"/>
      </w:pPr>
      <w:r w:rsidRPr="00003AF8">
        <w:t>Similarly, proportionally more Transitioned ADF</w:t>
      </w:r>
      <w:r w:rsidR="00EB1690">
        <w:t>,</w:t>
      </w:r>
      <w:r w:rsidRPr="00003AF8">
        <w:t xml:space="preserve"> compared to Regular ADF members</w:t>
      </w:r>
      <w:r w:rsidR="00EB1690">
        <w:t>,</w:t>
      </w:r>
      <w:r w:rsidRPr="00003AF8">
        <w:t xml:space="preserve"> who reported subsyndromal symptom levels in 2010 worsened to probable disorder symptom levels in 2015 (23.1% vs 9.2%), and proportionally more Transitioned ADF</w:t>
      </w:r>
      <w:r w:rsidR="00EB1690">
        <w:t>,</w:t>
      </w:r>
      <w:r w:rsidRPr="00003AF8">
        <w:t xml:space="preserve"> compared to 2015 Regular ADF</w:t>
      </w:r>
      <w:r w:rsidR="00EB1690">
        <w:t>,</w:t>
      </w:r>
      <w:r w:rsidRPr="00003AF8">
        <w:t xml:space="preserve"> who had probable disorder symptom levels in 2010 still reported probable disorder symptom levels in 2015 (48.2% vs 31.0%).</w:t>
      </w:r>
    </w:p>
    <w:p w14:paraId="01154F47" w14:textId="77777777" w:rsidR="004C041A" w:rsidRPr="00003AF8" w:rsidRDefault="004C041A" w:rsidP="004C041A">
      <w:pPr>
        <w:pStyle w:val="ShadedBoxSubheading"/>
      </w:pPr>
      <w:r w:rsidRPr="00003AF8">
        <w:lastRenderedPageBreak/>
        <w:t>Suicidality</w:t>
      </w:r>
    </w:p>
    <w:p w14:paraId="298F17E8" w14:textId="77777777" w:rsidR="004C041A" w:rsidRPr="00003AF8" w:rsidRDefault="004C041A" w:rsidP="004C041A">
      <w:pPr>
        <w:pStyle w:val="ShadedBullet"/>
        <w:keepLines/>
      </w:pPr>
      <w:r w:rsidRPr="00003AF8">
        <w:t>Among those who had transitioned, 12.3% reported suicidality in 2010, which more than doubled to 27.4% in 2015. Among those who remained in the Regular ADF, 7.5% reported suicidality in 2010 and 12.7% in 2015. There were proportionally more new cases of suicidality in 2015 in Transitioned compared to Regular ADF members (21.7% and 9.9%).</w:t>
      </w:r>
    </w:p>
    <w:p w14:paraId="7194F333" w14:textId="61AE9408" w:rsidR="004C041A" w:rsidRPr="00003AF8" w:rsidRDefault="004C041A" w:rsidP="004C041A">
      <w:pPr>
        <w:pStyle w:val="ShadedBoxSubheading"/>
      </w:pPr>
      <w:r w:rsidRPr="00003AF8">
        <w:t>Anger symptoms</w:t>
      </w:r>
    </w:p>
    <w:p w14:paraId="7A42E1A6" w14:textId="3443B1FF" w:rsidR="004C041A" w:rsidRPr="00003AF8" w:rsidRDefault="004C041A" w:rsidP="004C041A">
      <w:pPr>
        <w:pStyle w:val="ShadedBullet"/>
      </w:pPr>
      <w:r w:rsidRPr="00003AF8">
        <w:t>Relative to 2010 levels of anger, proportionally more Transitioned ADF compared to Regular ADF reported new cases of problematic anger in 2015 (10.4% vs 19.9%)</w:t>
      </w:r>
      <w:r w:rsidR="00BA696E">
        <w:t>, based on the Dimensions of Anger Reactions 5-item scale (DAR-5).</w:t>
      </w:r>
    </w:p>
    <w:p w14:paraId="72D7981C" w14:textId="77777777" w:rsidR="004C041A" w:rsidRPr="00003AF8" w:rsidRDefault="004C041A" w:rsidP="004C041A">
      <w:pPr>
        <w:pStyle w:val="ShadedBoxSubheading"/>
      </w:pPr>
      <w:r w:rsidRPr="00003AF8">
        <w:t>Physical violence</w:t>
      </w:r>
    </w:p>
    <w:p w14:paraId="53F35F49" w14:textId="77777777" w:rsidR="004C041A" w:rsidRPr="00003AF8" w:rsidRDefault="004C041A" w:rsidP="004C041A">
      <w:pPr>
        <w:pStyle w:val="ShadedBullet"/>
      </w:pPr>
      <w:r w:rsidRPr="00003AF8">
        <w:t>More Transitioned ADF compared to Regular ADF reported being in fights in the last month both in 2010 (2.5% vs 1.2%) and 2015 (2.5% vs 0.9%). Only 2.1% of Transitioned ADF members never reporting violence in 2010 reported new cases of violence in 2015.</w:t>
      </w:r>
    </w:p>
    <w:p w14:paraId="3A9B49C3" w14:textId="77777777" w:rsidR="004C041A" w:rsidRDefault="004C041A" w:rsidP="004C041A"/>
    <w:p w14:paraId="72699A4C" w14:textId="097E4956" w:rsidR="004C041A" w:rsidRPr="00003AF8" w:rsidRDefault="004C041A" w:rsidP="004C041A">
      <w:pPr>
        <w:pStyle w:val="ShadedBoxTitle"/>
      </w:pPr>
      <w:r>
        <w:t xml:space="preserve">Longitudinal </w:t>
      </w:r>
      <w:r w:rsidR="00CE45A5">
        <w:t>c</w:t>
      </w:r>
      <w:r w:rsidRPr="009C4D0A">
        <w:t>ourse</w:t>
      </w:r>
      <w:r>
        <w:t xml:space="preserve"> of </w:t>
      </w:r>
      <w:r w:rsidR="00CE45A5">
        <w:t>p</w:t>
      </w:r>
      <w:r>
        <w:t xml:space="preserve">robable </w:t>
      </w:r>
      <w:r w:rsidR="00CE45A5">
        <w:t>m</w:t>
      </w:r>
      <w:r>
        <w:t xml:space="preserve">ental </w:t>
      </w:r>
      <w:r w:rsidR="00CE45A5">
        <w:t>d</w:t>
      </w:r>
      <w:r>
        <w:t xml:space="preserve">isorder in the MHPWS </w:t>
      </w:r>
      <w:r w:rsidR="00CE45A5">
        <w:t>p</w:t>
      </w:r>
      <w:r>
        <w:t>opulation</w:t>
      </w:r>
    </w:p>
    <w:p w14:paraId="58515B5B" w14:textId="1223B8CF" w:rsidR="004C041A" w:rsidRDefault="004C041A" w:rsidP="002548A9">
      <w:pPr>
        <w:pStyle w:val="ShadedBullet"/>
        <w:spacing w:after="120"/>
      </w:pPr>
      <w:r>
        <w:t>Longitudinal cohort members were more likely to worsen from no disorder in 2010 to subsyndromal disorder or probable disorder in 2015 if they:</w:t>
      </w:r>
    </w:p>
    <w:p w14:paraId="442A94BD" w14:textId="58A73E2E" w:rsidR="004C041A" w:rsidRDefault="004C041A" w:rsidP="002548A9">
      <w:pPr>
        <w:pStyle w:val="ShadedDash"/>
        <w:spacing w:after="60"/>
      </w:pPr>
      <w:r>
        <w:tab/>
        <w:t>–</w:t>
      </w:r>
      <w:r>
        <w:tab/>
        <w:t>were not Officers</w:t>
      </w:r>
    </w:p>
    <w:p w14:paraId="3098F8F8" w14:textId="23095E8D" w:rsidR="004C041A" w:rsidRDefault="004C041A" w:rsidP="002548A9">
      <w:pPr>
        <w:pStyle w:val="ShadedDash"/>
        <w:spacing w:after="60"/>
      </w:pPr>
      <w:r>
        <w:tab/>
        <w:t>–</w:t>
      </w:r>
      <w:r>
        <w:tab/>
        <w:t>were Navy members (compared to Air Force)</w:t>
      </w:r>
    </w:p>
    <w:p w14:paraId="7794018E" w14:textId="77777777" w:rsidR="004C041A" w:rsidRDefault="004C041A" w:rsidP="002548A9">
      <w:pPr>
        <w:pStyle w:val="ShadedDash"/>
        <w:spacing w:after="60"/>
      </w:pPr>
      <w:r>
        <w:tab/>
        <w:t>–</w:t>
      </w:r>
      <w:r>
        <w:tab/>
        <w:t>reported problematic anger in 2010, or</w:t>
      </w:r>
    </w:p>
    <w:p w14:paraId="040C9F06" w14:textId="77777777" w:rsidR="004C041A" w:rsidRDefault="004C041A" w:rsidP="004C041A">
      <w:pPr>
        <w:pStyle w:val="ShadedDash"/>
      </w:pPr>
      <w:r>
        <w:tab/>
        <w:t>–</w:t>
      </w:r>
      <w:r>
        <w:tab/>
        <w:t>reported higher levels of deployment exposures or lifetime trauma.</w:t>
      </w:r>
    </w:p>
    <w:p w14:paraId="733D5529" w14:textId="1BD85531" w:rsidR="004C041A" w:rsidRPr="004C041A" w:rsidRDefault="004C041A" w:rsidP="004C041A">
      <w:pPr>
        <w:pStyle w:val="ShadedBullet"/>
      </w:pPr>
      <w:r w:rsidRPr="004C041A">
        <w:t xml:space="preserve">Those reporting higher resilience were less likely </w:t>
      </w:r>
      <w:r>
        <w:t>to move from no disorder to sub</w:t>
      </w:r>
      <w:r w:rsidRPr="004C041A">
        <w:t>syndromal disorder.</w:t>
      </w:r>
    </w:p>
    <w:p w14:paraId="12F8F7A4" w14:textId="1569EDE6" w:rsidR="004C041A" w:rsidRPr="004C041A" w:rsidRDefault="004C041A" w:rsidP="004C041A">
      <w:pPr>
        <w:pStyle w:val="ShadedBullet"/>
      </w:pPr>
      <w:r w:rsidRPr="004C041A">
        <w:t>Reported suicidality in 2010 predicted progression from no disorder in 2010 to probable disorder in 2015.</w:t>
      </w:r>
    </w:p>
    <w:p w14:paraId="7440F7DC" w14:textId="7F81CBF5" w:rsidR="004C041A" w:rsidRPr="004C041A" w:rsidRDefault="004C041A" w:rsidP="004C041A">
      <w:pPr>
        <w:pStyle w:val="ShadedBullet"/>
      </w:pPr>
      <w:r w:rsidRPr="004C041A">
        <w:t>Longitudinal cohort members were more likely to worsen from subsyndromal disorder in 2010 to probable disorder in 2015 if</w:t>
      </w:r>
      <w:r w:rsidR="0059767D">
        <w:t>,</w:t>
      </w:r>
      <w:r w:rsidRPr="004C041A">
        <w:t xml:space="preserve"> in 2010</w:t>
      </w:r>
      <w:r w:rsidR="0059767D">
        <w:t>,</w:t>
      </w:r>
      <w:r w:rsidRPr="004C041A">
        <w:t xml:space="preserve"> they were not Officers, had problematic anger, or had </w:t>
      </w:r>
      <w:r w:rsidR="002D458C">
        <w:t xml:space="preserve">a </w:t>
      </w:r>
      <w:r w:rsidRPr="004C041A">
        <w:t xml:space="preserve">greater number </w:t>
      </w:r>
      <w:r w:rsidR="002D458C">
        <w:t xml:space="preserve">of </w:t>
      </w:r>
      <w:r w:rsidRPr="004C041A">
        <w:t>deployment exposures or lifetime traumatic event types.</w:t>
      </w:r>
    </w:p>
    <w:p w14:paraId="7B71B658" w14:textId="08700965" w:rsidR="004C041A" w:rsidRPr="004C041A" w:rsidRDefault="004C041A" w:rsidP="004C041A">
      <w:pPr>
        <w:pStyle w:val="ShadedBullet"/>
      </w:pPr>
      <w:r w:rsidRPr="004C041A">
        <w:t>In terms of those with probable disorder in 2010, having more lifetime traumatic event types predicted shifting towards subsyndromal disorder or maintaining probable disorder in 2015. Older age predicted the shift to subsyndromal disorder</w:t>
      </w:r>
      <w:r w:rsidR="002D458C">
        <w:t>;</w:t>
      </w:r>
      <w:r w:rsidRPr="004C041A">
        <w:t xml:space="preserve"> and problem anger, help</w:t>
      </w:r>
      <w:r w:rsidR="002D458C">
        <w:t xml:space="preserve"> </w:t>
      </w:r>
      <w:r w:rsidRPr="004C041A">
        <w:t>seeking and deployment exposures predicted the maintenance of probable disorder.</w:t>
      </w:r>
    </w:p>
    <w:p w14:paraId="546D3EE3" w14:textId="77777777" w:rsidR="004C041A" w:rsidRDefault="004C041A" w:rsidP="004C041A">
      <w:pPr>
        <w:sectPr w:rsidR="004C041A" w:rsidSect="00FF5B5F">
          <w:footerReference w:type="even" r:id="rId13"/>
          <w:footerReference w:type="default" r:id="rId14"/>
          <w:type w:val="oddPage"/>
          <w:pgSz w:w="9979" w:h="14170" w:code="243"/>
          <w:pgMar w:top="1440" w:right="1152" w:bottom="1440" w:left="1728" w:header="576" w:footer="576" w:gutter="0"/>
          <w:pgNumType w:fmt="lowerRoman"/>
          <w:cols w:space="708"/>
          <w:docGrid w:linePitch="360"/>
        </w:sectPr>
      </w:pPr>
    </w:p>
    <w:p w14:paraId="7E125A1C" w14:textId="77777777" w:rsidR="00191932" w:rsidRPr="0047058F" w:rsidRDefault="00191932" w:rsidP="0047223A">
      <w:pPr>
        <w:pStyle w:val="Heading1a"/>
      </w:pPr>
      <w:r w:rsidRPr="0047058F">
        <w:lastRenderedPageBreak/>
        <w:t>Contents</w:t>
      </w:r>
    </w:p>
    <w:p w14:paraId="72EDACC6" w14:textId="77777777" w:rsidR="00C116B9" w:rsidRDefault="0061597C">
      <w:pPr>
        <w:pStyle w:val="TOC1"/>
        <w:rPr>
          <w:rFonts w:asciiTheme="minorHAnsi" w:eastAsiaTheme="minorEastAsia" w:hAnsiTheme="minorHAnsi" w:cstheme="minorBidi"/>
          <w:b w:val="0"/>
          <w:color w:val="auto"/>
          <w:sz w:val="22"/>
          <w:szCs w:val="22"/>
          <w:lang w:eastAsia="en-AU"/>
        </w:rPr>
      </w:pPr>
      <w:r w:rsidRPr="0047058F">
        <w:rPr>
          <w:noProof w:val="0"/>
        </w:rPr>
        <w:fldChar w:fldCharType="begin"/>
      </w:r>
      <w:r w:rsidRPr="0047058F">
        <w:rPr>
          <w:noProof w:val="0"/>
        </w:rPr>
        <w:instrText xml:space="preserve"> TOC \o "1-3" \u </w:instrText>
      </w:r>
      <w:r w:rsidRPr="0047058F">
        <w:rPr>
          <w:noProof w:val="0"/>
        </w:rPr>
        <w:fldChar w:fldCharType="separate"/>
      </w:r>
      <w:r w:rsidR="00C116B9">
        <w:t>Key findings</w:t>
      </w:r>
      <w:r w:rsidR="00C116B9">
        <w:tab/>
      </w:r>
      <w:r w:rsidR="00C116B9">
        <w:fldChar w:fldCharType="begin"/>
      </w:r>
      <w:r w:rsidR="00C116B9">
        <w:instrText xml:space="preserve"> PAGEREF _Toc532474321 \h </w:instrText>
      </w:r>
      <w:r w:rsidR="00C116B9">
        <w:fldChar w:fldCharType="separate"/>
      </w:r>
      <w:r w:rsidR="00C116B9">
        <w:t>iii</w:t>
      </w:r>
      <w:r w:rsidR="00C116B9">
        <w:fldChar w:fldCharType="end"/>
      </w:r>
    </w:p>
    <w:p w14:paraId="230A1D58" w14:textId="77777777" w:rsidR="00C116B9" w:rsidRDefault="00C116B9">
      <w:pPr>
        <w:pStyle w:val="TOC1"/>
        <w:rPr>
          <w:rFonts w:asciiTheme="minorHAnsi" w:eastAsiaTheme="minorEastAsia" w:hAnsiTheme="minorHAnsi" w:cstheme="minorBidi"/>
          <w:b w:val="0"/>
          <w:color w:val="auto"/>
          <w:sz w:val="22"/>
          <w:szCs w:val="22"/>
          <w:lang w:eastAsia="en-AU"/>
        </w:rPr>
      </w:pPr>
      <w:r>
        <w:t>Acknowledgements</w:t>
      </w:r>
      <w:r>
        <w:tab/>
      </w:r>
      <w:r>
        <w:fldChar w:fldCharType="begin"/>
      </w:r>
      <w:r>
        <w:instrText xml:space="preserve"> PAGEREF _Toc532474322 \h </w:instrText>
      </w:r>
      <w:r>
        <w:fldChar w:fldCharType="separate"/>
      </w:r>
      <w:r>
        <w:t>xix</w:t>
      </w:r>
      <w:r>
        <w:fldChar w:fldCharType="end"/>
      </w:r>
    </w:p>
    <w:p w14:paraId="561484B8" w14:textId="77777777" w:rsidR="00C116B9" w:rsidRDefault="00C116B9">
      <w:pPr>
        <w:pStyle w:val="TOC1"/>
        <w:rPr>
          <w:rFonts w:asciiTheme="minorHAnsi" w:eastAsiaTheme="minorEastAsia" w:hAnsiTheme="minorHAnsi" w:cstheme="minorBidi"/>
          <w:b w:val="0"/>
          <w:color w:val="auto"/>
          <w:sz w:val="22"/>
          <w:szCs w:val="22"/>
          <w:lang w:eastAsia="en-AU"/>
        </w:rPr>
      </w:pPr>
      <w:r>
        <w:t>Transition and Wellbeing Research Programme – an overview</w:t>
      </w:r>
      <w:r>
        <w:tab/>
      </w:r>
      <w:r>
        <w:fldChar w:fldCharType="begin"/>
      </w:r>
      <w:r>
        <w:instrText xml:space="preserve"> PAGEREF _Toc532474323 \h </w:instrText>
      </w:r>
      <w:r>
        <w:fldChar w:fldCharType="separate"/>
      </w:r>
      <w:r>
        <w:t>xxi</w:t>
      </w:r>
      <w:r>
        <w:fldChar w:fldCharType="end"/>
      </w:r>
    </w:p>
    <w:p w14:paraId="6C34792F" w14:textId="77777777" w:rsidR="00C116B9" w:rsidRDefault="00C116B9">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_Toc532474324 \h </w:instrText>
      </w:r>
      <w:r>
        <w:fldChar w:fldCharType="separate"/>
      </w:r>
      <w:r>
        <w:t>1</w:t>
      </w:r>
      <w:r>
        <w:fldChar w:fldCharType="end"/>
      </w:r>
    </w:p>
    <w:p w14:paraId="3419E0F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Challenges for ADF members as they transition to civilian life</w:t>
      </w:r>
      <w:r>
        <w:rPr>
          <w:noProof/>
        </w:rPr>
        <w:tab/>
      </w:r>
      <w:r>
        <w:rPr>
          <w:noProof/>
        </w:rPr>
        <w:fldChar w:fldCharType="begin"/>
      </w:r>
      <w:r>
        <w:rPr>
          <w:noProof/>
        </w:rPr>
        <w:instrText xml:space="preserve"> PAGEREF _Toc532474325 \h </w:instrText>
      </w:r>
      <w:r>
        <w:rPr>
          <w:noProof/>
        </w:rPr>
      </w:r>
      <w:r>
        <w:rPr>
          <w:noProof/>
        </w:rPr>
        <w:fldChar w:fldCharType="separate"/>
      </w:r>
      <w:r>
        <w:rPr>
          <w:noProof/>
        </w:rPr>
        <w:t>1</w:t>
      </w:r>
      <w:r>
        <w:rPr>
          <w:noProof/>
        </w:rPr>
        <w:fldChar w:fldCharType="end"/>
      </w:r>
    </w:p>
    <w:p w14:paraId="5FD7EB9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Change of identity</w:t>
      </w:r>
      <w:r>
        <w:rPr>
          <w:noProof/>
        </w:rPr>
        <w:tab/>
      </w:r>
      <w:r>
        <w:rPr>
          <w:noProof/>
        </w:rPr>
        <w:fldChar w:fldCharType="begin"/>
      </w:r>
      <w:r>
        <w:rPr>
          <w:noProof/>
        </w:rPr>
        <w:instrText xml:space="preserve"> PAGEREF _Toc532474326 \h </w:instrText>
      </w:r>
      <w:r>
        <w:rPr>
          <w:noProof/>
        </w:rPr>
      </w:r>
      <w:r>
        <w:rPr>
          <w:noProof/>
        </w:rPr>
        <w:fldChar w:fldCharType="separate"/>
      </w:r>
      <w:r>
        <w:rPr>
          <w:noProof/>
        </w:rPr>
        <w:t>1</w:t>
      </w:r>
      <w:r>
        <w:rPr>
          <w:noProof/>
        </w:rPr>
        <w:fldChar w:fldCharType="end"/>
      </w:r>
    </w:p>
    <w:p w14:paraId="79762931"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Social needs</w:t>
      </w:r>
      <w:r>
        <w:rPr>
          <w:noProof/>
        </w:rPr>
        <w:tab/>
      </w:r>
      <w:r>
        <w:rPr>
          <w:noProof/>
        </w:rPr>
        <w:fldChar w:fldCharType="begin"/>
      </w:r>
      <w:r>
        <w:rPr>
          <w:noProof/>
        </w:rPr>
        <w:instrText xml:space="preserve"> PAGEREF _Toc532474327 \h </w:instrText>
      </w:r>
      <w:r>
        <w:rPr>
          <w:noProof/>
        </w:rPr>
      </w:r>
      <w:r>
        <w:rPr>
          <w:noProof/>
        </w:rPr>
        <w:fldChar w:fldCharType="separate"/>
      </w:r>
      <w:r>
        <w:rPr>
          <w:noProof/>
        </w:rPr>
        <w:t>1</w:t>
      </w:r>
      <w:r>
        <w:rPr>
          <w:noProof/>
        </w:rPr>
        <w:fldChar w:fldCharType="end"/>
      </w:r>
    </w:p>
    <w:p w14:paraId="45172A1F"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1.1.3</w:t>
      </w:r>
      <w:r>
        <w:rPr>
          <w:rFonts w:asciiTheme="minorHAnsi" w:eastAsiaTheme="minorEastAsia" w:hAnsiTheme="minorHAnsi" w:cstheme="minorBidi"/>
          <w:noProof/>
          <w:color w:val="auto"/>
          <w:sz w:val="22"/>
          <w:szCs w:val="22"/>
          <w:lang w:eastAsia="en-AU"/>
        </w:rPr>
        <w:tab/>
      </w:r>
      <w:r>
        <w:rPr>
          <w:noProof/>
        </w:rPr>
        <w:t>Cumulative effects of trauma and stress</w:t>
      </w:r>
      <w:r>
        <w:rPr>
          <w:noProof/>
        </w:rPr>
        <w:tab/>
      </w:r>
      <w:r>
        <w:rPr>
          <w:noProof/>
        </w:rPr>
        <w:fldChar w:fldCharType="begin"/>
      </w:r>
      <w:r>
        <w:rPr>
          <w:noProof/>
        </w:rPr>
        <w:instrText xml:space="preserve"> PAGEREF _Toc532474328 \h </w:instrText>
      </w:r>
      <w:r>
        <w:rPr>
          <w:noProof/>
        </w:rPr>
      </w:r>
      <w:r>
        <w:rPr>
          <w:noProof/>
        </w:rPr>
        <w:fldChar w:fldCharType="separate"/>
      </w:r>
      <w:r>
        <w:rPr>
          <w:noProof/>
        </w:rPr>
        <w:t>2</w:t>
      </w:r>
      <w:r>
        <w:rPr>
          <w:noProof/>
        </w:rPr>
        <w:fldChar w:fldCharType="end"/>
      </w:r>
    </w:p>
    <w:p w14:paraId="24B7C1B4"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1.1.4</w:t>
      </w:r>
      <w:r>
        <w:rPr>
          <w:rFonts w:asciiTheme="minorHAnsi" w:eastAsiaTheme="minorEastAsia" w:hAnsiTheme="minorHAnsi" w:cstheme="minorBidi"/>
          <w:noProof/>
          <w:color w:val="auto"/>
          <w:sz w:val="22"/>
          <w:szCs w:val="22"/>
          <w:lang w:eastAsia="en-AU"/>
        </w:rPr>
        <w:tab/>
      </w:r>
      <w:r>
        <w:rPr>
          <w:noProof/>
        </w:rPr>
        <w:t>Moral injury</w:t>
      </w:r>
      <w:r>
        <w:rPr>
          <w:noProof/>
        </w:rPr>
        <w:tab/>
      </w:r>
      <w:r>
        <w:rPr>
          <w:noProof/>
        </w:rPr>
        <w:fldChar w:fldCharType="begin"/>
      </w:r>
      <w:r>
        <w:rPr>
          <w:noProof/>
        </w:rPr>
        <w:instrText xml:space="preserve"> PAGEREF _Toc532474329 \h </w:instrText>
      </w:r>
      <w:r>
        <w:rPr>
          <w:noProof/>
        </w:rPr>
      </w:r>
      <w:r>
        <w:rPr>
          <w:noProof/>
        </w:rPr>
        <w:fldChar w:fldCharType="separate"/>
      </w:r>
      <w:r>
        <w:rPr>
          <w:noProof/>
        </w:rPr>
        <w:t>2</w:t>
      </w:r>
      <w:r>
        <w:rPr>
          <w:noProof/>
        </w:rPr>
        <w:fldChar w:fldCharType="end"/>
      </w:r>
    </w:p>
    <w:p w14:paraId="388ED315"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1.1.5</w:t>
      </w:r>
      <w:r>
        <w:rPr>
          <w:rFonts w:asciiTheme="minorHAnsi" w:eastAsiaTheme="minorEastAsia" w:hAnsiTheme="minorHAnsi" w:cstheme="minorBidi"/>
          <w:noProof/>
          <w:color w:val="auto"/>
          <w:sz w:val="22"/>
          <w:szCs w:val="22"/>
          <w:lang w:eastAsia="en-AU"/>
        </w:rPr>
        <w:tab/>
      </w:r>
      <w:r>
        <w:rPr>
          <w:noProof/>
        </w:rPr>
        <w:t>Stoicism and stigma</w:t>
      </w:r>
      <w:r>
        <w:rPr>
          <w:noProof/>
        </w:rPr>
        <w:tab/>
      </w:r>
      <w:r>
        <w:rPr>
          <w:noProof/>
        </w:rPr>
        <w:fldChar w:fldCharType="begin"/>
      </w:r>
      <w:r>
        <w:rPr>
          <w:noProof/>
        </w:rPr>
        <w:instrText xml:space="preserve"> PAGEREF _Toc532474330 \h </w:instrText>
      </w:r>
      <w:r>
        <w:rPr>
          <w:noProof/>
        </w:rPr>
      </w:r>
      <w:r>
        <w:rPr>
          <w:noProof/>
        </w:rPr>
        <w:fldChar w:fldCharType="separate"/>
      </w:r>
      <w:r>
        <w:rPr>
          <w:noProof/>
        </w:rPr>
        <w:t>3</w:t>
      </w:r>
      <w:r>
        <w:rPr>
          <w:noProof/>
        </w:rPr>
        <w:fldChar w:fldCharType="end"/>
      </w:r>
    </w:p>
    <w:p w14:paraId="5A44AB6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1.1.6</w:t>
      </w:r>
      <w:r>
        <w:rPr>
          <w:rFonts w:asciiTheme="minorHAnsi" w:eastAsiaTheme="minorEastAsia" w:hAnsiTheme="minorHAnsi" w:cstheme="minorBidi"/>
          <w:noProof/>
          <w:color w:val="auto"/>
          <w:sz w:val="22"/>
          <w:szCs w:val="22"/>
          <w:lang w:eastAsia="en-AU"/>
        </w:rPr>
        <w:tab/>
      </w:r>
      <w:r>
        <w:rPr>
          <w:noProof/>
        </w:rPr>
        <w:t>Impaired help seeking</w:t>
      </w:r>
      <w:r>
        <w:rPr>
          <w:noProof/>
        </w:rPr>
        <w:tab/>
      </w:r>
      <w:r>
        <w:rPr>
          <w:noProof/>
        </w:rPr>
        <w:fldChar w:fldCharType="begin"/>
      </w:r>
      <w:r>
        <w:rPr>
          <w:noProof/>
        </w:rPr>
        <w:instrText xml:space="preserve"> PAGEREF _Toc532474331 \h </w:instrText>
      </w:r>
      <w:r>
        <w:rPr>
          <w:noProof/>
        </w:rPr>
      </w:r>
      <w:r>
        <w:rPr>
          <w:noProof/>
        </w:rPr>
        <w:fldChar w:fldCharType="separate"/>
      </w:r>
      <w:r>
        <w:rPr>
          <w:noProof/>
        </w:rPr>
        <w:t>3</w:t>
      </w:r>
      <w:r>
        <w:rPr>
          <w:noProof/>
        </w:rPr>
        <w:fldChar w:fldCharType="end"/>
      </w:r>
    </w:p>
    <w:p w14:paraId="1770D2BC"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Background to this report</w:t>
      </w:r>
      <w:r>
        <w:rPr>
          <w:noProof/>
        </w:rPr>
        <w:tab/>
      </w:r>
      <w:r>
        <w:rPr>
          <w:noProof/>
        </w:rPr>
        <w:fldChar w:fldCharType="begin"/>
      </w:r>
      <w:r>
        <w:rPr>
          <w:noProof/>
        </w:rPr>
        <w:instrText xml:space="preserve"> PAGEREF _Toc532474332 \h </w:instrText>
      </w:r>
      <w:r>
        <w:rPr>
          <w:noProof/>
        </w:rPr>
      </w:r>
      <w:r>
        <w:rPr>
          <w:noProof/>
        </w:rPr>
        <w:fldChar w:fldCharType="separate"/>
      </w:r>
      <w:r>
        <w:rPr>
          <w:noProof/>
        </w:rPr>
        <w:t>4</w:t>
      </w:r>
      <w:r>
        <w:rPr>
          <w:noProof/>
        </w:rPr>
        <w:fldChar w:fldCharType="end"/>
      </w:r>
    </w:p>
    <w:p w14:paraId="5E5125E0"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1.2.1</w:t>
      </w:r>
      <w:r>
        <w:rPr>
          <w:rFonts w:asciiTheme="minorHAnsi" w:eastAsiaTheme="minorEastAsia" w:hAnsiTheme="minorHAnsi" w:cstheme="minorBidi"/>
          <w:noProof/>
          <w:color w:val="auto"/>
          <w:sz w:val="22"/>
          <w:szCs w:val="22"/>
          <w:lang w:eastAsia="en-AU"/>
        </w:rPr>
        <w:tab/>
      </w:r>
      <w:r>
        <w:rPr>
          <w:noProof/>
        </w:rPr>
        <w:t>Mental health in military populations</w:t>
      </w:r>
      <w:r>
        <w:rPr>
          <w:noProof/>
        </w:rPr>
        <w:tab/>
      </w:r>
      <w:r>
        <w:rPr>
          <w:noProof/>
        </w:rPr>
        <w:fldChar w:fldCharType="begin"/>
      </w:r>
      <w:r>
        <w:rPr>
          <w:noProof/>
        </w:rPr>
        <w:instrText xml:space="preserve"> PAGEREF _Toc532474333 \h </w:instrText>
      </w:r>
      <w:r>
        <w:rPr>
          <w:noProof/>
        </w:rPr>
      </w:r>
      <w:r>
        <w:rPr>
          <w:noProof/>
        </w:rPr>
        <w:fldChar w:fldCharType="separate"/>
      </w:r>
      <w:r>
        <w:rPr>
          <w:noProof/>
        </w:rPr>
        <w:t>4</w:t>
      </w:r>
      <w:r>
        <w:rPr>
          <w:noProof/>
        </w:rPr>
        <w:fldChar w:fldCharType="end"/>
      </w:r>
    </w:p>
    <w:p w14:paraId="6A26E953"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1.2.2</w:t>
      </w:r>
      <w:r>
        <w:rPr>
          <w:rFonts w:asciiTheme="minorHAnsi" w:eastAsiaTheme="minorEastAsia" w:hAnsiTheme="minorHAnsi" w:cstheme="minorBidi"/>
          <w:noProof/>
          <w:color w:val="auto"/>
          <w:sz w:val="22"/>
          <w:szCs w:val="22"/>
          <w:lang w:eastAsia="en-AU"/>
        </w:rPr>
        <w:tab/>
      </w:r>
      <w:r>
        <w:rPr>
          <w:noProof/>
        </w:rPr>
        <w:t>‘Healthy worker effect’</w:t>
      </w:r>
      <w:r>
        <w:rPr>
          <w:noProof/>
        </w:rPr>
        <w:tab/>
      </w:r>
      <w:r>
        <w:rPr>
          <w:noProof/>
        </w:rPr>
        <w:fldChar w:fldCharType="begin"/>
      </w:r>
      <w:r>
        <w:rPr>
          <w:noProof/>
        </w:rPr>
        <w:instrText xml:space="preserve"> PAGEREF _Toc532474334 \h </w:instrText>
      </w:r>
      <w:r>
        <w:rPr>
          <w:noProof/>
        </w:rPr>
      </w:r>
      <w:r>
        <w:rPr>
          <w:noProof/>
        </w:rPr>
        <w:fldChar w:fldCharType="separate"/>
      </w:r>
      <w:r>
        <w:rPr>
          <w:noProof/>
        </w:rPr>
        <w:t>5</w:t>
      </w:r>
      <w:r>
        <w:rPr>
          <w:noProof/>
        </w:rPr>
        <w:fldChar w:fldCharType="end"/>
      </w:r>
    </w:p>
    <w:p w14:paraId="71D20504"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Pr>
          <w:noProof/>
        </w:rPr>
        <w:t xml:space="preserve">Summary of the Mental Health and Wellbeing Transition Study </w:t>
      </w:r>
      <w:r w:rsidRPr="007506C2">
        <w:rPr>
          <w:i/>
          <w:noProof/>
        </w:rPr>
        <w:t>Mental Health Prevalence</w:t>
      </w:r>
      <w:r>
        <w:rPr>
          <w:noProof/>
        </w:rPr>
        <w:t xml:space="preserve"> </w:t>
      </w:r>
      <w:r w:rsidRPr="007506C2">
        <w:rPr>
          <w:i/>
          <w:noProof/>
        </w:rPr>
        <w:t>Report</w:t>
      </w:r>
      <w:r>
        <w:rPr>
          <w:noProof/>
        </w:rPr>
        <w:tab/>
      </w:r>
      <w:r>
        <w:rPr>
          <w:noProof/>
        </w:rPr>
        <w:fldChar w:fldCharType="begin"/>
      </w:r>
      <w:r>
        <w:rPr>
          <w:noProof/>
        </w:rPr>
        <w:instrText xml:space="preserve"> PAGEREF _Toc532474335 \h </w:instrText>
      </w:r>
      <w:r>
        <w:rPr>
          <w:noProof/>
        </w:rPr>
      </w:r>
      <w:r>
        <w:rPr>
          <w:noProof/>
        </w:rPr>
        <w:fldChar w:fldCharType="separate"/>
      </w:r>
      <w:r>
        <w:rPr>
          <w:noProof/>
        </w:rPr>
        <w:t>6</w:t>
      </w:r>
      <w:r>
        <w:rPr>
          <w:noProof/>
        </w:rPr>
        <w:fldChar w:fldCharType="end"/>
      </w:r>
    </w:p>
    <w:p w14:paraId="211771ED"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 xml:space="preserve">Summary of the Mental Health and Wellbeing Transition Study </w:t>
      </w:r>
      <w:r w:rsidRPr="007506C2">
        <w:rPr>
          <w:i/>
          <w:noProof/>
        </w:rPr>
        <w:t>Pathways to Care Report</w:t>
      </w:r>
      <w:r>
        <w:rPr>
          <w:noProof/>
        </w:rPr>
        <w:tab/>
      </w:r>
      <w:r>
        <w:rPr>
          <w:noProof/>
        </w:rPr>
        <w:fldChar w:fldCharType="begin"/>
      </w:r>
      <w:r>
        <w:rPr>
          <w:noProof/>
        </w:rPr>
        <w:instrText xml:space="preserve"> PAGEREF _Toc532474336 \h </w:instrText>
      </w:r>
      <w:r>
        <w:rPr>
          <w:noProof/>
        </w:rPr>
      </w:r>
      <w:r>
        <w:rPr>
          <w:noProof/>
        </w:rPr>
        <w:fldChar w:fldCharType="separate"/>
      </w:r>
      <w:r>
        <w:rPr>
          <w:noProof/>
        </w:rPr>
        <w:t>7</w:t>
      </w:r>
      <w:r>
        <w:rPr>
          <w:noProof/>
        </w:rPr>
        <w:fldChar w:fldCharType="end"/>
      </w:r>
    </w:p>
    <w:p w14:paraId="1B7A5429"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1.5</w:t>
      </w:r>
      <w:r>
        <w:rPr>
          <w:rFonts w:asciiTheme="minorHAnsi" w:eastAsiaTheme="minorEastAsia" w:hAnsiTheme="minorHAnsi" w:cstheme="minorBidi"/>
          <w:noProof/>
          <w:color w:val="auto"/>
          <w:sz w:val="22"/>
          <w:szCs w:val="22"/>
          <w:lang w:eastAsia="en-AU"/>
        </w:rPr>
        <w:tab/>
      </w:r>
      <w:r>
        <w:rPr>
          <w:noProof/>
        </w:rPr>
        <w:t>The need for longitudinal analysis</w:t>
      </w:r>
      <w:r>
        <w:rPr>
          <w:noProof/>
        </w:rPr>
        <w:tab/>
      </w:r>
      <w:r>
        <w:rPr>
          <w:noProof/>
        </w:rPr>
        <w:fldChar w:fldCharType="begin"/>
      </w:r>
      <w:r>
        <w:rPr>
          <w:noProof/>
        </w:rPr>
        <w:instrText xml:space="preserve"> PAGEREF _Toc532474337 \h </w:instrText>
      </w:r>
      <w:r>
        <w:rPr>
          <w:noProof/>
        </w:rPr>
      </w:r>
      <w:r>
        <w:rPr>
          <w:noProof/>
        </w:rPr>
        <w:fldChar w:fldCharType="separate"/>
      </w:r>
      <w:r>
        <w:rPr>
          <w:noProof/>
        </w:rPr>
        <w:t>8</w:t>
      </w:r>
      <w:r>
        <w:rPr>
          <w:noProof/>
        </w:rPr>
        <w:fldChar w:fldCharType="end"/>
      </w:r>
    </w:p>
    <w:p w14:paraId="3EFB722D"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1.5.1</w:t>
      </w:r>
      <w:r>
        <w:rPr>
          <w:rFonts w:asciiTheme="minorHAnsi" w:eastAsiaTheme="minorEastAsia" w:hAnsiTheme="minorHAnsi" w:cstheme="minorBidi"/>
          <w:noProof/>
          <w:color w:val="auto"/>
          <w:sz w:val="22"/>
          <w:szCs w:val="22"/>
          <w:lang w:eastAsia="en-AU"/>
        </w:rPr>
        <w:tab/>
      </w:r>
      <w:r>
        <w:rPr>
          <w:noProof/>
        </w:rPr>
        <w:t>The longitudinal nature of posttraumatic mental health</w:t>
      </w:r>
      <w:r>
        <w:rPr>
          <w:noProof/>
        </w:rPr>
        <w:tab/>
      </w:r>
      <w:r>
        <w:rPr>
          <w:noProof/>
        </w:rPr>
        <w:fldChar w:fldCharType="begin"/>
      </w:r>
      <w:r>
        <w:rPr>
          <w:noProof/>
        </w:rPr>
        <w:instrText xml:space="preserve"> PAGEREF _Toc532474338 \h </w:instrText>
      </w:r>
      <w:r>
        <w:rPr>
          <w:noProof/>
        </w:rPr>
      </w:r>
      <w:r>
        <w:rPr>
          <w:noProof/>
        </w:rPr>
        <w:fldChar w:fldCharType="separate"/>
      </w:r>
      <w:r>
        <w:rPr>
          <w:noProof/>
        </w:rPr>
        <w:t>9</w:t>
      </w:r>
      <w:r>
        <w:rPr>
          <w:noProof/>
        </w:rPr>
        <w:fldChar w:fldCharType="end"/>
      </w:r>
    </w:p>
    <w:p w14:paraId="4F57F48D"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1.5.2</w:t>
      </w:r>
      <w:r>
        <w:rPr>
          <w:rFonts w:asciiTheme="minorHAnsi" w:eastAsiaTheme="minorEastAsia" w:hAnsiTheme="minorHAnsi" w:cstheme="minorBidi"/>
          <w:noProof/>
          <w:color w:val="auto"/>
          <w:sz w:val="22"/>
          <w:szCs w:val="22"/>
          <w:lang w:eastAsia="en-AU"/>
        </w:rPr>
        <w:tab/>
      </w:r>
      <w:r>
        <w:rPr>
          <w:noProof/>
        </w:rPr>
        <w:t>The role of subsyndromal disorder</w:t>
      </w:r>
      <w:r>
        <w:rPr>
          <w:noProof/>
        </w:rPr>
        <w:tab/>
      </w:r>
      <w:r>
        <w:rPr>
          <w:noProof/>
        </w:rPr>
        <w:fldChar w:fldCharType="begin"/>
      </w:r>
      <w:r>
        <w:rPr>
          <w:noProof/>
        </w:rPr>
        <w:instrText xml:space="preserve"> PAGEREF _Toc532474339 \h </w:instrText>
      </w:r>
      <w:r>
        <w:rPr>
          <w:noProof/>
        </w:rPr>
      </w:r>
      <w:r>
        <w:rPr>
          <w:noProof/>
        </w:rPr>
        <w:fldChar w:fldCharType="separate"/>
      </w:r>
      <w:r>
        <w:rPr>
          <w:noProof/>
        </w:rPr>
        <w:t>9</w:t>
      </w:r>
      <w:r>
        <w:rPr>
          <w:noProof/>
        </w:rPr>
        <w:fldChar w:fldCharType="end"/>
      </w:r>
    </w:p>
    <w:p w14:paraId="7C4D94A5"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1.5.3</w:t>
      </w:r>
      <w:r>
        <w:rPr>
          <w:rFonts w:asciiTheme="minorHAnsi" w:eastAsiaTheme="minorEastAsia" w:hAnsiTheme="minorHAnsi" w:cstheme="minorBidi"/>
          <w:noProof/>
          <w:color w:val="auto"/>
          <w:sz w:val="22"/>
          <w:szCs w:val="22"/>
          <w:lang w:eastAsia="en-AU"/>
        </w:rPr>
        <w:tab/>
      </w:r>
      <w:r>
        <w:rPr>
          <w:noProof/>
        </w:rPr>
        <w:t>The longitudinal course of mental health in military and veteran populations</w:t>
      </w:r>
      <w:r>
        <w:rPr>
          <w:noProof/>
        </w:rPr>
        <w:tab/>
      </w:r>
      <w:r>
        <w:rPr>
          <w:noProof/>
        </w:rPr>
        <w:fldChar w:fldCharType="begin"/>
      </w:r>
      <w:r>
        <w:rPr>
          <w:noProof/>
        </w:rPr>
        <w:instrText xml:space="preserve"> PAGEREF _Toc532474340 \h </w:instrText>
      </w:r>
      <w:r>
        <w:rPr>
          <w:noProof/>
        </w:rPr>
      </w:r>
      <w:r>
        <w:rPr>
          <w:noProof/>
        </w:rPr>
        <w:fldChar w:fldCharType="separate"/>
      </w:r>
      <w:r>
        <w:rPr>
          <w:noProof/>
        </w:rPr>
        <w:t>10</w:t>
      </w:r>
      <w:r>
        <w:rPr>
          <w:noProof/>
        </w:rPr>
        <w:fldChar w:fldCharType="end"/>
      </w:r>
    </w:p>
    <w:p w14:paraId="474C6C76"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1.5.4</w:t>
      </w:r>
      <w:r>
        <w:rPr>
          <w:rFonts w:asciiTheme="minorHAnsi" w:eastAsiaTheme="minorEastAsia" w:hAnsiTheme="minorHAnsi" w:cstheme="minorBidi"/>
          <w:noProof/>
          <w:color w:val="auto"/>
          <w:sz w:val="22"/>
          <w:szCs w:val="22"/>
          <w:lang w:eastAsia="en-AU"/>
        </w:rPr>
        <w:tab/>
      </w:r>
      <w:r>
        <w:rPr>
          <w:noProof/>
        </w:rPr>
        <w:t>Long-term reactions</w:t>
      </w:r>
      <w:r>
        <w:rPr>
          <w:noProof/>
        </w:rPr>
        <w:tab/>
      </w:r>
      <w:r>
        <w:rPr>
          <w:noProof/>
        </w:rPr>
        <w:fldChar w:fldCharType="begin"/>
      </w:r>
      <w:r>
        <w:rPr>
          <w:noProof/>
        </w:rPr>
        <w:instrText xml:space="preserve"> PAGEREF _Toc532474341 \h </w:instrText>
      </w:r>
      <w:r>
        <w:rPr>
          <w:noProof/>
        </w:rPr>
      </w:r>
      <w:r>
        <w:rPr>
          <w:noProof/>
        </w:rPr>
        <w:fldChar w:fldCharType="separate"/>
      </w:r>
      <w:r>
        <w:rPr>
          <w:noProof/>
        </w:rPr>
        <w:t>10</w:t>
      </w:r>
      <w:r>
        <w:rPr>
          <w:noProof/>
        </w:rPr>
        <w:fldChar w:fldCharType="end"/>
      </w:r>
    </w:p>
    <w:p w14:paraId="59E9C1B5"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1.5.5</w:t>
      </w:r>
      <w:r>
        <w:rPr>
          <w:rFonts w:asciiTheme="minorHAnsi" w:eastAsiaTheme="minorEastAsia" w:hAnsiTheme="minorHAnsi" w:cstheme="minorBidi"/>
          <w:noProof/>
          <w:color w:val="auto"/>
          <w:sz w:val="22"/>
          <w:szCs w:val="22"/>
          <w:lang w:eastAsia="en-AU"/>
        </w:rPr>
        <w:tab/>
      </w:r>
      <w:r>
        <w:rPr>
          <w:noProof/>
        </w:rPr>
        <w:t>Intermediate reactions to deployment</w:t>
      </w:r>
      <w:r>
        <w:rPr>
          <w:noProof/>
        </w:rPr>
        <w:tab/>
      </w:r>
      <w:r>
        <w:rPr>
          <w:noProof/>
        </w:rPr>
        <w:fldChar w:fldCharType="begin"/>
      </w:r>
      <w:r>
        <w:rPr>
          <w:noProof/>
        </w:rPr>
        <w:instrText xml:space="preserve"> PAGEREF _Toc532474342 \h </w:instrText>
      </w:r>
      <w:r>
        <w:rPr>
          <w:noProof/>
        </w:rPr>
      </w:r>
      <w:r>
        <w:rPr>
          <w:noProof/>
        </w:rPr>
        <w:fldChar w:fldCharType="separate"/>
      </w:r>
      <w:r>
        <w:rPr>
          <w:noProof/>
        </w:rPr>
        <w:t>11</w:t>
      </w:r>
      <w:r>
        <w:rPr>
          <w:noProof/>
        </w:rPr>
        <w:fldChar w:fldCharType="end"/>
      </w:r>
    </w:p>
    <w:p w14:paraId="77B92A9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1.5.6</w:t>
      </w:r>
      <w:r>
        <w:rPr>
          <w:rFonts w:asciiTheme="minorHAnsi" w:eastAsiaTheme="minorEastAsia" w:hAnsiTheme="minorHAnsi" w:cstheme="minorBidi"/>
          <w:noProof/>
          <w:color w:val="auto"/>
          <w:sz w:val="22"/>
          <w:szCs w:val="22"/>
          <w:lang w:eastAsia="en-AU"/>
        </w:rPr>
        <w:tab/>
      </w:r>
      <w:r>
        <w:rPr>
          <w:noProof/>
        </w:rPr>
        <w:t>Lessons from delayed-onset PTSD</w:t>
      </w:r>
      <w:r>
        <w:rPr>
          <w:noProof/>
        </w:rPr>
        <w:tab/>
      </w:r>
      <w:r>
        <w:rPr>
          <w:noProof/>
        </w:rPr>
        <w:fldChar w:fldCharType="begin"/>
      </w:r>
      <w:r>
        <w:rPr>
          <w:noProof/>
        </w:rPr>
        <w:instrText xml:space="preserve"> PAGEREF _Toc532474343 \h </w:instrText>
      </w:r>
      <w:r>
        <w:rPr>
          <w:noProof/>
        </w:rPr>
      </w:r>
      <w:r>
        <w:rPr>
          <w:noProof/>
        </w:rPr>
        <w:fldChar w:fldCharType="separate"/>
      </w:r>
      <w:r>
        <w:rPr>
          <w:noProof/>
        </w:rPr>
        <w:t>13</w:t>
      </w:r>
      <w:r>
        <w:rPr>
          <w:noProof/>
        </w:rPr>
        <w:fldChar w:fldCharType="end"/>
      </w:r>
    </w:p>
    <w:p w14:paraId="15A4145D"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1.5.7</w:t>
      </w:r>
      <w:r>
        <w:rPr>
          <w:rFonts w:asciiTheme="minorHAnsi" w:eastAsiaTheme="minorEastAsia" w:hAnsiTheme="minorHAnsi" w:cstheme="minorBidi"/>
          <w:noProof/>
          <w:color w:val="auto"/>
          <w:sz w:val="22"/>
          <w:szCs w:val="22"/>
          <w:lang w:eastAsia="en-AU"/>
        </w:rPr>
        <w:tab/>
      </w:r>
      <w:r>
        <w:rPr>
          <w:noProof/>
        </w:rPr>
        <w:t>The role of sensitisation</w:t>
      </w:r>
      <w:r>
        <w:rPr>
          <w:noProof/>
        </w:rPr>
        <w:tab/>
      </w:r>
      <w:r>
        <w:rPr>
          <w:noProof/>
        </w:rPr>
        <w:fldChar w:fldCharType="begin"/>
      </w:r>
      <w:r>
        <w:rPr>
          <w:noProof/>
        </w:rPr>
        <w:instrText xml:space="preserve"> PAGEREF _Toc532474344 \h </w:instrText>
      </w:r>
      <w:r>
        <w:rPr>
          <w:noProof/>
        </w:rPr>
      </w:r>
      <w:r>
        <w:rPr>
          <w:noProof/>
        </w:rPr>
        <w:fldChar w:fldCharType="separate"/>
      </w:r>
      <w:r>
        <w:rPr>
          <w:noProof/>
        </w:rPr>
        <w:t>14</w:t>
      </w:r>
      <w:r>
        <w:rPr>
          <w:noProof/>
        </w:rPr>
        <w:fldChar w:fldCharType="end"/>
      </w:r>
    </w:p>
    <w:p w14:paraId="52ADF31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1.5.8</w:t>
      </w:r>
      <w:r>
        <w:rPr>
          <w:rFonts w:asciiTheme="minorHAnsi" w:eastAsiaTheme="minorEastAsia" w:hAnsiTheme="minorHAnsi" w:cstheme="minorBidi"/>
          <w:noProof/>
          <w:color w:val="auto"/>
          <w:sz w:val="22"/>
          <w:szCs w:val="22"/>
          <w:lang w:eastAsia="en-AU"/>
        </w:rPr>
        <w:tab/>
      </w:r>
      <w:r>
        <w:rPr>
          <w:noProof/>
        </w:rPr>
        <w:t>Impact of cumulative stress exposure</w:t>
      </w:r>
      <w:r>
        <w:rPr>
          <w:noProof/>
        </w:rPr>
        <w:tab/>
      </w:r>
      <w:r>
        <w:rPr>
          <w:noProof/>
        </w:rPr>
        <w:fldChar w:fldCharType="begin"/>
      </w:r>
      <w:r>
        <w:rPr>
          <w:noProof/>
        </w:rPr>
        <w:instrText xml:space="preserve"> PAGEREF _Toc532474345 \h </w:instrText>
      </w:r>
      <w:r>
        <w:rPr>
          <w:noProof/>
        </w:rPr>
      </w:r>
      <w:r>
        <w:rPr>
          <w:noProof/>
        </w:rPr>
        <w:fldChar w:fldCharType="separate"/>
      </w:r>
      <w:r>
        <w:rPr>
          <w:noProof/>
        </w:rPr>
        <w:t>14</w:t>
      </w:r>
      <w:r>
        <w:rPr>
          <w:noProof/>
        </w:rPr>
        <w:fldChar w:fldCharType="end"/>
      </w:r>
    </w:p>
    <w:p w14:paraId="7653F293"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1.6</w:t>
      </w:r>
      <w:r>
        <w:rPr>
          <w:rFonts w:asciiTheme="minorHAnsi" w:eastAsiaTheme="minorEastAsia" w:hAnsiTheme="minorHAnsi" w:cstheme="minorBidi"/>
          <w:noProof/>
          <w:color w:val="auto"/>
          <w:sz w:val="22"/>
          <w:szCs w:val="22"/>
          <w:lang w:eastAsia="en-AU"/>
        </w:rPr>
        <w:tab/>
      </w:r>
      <w:r>
        <w:rPr>
          <w:noProof/>
        </w:rPr>
        <w:t>Aims, definitions, structure and scope</w:t>
      </w:r>
      <w:r>
        <w:rPr>
          <w:noProof/>
        </w:rPr>
        <w:tab/>
      </w:r>
      <w:r>
        <w:rPr>
          <w:noProof/>
        </w:rPr>
        <w:fldChar w:fldCharType="begin"/>
      </w:r>
      <w:r>
        <w:rPr>
          <w:noProof/>
        </w:rPr>
        <w:instrText xml:space="preserve"> PAGEREF _Toc532474346 \h </w:instrText>
      </w:r>
      <w:r>
        <w:rPr>
          <w:noProof/>
        </w:rPr>
      </w:r>
      <w:r>
        <w:rPr>
          <w:noProof/>
        </w:rPr>
        <w:fldChar w:fldCharType="separate"/>
      </w:r>
      <w:r>
        <w:rPr>
          <w:noProof/>
        </w:rPr>
        <w:t>16</w:t>
      </w:r>
      <w:r>
        <w:rPr>
          <w:noProof/>
        </w:rPr>
        <w:fldChar w:fldCharType="end"/>
      </w:r>
    </w:p>
    <w:p w14:paraId="0D8DF235"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1.6.1</w:t>
      </w:r>
      <w:r>
        <w:rPr>
          <w:rFonts w:asciiTheme="minorHAnsi" w:eastAsiaTheme="minorEastAsia" w:hAnsiTheme="minorHAnsi" w:cstheme="minorBidi"/>
          <w:noProof/>
          <w:color w:val="auto"/>
          <w:sz w:val="22"/>
          <w:szCs w:val="22"/>
          <w:lang w:eastAsia="en-AU"/>
        </w:rPr>
        <w:tab/>
      </w:r>
      <w:r>
        <w:rPr>
          <w:noProof/>
        </w:rPr>
        <w:t>Aims of this report</w:t>
      </w:r>
      <w:r>
        <w:rPr>
          <w:noProof/>
        </w:rPr>
        <w:tab/>
      </w:r>
      <w:r>
        <w:rPr>
          <w:noProof/>
        </w:rPr>
        <w:fldChar w:fldCharType="begin"/>
      </w:r>
      <w:r>
        <w:rPr>
          <w:noProof/>
        </w:rPr>
        <w:instrText xml:space="preserve"> PAGEREF _Toc532474347 \h </w:instrText>
      </w:r>
      <w:r>
        <w:rPr>
          <w:noProof/>
        </w:rPr>
      </w:r>
      <w:r>
        <w:rPr>
          <w:noProof/>
        </w:rPr>
        <w:fldChar w:fldCharType="separate"/>
      </w:r>
      <w:r>
        <w:rPr>
          <w:noProof/>
        </w:rPr>
        <w:t>16</w:t>
      </w:r>
      <w:r>
        <w:rPr>
          <w:noProof/>
        </w:rPr>
        <w:fldChar w:fldCharType="end"/>
      </w:r>
    </w:p>
    <w:p w14:paraId="19919806"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1.6.2</w:t>
      </w:r>
      <w:r>
        <w:rPr>
          <w:rFonts w:asciiTheme="minorHAnsi" w:eastAsiaTheme="minorEastAsia" w:hAnsiTheme="minorHAnsi" w:cstheme="minorBidi"/>
          <w:noProof/>
          <w:color w:val="auto"/>
          <w:sz w:val="22"/>
          <w:szCs w:val="22"/>
          <w:lang w:eastAsia="en-AU"/>
        </w:rPr>
        <w:tab/>
      </w:r>
      <w:r>
        <w:rPr>
          <w:noProof/>
        </w:rPr>
        <w:t>Structure of this report</w:t>
      </w:r>
      <w:r>
        <w:rPr>
          <w:noProof/>
        </w:rPr>
        <w:tab/>
      </w:r>
      <w:r>
        <w:rPr>
          <w:noProof/>
        </w:rPr>
        <w:fldChar w:fldCharType="begin"/>
      </w:r>
      <w:r>
        <w:rPr>
          <w:noProof/>
        </w:rPr>
        <w:instrText xml:space="preserve"> PAGEREF _Toc532474348 \h </w:instrText>
      </w:r>
      <w:r>
        <w:rPr>
          <w:noProof/>
        </w:rPr>
      </w:r>
      <w:r>
        <w:rPr>
          <w:noProof/>
        </w:rPr>
        <w:fldChar w:fldCharType="separate"/>
      </w:r>
      <w:r>
        <w:rPr>
          <w:noProof/>
        </w:rPr>
        <w:t>17</w:t>
      </w:r>
      <w:r>
        <w:rPr>
          <w:noProof/>
        </w:rPr>
        <w:fldChar w:fldCharType="end"/>
      </w:r>
    </w:p>
    <w:p w14:paraId="0181DD93"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1.6.3</w:t>
      </w:r>
      <w:r>
        <w:rPr>
          <w:rFonts w:asciiTheme="minorHAnsi" w:eastAsiaTheme="minorEastAsia" w:hAnsiTheme="minorHAnsi" w:cstheme="minorBidi"/>
          <w:noProof/>
          <w:color w:val="auto"/>
          <w:sz w:val="22"/>
          <w:szCs w:val="22"/>
          <w:lang w:eastAsia="en-AU"/>
        </w:rPr>
        <w:tab/>
      </w:r>
      <w:r>
        <w:rPr>
          <w:noProof/>
        </w:rPr>
        <w:t>Defining transition from regular military service</w:t>
      </w:r>
      <w:r>
        <w:rPr>
          <w:noProof/>
        </w:rPr>
        <w:tab/>
      </w:r>
      <w:r>
        <w:rPr>
          <w:noProof/>
        </w:rPr>
        <w:fldChar w:fldCharType="begin"/>
      </w:r>
      <w:r>
        <w:rPr>
          <w:noProof/>
        </w:rPr>
        <w:instrText xml:space="preserve"> PAGEREF _Toc532474349 \h </w:instrText>
      </w:r>
      <w:r>
        <w:rPr>
          <w:noProof/>
        </w:rPr>
      </w:r>
      <w:r>
        <w:rPr>
          <w:noProof/>
        </w:rPr>
        <w:fldChar w:fldCharType="separate"/>
      </w:r>
      <w:r>
        <w:rPr>
          <w:noProof/>
        </w:rPr>
        <w:t>17</w:t>
      </w:r>
      <w:r>
        <w:rPr>
          <w:noProof/>
        </w:rPr>
        <w:fldChar w:fldCharType="end"/>
      </w:r>
    </w:p>
    <w:p w14:paraId="6E1DF723" w14:textId="77777777" w:rsidR="00C116B9" w:rsidRDefault="00C116B9">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Methodology</w:t>
      </w:r>
      <w:r>
        <w:tab/>
      </w:r>
      <w:r>
        <w:fldChar w:fldCharType="begin"/>
      </w:r>
      <w:r>
        <w:instrText xml:space="preserve"> PAGEREF _Toc532474350 \h </w:instrText>
      </w:r>
      <w:r>
        <w:fldChar w:fldCharType="separate"/>
      </w:r>
      <w:r>
        <w:t>21</w:t>
      </w:r>
      <w:r>
        <w:fldChar w:fldCharType="end"/>
      </w:r>
    </w:p>
    <w:p w14:paraId="0E9EF666"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Study design</w:t>
      </w:r>
      <w:r>
        <w:rPr>
          <w:noProof/>
        </w:rPr>
        <w:tab/>
      </w:r>
      <w:r>
        <w:rPr>
          <w:noProof/>
        </w:rPr>
        <w:fldChar w:fldCharType="begin"/>
      </w:r>
      <w:r>
        <w:rPr>
          <w:noProof/>
        </w:rPr>
        <w:instrText xml:space="preserve"> PAGEREF _Toc532474351 \h </w:instrText>
      </w:r>
      <w:r>
        <w:rPr>
          <w:noProof/>
        </w:rPr>
      </w:r>
      <w:r>
        <w:rPr>
          <w:noProof/>
        </w:rPr>
        <w:fldChar w:fldCharType="separate"/>
      </w:r>
      <w:r>
        <w:rPr>
          <w:noProof/>
        </w:rPr>
        <w:t>21</w:t>
      </w:r>
      <w:r>
        <w:rPr>
          <w:noProof/>
        </w:rPr>
        <w:fldChar w:fldCharType="end"/>
      </w:r>
    </w:p>
    <w:p w14:paraId="035F6FAA"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Samples</w:t>
      </w:r>
      <w:r>
        <w:rPr>
          <w:noProof/>
        </w:rPr>
        <w:tab/>
      </w:r>
      <w:r>
        <w:rPr>
          <w:noProof/>
        </w:rPr>
        <w:fldChar w:fldCharType="begin"/>
      </w:r>
      <w:r>
        <w:rPr>
          <w:noProof/>
        </w:rPr>
        <w:instrText xml:space="preserve"> PAGEREF _Toc532474352 \h </w:instrText>
      </w:r>
      <w:r>
        <w:rPr>
          <w:noProof/>
        </w:rPr>
      </w:r>
      <w:r>
        <w:rPr>
          <w:noProof/>
        </w:rPr>
        <w:fldChar w:fldCharType="separate"/>
      </w:r>
      <w:r>
        <w:rPr>
          <w:noProof/>
        </w:rPr>
        <w:t>22</w:t>
      </w:r>
      <w:r>
        <w:rPr>
          <w:noProof/>
        </w:rPr>
        <w:fldChar w:fldCharType="end"/>
      </w:r>
    </w:p>
    <w:p w14:paraId="7F4B809B"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lastRenderedPageBreak/>
        <w:t>2.2.1</w:t>
      </w:r>
      <w:r>
        <w:rPr>
          <w:rFonts w:asciiTheme="minorHAnsi" w:eastAsiaTheme="minorEastAsia" w:hAnsiTheme="minorHAnsi" w:cstheme="minorBidi"/>
          <w:noProof/>
          <w:color w:val="auto"/>
          <w:sz w:val="22"/>
          <w:szCs w:val="22"/>
          <w:lang w:eastAsia="en-AU"/>
        </w:rPr>
        <w:tab/>
      </w:r>
      <w:r>
        <w:rPr>
          <w:noProof/>
        </w:rPr>
        <w:t>Sample 6: MHPWS sample</w:t>
      </w:r>
      <w:r>
        <w:rPr>
          <w:noProof/>
        </w:rPr>
        <w:tab/>
      </w:r>
      <w:r>
        <w:rPr>
          <w:noProof/>
        </w:rPr>
        <w:fldChar w:fldCharType="begin"/>
      </w:r>
      <w:r>
        <w:rPr>
          <w:noProof/>
        </w:rPr>
        <w:instrText xml:space="preserve"> PAGEREF _Toc532474353 \h </w:instrText>
      </w:r>
      <w:r>
        <w:rPr>
          <w:noProof/>
        </w:rPr>
      </w:r>
      <w:r>
        <w:rPr>
          <w:noProof/>
        </w:rPr>
        <w:fldChar w:fldCharType="separate"/>
      </w:r>
      <w:r>
        <w:rPr>
          <w:noProof/>
        </w:rPr>
        <w:t>22</w:t>
      </w:r>
      <w:r>
        <w:rPr>
          <w:noProof/>
        </w:rPr>
        <w:fldChar w:fldCharType="end"/>
      </w:r>
    </w:p>
    <w:p w14:paraId="0E91AED3"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2.2.2</w:t>
      </w:r>
      <w:r>
        <w:rPr>
          <w:rFonts w:asciiTheme="minorHAnsi" w:eastAsiaTheme="minorEastAsia" w:hAnsiTheme="minorHAnsi" w:cstheme="minorBidi"/>
          <w:noProof/>
          <w:color w:val="auto"/>
          <w:sz w:val="22"/>
          <w:szCs w:val="22"/>
          <w:lang w:eastAsia="en-AU"/>
        </w:rPr>
        <w:tab/>
      </w:r>
      <w:r>
        <w:rPr>
          <w:noProof/>
        </w:rPr>
        <w:t>2015 Transition and Wellbeing Research Programme survey eligibility</w:t>
      </w:r>
      <w:r>
        <w:rPr>
          <w:noProof/>
        </w:rPr>
        <w:tab/>
      </w:r>
      <w:r>
        <w:rPr>
          <w:noProof/>
        </w:rPr>
        <w:fldChar w:fldCharType="begin"/>
      </w:r>
      <w:r>
        <w:rPr>
          <w:noProof/>
        </w:rPr>
        <w:instrText xml:space="preserve"> PAGEREF _Toc532474354 \h </w:instrText>
      </w:r>
      <w:r>
        <w:rPr>
          <w:noProof/>
        </w:rPr>
      </w:r>
      <w:r>
        <w:rPr>
          <w:noProof/>
        </w:rPr>
        <w:fldChar w:fldCharType="separate"/>
      </w:r>
      <w:r>
        <w:rPr>
          <w:noProof/>
        </w:rPr>
        <w:t>23</w:t>
      </w:r>
      <w:r>
        <w:rPr>
          <w:noProof/>
        </w:rPr>
        <w:fldChar w:fldCharType="end"/>
      </w:r>
    </w:p>
    <w:p w14:paraId="05EC9984"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2.2.3</w:t>
      </w:r>
      <w:r>
        <w:rPr>
          <w:rFonts w:asciiTheme="minorHAnsi" w:eastAsiaTheme="minorEastAsia" w:hAnsiTheme="minorHAnsi" w:cstheme="minorBidi"/>
          <w:noProof/>
          <w:color w:val="auto"/>
          <w:sz w:val="22"/>
          <w:szCs w:val="22"/>
          <w:lang w:eastAsia="en-AU"/>
        </w:rPr>
        <w:tab/>
      </w:r>
      <w:r>
        <w:rPr>
          <w:noProof/>
        </w:rPr>
        <w:t>2015 Transition and Wellbeing Research Programme CIDI eligibility</w:t>
      </w:r>
      <w:r>
        <w:rPr>
          <w:noProof/>
        </w:rPr>
        <w:tab/>
      </w:r>
      <w:r>
        <w:rPr>
          <w:noProof/>
        </w:rPr>
        <w:fldChar w:fldCharType="begin"/>
      </w:r>
      <w:r>
        <w:rPr>
          <w:noProof/>
        </w:rPr>
        <w:instrText xml:space="preserve"> PAGEREF _Toc532474355 \h </w:instrText>
      </w:r>
      <w:r>
        <w:rPr>
          <w:noProof/>
        </w:rPr>
      </w:r>
      <w:r>
        <w:rPr>
          <w:noProof/>
        </w:rPr>
        <w:fldChar w:fldCharType="separate"/>
      </w:r>
      <w:r>
        <w:rPr>
          <w:noProof/>
        </w:rPr>
        <w:t>23</w:t>
      </w:r>
      <w:r>
        <w:rPr>
          <w:noProof/>
        </w:rPr>
        <w:fldChar w:fldCharType="end"/>
      </w:r>
    </w:p>
    <w:p w14:paraId="60CA0DA8"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Response rates</w:t>
      </w:r>
      <w:r>
        <w:rPr>
          <w:noProof/>
        </w:rPr>
        <w:tab/>
      </w:r>
      <w:r>
        <w:rPr>
          <w:noProof/>
        </w:rPr>
        <w:fldChar w:fldCharType="begin"/>
      </w:r>
      <w:r>
        <w:rPr>
          <w:noProof/>
        </w:rPr>
        <w:instrText xml:space="preserve"> PAGEREF _Toc532474356 \h </w:instrText>
      </w:r>
      <w:r>
        <w:rPr>
          <w:noProof/>
        </w:rPr>
      </w:r>
      <w:r>
        <w:rPr>
          <w:noProof/>
        </w:rPr>
        <w:fldChar w:fldCharType="separate"/>
      </w:r>
      <w:r>
        <w:rPr>
          <w:noProof/>
        </w:rPr>
        <w:t>25</w:t>
      </w:r>
      <w:r>
        <w:rPr>
          <w:noProof/>
        </w:rPr>
        <w:fldChar w:fldCharType="end"/>
      </w:r>
    </w:p>
    <w:p w14:paraId="427AC26B"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2.3.1</w:t>
      </w:r>
      <w:r>
        <w:rPr>
          <w:rFonts w:asciiTheme="minorHAnsi" w:eastAsiaTheme="minorEastAsia" w:hAnsiTheme="minorHAnsi" w:cstheme="minorBidi"/>
          <w:noProof/>
          <w:color w:val="auto"/>
          <w:sz w:val="22"/>
          <w:szCs w:val="22"/>
          <w:lang w:eastAsia="en-AU"/>
        </w:rPr>
        <w:tab/>
      </w:r>
      <w:r>
        <w:rPr>
          <w:noProof/>
        </w:rPr>
        <w:t>Survey responders</w:t>
      </w:r>
      <w:r>
        <w:rPr>
          <w:noProof/>
        </w:rPr>
        <w:tab/>
      </w:r>
      <w:r>
        <w:rPr>
          <w:noProof/>
        </w:rPr>
        <w:fldChar w:fldCharType="begin"/>
      </w:r>
      <w:r>
        <w:rPr>
          <w:noProof/>
        </w:rPr>
        <w:instrText xml:space="preserve"> PAGEREF _Toc532474357 \h </w:instrText>
      </w:r>
      <w:r>
        <w:rPr>
          <w:noProof/>
        </w:rPr>
      </w:r>
      <w:r>
        <w:rPr>
          <w:noProof/>
        </w:rPr>
        <w:fldChar w:fldCharType="separate"/>
      </w:r>
      <w:r>
        <w:rPr>
          <w:noProof/>
        </w:rPr>
        <w:t>25</w:t>
      </w:r>
      <w:r>
        <w:rPr>
          <w:noProof/>
        </w:rPr>
        <w:fldChar w:fldCharType="end"/>
      </w:r>
    </w:p>
    <w:p w14:paraId="7A815B4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2.3.2</w:t>
      </w:r>
      <w:r>
        <w:rPr>
          <w:rFonts w:asciiTheme="minorHAnsi" w:eastAsiaTheme="minorEastAsia" w:hAnsiTheme="minorHAnsi" w:cstheme="minorBidi"/>
          <w:noProof/>
          <w:color w:val="auto"/>
          <w:sz w:val="22"/>
          <w:szCs w:val="22"/>
          <w:lang w:eastAsia="en-AU"/>
        </w:rPr>
        <w:tab/>
      </w:r>
      <w:r>
        <w:rPr>
          <w:noProof/>
        </w:rPr>
        <w:t>CIDI responders</w:t>
      </w:r>
      <w:r>
        <w:rPr>
          <w:noProof/>
        </w:rPr>
        <w:tab/>
      </w:r>
      <w:r>
        <w:rPr>
          <w:noProof/>
        </w:rPr>
        <w:fldChar w:fldCharType="begin"/>
      </w:r>
      <w:r>
        <w:rPr>
          <w:noProof/>
        </w:rPr>
        <w:instrText xml:space="preserve"> PAGEREF _Toc532474358 \h </w:instrText>
      </w:r>
      <w:r>
        <w:rPr>
          <w:noProof/>
        </w:rPr>
      </w:r>
      <w:r>
        <w:rPr>
          <w:noProof/>
        </w:rPr>
        <w:fldChar w:fldCharType="separate"/>
      </w:r>
      <w:r>
        <w:rPr>
          <w:noProof/>
        </w:rPr>
        <w:t>28</w:t>
      </w:r>
      <w:r>
        <w:rPr>
          <w:noProof/>
        </w:rPr>
        <w:fldChar w:fldCharType="end"/>
      </w:r>
    </w:p>
    <w:p w14:paraId="4F97E63F"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Statistical analysis</w:t>
      </w:r>
      <w:r>
        <w:rPr>
          <w:noProof/>
        </w:rPr>
        <w:tab/>
      </w:r>
      <w:r>
        <w:rPr>
          <w:noProof/>
        </w:rPr>
        <w:fldChar w:fldCharType="begin"/>
      </w:r>
      <w:r>
        <w:rPr>
          <w:noProof/>
        </w:rPr>
        <w:instrText xml:space="preserve"> PAGEREF _Toc532474359 \h </w:instrText>
      </w:r>
      <w:r>
        <w:rPr>
          <w:noProof/>
        </w:rPr>
      </w:r>
      <w:r>
        <w:rPr>
          <w:noProof/>
        </w:rPr>
        <w:fldChar w:fldCharType="separate"/>
      </w:r>
      <w:r>
        <w:rPr>
          <w:noProof/>
        </w:rPr>
        <w:t>31</w:t>
      </w:r>
      <w:r>
        <w:rPr>
          <w:noProof/>
        </w:rPr>
        <w:fldChar w:fldCharType="end"/>
      </w:r>
    </w:p>
    <w:p w14:paraId="1168D9EE"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2.5</w:t>
      </w:r>
      <w:r>
        <w:rPr>
          <w:rFonts w:asciiTheme="minorHAnsi" w:eastAsiaTheme="minorEastAsia" w:hAnsiTheme="minorHAnsi" w:cstheme="minorBidi"/>
          <w:noProof/>
          <w:color w:val="auto"/>
          <w:sz w:val="22"/>
          <w:szCs w:val="22"/>
          <w:lang w:eastAsia="en-AU"/>
        </w:rPr>
        <w:tab/>
      </w:r>
      <w:r>
        <w:rPr>
          <w:noProof/>
        </w:rPr>
        <w:t>Measures used in this report</w:t>
      </w:r>
      <w:r>
        <w:rPr>
          <w:noProof/>
        </w:rPr>
        <w:tab/>
      </w:r>
      <w:r>
        <w:rPr>
          <w:noProof/>
        </w:rPr>
        <w:fldChar w:fldCharType="begin"/>
      </w:r>
      <w:r>
        <w:rPr>
          <w:noProof/>
        </w:rPr>
        <w:instrText xml:space="preserve"> PAGEREF _Toc532474360 \h </w:instrText>
      </w:r>
      <w:r>
        <w:rPr>
          <w:noProof/>
        </w:rPr>
      </w:r>
      <w:r>
        <w:rPr>
          <w:noProof/>
        </w:rPr>
        <w:fldChar w:fldCharType="separate"/>
      </w:r>
      <w:r>
        <w:rPr>
          <w:noProof/>
        </w:rPr>
        <w:t>32</w:t>
      </w:r>
      <w:r>
        <w:rPr>
          <w:noProof/>
        </w:rPr>
        <w:fldChar w:fldCharType="end"/>
      </w:r>
    </w:p>
    <w:p w14:paraId="7E7D272B"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2.5.1</w:t>
      </w:r>
      <w:r>
        <w:rPr>
          <w:rFonts w:asciiTheme="minorHAnsi" w:eastAsiaTheme="minorEastAsia" w:hAnsiTheme="minorHAnsi" w:cstheme="minorBidi"/>
          <w:noProof/>
          <w:color w:val="auto"/>
          <w:sz w:val="22"/>
          <w:szCs w:val="22"/>
          <w:lang w:eastAsia="en-AU"/>
        </w:rPr>
        <w:tab/>
      </w:r>
      <w:r>
        <w:rPr>
          <w:noProof/>
        </w:rPr>
        <w:t>Self-report survey</w:t>
      </w:r>
      <w:r>
        <w:rPr>
          <w:noProof/>
        </w:rPr>
        <w:tab/>
      </w:r>
      <w:r>
        <w:rPr>
          <w:noProof/>
        </w:rPr>
        <w:fldChar w:fldCharType="begin"/>
      </w:r>
      <w:r>
        <w:rPr>
          <w:noProof/>
        </w:rPr>
        <w:instrText xml:space="preserve"> PAGEREF _Toc532474361 \h </w:instrText>
      </w:r>
      <w:r>
        <w:rPr>
          <w:noProof/>
        </w:rPr>
      </w:r>
      <w:r>
        <w:rPr>
          <w:noProof/>
        </w:rPr>
        <w:fldChar w:fldCharType="separate"/>
      </w:r>
      <w:r>
        <w:rPr>
          <w:noProof/>
        </w:rPr>
        <w:t>32</w:t>
      </w:r>
      <w:r>
        <w:rPr>
          <w:noProof/>
        </w:rPr>
        <w:fldChar w:fldCharType="end"/>
      </w:r>
    </w:p>
    <w:p w14:paraId="2254A72A"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2.5.2</w:t>
      </w:r>
      <w:r>
        <w:rPr>
          <w:rFonts w:asciiTheme="minorHAnsi" w:eastAsiaTheme="minorEastAsia" w:hAnsiTheme="minorHAnsi" w:cstheme="minorBidi"/>
          <w:noProof/>
          <w:color w:val="auto"/>
          <w:sz w:val="22"/>
          <w:szCs w:val="22"/>
          <w:lang w:eastAsia="en-AU"/>
        </w:rPr>
        <w:tab/>
      </w:r>
      <w:r>
        <w:rPr>
          <w:noProof/>
        </w:rPr>
        <w:t>Composite International Diagnostic Interview</w:t>
      </w:r>
      <w:r>
        <w:rPr>
          <w:noProof/>
        </w:rPr>
        <w:tab/>
      </w:r>
      <w:r>
        <w:rPr>
          <w:noProof/>
        </w:rPr>
        <w:fldChar w:fldCharType="begin"/>
      </w:r>
      <w:r>
        <w:rPr>
          <w:noProof/>
        </w:rPr>
        <w:instrText xml:space="preserve"> PAGEREF _Toc532474362 \h </w:instrText>
      </w:r>
      <w:r>
        <w:rPr>
          <w:noProof/>
        </w:rPr>
      </w:r>
      <w:r>
        <w:rPr>
          <w:noProof/>
        </w:rPr>
        <w:fldChar w:fldCharType="separate"/>
      </w:r>
      <w:r>
        <w:rPr>
          <w:noProof/>
        </w:rPr>
        <w:t>36</w:t>
      </w:r>
      <w:r>
        <w:rPr>
          <w:noProof/>
        </w:rPr>
        <w:fldChar w:fldCharType="end"/>
      </w:r>
    </w:p>
    <w:p w14:paraId="249DCA8E" w14:textId="77777777" w:rsidR="00C116B9" w:rsidRDefault="00C116B9">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Demographic characteristics of the longitudinal cohort</w:t>
      </w:r>
      <w:r>
        <w:tab/>
      </w:r>
      <w:r>
        <w:fldChar w:fldCharType="begin"/>
      </w:r>
      <w:r>
        <w:instrText xml:space="preserve"> PAGEREF _Toc532474363 \h </w:instrText>
      </w:r>
      <w:r>
        <w:fldChar w:fldCharType="separate"/>
      </w:r>
      <w:r>
        <w:t>37</w:t>
      </w:r>
      <w:r>
        <w:fldChar w:fldCharType="end"/>
      </w:r>
    </w:p>
    <w:p w14:paraId="54706A53"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Demographic characteristics of the Transitioned ADF and the 2015 Regular ADF</w:t>
      </w:r>
      <w:r>
        <w:rPr>
          <w:noProof/>
        </w:rPr>
        <w:tab/>
      </w:r>
      <w:r>
        <w:rPr>
          <w:noProof/>
        </w:rPr>
        <w:fldChar w:fldCharType="begin"/>
      </w:r>
      <w:r>
        <w:rPr>
          <w:noProof/>
        </w:rPr>
        <w:instrText xml:space="preserve"> PAGEREF _Toc532474364 \h </w:instrText>
      </w:r>
      <w:r>
        <w:rPr>
          <w:noProof/>
        </w:rPr>
      </w:r>
      <w:r>
        <w:rPr>
          <w:noProof/>
        </w:rPr>
        <w:fldChar w:fldCharType="separate"/>
      </w:r>
      <w:r>
        <w:rPr>
          <w:noProof/>
        </w:rPr>
        <w:t>38</w:t>
      </w:r>
      <w:r>
        <w:rPr>
          <w:noProof/>
        </w:rPr>
        <w:fldChar w:fldCharType="end"/>
      </w:r>
    </w:p>
    <w:p w14:paraId="77ABC997"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Demographic characteristics of Transitioned ADF</w:t>
      </w:r>
      <w:r>
        <w:rPr>
          <w:noProof/>
        </w:rPr>
        <w:tab/>
      </w:r>
      <w:r>
        <w:rPr>
          <w:noProof/>
        </w:rPr>
        <w:fldChar w:fldCharType="begin"/>
      </w:r>
      <w:r>
        <w:rPr>
          <w:noProof/>
        </w:rPr>
        <w:instrText xml:space="preserve"> PAGEREF _Toc532474365 \h </w:instrText>
      </w:r>
      <w:r>
        <w:rPr>
          <w:noProof/>
        </w:rPr>
      </w:r>
      <w:r>
        <w:rPr>
          <w:noProof/>
        </w:rPr>
        <w:fldChar w:fldCharType="separate"/>
      </w:r>
      <w:r>
        <w:rPr>
          <w:noProof/>
        </w:rPr>
        <w:t>38</w:t>
      </w:r>
      <w:r>
        <w:rPr>
          <w:noProof/>
        </w:rPr>
        <w:fldChar w:fldCharType="end"/>
      </w:r>
    </w:p>
    <w:p w14:paraId="1461A516" w14:textId="77777777" w:rsidR="00C116B9" w:rsidRDefault="00C116B9">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Twelve-month CIDI disorder in the longitudinal cohort</w:t>
      </w:r>
      <w:r>
        <w:tab/>
      </w:r>
      <w:r>
        <w:fldChar w:fldCharType="begin"/>
      </w:r>
      <w:r>
        <w:instrText xml:space="preserve"> PAGEREF _Toc532474366 \h </w:instrText>
      </w:r>
      <w:r>
        <w:fldChar w:fldCharType="separate"/>
      </w:r>
      <w:r>
        <w:t>45</w:t>
      </w:r>
      <w:r>
        <w:fldChar w:fldCharType="end"/>
      </w:r>
    </w:p>
    <w:p w14:paraId="010700CE"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Anxiety, affective and alcohol disorders</w:t>
      </w:r>
      <w:r>
        <w:rPr>
          <w:noProof/>
        </w:rPr>
        <w:tab/>
      </w:r>
      <w:r>
        <w:rPr>
          <w:noProof/>
        </w:rPr>
        <w:fldChar w:fldCharType="begin"/>
      </w:r>
      <w:r>
        <w:rPr>
          <w:noProof/>
        </w:rPr>
        <w:instrText xml:space="preserve"> PAGEREF _Toc532474367 \h </w:instrText>
      </w:r>
      <w:r>
        <w:rPr>
          <w:noProof/>
        </w:rPr>
      </w:r>
      <w:r>
        <w:rPr>
          <w:noProof/>
        </w:rPr>
        <w:fldChar w:fldCharType="separate"/>
      </w:r>
      <w:r>
        <w:rPr>
          <w:noProof/>
        </w:rPr>
        <w:t>47</w:t>
      </w:r>
      <w:r>
        <w:rPr>
          <w:noProof/>
        </w:rPr>
        <w:fldChar w:fldCharType="end"/>
      </w:r>
    </w:p>
    <w:p w14:paraId="04B6A114"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Anxiety disorders</w:t>
      </w:r>
      <w:r>
        <w:rPr>
          <w:noProof/>
        </w:rPr>
        <w:tab/>
      </w:r>
      <w:r>
        <w:rPr>
          <w:noProof/>
        </w:rPr>
        <w:fldChar w:fldCharType="begin"/>
      </w:r>
      <w:r>
        <w:rPr>
          <w:noProof/>
        </w:rPr>
        <w:instrText xml:space="preserve"> PAGEREF _Toc532474368 \h </w:instrText>
      </w:r>
      <w:r>
        <w:rPr>
          <w:noProof/>
        </w:rPr>
      </w:r>
      <w:r>
        <w:rPr>
          <w:noProof/>
        </w:rPr>
        <w:fldChar w:fldCharType="separate"/>
      </w:r>
      <w:r>
        <w:rPr>
          <w:noProof/>
        </w:rPr>
        <w:t>50</w:t>
      </w:r>
      <w:r>
        <w:rPr>
          <w:noProof/>
        </w:rPr>
        <w:fldChar w:fldCharType="end"/>
      </w:r>
    </w:p>
    <w:p w14:paraId="6D4E1F42"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Affective disorders</w:t>
      </w:r>
      <w:r>
        <w:rPr>
          <w:noProof/>
        </w:rPr>
        <w:tab/>
      </w:r>
      <w:r>
        <w:rPr>
          <w:noProof/>
        </w:rPr>
        <w:fldChar w:fldCharType="begin"/>
      </w:r>
      <w:r>
        <w:rPr>
          <w:noProof/>
        </w:rPr>
        <w:instrText xml:space="preserve"> PAGEREF _Toc532474369 \h </w:instrText>
      </w:r>
      <w:r>
        <w:rPr>
          <w:noProof/>
        </w:rPr>
      </w:r>
      <w:r>
        <w:rPr>
          <w:noProof/>
        </w:rPr>
        <w:fldChar w:fldCharType="separate"/>
      </w:r>
      <w:r>
        <w:rPr>
          <w:noProof/>
        </w:rPr>
        <w:t>54</w:t>
      </w:r>
      <w:r>
        <w:rPr>
          <w:noProof/>
        </w:rPr>
        <w:fldChar w:fldCharType="end"/>
      </w:r>
    </w:p>
    <w:p w14:paraId="691205A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Alcohol disorders</w:t>
      </w:r>
      <w:r>
        <w:rPr>
          <w:noProof/>
        </w:rPr>
        <w:tab/>
      </w:r>
      <w:r>
        <w:rPr>
          <w:noProof/>
        </w:rPr>
        <w:fldChar w:fldCharType="begin"/>
      </w:r>
      <w:r>
        <w:rPr>
          <w:noProof/>
        </w:rPr>
        <w:instrText xml:space="preserve"> PAGEREF _Toc532474370 \h </w:instrText>
      </w:r>
      <w:r>
        <w:rPr>
          <w:noProof/>
        </w:rPr>
      </w:r>
      <w:r>
        <w:rPr>
          <w:noProof/>
        </w:rPr>
        <w:fldChar w:fldCharType="separate"/>
      </w:r>
      <w:r>
        <w:rPr>
          <w:noProof/>
        </w:rPr>
        <w:t>57</w:t>
      </w:r>
      <w:r>
        <w:rPr>
          <w:noProof/>
        </w:rPr>
        <w:fldChar w:fldCharType="end"/>
      </w:r>
    </w:p>
    <w:p w14:paraId="736F8B4A"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4.5</w:t>
      </w:r>
      <w:r>
        <w:rPr>
          <w:rFonts w:asciiTheme="minorHAnsi" w:eastAsiaTheme="minorEastAsia" w:hAnsiTheme="minorHAnsi" w:cstheme="minorBidi"/>
          <w:noProof/>
          <w:color w:val="auto"/>
          <w:sz w:val="22"/>
          <w:szCs w:val="22"/>
          <w:lang w:eastAsia="en-AU"/>
        </w:rPr>
        <w:tab/>
      </w:r>
      <w:r>
        <w:rPr>
          <w:noProof/>
        </w:rPr>
        <w:t>MHPWS 12-month ICD-10 CIDI disorder predicting Transition and Wellbeing Research Programme 12-month ICD-10 CIDI disorder</w:t>
      </w:r>
      <w:r>
        <w:rPr>
          <w:noProof/>
        </w:rPr>
        <w:tab/>
      </w:r>
      <w:r>
        <w:rPr>
          <w:noProof/>
        </w:rPr>
        <w:fldChar w:fldCharType="begin"/>
      </w:r>
      <w:r>
        <w:rPr>
          <w:noProof/>
        </w:rPr>
        <w:instrText xml:space="preserve"> PAGEREF _Toc532474371 \h </w:instrText>
      </w:r>
      <w:r>
        <w:rPr>
          <w:noProof/>
        </w:rPr>
      </w:r>
      <w:r>
        <w:rPr>
          <w:noProof/>
        </w:rPr>
        <w:fldChar w:fldCharType="separate"/>
      </w:r>
      <w:r>
        <w:rPr>
          <w:noProof/>
        </w:rPr>
        <w:t>59</w:t>
      </w:r>
      <w:r>
        <w:rPr>
          <w:noProof/>
        </w:rPr>
        <w:fldChar w:fldCharType="end"/>
      </w:r>
    </w:p>
    <w:p w14:paraId="193F9BDB" w14:textId="77777777" w:rsidR="00C116B9" w:rsidRDefault="00C116B9">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Self-reported mental health in the longitudinal cohort</w:t>
      </w:r>
      <w:r>
        <w:tab/>
      </w:r>
      <w:r>
        <w:fldChar w:fldCharType="begin"/>
      </w:r>
      <w:r>
        <w:instrText xml:space="preserve"> PAGEREF _Toc532474372 \h </w:instrText>
      </w:r>
      <w:r>
        <w:fldChar w:fldCharType="separate"/>
      </w:r>
      <w:r>
        <w:t>65</w:t>
      </w:r>
      <w:r>
        <w:fldChar w:fldCharType="end"/>
      </w:r>
    </w:p>
    <w:p w14:paraId="384AF1B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Psychological distress (K10) in the longitudinal cohort</w:t>
      </w:r>
      <w:r>
        <w:rPr>
          <w:noProof/>
        </w:rPr>
        <w:tab/>
      </w:r>
      <w:r>
        <w:rPr>
          <w:noProof/>
        </w:rPr>
        <w:fldChar w:fldCharType="begin"/>
      </w:r>
      <w:r>
        <w:rPr>
          <w:noProof/>
        </w:rPr>
        <w:instrText xml:space="preserve"> PAGEREF _Toc532474373 \h </w:instrText>
      </w:r>
      <w:r>
        <w:rPr>
          <w:noProof/>
        </w:rPr>
      </w:r>
      <w:r>
        <w:rPr>
          <w:noProof/>
        </w:rPr>
        <w:fldChar w:fldCharType="separate"/>
      </w:r>
      <w:r>
        <w:rPr>
          <w:noProof/>
        </w:rPr>
        <w:t>68</w:t>
      </w:r>
      <w:r>
        <w:rPr>
          <w:noProof/>
        </w:rPr>
        <w:fldChar w:fldCharType="end"/>
      </w:r>
    </w:p>
    <w:p w14:paraId="2E277BBB" w14:textId="77777777" w:rsidR="00C116B9" w:rsidRDefault="00C116B9">
      <w:pPr>
        <w:pStyle w:val="TOC2"/>
        <w:rPr>
          <w:rFonts w:asciiTheme="minorHAnsi" w:eastAsiaTheme="minorEastAsia" w:hAnsiTheme="minorHAnsi" w:cstheme="minorBidi"/>
          <w:noProof/>
          <w:color w:val="auto"/>
          <w:sz w:val="22"/>
          <w:szCs w:val="22"/>
          <w:lang w:eastAsia="en-AU"/>
        </w:rPr>
      </w:pPr>
      <w:r>
        <w:rPr>
          <w:noProof/>
          <w:lang w:eastAsia="en-AU"/>
        </w:rPr>
        <w:t>5.2</w:t>
      </w:r>
      <w:r>
        <w:rPr>
          <w:rFonts w:asciiTheme="minorHAnsi" w:eastAsiaTheme="minorEastAsia" w:hAnsiTheme="minorHAnsi" w:cstheme="minorBidi"/>
          <w:noProof/>
          <w:color w:val="auto"/>
          <w:sz w:val="22"/>
          <w:szCs w:val="22"/>
          <w:lang w:eastAsia="en-AU"/>
        </w:rPr>
        <w:tab/>
      </w:r>
      <w:r>
        <w:rPr>
          <w:noProof/>
          <w:lang w:eastAsia="en-AU"/>
        </w:rPr>
        <w:t>Posttraumatic stress disorder symptoms (PCL-C) in the longitudinal cohort</w:t>
      </w:r>
      <w:r>
        <w:rPr>
          <w:noProof/>
        </w:rPr>
        <w:tab/>
      </w:r>
      <w:r>
        <w:rPr>
          <w:noProof/>
        </w:rPr>
        <w:fldChar w:fldCharType="begin"/>
      </w:r>
      <w:r>
        <w:rPr>
          <w:noProof/>
        </w:rPr>
        <w:instrText xml:space="preserve"> PAGEREF _Toc532474374 \h </w:instrText>
      </w:r>
      <w:r>
        <w:rPr>
          <w:noProof/>
        </w:rPr>
      </w:r>
      <w:r>
        <w:rPr>
          <w:noProof/>
        </w:rPr>
        <w:fldChar w:fldCharType="separate"/>
      </w:r>
      <w:r>
        <w:rPr>
          <w:noProof/>
        </w:rPr>
        <w:t>74</w:t>
      </w:r>
      <w:r>
        <w:rPr>
          <w:noProof/>
        </w:rPr>
        <w:fldChar w:fldCharType="end"/>
      </w:r>
    </w:p>
    <w:p w14:paraId="3BC279A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5.3</w:t>
      </w:r>
      <w:r>
        <w:rPr>
          <w:rFonts w:asciiTheme="minorHAnsi" w:eastAsiaTheme="minorEastAsia" w:hAnsiTheme="minorHAnsi" w:cstheme="minorBidi"/>
          <w:noProof/>
          <w:color w:val="auto"/>
          <w:sz w:val="22"/>
          <w:szCs w:val="22"/>
          <w:lang w:eastAsia="en-AU"/>
        </w:rPr>
        <w:tab/>
      </w:r>
      <w:r>
        <w:rPr>
          <w:noProof/>
        </w:rPr>
        <w:t>Alcohol use and problem drinking (AUDIT) in the longitudinal cohort</w:t>
      </w:r>
      <w:r>
        <w:rPr>
          <w:noProof/>
        </w:rPr>
        <w:tab/>
      </w:r>
      <w:r>
        <w:rPr>
          <w:noProof/>
        </w:rPr>
        <w:fldChar w:fldCharType="begin"/>
      </w:r>
      <w:r>
        <w:rPr>
          <w:noProof/>
        </w:rPr>
        <w:instrText xml:space="preserve"> PAGEREF _Toc532474375 \h </w:instrText>
      </w:r>
      <w:r>
        <w:rPr>
          <w:noProof/>
        </w:rPr>
      </w:r>
      <w:r>
        <w:rPr>
          <w:noProof/>
        </w:rPr>
        <w:fldChar w:fldCharType="separate"/>
      </w:r>
      <w:r>
        <w:rPr>
          <w:noProof/>
        </w:rPr>
        <w:t>80</w:t>
      </w:r>
      <w:r>
        <w:rPr>
          <w:noProof/>
        </w:rPr>
        <w:fldChar w:fldCharType="end"/>
      </w:r>
    </w:p>
    <w:p w14:paraId="2EC17813"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5.4</w:t>
      </w:r>
      <w:r>
        <w:rPr>
          <w:rFonts w:asciiTheme="minorHAnsi" w:eastAsiaTheme="minorEastAsia" w:hAnsiTheme="minorHAnsi" w:cstheme="minorBidi"/>
          <w:noProof/>
          <w:color w:val="auto"/>
          <w:sz w:val="22"/>
          <w:szCs w:val="22"/>
          <w:lang w:eastAsia="en-AU"/>
        </w:rPr>
        <w:tab/>
      </w:r>
      <w:r>
        <w:rPr>
          <w:noProof/>
        </w:rPr>
        <w:t>Depressive symptoms (PHQ-9) in the longitudinal cohort</w:t>
      </w:r>
      <w:r>
        <w:rPr>
          <w:noProof/>
        </w:rPr>
        <w:tab/>
      </w:r>
      <w:r>
        <w:rPr>
          <w:noProof/>
        </w:rPr>
        <w:fldChar w:fldCharType="begin"/>
      </w:r>
      <w:r>
        <w:rPr>
          <w:noProof/>
        </w:rPr>
        <w:instrText xml:space="preserve"> PAGEREF _Toc532474376 \h </w:instrText>
      </w:r>
      <w:r>
        <w:rPr>
          <w:noProof/>
        </w:rPr>
      </w:r>
      <w:r>
        <w:rPr>
          <w:noProof/>
        </w:rPr>
        <w:fldChar w:fldCharType="separate"/>
      </w:r>
      <w:r>
        <w:rPr>
          <w:noProof/>
        </w:rPr>
        <w:t>86</w:t>
      </w:r>
      <w:r>
        <w:rPr>
          <w:noProof/>
        </w:rPr>
        <w:fldChar w:fldCharType="end"/>
      </w:r>
    </w:p>
    <w:p w14:paraId="4F282F2B"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5.5</w:t>
      </w:r>
      <w:r>
        <w:rPr>
          <w:rFonts w:asciiTheme="minorHAnsi" w:eastAsiaTheme="minorEastAsia" w:hAnsiTheme="minorHAnsi" w:cstheme="minorBidi"/>
          <w:noProof/>
          <w:color w:val="auto"/>
          <w:sz w:val="22"/>
          <w:szCs w:val="22"/>
          <w:lang w:eastAsia="en-AU"/>
        </w:rPr>
        <w:tab/>
      </w:r>
      <w:r>
        <w:rPr>
          <w:noProof/>
        </w:rPr>
        <w:t>Suicidal ideation, plans and attempts in the longitudinal cohort</w:t>
      </w:r>
      <w:r>
        <w:rPr>
          <w:noProof/>
        </w:rPr>
        <w:tab/>
      </w:r>
      <w:r>
        <w:rPr>
          <w:noProof/>
        </w:rPr>
        <w:fldChar w:fldCharType="begin"/>
      </w:r>
      <w:r>
        <w:rPr>
          <w:noProof/>
        </w:rPr>
        <w:instrText xml:space="preserve"> PAGEREF _Toc532474377 \h </w:instrText>
      </w:r>
      <w:r>
        <w:rPr>
          <w:noProof/>
        </w:rPr>
      </w:r>
      <w:r>
        <w:rPr>
          <w:noProof/>
        </w:rPr>
        <w:fldChar w:fldCharType="separate"/>
      </w:r>
      <w:r>
        <w:rPr>
          <w:noProof/>
        </w:rPr>
        <w:t>92</w:t>
      </w:r>
      <w:r>
        <w:rPr>
          <w:noProof/>
        </w:rPr>
        <w:fldChar w:fldCharType="end"/>
      </w:r>
    </w:p>
    <w:p w14:paraId="53A65C49"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5.6</w:t>
      </w:r>
      <w:r>
        <w:rPr>
          <w:rFonts w:asciiTheme="minorHAnsi" w:eastAsiaTheme="minorEastAsia" w:hAnsiTheme="minorHAnsi" w:cstheme="minorBidi"/>
          <w:noProof/>
          <w:color w:val="auto"/>
          <w:sz w:val="22"/>
          <w:szCs w:val="22"/>
          <w:lang w:eastAsia="en-AU"/>
        </w:rPr>
        <w:tab/>
      </w:r>
      <w:r>
        <w:rPr>
          <w:noProof/>
        </w:rPr>
        <w:t>Anger symptoms (DAR-5) in the longitudinal cohort</w:t>
      </w:r>
      <w:r>
        <w:rPr>
          <w:noProof/>
        </w:rPr>
        <w:tab/>
      </w:r>
      <w:r>
        <w:rPr>
          <w:noProof/>
        </w:rPr>
        <w:fldChar w:fldCharType="begin"/>
      </w:r>
      <w:r>
        <w:rPr>
          <w:noProof/>
        </w:rPr>
        <w:instrText xml:space="preserve"> PAGEREF _Toc532474378 \h </w:instrText>
      </w:r>
      <w:r>
        <w:rPr>
          <w:noProof/>
        </w:rPr>
      </w:r>
      <w:r>
        <w:rPr>
          <w:noProof/>
        </w:rPr>
        <w:fldChar w:fldCharType="separate"/>
      </w:r>
      <w:r>
        <w:rPr>
          <w:noProof/>
        </w:rPr>
        <w:t>97</w:t>
      </w:r>
      <w:r>
        <w:rPr>
          <w:noProof/>
        </w:rPr>
        <w:fldChar w:fldCharType="end"/>
      </w:r>
    </w:p>
    <w:p w14:paraId="302F4A4A" w14:textId="77777777" w:rsidR="00C116B9" w:rsidRDefault="00C116B9">
      <w:pPr>
        <w:pStyle w:val="TOC2"/>
        <w:rPr>
          <w:rFonts w:asciiTheme="minorHAnsi" w:eastAsiaTheme="minorEastAsia" w:hAnsiTheme="minorHAnsi" w:cstheme="minorBidi"/>
          <w:noProof/>
          <w:color w:val="auto"/>
          <w:sz w:val="22"/>
          <w:szCs w:val="22"/>
          <w:lang w:eastAsia="en-AU"/>
        </w:rPr>
      </w:pPr>
      <w:r>
        <w:rPr>
          <w:noProof/>
          <w:lang w:eastAsia="en-AU"/>
        </w:rPr>
        <w:t>5.7</w:t>
      </w:r>
      <w:r>
        <w:rPr>
          <w:rFonts w:asciiTheme="minorHAnsi" w:eastAsiaTheme="minorEastAsia" w:hAnsiTheme="minorHAnsi" w:cstheme="minorBidi"/>
          <w:noProof/>
          <w:color w:val="auto"/>
          <w:sz w:val="22"/>
          <w:szCs w:val="22"/>
          <w:lang w:eastAsia="en-AU"/>
        </w:rPr>
        <w:tab/>
      </w:r>
      <w:r>
        <w:rPr>
          <w:noProof/>
          <w:lang w:eastAsia="en-AU"/>
        </w:rPr>
        <w:t>Physical violence in the longitudinal cohort</w:t>
      </w:r>
      <w:r>
        <w:rPr>
          <w:noProof/>
        </w:rPr>
        <w:tab/>
      </w:r>
      <w:r>
        <w:rPr>
          <w:noProof/>
        </w:rPr>
        <w:fldChar w:fldCharType="begin"/>
      </w:r>
      <w:r>
        <w:rPr>
          <w:noProof/>
        </w:rPr>
        <w:instrText xml:space="preserve"> PAGEREF _Toc532474379 \h </w:instrText>
      </w:r>
      <w:r>
        <w:rPr>
          <w:noProof/>
        </w:rPr>
      </w:r>
      <w:r>
        <w:rPr>
          <w:noProof/>
        </w:rPr>
        <w:fldChar w:fldCharType="separate"/>
      </w:r>
      <w:r>
        <w:rPr>
          <w:noProof/>
        </w:rPr>
        <w:t>102</w:t>
      </w:r>
      <w:r>
        <w:rPr>
          <w:noProof/>
        </w:rPr>
        <w:fldChar w:fldCharType="end"/>
      </w:r>
    </w:p>
    <w:p w14:paraId="2141D6B2" w14:textId="77777777" w:rsidR="00C116B9" w:rsidRDefault="00C116B9">
      <w:pPr>
        <w:pStyle w:val="TOC3"/>
        <w:rPr>
          <w:rFonts w:asciiTheme="minorHAnsi" w:eastAsiaTheme="minorEastAsia" w:hAnsiTheme="minorHAnsi" w:cstheme="minorBidi"/>
          <w:noProof/>
          <w:color w:val="auto"/>
          <w:sz w:val="22"/>
          <w:szCs w:val="22"/>
          <w:lang w:eastAsia="en-AU"/>
        </w:rPr>
      </w:pPr>
      <w:r>
        <w:rPr>
          <w:noProof/>
          <w:lang w:eastAsia="en-AU"/>
        </w:rPr>
        <w:t>5.7.1</w:t>
      </w:r>
      <w:r>
        <w:rPr>
          <w:rFonts w:asciiTheme="minorHAnsi" w:eastAsiaTheme="minorEastAsia" w:hAnsiTheme="minorHAnsi" w:cstheme="minorBidi"/>
          <w:noProof/>
          <w:color w:val="auto"/>
          <w:sz w:val="22"/>
          <w:szCs w:val="22"/>
          <w:lang w:eastAsia="en-AU"/>
        </w:rPr>
        <w:tab/>
      </w:r>
      <w:r>
        <w:rPr>
          <w:noProof/>
          <w:lang w:eastAsia="en-AU"/>
        </w:rPr>
        <w:t>Got into a fight and hit someone</w:t>
      </w:r>
      <w:r>
        <w:rPr>
          <w:noProof/>
        </w:rPr>
        <w:tab/>
      </w:r>
      <w:r>
        <w:rPr>
          <w:noProof/>
        </w:rPr>
        <w:fldChar w:fldCharType="begin"/>
      </w:r>
      <w:r>
        <w:rPr>
          <w:noProof/>
        </w:rPr>
        <w:instrText xml:space="preserve"> PAGEREF _Toc532474380 \h </w:instrText>
      </w:r>
      <w:r>
        <w:rPr>
          <w:noProof/>
        </w:rPr>
      </w:r>
      <w:r>
        <w:rPr>
          <w:noProof/>
        </w:rPr>
        <w:fldChar w:fldCharType="separate"/>
      </w:r>
      <w:r>
        <w:rPr>
          <w:noProof/>
        </w:rPr>
        <w:t>103</w:t>
      </w:r>
      <w:r>
        <w:rPr>
          <w:noProof/>
        </w:rPr>
        <w:fldChar w:fldCharType="end"/>
      </w:r>
    </w:p>
    <w:p w14:paraId="75D62E06" w14:textId="77777777" w:rsidR="00C116B9" w:rsidRDefault="00C116B9">
      <w:pPr>
        <w:pStyle w:val="TOC3"/>
        <w:rPr>
          <w:rFonts w:asciiTheme="minorHAnsi" w:eastAsiaTheme="minorEastAsia" w:hAnsiTheme="minorHAnsi" w:cstheme="minorBidi"/>
          <w:noProof/>
          <w:color w:val="auto"/>
          <w:sz w:val="22"/>
          <w:szCs w:val="22"/>
          <w:lang w:eastAsia="en-AU"/>
        </w:rPr>
      </w:pPr>
      <w:r>
        <w:rPr>
          <w:noProof/>
          <w:lang w:eastAsia="en-AU"/>
        </w:rPr>
        <w:t>5.7.2</w:t>
      </w:r>
      <w:r>
        <w:rPr>
          <w:rFonts w:asciiTheme="minorHAnsi" w:eastAsiaTheme="minorEastAsia" w:hAnsiTheme="minorHAnsi" w:cstheme="minorBidi"/>
          <w:noProof/>
          <w:color w:val="auto"/>
          <w:sz w:val="22"/>
          <w:szCs w:val="22"/>
          <w:lang w:eastAsia="en-AU"/>
        </w:rPr>
        <w:tab/>
      </w:r>
      <w:r>
        <w:rPr>
          <w:noProof/>
          <w:lang w:eastAsia="en-AU"/>
        </w:rPr>
        <w:t>Threatened someone with physical violence</w:t>
      </w:r>
      <w:r>
        <w:rPr>
          <w:noProof/>
        </w:rPr>
        <w:tab/>
      </w:r>
      <w:r>
        <w:rPr>
          <w:noProof/>
        </w:rPr>
        <w:fldChar w:fldCharType="begin"/>
      </w:r>
      <w:r>
        <w:rPr>
          <w:noProof/>
        </w:rPr>
        <w:instrText xml:space="preserve"> PAGEREF _Toc532474381 \h </w:instrText>
      </w:r>
      <w:r>
        <w:rPr>
          <w:noProof/>
        </w:rPr>
      </w:r>
      <w:r>
        <w:rPr>
          <w:noProof/>
        </w:rPr>
        <w:fldChar w:fldCharType="separate"/>
      </w:r>
      <w:r>
        <w:rPr>
          <w:noProof/>
        </w:rPr>
        <w:t>107</w:t>
      </w:r>
      <w:r>
        <w:rPr>
          <w:noProof/>
        </w:rPr>
        <w:fldChar w:fldCharType="end"/>
      </w:r>
    </w:p>
    <w:p w14:paraId="34B08155" w14:textId="77777777" w:rsidR="00C116B9" w:rsidRDefault="00C116B9">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Longitudinal course of probable mental disorder in the MHPWS population</w:t>
      </w:r>
      <w:r>
        <w:tab/>
      </w:r>
      <w:r>
        <w:fldChar w:fldCharType="begin"/>
      </w:r>
      <w:r>
        <w:instrText xml:space="preserve"> PAGEREF _Toc532474382 \h </w:instrText>
      </w:r>
      <w:r>
        <w:fldChar w:fldCharType="separate"/>
      </w:r>
      <w:r>
        <w:t>111</w:t>
      </w:r>
      <w:r>
        <w:fldChar w:fldCharType="end"/>
      </w:r>
    </w:p>
    <w:p w14:paraId="725E7BF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Interpreting the odds ratios</w:t>
      </w:r>
      <w:r>
        <w:rPr>
          <w:noProof/>
        </w:rPr>
        <w:tab/>
      </w:r>
      <w:r>
        <w:rPr>
          <w:noProof/>
        </w:rPr>
        <w:fldChar w:fldCharType="begin"/>
      </w:r>
      <w:r>
        <w:rPr>
          <w:noProof/>
        </w:rPr>
        <w:instrText xml:space="preserve"> PAGEREF _Toc532474383 \h </w:instrText>
      </w:r>
      <w:r>
        <w:rPr>
          <w:noProof/>
        </w:rPr>
      </w:r>
      <w:r>
        <w:rPr>
          <w:noProof/>
        </w:rPr>
        <w:fldChar w:fldCharType="separate"/>
      </w:r>
      <w:r>
        <w:rPr>
          <w:noProof/>
        </w:rPr>
        <w:t>112</w:t>
      </w:r>
      <w:r>
        <w:rPr>
          <w:noProof/>
        </w:rPr>
        <w:fldChar w:fldCharType="end"/>
      </w:r>
    </w:p>
    <w:p w14:paraId="2DC65D4B"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6.1.1</w:t>
      </w:r>
      <w:r>
        <w:rPr>
          <w:rFonts w:asciiTheme="minorHAnsi" w:eastAsiaTheme="minorEastAsia" w:hAnsiTheme="minorHAnsi" w:cstheme="minorBidi"/>
          <w:noProof/>
          <w:color w:val="auto"/>
          <w:sz w:val="22"/>
          <w:szCs w:val="22"/>
          <w:lang w:eastAsia="en-AU"/>
        </w:rPr>
        <w:tab/>
      </w:r>
      <w:r>
        <w:rPr>
          <w:noProof/>
        </w:rPr>
        <w:t>Predictors included in the longitudinal cohort model</w:t>
      </w:r>
      <w:r>
        <w:rPr>
          <w:noProof/>
        </w:rPr>
        <w:tab/>
      </w:r>
      <w:r>
        <w:rPr>
          <w:noProof/>
        </w:rPr>
        <w:fldChar w:fldCharType="begin"/>
      </w:r>
      <w:r>
        <w:rPr>
          <w:noProof/>
        </w:rPr>
        <w:instrText xml:space="preserve"> PAGEREF _Toc532474384 \h </w:instrText>
      </w:r>
      <w:r>
        <w:rPr>
          <w:noProof/>
        </w:rPr>
      </w:r>
      <w:r>
        <w:rPr>
          <w:noProof/>
        </w:rPr>
        <w:fldChar w:fldCharType="separate"/>
      </w:r>
      <w:r>
        <w:rPr>
          <w:noProof/>
        </w:rPr>
        <w:t>112</w:t>
      </w:r>
      <w:r>
        <w:rPr>
          <w:noProof/>
        </w:rPr>
        <w:fldChar w:fldCharType="end"/>
      </w:r>
    </w:p>
    <w:p w14:paraId="2DF5C051"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lastRenderedPageBreak/>
        <w:t>6.1.2</w:t>
      </w:r>
      <w:r>
        <w:rPr>
          <w:rFonts w:asciiTheme="minorHAnsi" w:eastAsiaTheme="minorEastAsia" w:hAnsiTheme="minorHAnsi" w:cstheme="minorBidi"/>
          <w:noProof/>
          <w:color w:val="auto"/>
          <w:sz w:val="22"/>
          <w:szCs w:val="22"/>
          <w:lang w:eastAsia="en-AU"/>
        </w:rPr>
        <w:tab/>
      </w:r>
      <w:r>
        <w:rPr>
          <w:noProof/>
        </w:rPr>
        <w:t>Outcome variables</w:t>
      </w:r>
      <w:r>
        <w:rPr>
          <w:noProof/>
        </w:rPr>
        <w:tab/>
      </w:r>
      <w:r>
        <w:rPr>
          <w:noProof/>
        </w:rPr>
        <w:fldChar w:fldCharType="begin"/>
      </w:r>
      <w:r>
        <w:rPr>
          <w:noProof/>
        </w:rPr>
        <w:instrText xml:space="preserve"> PAGEREF _Toc532474385 \h </w:instrText>
      </w:r>
      <w:r>
        <w:rPr>
          <w:noProof/>
        </w:rPr>
      </w:r>
      <w:r>
        <w:rPr>
          <w:noProof/>
        </w:rPr>
        <w:fldChar w:fldCharType="separate"/>
      </w:r>
      <w:r>
        <w:rPr>
          <w:noProof/>
        </w:rPr>
        <w:t>113</w:t>
      </w:r>
      <w:r>
        <w:rPr>
          <w:noProof/>
        </w:rPr>
        <w:fldChar w:fldCharType="end"/>
      </w:r>
    </w:p>
    <w:p w14:paraId="47DFB47F"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6.2</w:t>
      </w:r>
      <w:r>
        <w:rPr>
          <w:rFonts w:asciiTheme="minorHAnsi" w:eastAsiaTheme="minorEastAsia" w:hAnsiTheme="minorHAnsi" w:cstheme="minorBidi"/>
          <w:noProof/>
          <w:color w:val="auto"/>
          <w:sz w:val="22"/>
          <w:szCs w:val="22"/>
          <w:lang w:eastAsia="en-AU"/>
        </w:rPr>
        <w:tab/>
      </w:r>
      <w:r>
        <w:rPr>
          <w:noProof/>
        </w:rPr>
        <w:t>Rates of probable disorder, subsyndromal disorder and no disorder in the longitudinal cohort</w:t>
      </w:r>
      <w:r>
        <w:rPr>
          <w:noProof/>
        </w:rPr>
        <w:tab/>
      </w:r>
      <w:r>
        <w:rPr>
          <w:noProof/>
        </w:rPr>
        <w:fldChar w:fldCharType="begin"/>
      </w:r>
      <w:r>
        <w:rPr>
          <w:noProof/>
        </w:rPr>
        <w:instrText xml:space="preserve"> PAGEREF _Toc532474386 \h </w:instrText>
      </w:r>
      <w:r>
        <w:rPr>
          <w:noProof/>
        </w:rPr>
      </w:r>
      <w:r>
        <w:rPr>
          <w:noProof/>
        </w:rPr>
        <w:fldChar w:fldCharType="separate"/>
      </w:r>
      <w:r>
        <w:rPr>
          <w:noProof/>
        </w:rPr>
        <w:t>116</w:t>
      </w:r>
      <w:r>
        <w:rPr>
          <w:noProof/>
        </w:rPr>
        <w:fldChar w:fldCharType="end"/>
      </w:r>
    </w:p>
    <w:p w14:paraId="6C1C5A81"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6.3</w:t>
      </w:r>
      <w:r>
        <w:rPr>
          <w:rFonts w:asciiTheme="minorHAnsi" w:eastAsiaTheme="minorEastAsia" w:hAnsiTheme="minorHAnsi" w:cstheme="minorBidi"/>
          <w:noProof/>
          <w:color w:val="auto"/>
          <w:sz w:val="22"/>
          <w:szCs w:val="22"/>
          <w:lang w:eastAsia="en-AU"/>
        </w:rPr>
        <w:tab/>
      </w:r>
      <w:r>
        <w:rPr>
          <w:noProof/>
        </w:rPr>
        <w:t>Univariate and multivariate predictive modelling</w:t>
      </w:r>
      <w:r>
        <w:rPr>
          <w:noProof/>
        </w:rPr>
        <w:tab/>
      </w:r>
      <w:r>
        <w:rPr>
          <w:noProof/>
        </w:rPr>
        <w:fldChar w:fldCharType="begin"/>
      </w:r>
      <w:r>
        <w:rPr>
          <w:noProof/>
        </w:rPr>
        <w:instrText xml:space="preserve"> PAGEREF _Toc532474387 \h </w:instrText>
      </w:r>
      <w:r>
        <w:rPr>
          <w:noProof/>
        </w:rPr>
      </w:r>
      <w:r>
        <w:rPr>
          <w:noProof/>
        </w:rPr>
        <w:fldChar w:fldCharType="separate"/>
      </w:r>
      <w:r>
        <w:rPr>
          <w:noProof/>
        </w:rPr>
        <w:t>120</w:t>
      </w:r>
      <w:r>
        <w:rPr>
          <w:noProof/>
        </w:rPr>
        <w:fldChar w:fldCharType="end"/>
      </w:r>
    </w:p>
    <w:p w14:paraId="16C8F60F" w14:textId="77777777" w:rsidR="00C116B9" w:rsidRDefault="00C116B9">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Discussion</w:t>
      </w:r>
      <w:r>
        <w:tab/>
      </w:r>
      <w:r>
        <w:fldChar w:fldCharType="begin"/>
      </w:r>
      <w:r>
        <w:instrText xml:space="preserve"> PAGEREF _Toc532474388 \h </w:instrText>
      </w:r>
      <w:r>
        <w:fldChar w:fldCharType="separate"/>
      </w:r>
      <w:r>
        <w:t>133</w:t>
      </w:r>
      <w:r>
        <w:fldChar w:fldCharType="end"/>
      </w:r>
    </w:p>
    <w:p w14:paraId="3694663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7.1</w:t>
      </w:r>
      <w:r>
        <w:rPr>
          <w:rFonts w:asciiTheme="minorHAnsi" w:eastAsiaTheme="minorEastAsia" w:hAnsiTheme="minorHAnsi" w:cstheme="minorBidi"/>
          <w:noProof/>
          <w:color w:val="auto"/>
          <w:sz w:val="22"/>
          <w:szCs w:val="22"/>
          <w:lang w:eastAsia="en-AU"/>
        </w:rPr>
        <w:tab/>
      </w:r>
      <w:r>
        <w:rPr>
          <w:noProof/>
        </w:rPr>
        <w:t>Socio-demographic factors</w:t>
      </w:r>
      <w:r>
        <w:rPr>
          <w:noProof/>
        </w:rPr>
        <w:tab/>
      </w:r>
      <w:r>
        <w:rPr>
          <w:noProof/>
        </w:rPr>
        <w:fldChar w:fldCharType="begin"/>
      </w:r>
      <w:r>
        <w:rPr>
          <w:noProof/>
        </w:rPr>
        <w:instrText xml:space="preserve"> PAGEREF _Toc532474389 \h </w:instrText>
      </w:r>
      <w:r>
        <w:rPr>
          <w:noProof/>
        </w:rPr>
      </w:r>
      <w:r>
        <w:rPr>
          <w:noProof/>
        </w:rPr>
        <w:fldChar w:fldCharType="separate"/>
      </w:r>
      <w:r>
        <w:rPr>
          <w:noProof/>
        </w:rPr>
        <w:t>133</w:t>
      </w:r>
      <w:r>
        <w:rPr>
          <w:noProof/>
        </w:rPr>
        <w:fldChar w:fldCharType="end"/>
      </w:r>
    </w:p>
    <w:p w14:paraId="7621C10A"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7.2</w:t>
      </w:r>
      <w:r>
        <w:rPr>
          <w:rFonts w:asciiTheme="minorHAnsi" w:eastAsiaTheme="minorEastAsia" w:hAnsiTheme="minorHAnsi" w:cstheme="minorBidi"/>
          <w:noProof/>
          <w:color w:val="auto"/>
          <w:sz w:val="22"/>
          <w:szCs w:val="22"/>
          <w:lang w:eastAsia="en-AU"/>
        </w:rPr>
        <w:tab/>
      </w:r>
      <w:r>
        <w:rPr>
          <w:noProof/>
        </w:rPr>
        <w:t>Changing rates of mental disorder between 2010 and 2015</w:t>
      </w:r>
      <w:r>
        <w:rPr>
          <w:noProof/>
        </w:rPr>
        <w:tab/>
      </w:r>
      <w:r>
        <w:rPr>
          <w:noProof/>
        </w:rPr>
        <w:fldChar w:fldCharType="begin"/>
      </w:r>
      <w:r>
        <w:rPr>
          <w:noProof/>
        </w:rPr>
        <w:instrText xml:space="preserve"> PAGEREF _Toc532474390 \h </w:instrText>
      </w:r>
      <w:r>
        <w:rPr>
          <w:noProof/>
        </w:rPr>
      </w:r>
      <w:r>
        <w:rPr>
          <w:noProof/>
        </w:rPr>
        <w:fldChar w:fldCharType="separate"/>
      </w:r>
      <w:r>
        <w:rPr>
          <w:noProof/>
        </w:rPr>
        <w:t>134</w:t>
      </w:r>
      <w:r>
        <w:rPr>
          <w:noProof/>
        </w:rPr>
        <w:fldChar w:fldCharType="end"/>
      </w:r>
    </w:p>
    <w:p w14:paraId="07F788E8"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7.3</w:t>
      </w:r>
      <w:r>
        <w:rPr>
          <w:rFonts w:asciiTheme="minorHAnsi" w:eastAsiaTheme="minorEastAsia" w:hAnsiTheme="minorHAnsi" w:cstheme="minorBidi"/>
          <w:noProof/>
          <w:color w:val="auto"/>
          <w:sz w:val="22"/>
          <w:szCs w:val="22"/>
          <w:lang w:eastAsia="en-AU"/>
        </w:rPr>
        <w:tab/>
      </w:r>
      <w:r>
        <w:rPr>
          <w:noProof/>
        </w:rPr>
        <w:t>Resilience</w:t>
      </w:r>
      <w:r>
        <w:rPr>
          <w:noProof/>
        </w:rPr>
        <w:tab/>
      </w:r>
      <w:r>
        <w:rPr>
          <w:noProof/>
        </w:rPr>
        <w:fldChar w:fldCharType="begin"/>
      </w:r>
      <w:r>
        <w:rPr>
          <w:noProof/>
        </w:rPr>
        <w:instrText xml:space="preserve"> PAGEREF _Toc532474391 \h </w:instrText>
      </w:r>
      <w:r>
        <w:rPr>
          <w:noProof/>
        </w:rPr>
      </w:r>
      <w:r>
        <w:rPr>
          <w:noProof/>
        </w:rPr>
        <w:fldChar w:fldCharType="separate"/>
      </w:r>
      <w:r>
        <w:rPr>
          <w:noProof/>
        </w:rPr>
        <w:t>135</w:t>
      </w:r>
      <w:r>
        <w:rPr>
          <w:noProof/>
        </w:rPr>
        <w:fldChar w:fldCharType="end"/>
      </w:r>
    </w:p>
    <w:p w14:paraId="3E4BF1E4"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7.4</w:t>
      </w:r>
      <w:r>
        <w:rPr>
          <w:rFonts w:asciiTheme="minorHAnsi" w:eastAsiaTheme="minorEastAsia" w:hAnsiTheme="minorHAnsi" w:cstheme="minorBidi"/>
          <w:noProof/>
          <w:color w:val="auto"/>
          <w:sz w:val="22"/>
          <w:szCs w:val="22"/>
          <w:lang w:eastAsia="en-AU"/>
        </w:rPr>
        <w:tab/>
      </w:r>
      <w:r>
        <w:rPr>
          <w:noProof/>
        </w:rPr>
        <w:t>Twelve-month CIDI mental disorders over time</w:t>
      </w:r>
      <w:r>
        <w:rPr>
          <w:noProof/>
        </w:rPr>
        <w:tab/>
      </w:r>
      <w:r>
        <w:rPr>
          <w:noProof/>
        </w:rPr>
        <w:fldChar w:fldCharType="begin"/>
      </w:r>
      <w:r>
        <w:rPr>
          <w:noProof/>
        </w:rPr>
        <w:instrText xml:space="preserve"> PAGEREF _Toc532474392 \h </w:instrText>
      </w:r>
      <w:r>
        <w:rPr>
          <w:noProof/>
        </w:rPr>
      </w:r>
      <w:r>
        <w:rPr>
          <w:noProof/>
        </w:rPr>
        <w:fldChar w:fldCharType="separate"/>
      </w:r>
      <w:r>
        <w:rPr>
          <w:noProof/>
        </w:rPr>
        <w:t>135</w:t>
      </w:r>
      <w:r>
        <w:rPr>
          <w:noProof/>
        </w:rPr>
        <w:fldChar w:fldCharType="end"/>
      </w:r>
    </w:p>
    <w:p w14:paraId="028B87DB"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7.4.1</w:t>
      </w:r>
      <w:r>
        <w:rPr>
          <w:rFonts w:asciiTheme="minorHAnsi" w:eastAsiaTheme="minorEastAsia" w:hAnsiTheme="minorHAnsi" w:cstheme="minorBidi"/>
          <w:noProof/>
          <w:color w:val="auto"/>
          <w:sz w:val="22"/>
          <w:szCs w:val="22"/>
          <w:lang w:eastAsia="en-AU"/>
        </w:rPr>
        <w:tab/>
      </w:r>
      <w:r>
        <w:rPr>
          <w:noProof/>
        </w:rPr>
        <w:t>Anxiety disorder</w:t>
      </w:r>
      <w:r>
        <w:rPr>
          <w:noProof/>
        </w:rPr>
        <w:tab/>
      </w:r>
      <w:r>
        <w:rPr>
          <w:noProof/>
        </w:rPr>
        <w:fldChar w:fldCharType="begin"/>
      </w:r>
      <w:r>
        <w:rPr>
          <w:noProof/>
        </w:rPr>
        <w:instrText xml:space="preserve"> PAGEREF _Toc532474393 \h </w:instrText>
      </w:r>
      <w:r>
        <w:rPr>
          <w:noProof/>
        </w:rPr>
      </w:r>
      <w:r>
        <w:rPr>
          <w:noProof/>
        </w:rPr>
        <w:fldChar w:fldCharType="separate"/>
      </w:r>
      <w:r>
        <w:rPr>
          <w:noProof/>
        </w:rPr>
        <w:t>135</w:t>
      </w:r>
      <w:r>
        <w:rPr>
          <w:noProof/>
        </w:rPr>
        <w:fldChar w:fldCharType="end"/>
      </w:r>
    </w:p>
    <w:p w14:paraId="3DE78FBC"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7.4.2</w:t>
      </w:r>
      <w:r>
        <w:rPr>
          <w:rFonts w:asciiTheme="minorHAnsi" w:eastAsiaTheme="minorEastAsia" w:hAnsiTheme="minorHAnsi" w:cstheme="minorBidi"/>
          <w:noProof/>
          <w:color w:val="auto"/>
          <w:sz w:val="22"/>
          <w:szCs w:val="22"/>
          <w:lang w:eastAsia="en-AU"/>
        </w:rPr>
        <w:tab/>
      </w:r>
      <w:r>
        <w:rPr>
          <w:noProof/>
        </w:rPr>
        <w:t>Affective disorders</w:t>
      </w:r>
      <w:r>
        <w:rPr>
          <w:noProof/>
        </w:rPr>
        <w:tab/>
      </w:r>
      <w:r>
        <w:rPr>
          <w:noProof/>
        </w:rPr>
        <w:fldChar w:fldCharType="begin"/>
      </w:r>
      <w:r>
        <w:rPr>
          <w:noProof/>
        </w:rPr>
        <w:instrText xml:space="preserve"> PAGEREF _Toc532474394 \h </w:instrText>
      </w:r>
      <w:r>
        <w:rPr>
          <w:noProof/>
        </w:rPr>
      </w:r>
      <w:r>
        <w:rPr>
          <w:noProof/>
        </w:rPr>
        <w:fldChar w:fldCharType="separate"/>
      </w:r>
      <w:r>
        <w:rPr>
          <w:noProof/>
        </w:rPr>
        <w:t>139</w:t>
      </w:r>
      <w:r>
        <w:rPr>
          <w:noProof/>
        </w:rPr>
        <w:fldChar w:fldCharType="end"/>
      </w:r>
    </w:p>
    <w:p w14:paraId="7781FB75"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7.4.3</w:t>
      </w:r>
      <w:r>
        <w:rPr>
          <w:rFonts w:asciiTheme="minorHAnsi" w:eastAsiaTheme="minorEastAsia" w:hAnsiTheme="minorHAnsi" w:cstheme="minorBidi"/>
          <w:noProof/>
          <w:color w:val="auto"/>
          <w:sz w:val="22"/>
          <w:szCs w:val="22"/>
          <w:lang w:eastAsia="en-AU"/>
        </w:rPr>
        <w:tab/>
      </w:r>
      <w:r>
        <w:rPr>
          <w:noProof/>
        </w:rPr>
        <w:t>Alcohol disorders</w:t>
      </w:r>
      <w:r>
        <w:rPr>
          <w:noProof/>
        </w:rPr>
        <w:tab/>
      </w:r>
      <w:r>
        <w:rPr>
          <w:noProof/>
        </w:rPr>
        <w:fldChar w:fldCharType="begin"/>
      </w:r>
      <w:r>
        <w:rPr>
          <w:noProof/>
        </w:rPr>
        <w:instrText xml:space="preserve"> PAGEREF _Toc532474395 \h </w:instrText>
      </w:r>
      <w:r>
        <w:rPr>
          <w:noProof/>
        </w:rPr>
      </w:r>
      <w:r>
        <w:rPr>
          <w:noProof/>
        </w:rPr>
        <w:fldChar w:fldCharType="separate"/>
      </w:r>
      <w:r>
        <w:rPr>
          <w:noProof/>
        </w:rPr>
        <w:t>140</w:t>
      </w:r>
      <w:r>
        <w:rPr>
          <w:noProof/>
        </w:rPr>
        <w:fldChar w:fldCharType="end"/>
      </w:r>
    </w:p>
    <w:p w14:paraId="5098B861"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7.5</w:t>
      </w:r>
      <w:r>
        <w:rPr>
          <w:rFonts w:asciiTheme="minorHAnsi" w:eastAsiaTheme="minorEastAsia" w:hAnsiTheme="minorHAnsi" w:cstheme="minorBidi"/>
          <w:noProof/>
          <w:color w:val="auto"/>
          <w:sz w:val="22"/>
          <w:szCs w:val="22"/>
          <w:lang w:eastAsia="en-AU"/>
        </w:rPr>
        <w:tab/>
      </w:r>
      <w:r>
        <w:rPr>
          <w:noProof/>
        </w:rPr>
        <w:t>Self-reported mental health over time</w:t>
      </w:r>
      <w:r>
        <w:rPr>
          <w:noProof/>
        </w:rPr>
        <w:tab/>
      </w:r>
      <w:r>
        <w:rPr>
          <w:noProof/>
        </w:rPr>
        <w:fldChar w:fldCharType="begin"/>
      </w:r>
      <w:r>
        <w:rPr>
          <w:noProof/>
        </w:rPr>
        <w:instrText xml:space="preserve"> PAGEREF _Toc532474396 \h </w:instrText>
      </w:r>
      <w:r>
        <w:rPr>
          <w:noProof/>
        </w:rPr>
      </w:r>
      <w:r>
        <w:rPr>
          <w:noProof/>
        </w:rPr>
        <w:fldChar w:fldCharType="separate"/>
      </w:r>
      <w:r>
        <w:rPr>
          <w:noProof/>
        </w:rPr>
        <w:t>141</w:t>
      </w:r>
      <w:r>
        <w:rPr>
          <w:noProof/>
        </w:rPr>
        <w:fldChar w:fldCharType="end"/>
      </w:r>
    </w:p>
    <w:p w14:paraId="0DE64B44"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7.5.1</w:t>
      </w:r>
      <w:r>
        <w:rPr>
          <w:rFonts w:asciiTheme="minorHAnsi" w:eastAsiaTheme="minorEastAsia" w:hAnsiTheme="minorHAnsi" w:cstheme="minorBidi"/>
          <w:noProof/>
          <w:color w:val="auto"/>
          <w:sz w:val="22"/>
          <w:szCs w:val="22"/>
          <w:lang w:eastAsia="en-AU"/>
        </w:rPr>
        <w:tab/>
      </w:r>
      <w:r>
        <w:rPr>
          <w:noProof/>
        </w:rPr>
        <w:t>Psychological distress</w:t>
      </w:r>
      <w:r>
        <w:rPr>
          <w:noProof/>
        </w:rPr>
        <w:tab/>
      </w:r>
      <w:r>
        <w:rPr>
          <w:noProof/>
        </w:rPr>
        <w:fldChar w:fldCharType="begin"/>
      </w:r>
      <w:r>
        <w:rPr>
          <w:noProof/>
        </w:rPr>
        <w:instrText xml:space="preserve"> PAGEREF _Toc532474397 \h </w:instrText>
      </w:r>
      <w:r>
        <w:rPr>
          <w:noProof/>
        </w:rPr>
      </w:r>
      <w:r>
        <w:rPr>
          <w:noProof/>
        </w:rPr>
        <w:fldChar w:fldCharType="separate"/>
      </w:r>
      <w:r>
        <w:rPr>
          <w:noProof/>
        </w:rPr>
        <w:t>142</w:t>
      </w:r>
      <w:r>
        <w:rPr>
          <w:noProof/>
        </w:rPr>
        <w:fldChar w:fldCharType="end"/>
      </w:r>
    </w:p>
    <w:p w14:paraId="56E22401"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7.5.2</w:t>
      </w:r>
      <w:r>
        <w:rPr>
          <w:rFonts w:asciiTheme="minorHAnsi" w:eastAsiaTheme="minorEastAsia" w:hAnsiTheme="minorHAnsi" w:cstheme="minorBidi"/>
          <w:noProof/>
          <w:color w:val="auto"/>
          <w:sz w:val="22"/>
          <w:szCs w:val="22"/>
          <w:lang w:eastAsia="en-AU"/>
        </w:rPr>
        <w:tab/>
      </w:r>
      <w:r>
        <w:rPr>
          <w:noProof/>
        </w:rPr>
        <w:t>Posttraumatic stress disorder symptoms</w:t>
      </w:r>
      <w:r>
        <w:rPr>
          <w:noProof/>
        </w:rPr>
        <w:tab/>
      </w:r>
      <w:r>
        <w:rPr>
          <w:noProof/>
        </w:rPr>
        <w:fldChar w:fldCharType="begin"/>
      </w:r>
      <w:r>
        <w:rPr>
          <w:noProof/>
        </w:rPr>
        <w:instrText xml:space="preserve"> PAGEREF _Toc532474398 \h </w:instrText>
      </w:r>
      <w:r>
        <w:rPr>
          <w:noProof/>
        </w:rPr>
      </w:r>
      <w:r>
        <w:rPr>
          <w:noProof/>
        </w:rPr>
        <w:fldChar w:fldCharType="separate"/>
      </w:r>
      <w:r>
        <w:rPr>
          <w:noProof/>
        </w:rPr>
        <w:t>143</w:t>
      </w:r>
      <w:r>
        <w:rPr>
          <w:noProof/>
        </w:rPr>
        <w:fldChar w:fldCharType="end"/>
      </w:r>
    </w:p>
    <w:p w14:paraId="3C8C0BF6"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7.5.3</w:t>
      </w:r>
      <w:r>
        <w:rPr>
          <w:rFonts w:asciiTheme="minorHAnsi" w:eastAsiaTheme="minorEastAsia" w:hAnsiTheme="minorHAnsi" w:cstheme="minorBidi"/>
          <w:noProof/>
          <w:color w:val="auto"/>
          <w:sz w:val="22"/>
          <w:szCs w:val="22"/>
          <w:lang w:eastAsia="en-AU"/>
        </w:rPr>
        <w:tab/>
      </w:r>
      <w:r>
        <w:rPr>
          <w:noProof/>
        </w:rPr>
        <w:t>Alcohol use</w:t>
      </w:r>
      <w:r>
        <w:rPr>
          <w:noProof/>
        </w:rPr>
        <w:tab/>
      </w:r>
      <w:r>
        <w:rPr>
          <w:noProof/>
        </w:rPr>
        <w:fldChar w:fldCharType="begin"/>
      </w:r>
      <w:r>
        <w:rPr>
          <w:noProof/>
        </w:rPr>
        <w:instrText xml:space="preserve"> PAGEREF _Toc532474399 \h </w:instrText>
      </w:r>
      <w:r>
        <w:rPr>
          <w:noProof/>
        </w:rPr>
      </w:r>
      <w:r>
        <w:rPr>
          <w:noProof/>
        </w:rPr>
        <w:fldChar w:fldCharType="separate"/>
      </w:r>
      <w:r>
        <w:rPr>
          <w:noProof/>
        </w:rPr>
        <w:t>145</w:t>
      </w:r>
      <w:r>
        <w:rPr>
          <w:noProof/>
        </w:rPr>
        <w:fldChar w:fldCharType="end"/>
      </w:r>
    </w:p>
    <w:p w14:paraId="63B3AEC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7.5.4</w:t>
      </w:r>
      <w:r>
        <w:rPr>
          <w:rFonts w:asciiTheme="minorHAnsi" w:eastAsiaTheme="minorEastAsia" w:hAnsiTheme="minorHAnsi" w:cstheme="minorBidi"/>
          <w:noProof/>
          <w:color w:val="auto"/>
          <w:sz w:val="22"/>
          <w:szCs w:val="22"/>
          <w:lang w:eastAsia="en-AU"/>
        </w:rPr>
        <w:tab/>
      </w:r>
      <w:r>
        <w:rPr>
          <w:noProof/>
        </w:rPr>
        <w:t>Depressive symptoms</w:t>
      </w:r>
      <w:r>
        <w:rPr>
          <w:noProof/>
        </w:rPr>
        <w:tab/>
      </w:r>
      <w:r>
        <w:rPr>
          <w:noProof/>
        </w:rPr>
        <w:fldChar w:fldCharType="begin"/>
      </w:r>
      <w:r>
        <w:rPr>
          <w:noProof/>
        </w:rPr>
        <w:instrText xml:space="preserve"> PAGEREF _Toc532474400 \h </w:instrText>
      </w:r>
      <w:r>
        <w:rPr>
          <w:noProof/>
        </w:rPr>
      </w:r>
      <w:r>
        <w:rPr>
          <w:noProof/>
        </w:rPr>
        <w:fldChar w:fldCharType="separate"/>
      </w:r>
      <w:r>
        <w:rPr>
          <w:noProof/>
        </w:rPr>
        <w:t>146</w:t>
      </w:r>
      <w:r>
        <w:rPr>
          <w:noProof/>
        </w:rPr>
        <w:fldChar w:fldCharType="end"/>
      </w:r>
    </w:p>
    <w:p w14:paraId="7F454DBA"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7.5.5</w:t>
      </w:r>
      <w:r>
        <w:rPr>
          <w:rFonts w:asciiTheme="minorHAnsi" w:eastAsiaTheme="minorEastAsia" w:hAnsiTheme="minorHAnsi" w:cstheme="minorBidi"/>
          <w:noProof/>
          <w:color w:val="auto"/>
          <w:sz w:val="22"/>
          <w:szCs w:val="22"/>
          <w:lang w:eastAsia="en-AU"/>
        </w:rPr>
        <w:tab/>
      </w:r>
      <w:r>
        <w:rPr>
          <w:noProof/>
        </w:rPr>
        <w:t>Anger</w:t>
      </w:r>
      <w:r>
        <w:rPr>
          <w:noProof/>
        </w:rPr>
        <w:tab/>
      </w:r>
      <w:r>
        <w:rPr>
          <w:noProof/>
        </w:rPr>
        <w:fldChar w:fldCharType="begin"/>
      </w:r>
      <w:r>
        <w:rPr>
          <w:noProof/>
        </w:rPr>
        <w:instrText xml:space="preserve"> PAGEREF _Toc532474401 \h </w:instrText>
      </w:r>
      <w:r>
        <w:rPr>
          <w:noProof/>
        </w:rPr>
      </w:r>
      <w:r>
        <w:rPr>
          <w:noProof/>
        </w:rPr>
        <w:fldChar w:fldCharType="separate"/>
      </w:r>
      <w:r>
        <w:rPr>
          <w:noProof/>
        </w:rPr>
        <w:t>148</w:t>
      </w:r>
      <w:r>
        <w:rPr>
          <w:noProof/>
        </w:rPr>
        <w:fldChar w:fldCharType="end"/>
      </w:r>
    </w:p>
    <w:p w14:paraId="20C3CA50"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7.5.6</w:t>
      </w:r>
      <w:r>
        <w:rPr>
          <w:rFonts w:asciiTheme="minorHAnsi" w:eastAsiaTheme="minorEastAsia" w:hAnsiTheme="minorHAnsi" w:cstheme="minorBidi"/>
          <w:noProof/>
          <w:color w:val="auto"/>
          <w:sz w:val="22"/>
          <w:szCs w:val="22"/>
          <w:lang w:eastAsia="en-AU"/>
        </w:rPr>
        <w:tab/>
      </w:r>
      <w:r>
        <w:rPr>
          <w:noProof/>
        </w:rPr>
        <w:t>Violence</w:t>
      </w:r>
      <w:r>
        <w:rPr>
          <w:noProof/>
        </w:rPr>
        <w:tab/>
      </w:r>
      <w:r>
        <w:rPr>
          <w:noProof/>
        </w:rPr>
        <w:fldChar w:fldCharType="begin"/>
      </w:r>
      <w:r>
        <w:rPr>
          <w:noProof/>
        </w:rPr>
        <w:instrText xml:space="preserve"> PAGEREF _Toc532474402 \h </w:instrText>
      </w:r>
      <w:r>
        <w:rPr>
          <w:noProof/>
        </w:rPr>
      </w:r>
      <w:r>
        <w:rPr>
          <w:noProof/>
        </w:rPr>
        <w:fldChar w:fldCharType="separate"/>
      </w:r>
      <w:r>
        <w:rPr>
          <w:noProof/>
        </w:rPr>
        <w:t>149</w:t>
      </w:r>
      <w:r>
        <w:rPr>
          <w:noProof/>
        </w:rPr>
        <w:fldChar w:fldCharType="end"/>
      </w:r>
    </w:p>
    <w:p w14:paraId="12352E91"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7.5.7</w:t>
      </w:r>
      <w:r>
        <w:rPr>
          <w:rFonts w:asciiTheme="minorHAnsi" w:eastAsiaTheme="minorEastAsia" w:hAnsiTheme="minorHAnsi" w:cstheme="minorBidi"/>
          <w:noProof/>
          <w:color w:val="auto"/>
          <w:sz w:val="22"/>
          <w:szCs w:val="22"/>
          <w:lang w:eastAsia="en-AU"/>
        </w:rPr>
        <w:tab/>
      </w:r>
      <w:r>
        <w:rPr>
          <w:noProof/>
        </w:rPr>
        <w:t>Suicidality</w:t>
      </w:r>
      <w:r>
        <w:rPr>
          <w:noProof/>
        </w:rPr>
        <w:tab/>
      </w:r>
      <w:r>
        <w:rPr>
          <w:noProof/>
        </w:rPr>
        <w:fldChar w:fldCharType="begin"/>
      </w:r>
      <w:r>
        <w:rPr>
          <w:noProof/>
        </w:rPr>
        <w:instrText xml:space="preserve"> PAGEREF _Toc532474403 \h </w:instrText>
      </w:r>
      <w:r>
        <w:rPr>
          <w:noProof/>
        </w:rPr>
      </w:r>
      <w:r>
        <w:rPr>
          <w:noProof/>
        </w:rPr>
        <w:fldChar w:fldCharType="separate"/>
      </w:r>
      <w:r>
        <w:rPr>
          <w:noProof/>
        </w:rPr>
        <w:t>150</w:t>
      </w:r>
      <w:r>
        <w:rPr>
          <w:noProof/>
        </w:rPr>
        <w:fldChar w:fldCharType="end"/>
      </w:r>
    </w:p>
    <w:p w14:paraId="1D481970"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7.6</w:t>
      </w:r>
      <w:r>
        <w:rPr>
          <w:rFonts w:asciiTheme="minorHAnsi" w:eastAsiaTheme="minorEastAsia" w:hAnsiTheme="minorHAnsi" w:cstheme="minorBidi"/>
          <w:noProof/>
          <w:color w:val="auto"/>
          <w:sz w:val="22"/>
          <w:szCs w:val="22"/>
          <w:lang w:eastAsia="en-AU"/>
        </w:rPr>
        <w:tab/>
      </w:r>
      <w:r>
        <w:rPr>
          <w:noProof/>
        </w:rPr>
        <w:t>Role of rank in predicting mental health status</w:t>
      </w:r>
      <w:r>
        <w:rPr>
          <w:noProof/>
        </w:rPr>
        <w:tab/>
      </w:r>
      <w:r>
        <w:rPr>
          <w:noProof/>
        </w:rPr>
        <w:fldChar w:fldCharType="begin"/>
      </w:r>
      <w:r>
        <w:rPr>
          <w:noProof/>
        </w:rPr>
        <w:instrText xml:space="preserve"> PAGEREF _Toc532474404 \h </w:instrText>
      </w:r>
      <w:r>
        <w:rPr>
          <w:noProof/>
        </w:rPr>
      </w:r>
      <w:r>
        <w:rPr>
          <w:noProof/>
        </w:rPr>
        <w:fldChar w:fldCharType="separate"/>
      </w:r>
      <w:r>
        <w:rPr>
          <w:noProof/>
        </w:rPr>
        <w:t>151</w:t>
      </w:r>
      <w:r>
        <w:rPr>
          <w:noProof/>
        </w:rPr>
        <w:fldChar w:fldCharType="end"/>
      </w:r>
    </w:p>
    <w:p w14:paraId="7204B055"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7.7</w:t>
      </w:r>
      <w:r>
        <w:rPr>
          <w:rFonts w:asciiTheme="minorHAnsi" w:eastAsiaTheme="minorEastAsia" w:hAnsiTheme="minorHAnsi" w:cstheme="minorBidi"/>
          <w:noProof/>
          <w:color w:val="auto"/>
          <w:sz w:val="22"/>
          <w:szCs w:val="22"/>
          <w:lang w:eastAsia="en-AU"/>
        </w:rPr>
        <w:tab/>
      </w:r>
      <w:r>
        <w:rPr>
          <w:noProof/>
        </w:rPr>
        <w:t>Role of trauma exposure in predicting mental health status</w:t>
      </w:r>
      <w:r>
        <w:rPr>
          <w:noProof/>
        </w:rPr>
        <w:tab/>
      </w:r>
      <w:r>
        <w:rPr>
          <w:noProof/>
        </w:rPr>
        <w:fldChar w:fldCharType="begin"/>
      </w:r>
      <w:r>
        <w:rPr>
          <w:noProof/>
        </w:rPr>
        <w:instrText xml:space="preserve"> PAGEREF _Toc532474405 \h </w:instrText>
      </w:r>
      <w:r>
        <w:rPr>
          <w:noProof/>
        </w:rPr>
      </w:r>
      <w:r>
        <w:rPr>
          <w:noProof/>
        </w:rPr>
        <w:fldChar w:fldCharType="separate"/>
      </w:r>
      <w:r>
        <w:rPr>
          <w:noProof/>
        </w:rPr>
        <w:t>152</w:t>
      </w:r>
      <w:r>
        <w:rPr>
          <w:noProof/>
        </w:rPr>
        <w:fldChar w:fldCharType="end"/>
      </w:r>
    </w:p>
    <w:p w14:paraId="38ED9421"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7.8</w:t>
      </w:r>
      <w:r>
        <w:rPr>
          <w:rFonts w:asciiTheme="minorHAnsi" w:eastAsiaTheme="minorEastAsia" w:hAnsiTheme="minorHAnsi" w:cstheme="minorBidi"/>
          <w:noProof/>
          <w:color w:val="auto"/>
          <w:sz w:val="22"/>
          <w:szCs w:val="22"/>
          <w:lang w:eastAsia="en-AU"/>
        </w:rPr>
        <w:tab/>
      </w:r>
      <w:r>
        <w:rPr>
          <w:noProof/>
        </w:rPr>
        <w:t>Role of anger in predicting mental health status</w:t>
      </w:r>
      <w:r>
        <w:rPr>
          <w:noProof/>
        </w:rPr>
        <w:tab/>
      </w:r>
      <w:r>
        <w:rPr>
          <w:noProof/>
        </w:rPr>
        <w:fldChar w:fldCharType="begin"/>
      </w:r>
      <w:r>
        <w:rPr>
          <w:noProof/>
        </w:rPr>
        <w:instrText xml:space="preserve"> PAGEREF _Toc532474406 \h </w:instrText>
      </w:r>
      <w:r>
        <w:rPr>
          <w:noProof/>
        </w:rPr>
      </w:r>
      <w:r>
        <w:rPr>
          <w:noProof/>
        </w:rPr>
        <w:fldChar w:fldCharType="separate"/>
      </w:r>
      <w:r>
        <w:rPr>
          <w:noProof/>
        </w:rPr>
        <w:t>152</w:t>
      </w:r>
      <w:r>
        <w:rPr>
          <w:noProof/>
        </w:rPr>
        <w:fldChar w:fldCharType="end"/>
      </w:r>
    </w:p>
    <w:p w14:paraId="0D589B5F"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7.9</w:t>
      </w:r>
      <w:r>
        <w:rPr>
          <w:rFonts w:asciiTheme="minorHAnsi" w:eastAsiaTheme="minorEastAsia" w:hAnsiTheme="minorHAnsi" w:cstheme="minorBidi"/>
          <w:noProof/>
          <w:color w:val="auto"/>
          <w:sz w:val="22"/>
          <w:szCs w:val="22"/>
          <w:lang w:eastAsia="en-AU"/>
        </w:rPr>
        <w:tab/>
      </w:r>
      <w:r>
        <w:rPr>
          <w:noProof/>
        </w:rPr>
        <w:t>Role of suicidality in predicting mental health status</w:t>
      </w:r>
      <w:r>
        <w:rPr>
          <w:noProof/>
        </w:rPr>
        <w:tab/>
      </w:r>
      <w:r>
        <w:rPr>
          <w:noProof/>
        </w:rPr>
        <w:fldChar w:fldCharType="begin"/>
      </w:r>
      <w:r>
        <w:rPr>
          <w:noProof/>
        </w:rPr>
        <w:instrText xml:space="preserve"> PAGEREF _Toc532474407 \h </w:instrText>
      </w:r>
      <w:r>
        <w:rPr>
          <w:noProof/>
        </w:rPr>
      </w:r>
      <w:r>
        <w:rPr>
          <w:noProof/>
        </w:rPr>
        <w:fldChar w:fldCharType="separate"/>
      </w:r>
      <w:r>
        <w:rPr>
          <w:noProof/>
        </w:rPr>
        <w:t>153</w:t>
      </w:r>
      <w:r>
        <w:rPr>
          <w:noProof/>
        </w:rPr>
        <w:fldChar w:fldCharType="end"/>
      </w:r>
    </w:p>
    <w:p w14:paraId="1B4D35C6"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7.10</w:t>
      </w:r>
      <w:r>
        <w:rPr>
          <w:rFonts w:asciiTheme="minorHAnsi" w:eastAsiaTheme="minorEastAsia" w:hAnsiTheme="minorHAnsi" w:cstheme="minorBidi"/>
          <w:noProof/>
          <w:color w:val="auto"/>
          <w:sz w:val="22"/>
          <w:szCs w:val="22"/>
          <w:lang w:eastAsia="en-AU"/>
        </w:rPr>
        <w:tab/>
      </w:r>
      <w:r>
        <w:rPr>
          <w:noProof/>
        </w:rPr>
        <w:t>Implications and synthesis of longitudinal findings</w:t>
      </w:r>
      <w:r>
        <w:rPr>
          <w:noProof/>
        </w:rPr>
        <w:tab/>
      </w:r>
      <w:r>
        <w:rPr>
          <w:noProof/>
        </w:rPr>
        <w:fldChar w:fldCharType="begin"/>
      </w:r>
      <w:r>
        <w:rPr>
          <w:noProof/>
        </w:rPr>
        <w:instrText xml:space="preserve"> PAGEREF _Toc532474408 \h </w:instrText>
      </w:r>
      <w:r>
        <w:rPr>
          <w:noProof/>
        </w:rPr>
      </w:r>
      <w:r>
        <w:rPr>
          <w:noProof/>
        </w:rPr>
        <w:fldChar w:fldCharType="separate"/>
      </w:r>
      <w:r>
        <w:rPr>
          <w:noProof/>
        </w:rPr>
        <w:t>153</w:t>
      </w:r>
      <w:r>
        <w:rPr>
          <w:noProof/>
        </w:rPr>
        <w:fldChar w:fldCharType="end"/>
      </w:r>
    </w:p>
    <w:p w14:paraId="7C14B17C"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7.10.1</w:t>
      </w:r>
      <w:r>
        <w:rPr>
          <w:rFonts w:asciiTheme="minorHAnsi" w:eastAsiaTheme="minorEastAsia" w:hAnsiTheme="minorHAnsi" w:cstheme="minorBidi"/>
          <w:noProof/>
          <w:color w:val="auto"/>
          <w:sz w:val="22"/>
          <w:szCs w:val="22"/>
          <w:lang w:eastAsia="en-AU"/>
        </w:rPr>
        <w:tab/>
      </w:r>
      <w:r>
        <w:rPr>
          <w:noProof/>
        </w:rPr>
        <w:t>Sensitisation of stress reactions during and following ADF service</w:t>
      </w:r>
      <w:r>
        <w:rPr>
          <w:noProof/>
        </w:rPr>
        <w:tab/>
      </w:r>
      <w:r>
        <w:rPr>
          <w:noProof/>
        </w:rPr>
        <w:fldChar w:fldCharType="begin"/>
      </w:r>
      <w:r>
        <w:rPr>
          <w:noProof/>
        </w:rPr>
        <w:instrText xml:space="preserve"> PAGEREF _Toc532474409 \h </w:instrText>
      </w:r>
      <w:r>
        <w:rPr>
          <w:noProof/>
        </w:rPr>
      </w:r>
      <w:r>
        <w:rPr>
          <w:noProof/>
        </w:rPr>
        <w:fldChar w:fldCharType="separate"/>
      </w:r>
      <w:r>
        <w:rPr>
          <w:noProof/>
        </w:rPr>
        <w:t>153</w:t>
      </w:r>
      <w:r>
        <w:rPr>
          <w:noProof/>
        </w:rPr>
        <w:fldChar w:fldCharType="end"/>
      </w:r>
    </w:p>
    <w:p w14:paraId="40E9E9F8"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7.10.2</w:t>
      </w:r>
      <w:r>
        <w:rPr>
          <w:rFonts w:asciiTheme="minorHAnsi" w:eastAsiaTheme="minorEastAsia" w:hAnsiTheme="minorHAnsi" w:cstheme="minorBidi"/>
          <w:noProof/>
          <w:color w:val="auto"/>
          <w:sz w:val="22"/>
          <w:szCs w:val="22"/>
          <w:lang w:eastAsia="en-AU"/>
        </w:rPr>
        <w:tab/>
      </w:r>
      <w:r>
        <w:rPr>
          <w:noProof/>
        </w:rPr>
        <w:t>Early detection of suicide risk</w:t>
      </w:r>
      <w:r>
        <w:rPr>
          <w:noProof/>
        </w:rPr>
        <w:tab/>
      </w:r>
      <w:r>
        <w:rPr>
          <w:noProof/>
        </w:rPr>
        <w:fldChar w:fldCharType="begin"/>
      </w:r>
      <w:r>
        <w:rPr>
          <w:noProof/>
        </w:rPr>
        <w:instrText xml:space="preserve"> PAGEREF _Toc532474410 \h </w:instrText>
      </w:r>
      <w:r>
        <w:rPr>
          <w:noProof/>
        </w:rPr>
      </w:r>
      <w:r>
        <w:rPr>
          <w:noProof/>
        </w:rPr>
        <w:fldChar w:fldCharType="separate"/>
      </w:r>
      <w:r>
        <w:rPr>
          <w:noProof/>
        </w:rPr>
        <w:t>154</w:t>
      </w:r>
      <w:r>
        <w:rPr>
          <w:noProof/>
        </w:rPr>
        <w:fldChar w:fldCharType="end"/>
      </w:r>
    </w:p>
    <w:p w14:paraId="68C19599"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7.10.3</w:t>
      </w:r>
      <w:r>
        <w:rPr>
          <w:rFonts w:asciiTheme="minorHAnsi" w:eastAsiaTheme="minorEastAsia" w:hAnsiTheme="minorHAnsi" w:cstheme="minorBidi"/>
          <w:noProof/>
          <w:color w:val="auto"/>
          <w:sz w:val="22"/>
          <w:szCs w:val="22"/>
          <w:lang w:eastAsia="en-AU"/>
        </w:rPr>
        <w:tab/>
      </w:r>
      <w:r>
        <w:rPr>
          <w:noProof/>
        </w:rPr>
        <w:t>Prevention of alcohol abuse</w:t>
      </w:r>
      <w:r>
        <w:rPr>
          <w:noProof/>
        </w:rPr>
        <w:tab/>
      </w:r>
      <w:r>
        <w:rPr>
          <w:noProof/>
        </w:rPr>
        <w:fldChar w:fldCharType="begin"/>
      </w:r>
      <w:r>
        <w:rPr>
          <w:noProof/>
        </w:rPr>
        <w:instrText xml:space="preserve"> PAGEREF _Toc532474411 \h </w:instrText>
      </w:r>
      <w:r>
        <w:rPr>
          <w:noProof/>
        </w:rPr>
      </w:r>
      <w:r>
        <w:rPr>
          <w:noProof/>
        </w:rPr>
        <w:fldChar w:fldCharType="separate"/>
      </w:r>
      <w:r>
        <w:rPr>
          <w:noProof/>
        </w:rPr>
        <w:t>154</w:t>
      </w:r>
      <w:r>
        <w:rPr>
          <w:noProof/>
        </w:rPr>
        <w:fldChar w:fldCharType="end"/>
      </w:r>
    </w:p>
    <w:p w14:paraId="65950BDC" w14:textId="77777777" w:rsidR="00C116B9" w:rsidRDefault="00C116B9">
      <w:pPr>
        <w:pStyle w:val="TOC3"/>
        <w:rPr>
          <w:rFonts w:asciiTheme="minorHAnsi" w:eastAsiaTheme="minorEastAsia" w:hAnsiTheme="minorHAnsi" w:cstheme="minorBidi"/>
          <w:noProof/>
          <w:color w:val="auto"/>
          <w:sz w:val="22"/>
          <w:szCs w:val="22"/>
          <w:lang w:eastAsia="en-AU"/>
        </w:rPr>
      </w:pPr>
      <w:r>
        <w:rPr>
          <w:noProof/>
        </w:rPr>
        <w:t>7.10.4</w:t>
      </w:r>
      <w:r>
        <w:rPr>
          <w:rFonts w:asciiTheme="minorHAnsi" w:eastAsiaTheme="minorEastAsia" w:hAnsiTheme="minorHAnsi" w:cstheme="minorBidi"/>
          <w:noProof/>
          <w:color w:val="auto"/>
          <w:sz w:val="22"/>
          <w:szCs w:val="22"/>
          <w:lang w:eastAsia="en-AU"/>
        </w:rPr>
        <w:tab/>
      </w:r>
      <w:r>
        <w:rPr>
          <w:noProof/>
        </w:rPr>
        <w:t>Screening of ADF members prior to and following transition</w:t>
      </w:r>
      <w:r>
        <w:rPr>
          <w:noProof/>
        </w:rPr>
        <w:tab/>
      </w:r>
      <w:r>
        <w:rPr>
          <w:noProof/>
        </w:rPr>
        <w:fldChar w:fldCharType="begin"/>
      </w:r>
      <w:r>
        <w:rPr>
          <w:noProof/>
        </w:rPr>
        <w:instrText xml:space="preserve"> PAGEREF _Toc532474412 \h </w:instrText>
      </w:r>
      <w:r>
        <w:rPr>
          <w:noProof/>
        </w:rPr>
      </w:r>
      <w:r>
        <w:rPr>
          <w:noProof/>
        </w:rPr>
        <w:fldChar w:fldCharType="separate"/>
      </w:r>
      <w:r>
        <w:rPr>
          <w:noProof/>
        </w:rPr>
        <w:t>154</w:t>
      </w:r>
      <w:r>
        <w:rPr>
          <w:noProof/>
        </w:rPr>
        <w:fldChar w:fldCharType="end"/>
      </w:r>
    </w:p>
    <w:p w14:paraId="21F4EBBD"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7.11</w:t>
      </w:r>
      <w:r>
        <w:rPr>
          <w:rFonts w:asciiTheme="minorHAnsi" w:eastAsiaTheme="minorEastAsia" w:hAnsiTheme="minorHAnsi" w:cstheme="minorBidi"/>
          <w:noProof/>
          <w:color w:val="auto"/>
          <w:sz w:val="22"/>
          <w:szCs w:val="22"/>
          <w:lang w:eastAsia="en-AU"/>
        </w:rPr>
        <w:tab/>
      </w:r>
      <w:r>
        <w:rPr>
          <w:noProof/>
        </w:rPr>
        <w:t>Limitations</w:t>
      </w:r>
      <w:r>
        <w:rPr>
          <w:noProof/>
        </w:rPr>
        <w:tab/>
      </w:r>
      <w:r>
        <w:rPr>
          <w:noProof/>
        </w:rPr>
        <w:fldChar w:fldCharType="begin"/>
      </w:r>
      <w:r>
        <w:rPr>
          <w:noProof/>
        </w:rPr>
        <w:instrText xml:space="preserve"> PAGEREF _Toc532474413 \h </w:instrText>
      </w:r>
      <w:r>
        <w:rPr>
          <w:noProof/>
        </w:rPr>
      </w:r>
      <w:r>
        <w:rPr>
          <w:noProof/>
        </w:rPr>
        <w:fldChar w:fldCharType="separate"/>
      </w:r>
      <w:r>
        <w:rPr>
          <w:noProof/>
        </w:rPr>
        <w:t>155</w:t>
      </w:r>
      <w:r>
        <w:rPr>
          <w:noProof/>
        </w:rPr>
        <w:fldChar w:fldCharType="end"/>
      </w:r>
    </w:p>
    <w:p w14:paraId="4C046BF4" w14:textId="77777777" w:rsidR="00C116B9" w:rsidRDefault="00C116B9">
      <w:pPr>
        <w:pStyle w:val="TOC2"/>
        <w:rPr>
          <w:rFonts w:asciiTheme="minorHAnsi" w:eastAsiaTheme="minorEastAsia" w:hAnsiTheme="minorHAnsi" w:cstheme="minorBidi"/>
          <w:noProof/>
          <w:color w:val="auto"/>
          <w:sz w:val="22"/>
          <w:szCs w:val="22"/>
          <w:lang w:eastAsia="en-AU"/>
        </w:rPr>
      </w:pPr>
      <w:r>
        <w:rPr>
          <w:noProof/>
        </w:rPr>
        <w:t>7.12</w:t>
      </w:r>
      <w:r>
        <w:rPr>
          <w:rFonts w:asciiTheme="minorHAnsi" w:eastAsiaTheme="minorEastAsia" w:hAnsiTheme="minorHAnsi" w:cstheme="minorBidi"/>
          <w:noProof/>
          <w:color w:val="auto"/>
          <w:sz w:val="22"/>
          <w:szCs w:val="22"/>
          <w:lang w:eastAsia="en-AU"/>
        </w:rPr>
        <w:tab/>
      </w:r>
      <w:r>
        <w:rPr>
          <w:noProof/>
        </w:rPr>
        <w:t>Conclusion</w:t>
      </w:r>
      <w:r>
        <w:rPr>
          <w:noProof/>
        </w:rPr>
        <w:tab/>
      </w:r>
      <w:r>
        <w:rPr>
          <w:noProof/>
        </w:rPr>
        <w:fldChar w:fldCharType="begin"/>
      </w:r>
      <w:r>
        <w:rPr>
          <w:noProof/>
        </w:rPr>
        <w:instrText xml:space="preserve"> PAGEREF _Toc532474414 \h </w:instrText>
      </w:r>
      <w:r>
        <w:rPr>
          <w:noProof/>
        </w:rPr>
      </w:r>
      <w:r>
        <w:rPr>
          <w:noProof/>
        </w:rPr>
        <w:fldChar w:fldCharType="separate"/>
      </w:r>
      <w:r>
        <w:rPr>
          <w:noProof/>
        </w:rPr>
        <w:t>156</w:t>
      </w:r>
      <w:r>
        <w:rPr>
          <w:noProof/>
        </w:rPr>
        <w:fldChar w:fldCharType="end"/>
      </w:r>
    </w:p>
    <w:p w14:paraId="60AE559E" w14:textId="77777777" w:rsidR="00C116B9" w:rsidRDefault="00C116B9">
      <w:pPr>
        <w:pStyle w:val="TOC1"/>
        <w:rPr>
          <w:rFonts w:asciiTheme="minorHAnsi" w:eastAsiaTheme="minorEastAsia" w:hAnsiTheme="minorHAnsi" w:cstheme="minorBidi"/>
          <w:b w:val="0"/>
          <w:color w:val="auto"/>
          <w:sz w:val="22"/>
          <w:szCs w:val="22"/>
          <w:lang w:eastAsia="en-AU"/>
        </w:rPr>
      </w:pPr>
      <w:r>
        <w:lastRenderedPageBreak/>
        <w:t>Annex A</w:t>
      </w:r>
      <w:r>
        <w:rPr>
          <w:rFonts w:asciiTheme="minorHAnsi" w:eastAsiaTheme="minorEastAsia" w:hAnsiTheme="minorHAnsi" w:cstheme="minorBidi"/>
          <w:b w:val="0"/>
          <w:color w:val="auto"/>
          <w:sz w:val="22"/>
          <w:szCs w:val="22"/>
          <w:lang w:eastAsia="en-AU"/>
        </w:rPr>
        <w:tab/>
      </w:r>
      <w:r>
        <w:t>Mental Health and Wellbeing Transition Study methodology</w:t>
      </w:r>
      <w:r>
        <w:tab/>
      </w:r>
      <w:r>
        <w:fldChar w:fldCharType="begin"/>
      </w:r>
      <w:r>
        <w:instrText xml:space="preserve"> PAGEREF _Toc532474415 \h </w:instrText>
      </w:r>
      <w:r>
        <w:fldChar w:fldCharType="separate"/>
      </w:r>
      <w:r>
        <w:t>159</w:t>
      </w:r>
      <w:r>
        <w:fldChar w:fldCharType="end"/>
      </w:r>
    </w:p>
    <w:p w14:paraId="1B177068" w14:textId="77777777" w:rsidR="00C116B9" w:rsidRDefault="00C116B9">
      <w:pPr>
        <w:pStyle w:val="TOC1"/>
        <w:rPr>
          <w:rFonts w:asciiTheme="minorHAnsi" w:eastAsiaTheme="minorEastAsia" w:hAnsiTheme="minorHAnsi" w:cstheme="minorBidi"/>
          <w:b w:val="0"/>
          <w:color w:val="auto"/>
          <w:sz w:val="22"/>
          <w:szCs w:val="22"/>
          <w:lang w:eastAsia="en-AU"/>
        </w:rPr>
      </w:pPr>
      <w:r>
        <w:t>Annex B</w:t>
      </w:r>
      <w:r>
        <w:rPr>
          <w:rFonts w:asciiTheme="minorHAnsi" w:eastAsiaTheme="minorEastAsia" w:hAnsiTheme="minorHAnsi" w:cstheme="minorBidi"/>
          <w:b w:val="0"/>
          <w:color w:val="auto"/>
          <w:sz w:val="22"/>
          <w:szCs w:val="22"/>
          <w:lang w:eastAsia="en-AU"/>
        </w:rPr>
        <w:tab/>
      </w:r>
      <w:r>
        <w:t>Relevant Australian and international literature</w:t>
      </w:r>
      <w:r>
        <w:tab/>
      </w:r>
      <w:r>
        <w:fldChar w:fldCharType="begin"/>
      </w:r>
      <w:r>
        <w:instrText xml:space="preserve"> PAGEREF _Toc532474416 \h </w:instrText>
      </w:r>
      <w:r>
        <w:fldChar w:fldCharType="separate"/>
      </w:r>
      <w:r>
        <w:t>209</w:t>
      </w:r>
      <w:r>
        <w:fldChar w:fldCharType="end"/>
      </w:r>
    </w:p>
    <w:p w14:paraId="6D400FBC" w14:textId="77777777" w:rsidR="00C116B9" w:rsidRDefault="00C116B9">
      <w:pPr>
        <w:pStyle w:val="TOC1"/>
        <w:rPr>
          <w:rFonts w:asciiTheme="minorHAnsi" w:eastAsiaTheme="minorEastAsia" w:hAnsiTheme="minorHAnsi" w:cstheme="minorBidi"/>
          <w:b w:val="0"/>
          <w:color w:val="auto"/>
          <w:sz w:val="22"/>
          <w:szCs w:val="22"/>
          <w:lang w:eastAsia="en-AU"/>
        </w:rPr>
      </w:pPr>
      <w:r>
        <w:t>Acronyms and abbreviations</w:t>
      </w:r>
      <w:r>
        <w:tab/>
      </w:r>
      <w:r>
        <w:fldChar w:fldCharType="begin"/>
      </w:r>
      <w:r>
        <w:instrText xml:space="preserve"> PAGEREF _Toc532474417 \h </w:instrText>
      </w:r>
      <w:r>
        <w:fldChar w:fldCharType="separate"/>
      </w:r>
      <w:r>
        <w:t>217</w:t>
      </w:r>
      <w:r>
        <w:fldChar w:fldCharType="end"/>
      </w:r>
    </w:p>
    <w:p w14:paraId="4DA883DA" w14:textId="59FCA6B8" w:rsidR="00C116B9" w:rsidRDefault="00C116B9">
      <w:pPr>
        <w:pStyle w:val="TOC1"/>
        <w:rPr>
          <w:rFonts w:asciiTheme="minorHAnsi" w:eastAsiaTheme="minorEastAsia" w:hAnsiTheme="minorHAnsi" w:cstheme="minorBidi"/>
          <w:b w:val="0"/>
          <w:color w:val="auto"/>
          <w:sz w:val="22"/>
          <w:szCs w:val="22"/>
          <w:lang w:eastAsia="en-AU"/>
        </w:rPr>
      </w:pPr>
      <w:r>
        <w:t>Glossary</w:t>
      </w:r>
      <w:r>
        <w:tab/>
      </w:r>
      <w:r>
        <w:tab/>
      </w:r>
      <w:r>
        <w:fldChar w:fldCharType="begin"/>
      </w:r>
      <w:r>
        <w:instrText xml:space="preserve"> PAGEREF _Toc532474418 \h </w:instrText>
      </w:r>
      <w:r>
        <w:fldChar w:fldCharType="separate"/>
      </w:r>
      <w:r>
        <w:t>219</w:t>
      </w:r>
      <w:r>
        <w:fldChar w:fldCharType="end"/>
      </w:r>
    </w:p>
    <w:p w14:paraId="54D712E4" w14:textId="77777777" w:rsidR="00C116B9" w:rsidRDefault="00C116B9">
      <w:pPr>
        <w:pStyle w:val="TOC1"/>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_Toc532474419 \h </w:instrText>
      </w:r>
      <w:r>
        <w:fldChar w:fldCharType="separate"/>
      </w:r>
      <w:r>
        <w:t>235</w:t>
      </w:r>
      <w:r>
        <w:fldChar w:fldCharType="end"/>
      </w:r>
    </w:p>
    <w:p w14:paraId="4EC85201" w14:textId="7D7AF5EF" w:rsidR="00191932" w:rsidRPr="0047058F" w:rsidRDefault="0061597C">
      <w:r w:rsidRPr="0047058F">
        <w:fldChar w:fldCharType="end"/>
      </w:r>
    </w:p>
    <w:p w14:paraId="75FEE27A" w14:textId="77777777" w:rsidR="0047223A" w:rsidRPr="0047058F" w:rsidRDefault="000E0B73" w:rsidP="00860F45">
      <w:pPr>
        <w:pStyle w:val="Heading2a"/>
      </w:pPr>
      <w:r w:rsidRPr="0047058F">
        <w:t>Tables</w:t>
      </w:r>
    </w:p>
    <w:p w14:paraId="35179A8F" w14:textId="77777777" w:rsidR="00577DF5" w:rsidRDefault="000E0B73">
      <w:pPr>
        <w:pStyle w:val="TOC4"/>
        <w:rPr>
          <w:rFonts w:asciiTheme="minorHAnsi" w:eastAsiaTheme="minorEastAsia" w:hAnsiTheme="minorHAnsi" w:cstheme="minorBidi"/>
          <w:noProof/>
          <w:color w:val="auto"/>
          <w:sz w:val="22"/>
          <w:szCs w:val="22"/>
          <w:lang w:eastAsia="en-AU"/>
        </w:rPr>
      </w:pPr>
      <w:r w:rsidRPr="0047058F">
        <w:rPr>
          <w:sz w:val="20"/>
        </w:rPr>
        <w:fldChar w:fldCharType="begin"/>
      </w:r>
      <w:r w:rsidRPr="0047058F">
        <w:instrText xml:space="preserve"> TOC \t "TableName,4" </w:instrText>
      </w:r>
      <w:r w:rsidRPr="0047058F">
        <w:rPr>
          <w:sz w:val="20"/>
        </w:rPr>
        <w:fldChar w:fldCharType="separate"/>
      </w:r>
      <w:r w:rsidR="00577DF5">
        <w:rPr>
          <w:noProof/>
        </w:rPr>
        <w:t>Table 2.1</w:t>
      </w:r>
      <w:r w:rsidR="00577DF5">
        <w:rPr>
          <w:rFonts w:asciiTheme="minorHAnsi" w:eastAsiaTheme="minorEastAsia" w:hAnsiTheme="minorHAnsi" w:cstheme="minorBidi"/>
          <w:noProof/>
          <w:color w:val="auto"/>
          <w:sz w:val="22"/>
          <w:szCs w:val="22"/>
          <w:lang w:eastAsia="en-AU"/>
        </w:rPr>
        <w:tab/>
      </w:r>
      <w:r w:rsidR="00577DF5">
        <w:rPr>
          <w:noProof/>
        </w:rPr>
        <w:t>Unweighted demographic characteristics and survey response rates for Transitioned ADF and 2015 Regular ADF</w:t>
      </w:r>
      <w:r w:rsidR="00577DF5">
        <w:rPr>
          <w:noProof/>
        </w:rPr>
        <w:tab/>
      </w:r>
      <w:r w:rsidR="00577DF5">
        <w:rPr>
          <w:noProof/>
        </w:rPr>
        <w:fldChar w:fldCharType="begin"/>
      </w:r>
      <w:r w:rsidR="00577DF5">
        <w:rPr>
          <w:noProof/>
        </w:rPr>
        <w:instrText xml:space="preserve"> PAGEREF _Toc532473571 \h </w:instrText>
      </w:r>
      <w:r w:rsidR="00577DF5">
        <w:rPr>
          <w:noProof/>
        </w:rPr>
      </w:r>
      <w:r w:rsidR="00577DF5">
        <w:rPr>
          <w:noProof/>
        </w:rPr>
        <w:fldChar w:fldCharType="separate"/>
      </w:r>
      <w:r w:rsidR="00577DF5">
        <w:rPr>
          <w:noProof/>
        </w:rPr>
        <w:t>27</w:t>
      </w:r>
      <w:r w:rsidR="00577DF5">
        <w:rPr>
          <w:noProof/>
        </w:rPr>
        <w:fldChar w:fldCharType="end"/>
      </w:r>
    </w:p>
    <w:p w14:paraId="65912D46"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2.2</w:t>
      </w:r>
      <w:r>
        <w:rPr>
          <w:rFonts w:asciiTheme="minorHAnsi" w:eastAsiaTheme="minorEastAsia" w:hAnsiTheme="minorHAnsi" w:cstheme="minorBidi"/>
          <w:noProof/>
          <w:color w:val="auto"/>
          <w:sz w:val="22"/>
          <w:szCs w:val="22"/>
          <w:lang w:eastAsia="en-AU"/>
        </w:rPr>
        <w:tab/>
      </w:r>
      <w:r>
        <w:rPr>
          <w:noProof/>
        </w:rPr>
        <w:t>Unweighted demographic characteristics and CIDI response rates for Transitioned ADF and 2015 Regular ADF</w:t>
      </w:r>
      <w:r>
        <w:rPr>
          <w:noProof/>
        </w:rPr>
        <w:tab/>
      </w:r>
      <w:r>
        <w:rPr>
          <w:noProof/>
        </w:rPr>
        <w:fldChar w:fldCharType="begin"/>
      </w:r>
      <w:r>
        <w:rPr>
          <w:noProof/>
        </w:rPr>
        <w:instrText xml:space="preserve"> PAGEREF _Toc532473572 \h </w:instrText>
      </w:r>
      <w:r>
        <w:rPr>
          <w:noProof/>
        </w:rPr>
      </w:r>
      <w:r>
        <w:rPr>
          <w:noProof/>
        </w:rPr>
        <w:fldChar w:fldCharType="separate"/>
      </w:r>
      <w:r>
        <w:rPr>
          <w:noProof/>
        </w:rPr>
        <w:t>30</w:t>
      </w:r>
      <w:r>
        <w:rPr>
          <w:noProof/>
        </w:rPr>
        <w:fldChar w:fldCharType="end"/>
      </w:r>
    </w:p>
    <w:p w14:paraId="0D82C1A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3.1</w:t>
      </w:r>
      <w:r>
        <w:rPr>
          <w:rFonts w:asciiTheme="minorHAnsi" w:eastAsiaTheme="minorEastAsia" w:hAnsiTheme="minorHAnsi" w:cstheme="minorBidi"/>
          <w:noProof/>
          <w:color w:val="auto"/>
          <w:sz w:val="22"/>
          <w:szCs w:val="22"/>
          <w:lang w:eastAsia="en-AU"/>
        </w:rPr>
        <w:tab/>
      </w:r>
      <w:r>
        <w:rPr>
          <w:noProof/>
        </w:rPr>
        <w:t>Unweighted demographic characteristics in Transitioned and 2015 Regular ADF</w:t>
      </w:r>
      <w:r>
        <w:rPr>
          <w:noProof/>
        </w:rPr>
        <w:tab/>
      </w:r>
      <w:r>
        <w:rPr>
          <w:noProof/>
        </w:rPr>
        <w:fldChar w:fldCharType="begin"/>
      </w:r>
      <w:r>
        <w:rPr>
          <w:noProof/>
        </w:rPr>
        <w:instrText xml:space="preserve"> PAGEREF _Toc532473573 \h </w:instrText>
      </w:r>
      <w:r>
        <w:rPr>
          <w:noProof/>
        </w:rPr>
      </w:r>
      <w:r>
        <w:rPr>
          <w:noProof/>
        </w:rPr>
        <w:fldChar w:fldCharType="separate"/>
      </w:r>
      <w:r>
        <w:rPr>
          <w:noProof/>
        </w:rPr>
        <w:t>39</w:t>
      </w:r>
      <w:r>
        <w:rPr>
          <w:noProof/>
        </w:rPr>
        <w:fldChar w:fldCharType="end"/>
      </w:r>
    </w:p>
    <w:p w14:paraId="6C4BFABB"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3.2</w:t>
      </w:r>
      <w:r>
        <w:rPr>
          <w:rFonts w:asciiTheme="minorHAnsi" w:eastAsiaTheme="minorEastAsia" w:hAnsiTheme="minorHAnsi" w:cstheme="minorBidi"/>
          <w:noProof/>
          <w:color w:val="auto"/>
          <w:sz w:val="22"/>
          <w:szCs w:val="22"/>
          <w:lang w:eastAsia="en-AU"/>
        </w:rPr>
        <w:tab/>
      </w:r>
      <w:r>
        <w:rPr>
          <w:noProof/>
        </w:rPr>
        <w:t>Unweighted service characteristics in Transitioned and 2015 Regular ADF</w:t>
      </w:r>
      <w:r>
        <w:rPr>
          <w:noProof/>
        </w:rPr>
        <w:tab/>
      </w:r>
      <w:r>
        <w:rPr>
          <w:noProof/>
        </w:rPr>
        <w:fldChar w:fldCharType="begin"/>
      </w:r>
      <w:r>
        <w:rPr>
          <w:noProof/>
        </w:rPr>
        <w:instrText xml:space="preserve"> PAGEREF _Toc532473574 \h </w:instrText>
      </w:r>
      <w:r>
        <w:rPr>
          <w:noProof/>
        </w:rPr>
      </w:r>
      <w:r>
        <w:rPr>
          <w:noProof/>
        </w:rPr>
        <w:fldChar w:fldCharType="separate"/>
      </w:r>
      <w:r>
        <w:rPr>
          <w:noProof/>
        </w:rPr>
        <w:t>39</w:t>
      </w:r>
      <w:r>
        <w:rPr>
          <w:noProof/>
        </w:rPr>
        <w:fldChar w:fldCharType="end"/>
      </w:r>
    </w:p>
    <w:p w14:paraId="39DEDAA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3.3</w:t>
      </w:r>
      <w:r>
        <w:rPr>
          <w:rFonts w:asciiTheme="minorHAnsi" w:eastAsiaTheme="minorEastAsia" w:hAnsiTheme="minorHAnsi" w:cstheme="minorBidi"/>
          <w:noProof/>
          <w:color w:val="auto"/>
          <w:sz w:val="22"/>
          <w:szCs w:val="22"/>
          <w:lang w:eastAsia="en-AU"/>
        </w:rPr>
        <w:tab/>
      </w:r>
      <w:r>
        <w:rPr>
          <w:noProof/>
        </w:rPr>
        <w:t>Unweighted transition characteristics in Transitioned ADF</w:t>
      </w:r>
      <w:r>
        <w:rPr>
          <w:noProof/>
        </w:rPr>
        <w:tab/>
      </w:r>
      <w:r>
        <w:rPr>
          <w:noProof/>
        </w:rPr>
        <w:fldChar w:fldCharType="begin"/>
      </w:r>
      <w:r>
        <w:rPr>
          <w:noProof/>
        </w:rPr>
        <w:instrText xml:space="preserve"> PAGEREF _Toc532473575 \h </w:instrText>
      </w:r>
      <w:r>
        <w:rPr>
          <w:noProof/>
        </w:rPr>
      </w:r>
      <w:r>
        <w:rPr>
          <w:noProof/>
        </w:rPr>
        <w:fldChar w:fldCharType="separate"/>
      </w:r>
      <w:r>
        <w:rPr>
          <w:noProof/>
        </w:rPr>
        <w:t>40</w:t>
      </w:r>
      <w:r>
        <w:rPr>
          <w:noProof/>
        </w:rPr>
        <w:fldChar w:fldCharType="end"/>
      </w:r>
    </w:p>
    <w:p w14:paraId="35784411"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3.4</w:t>
      </w:r>
      <w:r>
        <w:rPr>
          <w:rFonts w:asciiTheme="minorHAnsi" w:eastAsiaTheme="minorEastAsia" w:hAnsiTheme="minorHAnsi" w:cstheme="minorBidi"/>
          <w:noProof/>
          <w:color w:val="auto"/>
          <w:sz w:val="22"/>
          <w:szCs w:val="22"/>
          <w:lang w:eastAsia="en-AU"/>
        </w:rPr>
        <w:tab/>
      </w:r>
      <w:r>
        <w:rPr>
          <w:noProof/>
        </w:rPr>
        <w:t>Unweighted civilian employment and DVA support in Transitioned ADF</w:t>
      </w:r>
      <w:r>
        <w:rPr>
          <w:noProof/>
        </w:rPr>
        <w:tab/>
      </w:r>
      <w:r>
        <w:rPr>
          <w:noProof/>
        </w:rPr>
        <w:fldChar w:fldCharType="begin"/>
      </w:r>
      <w:r>
        <w:rPr>
          <w:noProof/>
        </w:rPr>
        <w:instrText xml:space="preserve"> PAGEREF _Toc532473576 \h </w:instrText>
      </w:r>
      <w:r>
        <w:rPr>
          <w:noProof/>
        </w:rPr>
      </w:r>
      <w:r>
        <w:rPr>
          <w:noProof/>
        </w:rPr>
        <w:fldChar w:fldCharType="separate"/>
      </w:r>
      <w:r>
        <w:rPr>
          <w:noProof/>
        </w:rPr>
        <w:t>42</w:t>
      </w:r>
      <w:r>
        <w:rPr>
          <w:noProof/>
        </w:rPr>
        <w:fldChar w:fldCharType="end"/>
      </w:r>
    </w:p>
    <w:p w14:paraId="61D80781"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3.5</w:t>
      </w:r>
      <w:r>
        <w:rPr>
          <w:rFonts w:asciiTheme="minorHAnsi" w:eastAsiaTheme="minorEastAsia" w:hAnsiTheme="minorHAnsi" w:cstheme="minorBidi"/>
          <w:noProof/>
          <w:color w:val="auto"/>
          <w:sz w:val="22"/>
          <w:szCs w:val="22"/>
          <w:lang w:eastAsia="en-AU"/>
        </w:rPr>
        <w:tab/>
      </w:r>
      <w:r>
        <w:rPr>
          <w:noProof/>
        </w:rPr>
        <w:t>Unweighted ex-service organisation engagement and incarcerations in Transitioned ADF</w:t>
      </w:r>
      <w:r>
        <w:rPr>
          <w:noProof/>
        </w:rPr>
        <w:tab/>
      </w:r>
      <w:r>
        <w:rPr>
          <w:noProof/>
        </w:rPr>
        <w:fldChar w:fldCharType="begin"/>
      </w:r>
      <w:r>
        <w:rPr>
          <w:noProof/>
        </w:rPr>
        <w:instrText xml:space="preserve"> PAGEREF _Toc532473577 \h </w:instrText>
      </w:r>
      <w:r>
        <w:rPr>
          <w:noProof/>
        </w:rPr>
      </w:r>
      <w:r>
        <w:rPr>
          <w:noProof/>
        </w:rPr>
        <w:fldChar w:fldCharType="separate"/>
      </w:r>
      <w:r>
        <w:rPr>
          <w:noProof/>
        </w:rPr>
        <w:t>43</w:t>
      </w:r>
      <w:r>
        <w:rPr>
          <w:noProof/>
        </w:rPr>
        <w:fldChar w:fldCharType="end"/>
      </w:r>
    </w:p>
    <w:p w14:paraId="37A4DD1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4.1</w:t>
      </w:r>
      <w:r>
        <w:rPr>
          <w:rFonts w:asciiTheme="minorHAnsi" w:eastAsiaTheme="minorEastAsia" w:hAnsiTheme="minorHAnsi" w:cstheme="minorBidi"/>
          <w:noProof/>
          <w:color w:val="auto"/>
          <w:sz w:val="22"/>
          <w:szCs w:val="22"/>
          <w:lang w:eastAsia="en-AU"/>
        </w:rPr>
        <w:tab/>
      </w:r>
      <w:r>
        <w:rPr>
          <w:noProof/>
        </w:rPr>
        <w:t>Rates of 12-month ICD-10 anxiety, affective and alcohol disorders in 2010 and 2015 in Transitioned ADF and 2015 Regular ADF</w:t>
      </w:r>
      <w:r>
        <w:rPr>
          <w:noProof/>
        </w:rPr>
        <w:tab/>
      </w:r>
      <w:r>
        <w:rPr>
          <w:noProof/>
        </w:rPr>
        <w:fldChar w:fldCharType="begin"/>
      </w:r>
      <w:r>
        <w:rPr>
          <w:noProof/>
        </w:rPr>
        <w:instrText xml:space="preserve"> PAGEREF _Toc532473578 \h </w:instrText>
      </w:r>
      <w:r>
        <w:rPr>
          <w:noProof/>
        </w:rPr>
      </w:r>
      <w:r>
        <w:rPr>
          <w:noProof/>
        </w:rPr>
        <w:fldChar w:fldCharType="separate"/>
      </w:r>
      <w:r>
        <w:rPr>
          <w:noProof/>
        </w:rPr>
        <w:t>48</w:t>
      </w:r>
      <w:r>
        <w:rPr>
          <w:noProof/>
        </w:rPr>
        <w:fldChar w:fldCharType="end"/>
      </w:r>
    </w:p>
    <w:p w14:paraId="4AC1C305"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4.2</w:t>
      </w:r>
      <w:r>
        <w:rPr>
          <w:rFonts w:asciiTheme="minorHAnsi" w:eastAsiaTheme="minorEastAsia" w:hAnsiTheme="minorHAnsi" w:cstheme="minorBidi"/>
          <w:noProof/>
          <w:color w:val="auto"/>
          <w:sz w:val="22"/>
          <w:szCs w:val="22"/>
          <w:lang w:eastAsia="en-AU"/>
        </w:rPr>
        <w:tab/>
      </w:r>
      <w:r>
        <w:rPr>
          <w:noProof/>
        </w:rPr>
        <w:t>Rates of 12-month ICD-10 anxiety disorders in 2010 and 2015 in Transitioned ADF and 2015 Regular ADF</w:t>
      </w:r>
      <w:r>
        <w:rPr>
          <w:noProof/>
        </w:rPr>
        <w:tab/>
      </w:r>
      <w:r>
        <w:rPr>
          <w:noProof/>
        </w:rPr>
        <w:fldChar w:fldCharType="begin"/>
      </w:r>
      <w:r>
        <w:rPr>
          <w:noProof/>
        </w:rPr>
        <w:instrText xml:space="preserve"> PAGEREF _Toc532473579 \h </w:instrText>
      </w:r>
      <w:r>
        <w:rPr>
          <w:noProof/>
        </w:rPr>
      </w:r>
      <w:r>
        <w:rPr>
          <w:noProof/>
        </w:rPr>
        <w:fldChar w:fldCharType="separate"/>
      </w:r>
      <w:r>
        <w:rPr>
          <w:noProof/>
        </w:rPr>
        <w:t>52</w:t>
      </w:r>
      <w:r>
        <w:rPr>
          <w:noProof/>
        </w:rPr>
        <w:fldChar w:fldCharType="end"/>
      </w:r>
    </w:p>
    <w:p w14:paraId="06637B9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4.3</w:t>
      </w:r>
      <w:r>
        <w:rPr>
          <w:rFonts w:asciiTheme="minorHAnsi" w:eastAsiaTheme="minorEastAsia" w:hAnsiTheme="minorHAnsi" w:cstheme="minorBidi"/>
          <w:noProof/>
          <w:color w:val="auto"/>
          <w:sz w:val="22"/>
          <w:szCs w:val="22"/>
          <w:lang w:eastAsia="en-AU"/>
        </w:rPr>
        <w:tab/>
      </w:r>
      <w:r>
        <w:rPr>
          <w:noProof/>
        </w:rPr>
        <w:t>Rates of 12-month ICD-10 affective disorders in 2010 and 2015 in Transitioned ADF and 2015 Regular ADF</w:t>
      </w:r>
      <w:r>
        <w:rPr>
          <w:noProof/>
        </w:rPr>
        <w:tab/>
      </w:r>
      <w:r>
        <w:rPr>
          <w:noProof/>
        </w:rPr>
        <w:fldChar w:fldCharType="begin"/>
      </w:r>
      <w:r>
        <w:rPr>
          <w:noProof/>
        </w:rPr>
        <w:instrText xml:space="preserve"> PAGEREF _Toc532473580 \h </w:instrText>
      </w:r>
      <w:r>
        <w:rPr>
          <w:noProof/>
        </w:rPr>
      </w:r>
      <w:r>
        <w:rPr>
          <w:noProof/>
        </w:rPr>
        <w:fldChar w:fldCharType="separate"/>
      </w:r>
      <w:r>
        <w:rPr>
          <w:noProof/>
        </w:rPr>
        <w:t>56</w:t>
      </w:r>
      <w:r>
        <w:rPr>
          <w:noProof/>
        </w:rPr>
        <w:fldChar w:fldCharType="end"/>
      </w:r>
    </w:p>
    <w:p w14:paraId="31895BD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4.4</w:t>
      </w:r>
      <w:r>
        <w:rPr>
          <w:rFonts w:asciiTheme="minorHAnsi" w:eastAsiaTheme="minorEastAsia" w:hAnsiTheme="minorHAnsi" w:cstheme="minorBidi"/>
          <w:noProof/>
          <w:color w:val="auto"/>
          <w:sz w:val="22"/>
          <w:szCs w:val="22"/>
          <w:lang w:eastAsia="en-AU"/>
        </w:rPr>
        <w:tab/>
      </w:r>
      <w:r>
        <w:rPr>
          <w:noProof/>
        </w:rPr>
        <w:t>Rates of 12-month ICD-10 alcohol disorders in 2010 and 2015 in Transitioned ADF and 2015 Regular ADF</w:t>
      </w:r>
      <w:r>
        <w:rPr>
          <w:noProof/>
        </w:rPr>
        <w:tab/>
      </w:r>
      <w:r>
        <w:rPr>
          <w:noProof/>
        </w:rPr>
        <w:fldChar w:fldCharType="begin"/>
      </w:r>
      <w:r>
        <w:rPr>
          <w:noProof/>
        </w:rPr>
        <w:instrText xml:space="preserve"> PAGEREF _Toc532473581 \h </w:instrText>
      </w:r>
      <w:r>
        <w:rPr>
          <w:noProof/>
        </w:rPr>
      </w:r>
      <w:r>
        <w:rPr>
          <w:noProof/>
        </w:rPr>
        <w:fldChar w:fldCharType="separate"/>
      </w:r>
      <w:r>
        <w:rPr>
          <w:noProof/>
        </w:rPr>
        <w:t>58</w:t>
      </w:r>
      <w:r>
        <w:rPr>
          <w:noProof/>
        </w:rPr>
        <w:fldChar w:fldCharType="end"/>
      </w:r>
    </w:p>
    <w:p w14:paraId="7D946CD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4.5</w:t>
      </w:r>
      <w:r>
        <w:rPr>
          <w:rFonts w:asciiTheme="minorHAnsi" w:eastAsiaTheme="minorEastAsia" w:hAnsiTheme="minorHAnsi" w:cstheme="minorBidi"/>
          <w:noProof/>
          <w:color w:val="auto"/>
          <w:sz w:val="22"/>
          <w:szCs w:val="22"/>
          <w:lang w:eastAsia="en-AU"/>
        </w:rPr>
        <w:tab/>
      </w:r>
      <w:r>
        <w:rPr>
          <w:noProof/>
        </w:rPr>
        <w:t>Proportion of entire longitudinal cohort meeting criteria for 12-month disorder in 2010 who do/do not meet criteria in 2015</w:t>
      </w:r>
      <w:r>
        <w:rPr>
          <w:noProof/>
        </w:rPr>
        <w:tab/>
      </w:r>
      <w:r>
        <w:rPr>
          <w:noProof/>
        </w:rPr>
        <w:fldChar w:fldCharType="begin"/>
      </w:r>
      <w:r>
        <w:rPr>
          <w:noProof/>
        </w:rPr>
        <w:instrText xml:space="preserve"> PAGEREF _Toc532473582 \h </w:instrText>
      </w:r>
      <w:r>
        <w:rPr>
          <w:noProof/>
        </w:rPr>
      </w:r>
      <w:r>
        <w:rPr>
          <w:noProof/>
        </w:rPr>
        <w:fldChar w:fldCharType="separate"/>
      </w:r>
      <w:r>
        <w:rPr>
          <w:noProof/>
        </w:rPr>
        <w:t>60</w:t>
      </w:r>
      <w:r>
        <w:rPr>
          <w:noProof/>
        </w:rPr>
        <w:fldChar w:fldCharType="end"/>
      </w:r>
    </w:p>
    <w:p w14:paraId="421F6C7C"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w:t>
      </w:r>
      <w:r>
        <w:rPr>
          <w:rFonts w:asciiTheme="minorHAnsi" w:eastAsiaTheme="minorEastAsia" w:hAnsiTheme="minorHAnsi" w:cstheme="minorBidi"/>
          <w:noProof/>
          <w:color w:val="auto"/>
          <w:sz w:val="22"/>
          <w:szCs w:val="22"/>
          <w:lang w:eastAsia="en-AU"/>
        </w:rPr>
        <w:tab/>
      </w:r>
      <w:r>
        <w:rPr>
          <w:noProof/>
        </w:rPr>
        <w:t>Mean K10 scores in Transitioned ADF and 2015 Regular ADF in the longitudinal cohort</w:t>
      </w:r>
      <w:r>
        <w:rPr>
          <w:noProof/>
        </w:rPr>
        <w:tab/>
      </w:r>
      <w:r>
        <w:rPr>
          <w:noProof/>
        </w:rPr>
        <w:fldChar w:fldCharType="begin"/>
      </w:r>
      <w:r>
        <w:rPr>
          <w:noProof/>
        </w:rPr>
        <w:instrText xml:space="preserve"> PAGEREF _Toc532473583 \h </w:instrText>
      </w:r>
      <w:r>
        <w:rPr>
          <w:noProof/>
        </w:rPr>
      </w:r>
      <w:r>
        <w:rPr>
          <w:noProof/>
        </w:rPr>
        <w:fldChar w:fldCharType="separate"/>
      </w:r>
      <w:r>
        <w:rPr>
          <w:noProof/>
        </w:rPr>
        <w:t>70</w:t>
      </w:r>
      <w:r>
        <w:rPr>
          <w:noProof/>
        </w:rPr>
        <w:fldChar w:fldCharType="end"/>
      </w:r>
    </w:p>
    <w:p w14:paraId="4A91B3B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no disorder, subsyndromal disorder and probable disorder on K10 in 2010 and 2015 based on self-reported measures</w:t>
      </w:r>
      <w:r>
        <w:rPr>
          <w:noProof/>
        </w:rPr>
        <w:tab/>
      </w:r>
      <w:r>
        <w:rPr>
          <w:noProof/>
        </w:rPr>
        <w:fldChar w:fldCharType="begin"/>
      </w:r>
      <w:r>
        <w:rPr>
          <w:noProof/>
        </w:rPr>
        <w:instrText xml:space="preserve"> PAGEREF _Toc532473584 \h </w:instrText>
      </w:r>
      <w:r>
        <w:rPr>
          <w:noProof/>
        </w:rPr>
      </w:r>
      <w:r>
        <w:rPr>
          <w:noProof/>
        </w:rPr>
        <w:fldChar w:fldCharType="separate"/>
      </w:r>
      <w:r>
        <w:rPr>
          <w:noProof/>
        </w:rPr>
        <w:t>72</w:t>
      </w:r>
      <w:r>
        <w:rPr>
          <w:noProof/>
        </w:rPr>
        <w:fldChar w:fldCharType="end"/>
      </w:r>
    </w:p>
    <w:p w14:paraId="52A8C8E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5.3</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no disorder, subsyndromal disorder and probable disorder on K10 in 2010 and 2015 based on self-reported measures</w:t>
      </w:r>
      <w:r>
        <w:rPr>
          <w:noProof/>
        </w:rPr>
        <w:tab/>
      </w:r>
      <w:r>
        <w:rPr>
          <w:noProof/>
        </w:rPr>
        <w:fldChar w:fldCharType="begin"/>
      </w:r>
      <w:r>
        <w:rPr>
          <w:noProof/>
        </w:rPr>
        <w:instrText xml:space="preserve"> PAGEREF _Toc532473585 \h </w:instrText>
      </w:r>
      <w:r>
        <w:rPr>
          <w:noProof/>
        </w:rPr>
      </w:r>
      <w:r>
        <w:rPr>
          <w:noProof/>
        </w:rPr>
        <w:fldChar w:fldCharType="separate"/>
      </w:r>
      <w:r>
        <w:rPr>
          <w:noProof/>
        </w:rPr>
        <w:t>73</w:t>
      </w:r>
      <w:r>
        <w:rPr>
          <w:noProof/>
        </w:rPr>
        <w:fldChar w:fldCharType="end"/>
      </w:r>
    </w:p>
    <w:p w14:paraId="302F1F34"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5.4</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no disorder, subsyndromal disorder and probable disorder on K10 in 2010 and 2015 based on self-reported measures</w:t>
      </w:r>
      <w:r>
        <w:rPr>
          <w:noProof/>
        </w:rPr>
        <w:tab/>
      </w:r>
      <w:r>
        <w:rPr>
          <w:noProof/>
        </w:rPr>
        <w:fldChar w:fldCharType="begin"/>
      </w:r>
      <w:r>
        <w:rPr>
          <w:noProof/>
        </w:rPr>
        <w:instrText xml:space="preserve"> PAGEREF _Toc532473586 \h </w:instrText>
      </w:r>
      <w:r>
        <w:rPr>
          <w:noProof/>
        </w:rPr>
      </w:r>
      <w:r>
        <w:rPr>
          <w:noProof/>
        </w:rPr>
        <w:fldChar w:fldCharType="separate"/>
      </w:r>
      <w:r>
        <w:rPr>
          <w:noProof/>
        </w:rPr>
        <w:t>74</w:t>
      </w:r>
      <w:r>
        <w:rPr>
          <w:noProof/>
        </w:rPr>
        <w:fldChar w:fldCharType="end"/>
      </w:r>
    </w:p>
    <w:p w14:paraId="1ACCE1F6"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5.5</w:t>
      </w:r>
      <w:r>
        <w:rPr>
          <w:rFonts w:asciiTheme="minorHAnsi" w:eastAsiaTheme="minorEastAsia" w:hAnsiTheme="minorHAnsi" w:cstheme="minorBidi"/>
          <w:noProof/>
          <w:color w:val="auto"/>
          <w:sz w:val="22"/>
          <w:szCs w:val="22"/>
          <w:lang w:eastAsia="en-AU"/>
        </w:rPr>
        <w:tab/>
      </w:r>
      <w:r>
        <w:rPr>
          <w:noProof/>
        </w:rPr>
        <w:t>Mean PCL-C scores in Transitioned ADF and 2015 Regular ADF in the longitudinal cohort</w:t>
      </w:r>
      <w:r>
        <w:rPr>
          <w:noProof/>
        </w:rPr>
        <w:tab/>
      </w:r>
      <w:r>
        <w:rPr>
          <w:noProof/>
        </w:rPr>
        <w:fldChar w:fldCharType="begin"/>
      </w:r>
      <w:r>
        <w:rPr>
          <w:noProof/>
        </w:rPr>
        <w:instrText xml:space="preserve"> PAGEREF _Toc532473587 \h </w:instrText>
      </w:r>
      <w:r>
        <w:rPr>
          <w:noProof/>
        </w:rPr>
      </w:r>
      <w:r>
        <w:rPr>
          <w:noProof/>
        </w:rPr>
        <w:fldChar w:fldCharType="separate"/>
      </w:r>
      <w:r>
        <w:rPr>
          <w:noProof/>
        </w:rPr>
        <w:t>76</w:t>
      </w:r>
      <w:r>
        <w:rPr>
          <w:noProof/>
        </w:rPr>
        <w:fldChar w:fldCharType="end"/>
      </w:r>
    </w:p>
    <w:p w14:paraId="41056C9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lastRenderedPageBreak/>
        <w:t>Table 5.6</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_Toc532473588 \h </w:instrText>
      </w:r>
      <w:r>
        <w:rPr>
          <w:noProof/>
        </w:rPr>
      </w:r>
      <w:r>
        <w:rPr>
          <w:noProof/>
        </w:rPr>
        <w:fldChar w:fldCharType="separate"/>
      </w:r>
      <w:r>
        <w:rPr>
          <w:noProof/>
        </w:rPr>
        <w:t>78</w:t>
      </w:r>
      <w:r>
        <w:rPr>
          <w:noProof/>
        </w:rPr>
        <w:fldChar w:fldCharType="end"/>
      </w:r>
    </w:p>
    <w:p w14:paraId="0822B41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5.7</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_Toc532473589 \h </w:instrText>
      </w:r>
      <w:r>
        <w:rPr>
          <w:noProof/>
        </w:rPr>
      </w:r>
      <w:r>
        <w:rPr>
          <w:noProof/>
        </w:rPr>
        <w:fldChar w:fldCharType="separate"/>
      </w:r>
      <w:r>
        <w:rPr>
          <w:noProof/>
        </w:rPr>
        <w:t>79</w:t>
      </w:r>
      <w:r>
        <w:rPr>
          <w:noProof/>
        </w:rPr>
        <w:fldChar w:fldCharType="end"/>
      </w:r>
    </w:p>
    <w:p w14:paraId="3664BAA4"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5.8</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_Toc532473590 \h </w:instrText>
      </w:r>
      <w:r>
        <w:rPr>
          <w:noProof/>
        </w:rPr>
      </w:r>
      <w:r>
        <w:rPr>
          <w:noProof/>
        </w:rPr>
        <w:fldChar w:fldCharType="separate"/>
      </w:r>
      <w:r>
        <w:rPr>
          <w:noProof/>
        </w:rPr>
        <w:t>80</w:t>
      </w:r>
      <w:r>
        <w:rPr>
          <w:noProof/>
        </w:rPr>
        <w:fldChar w:fldCharType="end"/>
      </w:r>
    </w:p>
    <w:p w14:paraId="5158F3F4"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5.9</w:t>
      </w:r>
      <w:r>
        <w:rPr>
          <w:rFonts w:asciiTheme="minorHAnsi" w:eastAsiaTheme="minorEastAsia" w:hAnsiTheme="minorHAnsi" w:cstheme="minorBidi"/>
          <w:noProof/>
          <w:color w:val="auto"/>
          <w:sz w:val="22"/>
          <w:szCs w:val="22"/>
          <w:lang w:eastAsia="en-AU"/>
        </w:rPr>
        <w:tab/>
      </w:r>
      <w:r>
        <w:rPr>
          <w:noProof/>
        </w:rPr>
        <w:t>Mean AUDIT scores in Transitioned ADF and 2015 Regular ADF in the longitudinal cohort</w:t>
      </w:r>
      <w:r>
        <w:rPr>
          <w:noProof/>
        </w:rPr>
        <w:tab/>
      </w:r>
      <w:r>
        <w:rPr>
          <w:noProof/>
        </w:rPr>
        <w:fldChar w:fldCharType="begin"/>
      </w:r>
      <w:r>
        <w:rPr>
          <w:noProof/>
        </w:rPr>
        <w:instrText xml:space="preserve"> PAGEREF _Toc532473591 \h </w:instrText>
      </w:r>
      <w:r>
        <w:rPr>
          <w:noProof/>
        </w:rPr>
      </w:r>
      <w:r>
        <w:rPr>
          <w:noProof/>
        </w:rPr>
        <w:fldChar w:fldCharType="separate"/>
      </w:r>
      <w:r>
        <w:rPr>
          <w:noProof/>
        </w:rPr>
        <w:t>82</w:t>
      </w:r>
      <w:r>
        <w:rPr>
          <w:noProof/>
        </w:rPr>
        <w:fldChar w:fldCharType="end"/>
      </w:r>
    </w:p>
    <w:p w14:paraId="5C93B154"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5.10</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no disorder, subsyndromal disorder and probable disorder on AUDIT in 2010 and 2015 based on self-reported measures</w:t>
      </w:r>
      <w:r>
        <w:rPr>
          <w:noProof/>
        </w:rPr>
        <w:tab/>
      </w:r>
      <w:r>
        <w:rPr>
          <w:noProof/>
        </w:rPr>
        <w:fldChar w:fldCharType="begin"/>
      </w:r>
      <w:r>
        <w:rPr>
          <w:noProof/>
        </w:rPr>
        <w:instrText xml:space="preserve"> PAGEREF _Toc532473592 \h </w:instrText>
      </w:r>
      <w:r>
        <w:rPr>
          <w:noProof/>
        </w:rPr>
      </w:r>
      <w:r>
        <w:rPr>
          <w:noProof/>
        </w:rPr>
        <w:fldChar w:fldCharType="separate"/>
      </w:r>
      <w:r>
        <w:rPr>
          <w:noProof/>
        </w:rPr>
        <w:t>84</w:t>
      </w:r>
      <w:r>
        <w:rPr>
          <w:noProof/>
        </w:rPr>
        <w:fldChar w:fldCharType="end"/>
      </w:r>
    </w:p>
    <w:p w14:paraId="2906CD9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5.11</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no disorder, subsyndromal disorder and probable disorder on AUDIT in 2010 and 2015 based on self-reported measures</w:t>
      </w:r>
      <w:r>
        <w:rPr>
          <w:noProof/>
        </w:rPr>
        <w:tab/>
      </w:r>
      <w:r>
        <w:rPr>
          <w:noProof/>
        </w:rPr>
        <w:fldChar w:fldCharType="begin"/>
      </w:r>
      <w:r>
        <w:rPr>
          <w:noProof/>
        </w:rPr>
        <w:instrText xml:space="preserve"> PAGEREF _Toc532473593 \h </w:instrText>
      </w:r>
      <w:r>
        <w:rPr>
          <w:noProof/>
        </w:rPr>
      </w:r>
      <w:r>
        <w:rPr>
          <w:noProof/>
        </w:rPr>
        <w:fldChar w:fldCharType="separate"/>
      </w:r>
      <w:r>
        <w:rPr>
          <w:noProof/>
        </w:rPr>
        <w:t>85</w:t>
      </w:r>
      <w:r>
        <w:rPr>
          <w:noProof/>
        </w:rPr>
        <w:fldChar w:fldCharType="end"/>
      </w:r>
    </w:p>
    <w:p w14:paraId="050AE1AC"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5.12</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no disorder, subsyndromal disorder and probable disorder on AUDIT in 2010 and 2015 based on self-reported measures</w:t>
      </w:r>
      <w:r>
        <w:rPr>
          <w:noProof/>
        </w:rPr>
        <w:tab/>
      </w:r>
      <w:r>
        <w:rPr>
          <w:noProof/>
        </w:rPr>
        <w:fldChar w:fldCharType="begin"/>
      </w:r>
      <w:r>
        <w:rPr>
          <w:noProof/>
        </w:rPr>
        <w:instrText xml:space="preserve"> PAGEREF _Toc532473594 \h </w:instrText>
      </w:r>
      <w:r>
        <w:rPr>
          <w:noProof/>
        </w:rPr>
      </w:r>
      <w:r>
        <w:rPr>
          <w:noProof/>
        </w:rPr>
        <w:fldChar w:fldCharType="separate"/>
      </w:r>
      <w:r>
        <w:rPr>
          <w:noProof/>
        </w:rPr>
        <w:t>86</w:t>
      </w:r>
      <w:r>
        <w:rPr>
          <w:noProof/>
        </w:rPr>
        <w:fldChar w:fldCharType="end"/>
      </w:r>
    </w:p>
    <w:p w14:paraId="0D802A9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5.13</w:t>
      </w:r>
      <w:r>
        <w:rPr>
          <w:rFonts w:asciiTheme="minorHAnsi" w:eastAsiaTheme="minorEastAsia" w:hAnsiTheme="minorHAnsi" w:cstheme="minorBidi"/>
          <w:noProof/>
          <w:color w:val="auto"/>
          <w:sz w:val="22"/>
          <w:szCs w:val="22"/>
          <w:lang w:eastAsia="en-AU"/>
        </w:rPr>
        <w:tab/>
      </w:r>
      <w:r>
        <w:rPr>
          <w:noProof/>
        </w:rPr>
        <w:t>Mean PHQ-9 scores in Transitioned ADF and 2015 Regular ADF in the longitudinal cohort</w:t>
      </w:r>
      <w:r>
        <w:rPr>
          <w:noProof/>
        </w:rPr>
        <w:tab/>
      </w:r>
      <w:r>
        <w:rPr>
          <w:noProof/>
        </w:rPr>
        <w:fldChar w:fldCharType="begin"/>
      </w:r>
      <w:r>
        <w:rPr>
          <w:noProof/>
        </w:rPr>
        <w:instrText xml:space="preserve"> PAGEREF _Toc532473595 \h </w:instrText>
      </w:r>
      <w:r>
        <w:rPr>
          <w:noProof/>
        </w:rPr>
      </w:r>
      <w:r>
        <w:rPr>
          <w:noProof/>
        </w:rPr>
        <w:fldChar w:fldCharType="separate"/>
      </w:r>
      <w:r>
        <w:rPr>
          <w:noProof/>
        </w:rPr>
        <w:t>88</w:t>
      </w:r>
      <w:r>
        <w:rPr>
          <w:noProof/>
        </w:rPr>
        <w:fldChar w:fldCharType="end"/>
      </w:r>
    </w:p>
    <w:p w14:paraId="08EF026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5.14</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_Toc532473596 \h </w:instrText>
      </w:r>
      <w:r>
        <w:rPr>
          <w:noProof/>
        </w:rPr>
      </w:r>
      <w:r>
        <w:rPr>
          <w:noProof/>
        </w:rPr>
        <w:fldChar w:fldCharType="separate"/>
      </w:r>
      <w:r>
        <w:rPr>
          <w:noProof/>
        </w:rPr>
        <w:t>90</w:t>
      </w:r>
      <w:r>
        <w:rPr>
          <w:noProof/>
        </w:rPr>
        <w:fldChar w:fldCharType="end"/>
      </w:r>
    </w:p>
    <w:p w14:paraId="543B121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5.15</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_Toc532473597 \h </w:instrText>
      </w:r>
      <w:r>
        <w:rPr>
          <w:noProof/>
        </w:rPr>
      </w:r>
      <w:r>
        <w:rPr>
          <w:noProof/>
        </w:rPr>
        <w:fldChar w:fldCharType="separate"/>
      </w:r>
      <w:r>
        <w:rPr>
          <w:noProof/>
        </w:rPr>
        <w:t>91</w:t>
      </w:r>
      <w:r>
        <w:rPr>
          <w:noProof/>
        </w:rPr>
        <w:fldChar w:fldCharType="end"/>
      </w:r>
    </w:p>
    <w:p w14:paraId="7930CCF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5.16</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_Toc532473598 \h </w:instrText>
      </w:r>
      <w:r>
        <w:rPr>
          <w:noProof/>
        </w:rPr>
      </w:r>
      <w:r>
        <w:rPr>
          <w:noProof/>
        </w:rPr>
        <w:fldChar w:fldCharType="separate"/>
      </w:r>
      <w:r>
        <w:rPr>
          <w:noProof/>
        </w:rPr>
        <w:t>92</w:t>
      </w:r>
      <w:r>
        <w:rPr>
          <w:noProof/>
        </w:rPr>
        <w:fldChar w:fldCharType="end"/>
      </w:r>
    </w:p>
    <w:p w14:paraId="603357A6"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5.17</w:t>
      </w:r>
      <w:r>
        <w:rPr>
          <w:rFonts w:asciiTheme="minorHAnsi" w:eastAsiaTheme="minorEastAsia" w:hAnsiTheme="minorHAnsi" w:cstheme="minorBidi"/>
          <w:noProof/>
          <w:color w:val="auto"/>
          <w:sz w:val="22"/>
          <w:szCs w:val="22"/>
          <w:lang w:eastAsia="en-AU"/>
        </w:rPr>
        <w:tab/>
      </w:r>
      <w:r>
        <w:rPr>
          <w:noProof/>
        </w:rPr>
        <w:t>Suicidal ideation, plans and attempts in Transitioned ADF and 2015 Regular ADF in the longitudinal cohort</w:t>
      </w:r>
      <w:r>
        <w:rPr>
          <w:noProof/>
        </w:rPr>
        <w:tab/>
      </w:r>
      <w:r>
        <w:rPr>
          <w:noProof/>
        </w:rPr>
        <w:fldChar w:fldCharType="begin"/>
      </w:r>
      <w:r>
        <w:rPr>
          <w:noProof/>
        </w:rPr>
        <w:instrText xml:space="preserve"> PAGEREF _Toc532473599 \h </w:instrText>
      </w:r>
      <w:r>
        <w:rPr>
          <w:noProof/>
        </w:rPr>
      </w:r>
      <w:r>
        <w:rPr>
          <w:noProof/>
        </w:rPr>
        <w:fldChar w:fldCharType="separate"/>
      </w:r>
      <w:r>
        <w:rPr>
          <w:noProof/>
        </w:rPr>
        <w:t>94</w:t>
      </w:r>
      <w:r>
        <w:rPr>
          <w:noProof/>
        </w:rPr>
        <w:fldChar w:fldCharType="end"/>
      </w:r>
    </w:p>
    <w:p w14:paraId="2CB65F3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5.18</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_Toc532473600 \h </w:instrText>
      </w:r>
      <w:r>
        <w:rPr>
          <w:noProof/>
        </w:rPr>
      </w:r>
      <w:r>
        <w:rPr>
          <w:noProof/>
        </w:rPr>
        <w:fldChar w:fldCharType="separate"/>
      </w:r>
      <w:r>
        <w:rPr>
          <w:noProof/>
        </w:rPr>
        <w:t>97</w:t>
      </w:r>
      <w:r>
        <w:rPr>
          <w:noProof/>
        </w:rPr>
        <w:fldChar w:fldCharType="end"/>
      </w:r>
    </w:p>
    <w:p w14:paraId="6B6E6CC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5.19</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_Toc532473601 \h </w:instrText>
      </w:r>
      <w:r>
        <w:rPr>
          <w:noProof/>
        </w:rPr>
      </w:r>
      <w:r>
        <w:rPr>
          <w:noProof/>
        </w:rPr>
        <w:fldChar w:fldCharType="separate"/>
      </w:r>
      <w:r>
        <w:rPr>
          <w:noProof/>
        </w:rPr>
        <w:t>98</w:t>
      </w:r>
      <w:r>
        <w:rPr>
          <w:noProof/>
        </w:rPr>
        <w:fldChar w:fldCharType="end"/>
      </w:r>
    </w:p>
    <w:p w14:paraId="06502547"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5.20</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_Toc532473602 \h </w:instrText>
      </w:r>
      <w:r>
        <w:rPr>
          <w:noProof/>
        </w:rPr>
      </w:r>
      <w:r>
        <w:rPr>
          <w:noProof/>
        </w:rPr>
        <w:fldChar w:fldCharType="separate"/>
      </w:r>
      <w:r>
        <w:rPr>
          <w:noProof/>
        </w:rPr>
        <w:t>99</w:t>
      </w:r>
      <w:r>
        <w:rPr>
          <w:noProof/>
        </w:rPr>
        <w:fldChar w:fldCharType="end"/>
      </w:r>
    </w:p>
    <w:p w14:paraId="4BB2C891"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5.21</w:t>
      </w:r>
      <w:r>
        <w:rPr>
          <w:rFonts w:asciiTheme="minorHAnsi" w:eastAsiaTheme="minorEastAsia" w:hAnsiTheme="minorHAnsi" w:cstheme="minorBidi"/>
          <w:noProof/>
          <w:color w:val="auto"/>
          <w:sz w:val="22"/>
          <w:szCs w:val="22"/>
          <w:lang w:eastAsia="en-AU"/>
        </w:rPr>
        <w:tab/>
      </w:r>
      <w:r>
        <w:rPr>
          <w:noProof/>
        </w:rPr>
        <w:t>Mean DAR-5 scores in Transitioned ADF and 2015 Regular ADF in the longitudinal cohort</w:t>
      </w:r>
      <w:r>
        <w:rPr>
          <w:noProof/>
        </w:rPr>
        <w:tab/>
      </w:r>
      <w:r>
        <w:rPr>
          <w:noProof/>
        </w:rPr>
        <w:fldChar w:fldCharType="begin"/>
      </w:r>
      <w:r>
        <w:rPr>
          <w:noProof/>
        </w:rPr>
        <w:instrText xml:space="preserve"> PAGEREF _Toc532473603 \h </w:instrText>
      </w:r>
      <w:r>
        <w:rPr>
          <w:noProof/>
        </w:rPr>
      </w:r>
      <w:r>
        <w:rPr>
          <w:noProof/>
        </w:rPr>
        <w:fldChar w:fldCharType="separate"/>
      </w:r>
      <w:r>
        <w:rPr>
          <w:noProof/>
        </w:rPr>
        <w:t>100</w:t>
      </w:r>
      <w:r>
        <w:rPr>
          <w:noProof/>
        </w:rPr>
        <w:fldChar w:fldCharType="end"/>
      </w:r>
    </w:p>
    <w:p w14:paraId="24C5503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5.22</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_Toc532473604 \h </w:instrText>
      </w:r>
      <w:r>
        <w:rPr>
          <w:noProof/>
        </w:rPr>
      </w:r>
      <w:r>
        <w:rPr>
          <w:noProof/>
        </w:rPr>
        <w:fldChar w:fldCharType="separate"/>
      </w:r>
      <w:r>
        <w:rPr>
          <w:noProof/>
        </w:rPr>
        <w:t>102</w:t>
      </w:r>
      <w:r>
        <w:rPr>
          <w:noProof/>
        </w:rPr>
        <w:fldChar w:fldCharType="end"/>
      </w:r>
    </w:p>
    <w:p w14:paraId="40A3639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5.23</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_Toc532473605 \h </w:instrText>
      </w:r>
      <w:r>
        <w:rPr>
          <w:noProof/>
        </w:rPr>
      </w:r>
      <w:r>
        <w:rPr>
          <w:noProof/>
        </w:rPr>
        <w:fldChar w:fldCharType="separate"/>
      </w:r>
      <w:r>
        <w:rPr>
          <w:noProof/>
        </w:rPr>
        <w:t>103</w:t>
      </w:r>
      <w:r>
        <w:rPr>
          <w:noProof/>
        </w:rPr>
        <w:fldChar w:fldCharType="end"/>
      </w:r>
    </w:p>
    <w:p w14:paraId="57314DC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lastRenderedPageBreak/>
        <w:t>Table 5.24</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_Toc532473606 \h </w:instrText>
      </w:r>
      <w:r>
        <w:rPr>
          <w:noProof/>
        </w:rPr>
      </w:r>
      <w:r>
        <w:rPr>
          <w:noProof/>
        </w:rPr>
        <w:fldChar w:fldCharType="separate"/>
      </w:r>
      <w:r>
        <w:rPr>
          <w:noProof/>
        </w:rPr>
        <w:t>104</w:t>
      </w:r>
      <w:r>
        <w:rPr>
          <w:noProof/>
        </w:rPr>
        <w:fldChar w:fldCharType="end"/>
      </w:r>
    </w:p>
    <w:p w14:paraId="1980EF8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5.25</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_Toc532473607 \h </w:instrText>
      </w:r>
      <w:r>
        <w:rPr>
          <w:noProof/>
        </w:rPr>
      </w:r>
      <w:r>
        <w:rPr>
          <w:noProof/>
        </w:rPr>
        <w:fldChar w:fldCharType="separate"/>
      </w:r>
      <w:r>
        <w:rPr>
          <w:noProof/>
        </w:rPr>
        <w:t>106</w:t>
      </w:r>
      <w:r>
        <w:rPr>
          <w:noProof/>
        </w:rPr>
        <w:fldChar w:fldCharType="end"/>
      </w:r>
    </w:p>
    <w:p w14:paraId="0271148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5.26</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_Toc532473608 \h </w:instrText>
      </w:r>
      <w:r>
        <w:rPr>
          <w:noProof/>
        </w:rPr>
      </w:r>
      <w:r>
        <w:rPr>
          <w:noProof/>
        </w:rPr>
        <w:fldChar w:fldCharType="separate"/>
      </w:r>
      <w:r>
        <w:rPr>
          <w:noProof/>
        </w:rPr>
        <w:t>107</w:t>
      </w:r>
      <w:r>
        <w:rPr>
          <w:noProof/>
        </w:rPr>
        <w:fldChar w:fldCharType="end"/>
      </w:r>
    </w:p>
    <w:p w14:paraId="472CA79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5.27</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_Toc532473609 \h </w:instrText>
      </w:r>
      <w:r>
        <w:rPr>
          <w:noProof/>
        </w:rPr>
      </w:r>
      <w:r>
        <w:rPr>
          <w:noProof/>
        </w:rPr>
        <w:fldChar w:fldCharType="separate"/>
      </w:r>
      <w:r>
        <w:rPr>
          <w:noProof/>
        </w:rPr>
        <w:t>108</w:t>
      </w:r>
      <w:r>
        <w:rPr>
          <w:noProof/>
        </w:rPr>
        <w:fldChar w:fldCharType="end"/>
      </w:r>
    </w:p>
    <w:p w14:paraId="172699C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5.28</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_Toc532473610 \h </w:instrText>
      </w:r>
      <w:r>
        <w:rPr>
          <w:noProof/>
        </w:rPr>
      </w:r>
      <w:r>
        <w:rPr>
          <w:noProof/>
        </w:rPr>
        <w:fldChar w:fldCharType="separate"/>
      </w:r>
      <w:r>
        <w:rPr>
          <w:noProof/>
        </w:rPr>
        <w:t>110</w:t>
      </w:r>
      <w:r>
        <w:rPr>
          <w:noProof/>
        </w:rPr>
        <w:fldChar w:fldCharType="end"/>
      </w:r>
    </w:p>
    <w:p w14:paraId="3EE59E0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5.29</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Transitioned ADF in the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_Toc532473611 \h </w:instrText>
      </w:r>
      <w:r>
        <w:rPr>
          <w:noProof/>
        </w:rPr>
      </w:r>
      <w:r>
        <w:rPr>
          <w:noProof/>
        </w:rPr>
        <w:fldChar w:fldCharType="separate"/>
      </w:r>
      <w:r>
        <w:rPr>
          <w:noProof/>
        </w:rPr>
        <w:t>111</w:t>
      </w:r>
      <w:r>
        <w:rPr>
          <w:noProof/>
        </w:rPr>
        <w:fldChar w:fldCharType="end"/>
      </w:r>
    </w:p>
    <w:p w14:paraId="09EBC09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5.30</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_Toc532473612 \h </w:instrText>
      </w:r>
      <w:r>
        <w:rPr>
          <w:noProof/>
        </w:rPr>
      </w:r>
      <w:r>
        <w:rPr>
          <w:noProof/>
        </w:rPr>
        <w:fldChar w:fldCharType="separate"/>
      </w:r>
      <w:r>
        <w:rPr>
          <w:noProof/>
        </w:rPr>
        <w:t>112</w:t>
      </w:r>
      <w:r>
        <w:rPr>
          <w:noProof/>
        </w:rPr>
        <w:fldChar w:fldCharType="end"/>
      </w:r>
    </w:p>
    <w:p w14:paraId="34474E9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6.1</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entire longitudinal cohort</w:t>
      </w:r>
      <w:r>
        <w:rPr>
          <w:noProof/>
        </w:rPr>
        <w:t xml:space="preserve"> with no disorder, subsyndromal disorder and probable disorder in 2010 and 2015 based on self-reported measures</w:t>
      </w:r>
      <w:r>
        <w:rPr>
          <w:noProof/>
        </w:rPr>
        <w:tab/>
      </w:r>
      <w:r>
        <w:rPr>
          <w:noProof/>
        </w:rPr>
        <w:fldChar w:fldCharType="begin"/>
      </w:r>
      <w:r>
        <w:rPr>
          <w:noProof/>
        </w:rPr>
        <w:instrText xml:space="preserve"> PAGEREF _Toc532473613 \h </w:instrText>
      </w:r>
      <w:r>
        <w:rPr>
          <w:noProof/>
        </w:rPr>
      </w:r>
      <w:r>
        <w:rPr>
          <w:noProof/>
        </w:rPr>
        <w:fldChar w:fldCharType="separate"/>
      </w:r>
      <w:r>
        <w:rPr>
          <w:noProof/>
        </w:rPr>
        <w:t>120</w:t>
      </w:r>
      <w:r>
        <w:rPr>
          <w:noProof/>
        </w:rPr>
        <w:fldChar w:fldCharType="end"/>
      </w:r>
    </w:p>
    <w:p w14:paraId="2E9F07D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6.2</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Transitioned ADF in the longitudinal cohort</w:t>
      </w:r>
      <w:r>
        <w:rPr>
          <w:noProof/>
        </w:rPr>
        <w:t xml:space="preserve"> with no disorder, subsyndromal disorder and probable disorder in 2010 and 2015 based on self-reported measures</w:t>
      </w:r>
      <w:r>
        <w:rPr>
          <w:noProof/>
        </w:rPr>
        <w:tab/>
      </w:r>
      <w:r>
        <w:rPr>
          <w:noProof/>
        </w:rPr>
        <w:fldChar w:fldCharType="begin"/>
      </w:r>
      <w:r>
        <w:rPr>
          <w:noProof/>
        </w:rPr>
        <w:instrText xml:space="preserve"> PAGEREF _Toc532473614 \h </w:instrText>
      </w:r>
      <w:r>
        <w:rPr>
          <w:noProof/>
        </w:rPr>
      </w:r>
      <w:r>
        <w:rPr>
          <w:noProof/>
        </w:rPr>
        <w:fldChar w:fldCharType="separate"/>
      </w:r>
      <w:r>
        <w:rPr>
          <w:noProof/>
        </w:rPr>
        <w:t>121</w:t>
      </w:r>
      <w:r>
        <w:rPr>
          <w:noProof/>
        </w:rPr>
        <w:fldChar w:fldCharType="end"/>
      </w:r>
    </w:p>
    <w:p w14:paraId="25FCAF27"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6.3</w:t>
      </w:r>
      <w:r>
        <w:rPr>
          <w:rFonts w:asciiTheme="minorHAnsi" w:eastAsiaTheme="minorEastAsia" w:hAnsiTheme="minorHAnsi" w:cstheme="minorBidi"/>
          <w:noProof/>
          <w:color w:val="auto"/>
          <w:sz w:val="22"/>
          <w:szCs w:val="22"/>
          <w:lang w:eastAsia="en-AU"/>
        </w:rPr>
        <w:tab/>
      </w:r>
      <w:r>
        <w:rPr>
          <w:noProof/>
        </w:rPr>
        <w:t xml:space="preserve">Proportion of </w:t>
      </w:r>
      <w:r w:rsidRPr="00E04C1F">
        <w:rPr>
          <w:noProof/>
          <w:u w:val="single"/>
        </w:rPr>
        <w:t>2015 Regular ADF in the longitudinal cohort</w:t>
      </w:r>
      <w:r>
        <w:rPr>
          <w:noProof/>
        </w:rPr>
        <w:t xml:space="preserve"> with no disorder, subsyndromal disorder and probable disorder in 2010 and 2015 based on self-reported measures</w:t>
      </w:r>
      <w:r>
        <w:rPr>
          <w:noProof/>
        </w:rPr>
        <w:tab/>
      </w:r>
      <w:r>
        <w:rPr>
          <w:noProof/>
        </w:rPr>
        <w:fldChar w:fldCharType="begin"/>
      </w:r>
      <w:r>
        <w:rPr>
          <w:noProof/>
        </w:rPr>
        <w:instrText xml:space="preserve"> PAGEREF _Toc532473615 \h </w:instrText>
      </w:r>
      <w:r>
        <w:rPr>
          <w:noProof/>
        </w:rPr>
      </w:r>
      <w:r>
        <w:rPr>
          <w:noProof/>
        </w:rPr>
        <w:fldChar w:fldCharType="separate"/>
      </w:r>
      <w:r>
        <w:rPr>
          <w:noProof/>
        </w:rPr>
        <w:t>122</w:t>
      </w:r>
      <w:r>
        <w:rPr>
          <w:noProof/>
        </w:rPr>
        <w:fldChar w:fldCharType="end"/>
      </w:r>
    </w:p>
    <w:p w14:paraId="69D8422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6.4</w:t>
      </w:r>
      <w:r>
        <w:rPr>
          <w:rFonts w:asciiTheme="minorHAnsi" w:eastAsiaTheme="minorEastAsia" w:hAnsiTheme="minorHAnsi" w:cstheme="minorBidi"/>
          <w:noProof/>
          <w:color w:val="auto"/>
          <w:sz w:val="22"/>
          <w:szCs w:val="22"/>
          <w:lang w:eastAsia="en-AU"/>
        </w:rPr>
        <w:tab/>
      </w:r>
      <w:r>
        <w:rPr>
          <w:noProof/>
        </w:rPr>
        <w:t xml:space="preserve">Proportion of longitudinal cohort, who had </w:t>
      </w:r>
      <w:r w:rsidRPr="00E04C1F">
        <w:rPr>
          <w:noProof/>
          <w:u w:val="single"/>
        </w:rPr>
        <w:t>no disorder in 2010</w:t>
      </w:r>
      <w:r>
        <w:rPr>
          <w:noProof/>
        </w:rPr>
        <w:t>, with no disorder, subsyndromal disorder and probable disorder in 2015 according to various predictors</w:t>
      </w:r>
      <w:r>
        <w:rPr>
          <w:noProof/>
        </w:rPr>
        <w:tab/>
      </w:r>
      <w:r>
        <w:rPr>
          <w:noProof/>
        </w:rPr>
        <w:fldChar w:fldCharType="begin"/>
      </w:r>
      <w:r>
        <w:rPr>
          <w:noProof/>
        </w:rPr>
        <w:instrText xml:space="preserve"> PAGEREF _Toc532473616 \h </w:instrText>
      </w:r>
      <w:r>
        <w:rPr>
          <w:noProof/>
        </w:rPr>
      </w:r>
      <w:r>
        <w:rPr>
          <w:noProof/>
        </w:rPr>
        <w:fldChar w:fldCharType="separate"/>
      </w:r>
      <w:r>
        <w:rPr>
          <w:noProof/>
        </w:rPr>
        <w:t>124</w:t>
      </w:r>
      <w:r>
        <w:rPr>
          <w:noProof/>
        </w:rPr>
        <w:fldChar w:fldCharType="end"/>
      </w:r>
    </w:p>
    <w:p w14:paraId="286EF451"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6.5</w:t>
      </w:r>
      <w:r>
        <w:rPr>
          <w:rFonts w:asciiTheme="minorHAnsi" w:eastAsiaTheme="minorEastAsia" w:hAnsiTheme="minorHAnsi" w:cstheme="minorBidi"/>
          <w:noProof/>
          <w:color w:val="auto"/>
          <w:sz w:val="22"/>
          <w:szCs w:val="22"/>
          <w:lang w:eastAsia="en-AU"/>
        </w:rPr>
        <w:tab/>
      </w:r>
      <w:r>
        <w:rPr>
          <w:noProof/>
        </w:rPr>
        <w:t xml:space="preserve">Proportion of longitudinal cohort, who had </w:t>
      </w:r>
      <w:r w:rsidRPr="00E04C1F">
        <w:rPr>
          <w:noProof/>
          <w:u w:val="single"/>
        </w:rPr>
        <w:t>subsyndromal disorder in 2010</w:t>
      </w:r>
      <w:r>
        <w:rPr>
          <w:noProof/>
        </w:rPr>
        <w:t>, with no disorder, subsyndromal disorder and probable disorder in 2015 according to various predictors</w:t>
      </w:r>
      <w:r>
        <w:rPr>
          <w:noProof/>
        </w:rPr>
        <w:tab/>
      </w:r>
      <w:r>
        <w:rPr>
          <w:noProof/>
        </w:rPr>
        <w:fldChar w:fldCharType="begin"/>
      </w:r>
      <w:r>
        <w:rPr>
          <w:noProof/>
        </w:rPr>
        <w:instrText xml:space="preserve"> PAGEREF _Toc532473617 \h </w:instrText>
      </w:r>
      <w:r>
        <w:rPr>
          <w:noProof/>
        </w:rPr>
      </w:r>
      <w:r>
        <w:rPr>
          <w:noProof/>
        </w:rPr>
        <w:fldChar w:fldCharType="separate"/>
      </w:r>
      <w:r>
        <w:rPr>
          <w:noProof/>
        </w:rPr>
        <w:t>128</w:t>
      </w:r>
      <w:r>
        <w:rPr>
          <w:noProof/>
        </w:rPr>
        <w:fldChar w:fldCharType="end"/>
      </w:r>
    </w:p>
    <w:p w14:paraId="439F7D9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6.6</w:t>
      </w:r>
      <w:r>
        <w:rPr>
          <w:rFonts w:asciiTheme="minorHAnsi" w:eastAsiaTheme="minorEastAsia" w:hAnsiTheme="minorHAnsi" w:cstheme="minorBidi"/>
          <w:noProof/>
          <w:color w:val="auto"/>
          <w:sz w:val="22"/>
          <w:szCs w:val="22"/>
          <w:lang w:eastAsia="en-AU"/>
        </w:rPr>
        <w:tab/>
      </w:r>
      <w:r>
        <w:rPr>
          <w:noProof/>
        </w:rPr>
        <w:t xml:space="preserve">Proportion of longitudinal cohort, who had </w:t>
      </w:r>
      <w:r w:rsidRPr="00E04C1F">
        <w:rPr>
          <w:noProof/>
          <w:u w:val="single"/>
        </w:rPr>
        <w:t>probable disorder in 2010</w:t>
      </w:r>
      <w:r>
        <w:rPr>
          <w:noProof/>
        </w:rPr>
        <w:t>, with no disorder, subsyndromal disorder and probable disorder in 2015 according to various predictors</w:t>
      </w:r>
      <w:r>
        <w:rPr>
          <w:noProof/>
        </w:rPr>
        <w:tab/>
      </w:r>
      <w:r>
        <w:rPr>
          <w:noProof/>
        </w:rPr>
        <w:fldChar w:fldCharType="begin"/>
      </w:r>
      <w:r>
        <w:rPr>
          <w:noProof/>
        </w:rPr>
        <w:instrText xml:space="preserve"> PAGEREF _Toc532473618 \h </w:instrText>
      </w:r>
      <w:r>
        <w:rPr>
          <w:noProof/>
        </w:rPr>
      </w:r>
      <w:r>
        <w:rPr>
          <w:noProof/>
        </w:rPr>
        <w:fldChar w:fldCharType="separate"/>
      </w:r>
      <w:r>
        <w:rPr>
          <w:noProof/>
        </w:rPr>
        <w:t>132</w:t>
      </w:r>
      <w:r>
        <w:rPr>
          <w:noProof/>
        </w:rPr>
        <w:fldChar w:fldCharType="end"/>
      </w:r>
    </w:p>
    <w:p w14:paraId="58A23CE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A.1</w:t>
      </w:r>
      <w:r>
        <w:rPr>
          <w:rFonts w:asciiTheme="minorHAnsi" w:eastAsiaTheme="minorEastAsia" w:hAnsiTheme="minorHAnsi" w:cstheme="minorBidi"/>
          <w:noProof/>
          <w:color w:val="auto"/>
          <w:sz w:val="22"/>
          <w:szCs w:val="22"/>
          <w:lang w:eastAsia="en-AU"/>
        </w:rPr>
        <w:tab/>
      </w:r>
      <w:r>
        <w:rPr>
          <w:noProof/>
        </w:rPr>
        <w:t>Transition and Wellbeing Research Programme – commissioned reports</w:t>
      </w:r>
      <w:r>
        <w:rPr>
          <w:noProof/>
        </w:rPr>
        <w:tab/>
      </w:r>
      <w:r>
        <w:rPr>
          <w:noProof/>
        </w:rPr>
        <w:fldChar w:fldCharType="begin"/>
      </w:r>
      <w:r>
        <w:rPr>
          <w:noProof/>
        </w:rPr>
        <w:instrText xml:space="preserve"> PAGEREF _Toc532473619 \h </w:instrText>
      </w:r>
      <w:r>
        <w:rPr>
          <w:noProof/>
        </w:rPr>
      </w:r>
      <w:r>
        <w:rPr>
          <w:noProof/>
        </w:rPr>
        <w:fldChar w:fldCharType="separate"/>
      </w:r>
      <w:r>
        <w:rPr>
          <w:noProof/>
        </w:rPr>
        <w:t>165</w:t>
      </w:r>
      <w:r>
        <w:rPr>
          <w:noProof/>
        </w:rPr>
        <w:fldChar w:fldCharType="end"/>
      </w:r>
    </w:p>
    <w:p w14:paraId="63087B4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A.2</w:t>
      </w:r>
      <w:r>
        <w:rPr>
          <w:rFonts w:asciiTheme="minorHAnsi" w:eastAsiaTheme="minorEastAsia" w:hAnsiTheme="minorHAnsi" w:cstheme="minorBidi"/>
          <w:noProof/>
          <w:color w:val="auto"/>
          <w:sz w:val="22"/>
          <w:szCs w:val="22"/>
          <w:lang w:eastAsia="en-AU"/>
        </w:rPr>
        <w:tab/>
      </w:r>
      <w:r>
        <w:rPr>
          <w:noProof/>
        </w:rPr>
        <w:t>Survey response rates by Service, sex, rank and medical fitness for Transitioned ADF and 2015 Regular ADF</w:t>
      </w:r>
      <w:r>
        <w:rPr>
          <w:noProof/>
        </w:rPr>
        <w:tab/>
      </w:r>
      <w:r>
        <w:rPr>
          <w:noProof/>
        </w:rPr>
        <w:fldChar w:fldCharType="begin"/>
      </w:r>
      <w:r>
        <w:rPr>
          <w:noProof/>
        </w:rPr>
        <w:instrText xml:space="preserve"> PAGEREF _Toc532473620 \h </w:instrText>
      </w:r>
      <w:r>
        <w:rPr>
          <w:noProof/>
        </w:rPr>
      </w:r>
      <w:r>
        <w:rPr>
          <w:noProof/>
        </w:rPr>
        <w:fldChar w:fldCharType="separate"/>
      </w:r>
      <w:r>
        <w:rPr>
          <w:noProof/>
        </w:rPr>
        <w:t>166</w:t>
      </w:r>
      <w:r>
        <w:rPr>
          <w:noProof/>
        </w:rPr>
        <w:fldChar w:fldCharType="end"/>
      </w:r>
    </w:p>
    <w:p w14:paraId="576F616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A.3</w:t>
      </w:r>
      <w:r>
        <w:rPr>
          <w:rFonts w:asciiTheme="minorHAnsi" w:eastAsiaTheme="minorEastAsia" w:hAnsiTheme="minorHAnsi" w:cstheme="minorBidi"/>
          <w:noProof/>
          <w:color w:val="auto"/>
          <w:sz w:val="22"/>
          <w:szCs w:val="22"/>
          <w:lang w:eastAsia="en-AU"/>
        </w:rPr>
        <w:tab/>
      </w:r>
      <w:r>
        <w:rPr>
          <w:noProof/>
        </w:rPr>
        <w:t>Unweighted demographic characteristics of responders by Transitioned ADF and 2015 Regular ADF</w:t>
      </w:r>
      <w:r>
        <w:rPr>
          <w:noProof/>
        </w:rPr>
        <w:tab/>
      </w:r>
      <w:r>
        <w:rPr>
          <w:noProof/>
        </w:rPr>
        <w:fldChar w:fldCharType="begin"/>
      </w:r>
      <w:r>
        <w:rPr>
          <w:noProof/>
        </w:rPr>
        <w:instrText xml:space="preserve"> PAGEREF _Toc532473621 \h </w:instrText>
      </w:r>
      <w:r>
        <w:rPr>
          <w:noProof/>
        </w:rPr>
      </w:r>
      <w:r>
        <w:rPr>
          <w:noProof/>
        </w:rPr>
        <w:fldChar w:fldCharType="separate"/>
      </w:r>
      <w:r>
        <w:rPr>
          <w:noProof/>
        </w:rPr>
        <w:t>168</w:t>
      </w:r>
      <w:r>
        <w:rPr>
          <w:noProof/>
        </w:rPr>
        <w:fldChar w:fldCharType="end"/>
      </w:r>
    </w:p>
    <w:p w14:paraId="66F8DF9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A.4</w:t>
      </w:r>
      <w:r>
        <w:rPr>
          <w:rFonts w:asciiTheme="minorHAnsi" w:eastAsiaTheme="minorEastAsia" w:hAnsiTheme="minorHAnsi" w:cstheme="minorBidi"/>
          <w:noProof/>
          <w:color w:val="auto"/>
          <w:sz w:val="22"/>
          <w:szCs w:val="22"/>
          <w:lang w:eastAsia="en-AU"/>
        </w:rPr>
        <w:tab/>
      </w:r>
      <w:r>
        <w:rPr>
          <w:noProof/>
        </w:rPr>
        <w:t>CIDI response rates for stratified Transitioned ADF by Service, sex, rank and Medical Employment Classification status</w:t>
      </w:r>
      <w:r>
        <w:rPr>
          <w:noProof/>
        </w:rPr>
        <w:tab/>
      </w:r>
      <w:r>
        <w:rPr>
          <w:noProof/>
        </w:rPr>
        <w:fldChar w:fldCharType="begin"/>
      </w:r>
      <w:r>
        <w:rPr>
          <w:noProof/>
        </w:rPr>
        <w:instrText xml:space="preserve"> PAGEREF _Toc532473622 \h </w:instrText>
      </w:r>
      <w:r>
        <w:rPr>
          <w:noProof/>
        </w:rPr>
      </w:r>
      <w:r>
        <w:rPr>
          <w:noProof/>
        </w:rPr>
        <w:fldChar w:fldCharType="separate"/>
      </w:r>
      <w:r>
        <w:rPr>
          <w:noProof/>
        </w:rPr>
        <w:t>169</w:t>
      </w:r>
      <w:r>
        <w:rPr>
          <w:noProof/>
        </w:rPr>
        <w:fldChar w:fldCharType="end"/>
      </w:r>
    </w:p>
    <w:p w14:paraId="74A5C97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A.5</w:t>
      </w:r>
      <w:r>
        <w:rPr>
          <w:rFonts w:asciiTheme="minorHAnsi" w:eastAsiaTheme="minorEastAsia" w:hAnsiTheme="minorHAnsi" w:cstheme="minorBidi"/>
          <w:noProof/>
          <w:color w:val="auto"/>
          <w:sz w:val="22"/>
          <w:szCs w:val="22"/>
          <w:lang w:eastAsia="en-AU"/>
        </w:rPr>
        <w:tab/>
      </w:r>
      <w:r>
        <w:rPr>
          <w:noProof/>
        </w:rPr>
        <w:t>Demographic characteristics of stratified Transitioned ADF CIDI responders</w:t>
      </w:r>
      <w:r>
        <w:rPr>
          <w:noProof/>
        </w:rPr>
        <w:tab/>
      </w:r>
      <w:r>
        <w:rPr>
          <w:noProof/>
        </w:rPr>
        <w:fldChar w:fldCharType="begin"/>
      </w:r>
      <w:r>
        <w:rPr>
          <w:noProof/>
        </w:rPr>
        <w:instrText xml:space="preserve"> PAGEREF _Toc532473623 \h </w:instrText>
      </w:r>
      <w:r>
        <w:rPr>
          <w:noProof/>
        </w:rPr>
      </w:r>
      <w:r>
        <w:rPr>
          <w:noProof/>
        </w:rPr>
        <w:fldChar w:fldCharType="separate"/>
      </w:r>
      <w:r>
        <w:rPr>
          <w:noProof/>
        </w:rPr>
        <w:t>170</w:t>
      </w:r>
      <w:r>
        <w:rPr>
          <w:noProof/>
        </w:rPr>
        <w:fldChar w:fldCharType="end"/>
      </w:r>
    </w:p>
    <w:p w14:paraId="172FBE5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lastRenderedPageBreak/>
        <w:t>Table A.6</w:t>
      </w:r>
      <w:r>
        <w:rPr>
          <w:rFonts w:asciiTheme="minorHAnsi" w:eastAsiaTheme="minorEastAsia" w:hAnsiTheme="minorHAnsi" w:cstheme="minorBidi"/>
          <w:noProof/>
          <w:color w:val="auto"/>
          <w:sz w:val="22"/>
          <w:szCs w:val="22"/>
          <w:lang w:eastAsia="en-AU"/>
        </w:rPr>
        <w:tab/>
      </w:r>
      <w:r>
        <w:rPr>
          <w:noProof/>
        </w:rPr>
        <w:t>CIDI response rates for the MHPWS group, by Service, sex, rank and Medical Employment Classification status</w:t>
      </w:r>
      <w:r>
        <w:rPr>
          <w:noProof/>
        </w:rPr>
        <w:tab/>
      </w:r>
      <w:r>
        <w:rPr>
          <w:noProof/>
        </w:rPr>
        <w:fldChar w:fldCharType="begin"/>
      </w:r>
      <w:r>
        <w:rPr>
          <w:noProof/>
        </w:rPr>
        <w:instrText xml:space="preserve"> PAGEREF _Toc532473624 \h </w:instrText>
      </w:r>
      <w:r>
        <w:rPr>
          <w:noProof/>
        </w:rPr>
      </w:r>
      <w:r>
        <w:rPr>
          <w:noProof/>
        </w:rPr>
        <w:fldChar w:fldCharType="separate"/>
      </w:r>
      <w:r>
        <w:rPr>
          <w:noProof/>
        </w:rPr>
        <w:t>171</w:t>
      </w:r>
      <w:r>
        <w:rPr>
          <w:noProof/>
        </w:rPr>
        <w:fldChar w:fldCharType="end"/>
      </w:r>
    </w:p>
    <w:p w14:paraId="1DA6DCA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A.7</w:t>
      </w:r>
      <w:r>
        <w:rPr>
          <w:rFonts w:asciiTheme="minorHAnsi" w:eastAsiaTheme="minorEastAsia" w:hAnsiTheme="minorHAnsi" w:cstheme="minorBidi"/>
          <w:noProof/>
          <w:color w:val="auto"/>
          <w:sz w:val="22"/>
          <w:szCs w:val="22"/>
          <w:lang w:eastAsia="en-AU"/>
        </w:rPr>
        <w:tab/>
      </w:r>
      <w:r>
        <w:rPr>
          <w:noProof/>
        </w:rPr>
        <w:t>CIDI response rates for the Combat Zone group, by Service, sex, rank and Medical Employment Classification status</w:t>
      </w:r>
      <w:r>
        <w:rPr>
          <w:noProof/>
        </w:rPr>
        <w:tab/>
      </w:r>
      <w:r>
        <w:rPr>
          <w:noProof/>
        </w:rPr>
        <w:fldChar w:fldCharType="begin"/>
      </w:r>
      <w:r>
        <w:rPr>
          <w:noProof/>
        </w:rPr>
        <w:instrText xml:space="preserve"> PAGEREF _Toc532473625 \h </w:instrText>
      </w:r>
      <w:r>
        <w:rPr>
          <w:noProof/>
        </w:rPr>
      </w:r>
      <w:r>
        <w:rPr>
          <w:noProof/>
        </w:rPr>
        <w:fldChar w:fldCharType="separate"/>
      </w:r>
      <w:r>
        <w:rPr>
          <w:noProof/>
        </w:rPr>
        <w:t>172</w:t>
      </w:r>
      <w:r>
        <w:rPr>
          <w:noProof/>
        </w:rPr>
        <w:fldChar w:fldCharType="end"/>
      </w:r>
    </w:p>
    <w:p w14:paraId="256C284C"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A.8</w:t>
      </w:r>
      <w:r>
        <w:rPr>
          <w:rFonts w:asciiTheme="minorHAnsi" w:eastAsiaTheme="minorEastAsia" w:hAnsiTheme="minorHAnsi" w:cstheme="minorBidi"/>
          <w:noProof/>
          <w:color w:val="auto"/>
          <w:sz w:val="22"/>
          <w:szCs w:val="22"/>
          <w:lang w:eastAsia="en-AU"/>
        </w:rPr>
        <w:tab/>
      </w:r>
      <w:r>
        <w:rPr>
          <w:noProof/>
        </w:rPr>
        <w:t>Stratification characteristics of Transitioned ADF CIDI sample</w:t>
      </w:r>
      <w:r>
        <w:rPr>
          <w:noProof/>
        </w:rPr>
        <w:tab/>
      </w:r>
      <w:r>
        <w:rPr>
          <w:noProof/>
        </w:rPr>
        <w:fldChar w:fldCharType="begin"/>
      </w:r>
      <w:r>
        <w:rPr>
          <w:noProof/>
        </w:rPr>
        <w:instrText xml:space="preserve"> PAGEREF _Toc532473626 \h </w:instrText>
      </w:r>
      <w:r>
        <w:rPr>
          <w:noProof/>
        </w:rPr>
      </w:r>
      <w:r>
        <w:rPr>
          <w:noProof/>
        </w:rPr>
        <w:fldChar w:fldCharType="separate"/>
      </w:r>
      <w:r>
        <w:rPr>
          <w:noProof/>
        </w:rPr>
        <w:t>193</w:t>
      </w:r>
      <w:r>
        <w:rPr>
          <w:noProof/>
        </w:rPr>
        <w:fldChar w:fldCharType="end"/>
      </w:r>
    </w:p>
    <w:p w14:paraId="4152AA7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A.9</w:t>
      </w:r>
      <w:r>
        <w:rPr>
          <w:rFonts w:asciiTheme="minorHAnsi" w:eastAsiaTheme="minorEastAsia" w:hAnsiTheme="minorHAnsi" w:cstheme="minorBidi"/>
          <w:noProof/>
          <w:color w:val="auto"/>
          <w:sz w:val="22"/>
          <w:szCs w:val="22"/>
          <w:lang w:eastAsia="en-AU"/>
        </w:rPr>
        <w:tab/>
      </w:r>
      <w:r>
        <w:rPr>
          <w:noProof/>
        </w:rPr>
        <w:t>Strata description – MilHOP Regular ADF</w:t>
      </w:r>
      <w:r>
        <w:rPr>
          <w:noProof/>
        </w:rPr>
        <w:tab/>
      </w:r>
      <w:r>
        <w:rPr>
          <w:noProof/>
        </w:rPr>
        <w:fldChar w:fldCharType="begin"/>
      </w:r>
      <w:r>
        <w:rPr>
          <w:noProof/>
        </w:rPr>
        <w:instrText xml:space="preserve"> PAGEREF _Toc532473627 \h </w:instrText>
      </w:r>
      <w:r>
        <w:rPr>
          <w:noProof/>
        </w:rPr>
      </w:r>
      <w:r>
        <w:rPr>
          <w:noProof/>
        </w:rPr>
        <w:fldChar w:fldCharType="separate"/>
      </w:r>
      <w:r>
        <w:rPr>
          <w:noProof/>
        </w:rPr>
        <w:t>196</w:t>
      </w:r>
      <w:r>
        <w:rPr>
          <w:noProof/>
        </w:rPr>
        <w:fldChar w:fldCharType="end"/>
      </w:r>
    </w:p>
    <w:p w14:paraId="1B62CD0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A.10</w:t>
      </w:r>
      <w:r>
        <w:rPr>
          <w:rFonts w:asciiTheme="minorHAnsi" w:eastAsiaTheme="minorEastAsia" w:hAnsiTheme="minorHAnsi" w:cstheme="minorBidi"/>
          <w:noProof/>
          <w:color w:val="auto"/>
          <w:sz w:val="22"/>
          <w:szCs w:val="22"/>
          <w:lang w:eastAsia="en-AU"/>
        </w:rPr>
        <w:tab/>
      </w:r>
      <w:r>
        <w:rPr>
          <w:noProof/>
        </w:rPr>
        <w:t>Strata description – non-MiLHOP Regular ADF</w:t>
      </w:r>
      <w:r>
        <w:rPr>
          <w:noProof/>
        </w:rPr>
        <w:tab/>
      </w:r>
      <w:r>
        <w:rPr>
          <w:noProof/>
        </w:rPr>
        <w:fldChar w:fldCharType="begin"/>
      </w:r>
      <w:r>
        <w:rPr>
          <w:noProof/>
        </w:rPr>
        <w:instrText xml:space="preserve"> PAGEREF _Toc532473628 \h </w:instrText>
      </w:r>
      <w:r>
        <w:rPr>
          <w:noProof/>
        </w:rPr>
      </w:r>
      <w:r>
        <w:rPr>
          <w:noProof/>
        </w:rPr>
        <w:fldChar w:fldCharType="separate"/>
      </w:r>
      <w:r>
        <w:rPr>
          <w:noProof/>
        </w:rPr>
        <w:t>197</w:t>
      </w:r>
      <w:r>
        <w:rPr>
          <w:noProof/>
        </w:rPr>
        <w:fldChar w:fldCharType="end"/>
      </w:r>
    </w:p>
    <w:p w14:paraId="385F9287"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A.11</w:t>
      </w:r>
      <w:r>
        <w:rPr>
          <w:rFonts w:asciiTheme="minorHAnsi" w:eastAsiaTheme="minorEastAsia" w:hAnsiTheme="minorHAnsi" w:cstheme="minorBidi"/>
          <w:noProof/>
          <w:color w:val="auto"/>
          <w:sz w:val="22"/>
          <w:szCs w:val="22"/>
          <w:lang w:eastAsia="en-AU"/>
        </w:rPr>
        <w:tab/>
      </w:r>
      <w:r>
        <w:rPr>
          <w:noProof/>
        </w:rPr>
        <w:t>Strata description – Transitioned ADF</w:t>
      </w:r>
      <w:r>
        <w:rPr>
          <w:noProof/>
        </w:rPr>
        <w:tab/>
      </w:r>
      <w:r>
        <w:rPr>
          <w:noProof/>
        </w:rPr>
        <w:fldChar w:fldCharType="begin"/>
      </w:r>
      <w:r>
        <w:rPr>
          <w:noProof/>
        </w:rPr>
        <w:instrText xml:space="preserve"> PAGEREF _Toc532473629 \h </w:instrText>
      </w:r>
      <w:r>
        <w:rPr>
          <w:noProof/>
        </w:rPr>
      </w:r>
      <w:r>
        <w:rPr>
          <w:noProof/>
        </w:rPr>
        <w:fldChar w:fldCharType="separate"/>
      </w:r>
      <w:r>
        <w:rPr>
          <w:noProof/>
        </w:rPr>
        <w:t>198</w:t>
      </w:r>
      <w:r>
        <w:rPr>
          <w:noProof/>
        </w:rPr>
        <w:fldChar w:fldCharType="end"/>
      </w:r>
    </w:p>
    <w:p w14:paraId="458525D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A.12</w:t>
      </w:r>
      <w:r>
        <w:rPr>
          <w:rFonts w:asciiTheme="minorHAnsi" w:eastAsiaTheme="minorEastAsia" w:hAnsiTheme="minorHAnsi" w:cstheme="minorBidi"/>
          <w:noProof/>
          <w:color w:val="auto"/>
          <w:sz w:val="22"/>
          <w:szCs w:val="22"/>
          <w:lang w:eastAsia="en-AU"/>
        </w:rPr>
        <w:tab/>
      </w:r>
      <w:r>
        <w:rPr>
          <w:noProof/>
        </w:rPr>
        <w:t>Counts of categories by source</w:t>
      </w:r>
      <w:r>
        <w:rPr>
          <w:noProof/>
        </w:rPr>
        <w:tab/>
      </w:r>
      <w:r>
        <w:rPr>
          <w:noProof/>
        </w:rPr>
        <w:fldChar w:fldCharType="begin"/>
      </w:r>
      <w:r>
        <w:rPr>
          <w:noProof/>
        </w:rPr>
        <w:instrText xml:space="preserve"> PAGEREF _Toc532473630 \h </w:instrText>
      </w:r>
      <w:r>
        <w:rPr>
          <w:noProof/>
        </w:rPr>
      </w:r>
      <w:r>
        <w:rPr>
          <w:noProof/>
        </w:rPr>
        <w:fldChar w:fldCharType="separate"/>
      </w:r>
      <w:r>
        <w:rPr>
          <w:noProof/>
        </w:rPr>
        <w:t>201</w:t>
      </w:r>
      <w:r>
        <w:rPr>
          <w:noProof/>
        </w:rPr>
        <w:fldChar w:fldCharType="end"/>
      </w:r>
    </w:p>
    <w:p w14:paraId="2009E9C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Table A.13</w:t>
      </w:r>
      <w:r>
        <w:rPr>
          <w:rFonts w:asciiTheme="minorHAnsi" w:eastAsiaTheme="minorEastAsia" w:hAnsiTheme="minorHAnsi" w:cstheme="minorBidi"/>
          <w:noProof/>
          <w:color w:val="auto"/>
          <w:sz w:val="22"/>
          <w:szCs w:val="22"/>
          <w:lang w:eastAsia="en-AU"/>
        </w:rPr>
        <w:tab/>
      </w:r>
      <w:r>
        <w:rPr>
          <w:noProof/>
        </w:rPr>
        <w:t>Counts of categories by service type</w:t>
      </w:r>
      <w:r>
        <w:rPr>
          <w:noProof/>
        </w:rPr>
        <w:tab/>
      </w:r>
      <w:r>
        <w:rPr>
          <w:noProof/>
        </w:rPr>
        <w:fldChar w:fldCharType="begin"/>
      </w:r>
      <w:r>
        <w:rPr>
          <w:noProof/>
        </w:rPr>
        <w:instrText xml:space="preserve"> PAGEREF _Toc532473631 \h </w:instrText>
      </w:r>
      <w:r>
        <w:rPr>
          <w:noProof/>
        </w:rPr>
      </w:r>
      <w:r>
        <w:rPr>
          <w:noProof/>
        </w:rPr>
        <w:fldChar w:fldCharType="separate"/>
      </w:r>
      <w:r>
        <w:rPr>
          <w:noProof/>
        </w:rPr>
        <w:t>201</w:t>
      </w:r>
      <w:r>
        <w:rPr>
          <w:noProof/>
        </w:rPr>
        <w:fldChar w:fldCharType="end"/>
      </w:r>
    </w:p>
    <w:p w14:paraId="6B1A53D4" w14:textId="02699C83" w:rsidR="000E0B73" w:rsidRPr="0047058F" w:rsidRDefault="000E0B73" w:rsidP="00860F45">
      <w:pPr>
        <w:pStyle w:val="Heading2a"/>
      </w:pPr>
      <w:r w:rsidRPr="0047058F">
        <w:fldChar w:fldCharType="end"/>
      </w:r>
      <w:r w:rsidRPr="0047058F">
        <w:t>Figures</w:t>
      </w:r>
    </w:p>
    <w:p w14:paraId="0C931691" w14:textId="77777777" w:rsidR="00577DF5" w:rsidRDefault="000E0B73">
      <w:pPr>
        <w:pStyle w:val="TOC4"/>
        <w:rPr>
          <w:rFonts w:asciiTheme="minorHAnsi" w:eastAsiaTheme="minorEastAsia" w:hAnsiTheme="minorHAnsi" w:cstheme="minorBidi"/>
          <w:noProof/>
          <w:color w:val="auto"/>
          <w:sz w:val="22"/>
          <w:szCs w:val="22"/>
          <w:lang w:eastAsia="en-AU"/>
        </w:rPr>
      </w:pPr>
      <w:r w:rsidRPr="0047058F">
        <w:fldChar w:fldCharType="begin"/>
      </w:r>
      <w:r w:rsidRPr="0047058F">
        <w:instrText xml:space="preserve"> TOC \t "FigureName,4" </w:instrText>
      </w:r>
      <w:r w:rsidRPr="0047058F">
        <w:fldChar w:fldCharType="separate"/>
      </w:r>
      <w:r w:rsidR="00577DF5">
        <w:rPr>
          <w:noProof/>
        </w:rPr>
        <w:t>Figure 2.1</w:t>
      </w:r>
      <w:r w:rsidR="00577DF5">
        <w:rPr>
          <w:rFonts w:asciiTheme="minorHAnsi" w:eastAsiaTheme="minorEastAsia" w:hAnsiTheme="minorHAnsi" w:cstheme="minorBidi"/>
          <w:noProof/>
          <w:color w:val="auto"/>
          <w:sz w:val="22"/>
          <w:szCs w:val="22"/>
          <w:lang w:eastAsia="en-AU"/>
        </w:rPr>
        <w:tab/>
      </w:r>
      <w:r w:rsidR="00577DF5">
        <w:rPr>
          <w:noProof/>
        </w:rPr>
        <w:t>Survey response rates for Transitioned ADF and 2015 Regular ADF</w:t>
      </w:r>
      <w:r w:rsidR="00577DF5">
        <w:rPr>
          <w:noProof/>
        </w:rPr>
        <w:tab/>
      </w:r>
      <w:r w:rsidR="00577DF5">
        <w:rPr>
          <w:noProof/>
        </w:rPr>
        <w:fldChar w:fldCharType="begin"/>
      </w:r>
      <w:r w:rsidR="00577DF5">
        <w:rPr>
          <w:noProof/>
        </w:rPr>
        <w:instrText xml:space="preserve"> PAGEREF _Toc532473632 \h </w:instrText>
      </w:r>
      <w:r w:rsidR="00577DF5">
        <w:rPr>
          <w:noProof/>
        </w:rPr>
      </w:r>
      <w:r w:rsidR="00577DF5">
        <w:rPr>
          <w:noProof/>
        </w:rPr>
        <w:fldChar w:fldCharType="separate"/>
      </w:r>
      <w:r w:rsidR="00577DF5">
        <w:rPr>
          <w:noProof/>
        </w:rPr>
        <w:t>26</w:t>
      </w:r>
      <w:r w:rsidR="00577DF5">
        <w:rPr>
          <w:noProof/>
        </w:rPr>
        <w:fldChar w:fldCharType="end"/>
      </w:r>
    </w:p>
    <w:p w14:paraId="01D5708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2.2</w:t>
      </w:r>
      <w:r>
        <w:rPr>
          <w:rFonts w:asciiTheme="minorHAnsi" w:eastAsiaTheme="minorEastAsia" w:hAnsiTheme="minorHAnsi" w:cstheme="minorBidi"/>
          <w:noProof/>
          <w:color w:val="auto"/>
          <w:sz w:val="22"/>
          <w:szCs w:val="22"/>
          <w:lang w:eastAsia="en-AU"/>
        </w:rPr>
        <w:tab/>
      </w:r>
      <w:r>
        <w:rPr>
          <w:noProof/>
        </w:rPr>
        <w:t>CIDI response rates for Transitioned ADF and 2015 Regular ADF</w:t>
      </w:r>
      <w:r>
        <w:rPr>
          <w:noProof/>
        </w:rPr>
        <w:tab/>
      </w:r>
      <w:r>
        <w:rPr>
          <w:noProof/>
        </w:rPr>
        <w:fldChar w:fldCharType="begin"/>
      </w:r>
      <w:r>
        <w:rPr>
          <w:noProof/>
        </w:rPr>
        <w:instrText xml:space="preserve"> PAGEREF _Toc532473633 \h </w:instrText>
      </w:r>
      <w:r>
        <w:rPr>
          <w:noProof/>
        </w:rPr>
      </w:r>
      <w:r>
        <w:rPr>
          <w:noProof/>
        </w:rPr>
        <w:fldChar w:fldCharType="separate"/>
      </w:r>
      <w:r>
        <w:rPr>
          <w:noProof/>
        </w:rPr>
        <w:t>29</w:t>
      </w:r>
      <w:r>
        <w:rPr>
          <w:noProof/>
        </w:rPr>
        <w:fldChar w:fldCharType="end"/>
      </w:r>
    </w:p>
    <w:p w14:paraId="74499E56"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4.1</w:t>
      </w:r>
      <w:r>
        <w:rPr>
          <w:rFonts w:asciiTheme="minorHAnsi" w:eastAsiaTheme="minorEastAsia" w:hAnsiTheme="minorHAnsi" w:cstheme="minorBidi"/>
          <w:noProof/>
          <w:color w:val="auto"/>
          <w:sz w:val="22"/>
          <w:szCs w:val="22"/>
          <w:lang w:eastAsia="en-AU"/>
        </w:rPr>
        <w:tab/>
      </w:r>
      <w:r>
        <w:rPr>
          <w:noProof/>
        </w:rPr>
        <w:t>Per cent change in rates of 12-month ICD-10 anxiety, affective and alcohol disorders between 2010 and 2015 in Transitioned ADF and 2015 Regular ADF</w:t>
      </w:r>
      <w:r>
        <w:rPr>
          <w:noProof/>
        </w:rPr>
        <w:tab/>
      </w:r>
      <w:r>
        <w:rPr>
          <w:noProof/>
        </w:rPr>
        <w:fldChar w:fldCharType="begin"/>
      </w:r>
      <w:r>
        <w:rPr>
          <w:noProof/>
        </w:rPr>
        <w:instrText xml:space="preserve"> PAGEREF _Toc532473634 \h </w:instrText>
      </w:r>
      <w:r>
        <w:rPr>
          <w:noProof/>
        </w:rPr>
      </w:r>
      <w:r>
        <w:rPr>
          <w:noProof/>
        </w:rPr>
        <w:fldChar w:fldCharType="separate"/>
      </w:r>
      <w:r>
        <w:rPr>
          <w:noProof/>
        </w:rPr>
        <w:t>49</w:t>
      </w:r>
      <w:r>
        <w:rPr>
          <w:noProof/>
        </w:rPr>
        <w:fldChar w:fldCharType="end"/>
      </w:r>
    </w:p>
    <w:p w14:paraId="474C402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4.2</w:t>
      </w:r>
      <w:r>
        <w:rPr>
          <w:rFonts w:asciiTheme="minorHAnsi" w:eastAsiaTheme="minorEastAsia" w:hAnsiTheme="minorHAnsi" w:cstheme="minorBidi"/>
          <w:noProof/>
          <w:color w:val="auto"/>
          <w:sz w:val="22"/>
          <w:szCs w:val="22"/>
          <w:lang w:eastAsia="en-AU"/>
        </w:rPr>
        <w:tab/>
      </w:r>
      <w:r>
        <w:rPr>
          <w:noProof/>
        </w:rPr>
        <w:t>Per cent change in rates of 12-month ICD-10 anxiety disorders between 2010 and 2015 in Transitioned ADF and 2015 Regular ADF</w:t>
      </w:r>
      <w:r>
        <w:rPr>
          <w:noProof/>
        </w:rPr>
        <w:tab/>
      </w:r>
      <w:r>
        <w:rPr>
          <w:noProof/>
        </w:rPr>
        <w:fldChar w:fldCharType="begin"/>
      </w:r>
      <w:r>
        <w:rPr>
          <w:noProof/>
        </w:rPr>
        <w:instrText xml:space="preserve"> PAGEREF _Toc532473635 \h </w:instrText>
      </w:r>
      <w:r>
        <w:rPr>
          <w:noProof/>
        </w:rPr>
      </w:r>
      <w:r>
        <w:rPr>
          <w:noProof/>
        </w:rPr>
        <w:fldChar w:fldCharType="separate"/>
      </w:r>
      <w:r>
        <w:rPr>
          <w:noProof/>
        </w:rPr>
        <w:t>53</w:t>
      </w:r>
      <w:r>
        <w:rPr>
          <w:noProof/>
        </w:rPr>
        <w:fldChar w:fldCharType="end"/>
      </w:r>
    </w:p>
    <w:p w14:paraId="53461320"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4.3</w:t>
      </w:r>
      <w:r>
        <w:rPr>
          <w:rFonts w:asciiTheme="minorHAnsi" w:eastAsiaTheme="minorEastAsia" w:hAnsiTheme="minorHAnsi" w:cstheme="minorBidi"/>
          <w:noProof/>
          <w:color w:val="auto"/>
          <w:sz w:val="22"/>
          <w:szCs w:val="22"/>
          <w:lang w:eastAsia="en-AU"/>
        </w:rPr>
        <w:tab/>
      </w:r>
      <w:r>
        <w:rPr>
          <w:noProof/>
        </w:rPr>
        <w:t>Per cent change in rates of 12-month ICD-10 affective disorders between 2010 and 2015 in Transitioned ADF and 2015 Regular ADF</w:t>
      </w:r>
      <w:r>
        <w:rPr>
          <w:noProof/>
        </w:rPr>
        <w:tab/>
      </w:r>
      <w:r>
        <w:rPr>
          <w:noProof/>
        </w:rPr>
        <w:fldChar w:fldCharType="begin"/>
      </w:r>
      <w:r>
        <w:rPr>
          <w:noProof/>
        </w:rPr>
        <w:instrText xml:space="preserve"> PAGEREF _Toc532473636 \h </w:instrText>
      </w:r>
      <w:r>
        <w:rPr>
          <w:noProof/>
        </w:rPr>
      </w:r>
      <w:r>
        <w:rPr>
          <w:noProof/>
        </w:rPr>
        <w:fldChar w:fldCharType="separate"/>
      </w:r>
      <w:r>
        <w:rPr>
          <w:noProof/>
        </w:rPr>
        <w:t>55</w:t>
      </w:r>
      <w:r>
        <w:rPr>
          <w:noProof/>
        </w:rPr>
        <w:fldChar w:fldCharType="end"/>
      </w:r>
    </w:p>
    <w:p w14:paraId="42588F3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4.4</w:t>
      </w:r>
      <w:r>
        <w:rPr>
          <w:rFonts w:asciiTheme="minorHAnsi" w:eastAsiaTheme="minorEastAsia" w:hAnsiTheme="minorHAnsi" w:cstheme="minorBidi"/>
          <w:noProof/>
          <w:color w:val="auto"/>
          <w:sz w:val="22"/>
          <w:szCs w:val="22"/>
          <w:lang w:eastAsia="en-AU"/>
        </w:rPr>
        <w:tab/>
      </w:r>
      <w:r>
        <w:rPr>
          <w:noProof/>
        </w:rPr>
        <w:t>Per cent change in rates of 12-month ICD-10 alcohol disorders between 2010 and 2015 in Transitioned ADF and 2015 Regular ADF</w:t>
      </w:r>
      <w:r>
        <w:rPr>
          <w:noProof/>
        </w:rPr>
        <w:tab/>
      </w:r>
      <w:r>
        <w:rPr>
          <w:noProof/>
        </w:rPr>
        <w:fldChar w:fldCharType="begin"/>
      </w:r>
      <w:r>
        <w:rPr>
          <w:noProof/>
        </w:rPr>
        <w:instrText xml:space="preserve"> PAGEREF _Toc532473637 \h </w:instrText>
      </w:r>
      <w:r>
        <w:rPr>
          <w:noProof/>
        </w:rPr>
      </w:r>
      <w:r>
        <w:rPr>
          <w:noProof/>
        </w:rPr>
        <w:fldChar w:fldCharType="separate"/>
      </w:r>
      <w:r>
        <w:rPr>
          <w:noProof/>
        </w:rPr>
        <w:t>59</w:t>
      </w:r>
      <w:r>
        <w:rPr>
          <w:noProof/>
        </w:rPr>
        <w:fldChar w:fldCharType="end"/>
      </w:r>
    </w:p>
    <w:p w14:paraId="5A7BDE1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w:t>
      </w:r>
      <w:r>
        <w:rPr>
          <w:rFonts w:asciiTheme="minorHAnsi" w:eastAsiaTheme="minorEastAsia" w:hAnsiTheme="minorHAnsi" w:cstheme="minorBidi"/>
          <w:noProof/>
          <w:color w:val="auto"/>
          <w:sz w:val="22"/>
          <w:szCs w:val="22"/>
          <w:lang w:eastAsia="en-AU"/>
        </w:rPr>
        <w:tab/>
      </w:r>
      <w:r>
        <w:rPr>
          <w:noProof/>
        </w:rPr>
        <w:t>Mean K10 scores in Transitioned ADF and 2015 Regular ADF in the longitudinal cohort</w:t>
      </w:r>
      <w:r>
        <w:rPr>
          <w:noProof/>
        </w:rPr>
        <w:tab/>
      </w:r>
      <w:r>
        <w:rPr>
          <w:noProof/>
        </w:rPr>
        <w:fldChar w:fldCharType="begin"/>
      </w:r>
      <w:r>
        <w:rPr>
          <w:noProof/>
        </w:rPr>
        <w:instrText xml:space="preserve"> PAGEREF _Toc532473638 \h </w:instrText>
      </w:r>
      <w:r>
        <w:rPr>
          <w:noProof/>
        </w:rPr>
      </w:r>
      <w:r>
        <w:rPr>
          <w:noProof/>
        </w:rPr>
        <w:fldChar w:fldCharType="separate"/>
      </w:r>
      <w:r>
        <w:rPr>
          <w:noProof/>
        </w:rPr>
        <w:t>70</w:t>
      </w:r>
      <w:r>
        <w:rPr>
          <w:noProof/>
        </w:rPr>
        <w:fldChar w:fldCharType="end"/>
      </w:r>
    </w:p>
    <w:p w14:paraId="5D04FF4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no disorder, subsyndromal disorder and probable disorder on K10 in 2010 and 2015</w:t>
      </w:r>
      <w:r>
        <w:rPr>
          <w:noProof/>
        </w:rPr>
        <w:tab/>
      </w:r>
      <w:r>
        <w:rPr>
          <w:noProof/>
        </w:rPr>
        <w:fldChar w:fldCharType="begin"/>
      </w:r>
      <w:r>
        <w:rPr>
          <w:noProof/>
        </w:rPr>
        <w:instrText xml:space="preserve"> PAGEREF _Toc532473639 \h </w:instrText>
      </w:r>
      <w:r>
        <w:rPr>
          <w:noProof/>
        </w:rPr>
      </w:r>
      <w:r>
        <w:rPr>
          <w:noProof/>
        </w:rPr>
        <w:fldChar w:fldCharType="separate"/>
      </w:r>
      <w:r>
        <w:rPr>
          <w:noProof/>
        </w:rPr>
        <w:t>72</w:t>
      </w:r>
      <w:r>
        <w:rPr>
          <w:noProof/>
        </w:rPr>
        <w:fldChar w:fldCharType="end"/>
      </w:r>
    </w:p>
    <w:p w14:paraId="23C1896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5.3</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no disorder, subsyndromal disorder and probable disorder on K10 in 2010 and 2015</w:t>
      </w:r>
      <w:r>
        <w:rPr>
          <w:noProof/>
        </w:rPr>
        <w:tab/>
      </w:r>
      <w:r>
        <w:rPr>
          <w:noProof/>
        </w:rPr>
        <w:fldChar w:fldCharType="begin"/>
      </w:r>
      <w:r>
        <w:rPr>
          <w:noProof/>
        </w:rPr>
        <w:instrText xml:space="preserve"> PAGEREF _Toc532473640 \h </w:instrText>
      </w:r>
      <w:r>
        <w:rPr>
          <w:noProof/>
        </w:rPr>
      </w:r>
      <w:r>
        <w:rPr>
          <w:noProof/>
        </w:rPr>
        <w:fldChar w:fldCharType="separate"/>
      </w:r>
      <w:r>
        <w:rPr>
          <w:noProof/>
        </w:rPr>
        <w:t>73</w:t>
      </w:r>
      <w:r>
        <w:rPr>
          <w:noProof/>
        </w:rPr>
        <w:fldChar w:fldCharType="end"/>
      </w:r>
    </w:p>
    <w:p w14:paraId="52C1FD81"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5.4</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no disorder, subsyndromal disorder and probable disorder on K10 in 2010 and 2015</w:t>
      </w:r>
      <w:r>
        <w:rPr>
          <w:noProof/>
        </w:rPr>
        <w:tab/>
      </w:r>
      <w:r>
        <w:rPr>
          <w:noProof/>
        </w:rPr>
        <w:fldChar w:fldCharType="begin"/>
      </w:r>
      <w:r>
        <w:rPr>
          <w:noProof/>
        </w:rPr>
        <w:instrText xml:space="preserve"> PAGEREF _Toc532473641 \h </w:instrText>
      </w:r>
      <w:r>
        <w:rPr>
          <w:noProof/>
        </w:rPr>
      </w:r>
      <w:r>
        <w:rPr>
          <w:noProof/>
        </w:rPr>
        <w:fldChar w:fldCharType="separate"/>
      </w:r>
      <w:r>
        <w:rPr>
          <w:noProof/>
        </w:rPr>
        <w:t>74</w:t>
      </w:r>
      <w:r>
        <w:rPr>
          <w:noProof/>
        </w:rPr>
        <w:fldChar w:fldCharType="end"/>
      </w:r>
    </w:p>
    <w:p w14:paraId="77270EB5"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5.5</w:t>
      </w:r>
      <w:r>
        <w:rPr>
          <w:rFonts w:asciiTheme="minorHAnsi" w:eastAsiaTheme="minorEastAsia" w:hAnsiTheme="minorHAnsi" w:cstheme="minorBidi"/>
          <w:noProof/>
          <w:color w:val="auto"/>
          <w:sz w:val="22"/>
          <w:szCs w:val="22"/>
          <w:lang w:eastAsia="en-AU"/>
        </w:rPr>
        <w:tab/>
      </w:r>
      <w:r>
        <w:rPr>
          <w:noProof/>
        </w:rPr>
        <w:t>Mean PCL-C scores in Transitioned ADF and 2015 Regular ADF in the longitudinal cohort</w:t>
      </w:r>
      <w:r>
        <w:rPr>
          <w:noProof/>
        </w:rPr>
        <w:tab/>
      </w:r>
      <w:r>
        <w:rPr>
          <w:noProof/>
        </w:rPr>
        <w:fldChar w:fldCharType="begin"/>
      </w:r>
      <w:r>
        <w:rPr>
          <w:noProof/>
        </w:rPr>
        <w:instrText xml:space="preserve"> PAGEREF _Toc532473642 \h </w:instrText>
      </w:r>
      <w:r>
        <w:rPr>
          <w:noProof/>
        </w:rPr>
      </w:r>
      <w:r>
        <w:rPr>
          <w:noProof/>
        </w:rPr>
        <w:fldChar w:fldCharType="separate"/>
      </w:r>
      <w:r>
        <w:rPr>
          <w:noProof/>
        </w:rPr>
        <w:t>76</w:t>
      </w:r>
      <w:r>
        <w:rPr>
          <w:noProof/>
        </w:rPr>
        <w:fldChar w:fldCharType="end"/>
      </w:r>
    </w:p>
    <w:p w14:paraId="306C3595"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5.6</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_Toc532473643 \h </w:instrText>
      </w:r>
      <w:r>
        <w:rPr>
          <w:noProof/>
        </w:rPr>
      </w:r>
      <w:r>
        <w:rPr>
          <w:noProof/>
        </w:rPr>
        <w:fldChar w:fldCharType="separate"/>
      </w:r>
      <w:r>
        <w:rPr>
          <w:noProof/>
        </w:rPr>
        <w:t>78</w:t>
      </w:r>
      <w:r>
        <w:rPr>
          <w:noProof/>
        </w:rPr>
        <w:fldChar w:fldCharType="end"/>
      </w:r>
    </w:p>
    <w:p w14:paraId="42506A5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5.7</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_Toc532473644 \h </w:instrText>
      </w:r>
      <w:r>
        <w:rPr>
          <w:noProof/>
        </w:rPr>
      </w:r>
      <w:r>
        <w:rPr>
          <w:noProof/>
        </w:rPr>
        <w:fldChar w:fldCharType="separate"/>
      </w:r>
      <w:r>
        <w:rPr>
          <w:noProof/>
        </w:rPr>
        <w:t>79</w:t>
      </w:r>
      <w:r>
        <w:rPr>
          <w:noProof/>
        </w:rPr>
        <w:fldChar w:fldCharType="end"/>
      </w:r>
    </w:p>
    <w:p w14:paraId="220BB9C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5.8</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no disorder, subsyndromal disorder and probable disorder on PCL-C in 2010 and 2015 based on self-reported measures</w:t>
      </w:r>
      <w:r>
        <w:rPr>
          <w:noProof/>
        </w:rPr>
        <w:tab/>
      </w:r>
      <w:r>
        <w:rPr>
          <w:noProof/>
        </w:rPr>
        <w:fldChar w:fldCharType="begin"/>
      </w:r>
      <w:r>
        <w:rPr>
          <w:noProof/>
        </w:rPr>
        <w:instrText xml:space="preserve"> PAGEREF _Toc532473645 \h </w:instrText>
      </w:r>
      <w:r>
        <w:rPr>
          <w:noProof/>
        </w:rPr>
      </w:r>
      <w:r>
        <w:rPr>
          <w:noProof/>
        </w:rPr>
        <w:fldChar w:fldCharType="separate"/>
      </w:r>
      <w:r>
        <w:rPr>
          <w:noProof/>
        </w:rPr>
        <w:t>80</w:t>
      </w:r>
      <w:r>
        <w:rPr>
          <w:noProof/>
        </w:rPr>
        <w:fldChar w:fldCharType="end"/>
      </w:r>
    </w:p>
    <w:p w14:paraId="36E3205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5.9</w:t>
      </w:r>
      <w:r>
        <w:rPr>
          <w:rFonts w:asciiTheme="minorHAnsi" w:eastAsiaTheme="minorEastAsia" w:hAnsiTheme="minorHAnsi" w:cstheme="minorBidi"/>
          <w:noProof/>
          <w:color w:val="auto"/>
          <w:sz w:val="22"/>
          <w:szCs w:val="22"/>
          <w:lang w:eastAsia="en-AU"/>
        </w:rPr>
        <w:tab/>
      </w:r>
      <w:r>
        <w:rPr>
          <w:noProof/>
        </w:rPr>
        <w:t>Mean AUDIT scores in Transitioned ADF and Regular ADF in the longitudinal cohort</w:t>
      </w:r>
      <w:r>
        <w:rPr>
          <w:noProof/>
        </w:rPr>
        <w:tab/>
      </w:r>
      <w:r>
        <w:rPr>
          <w:noProof/>
        </w:rPr>
        <w:fldChar w:fldCharType="begin"/>
      </w:r>
      <w:r>
        <w:rPr>
          <w:noProof/>
        </w:rPr>
        <w:instrText xml:space="preserve"> PAGEREF _Toc532473646 \h </w:instrText>
      </w:r>
      <w:r>
        <w:rPr>
          <w:noProof/>
        </w:rPr>
      </w:r>
      <w:r>
        <w:rPr>
          <w:noProof/>
        </w:rPr>
        <w:fldChar w:fldCharType="separate"/>
      </w:r>
      <w:r>
        <w:rPr>
          <w:noProof/>
        </w:rPr>
        <w:t>82</w:t>
      </w:r>
      <w:r>
        <w:rPr>
          <w:noProof/>
        </w:rPr>
        <w:fldChar w:fldCharType="end"/>
      </w:r>
    </w:p>
    <w:p w14:paraId="425DB9D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lastRenderedPageBreak/>
        <w:t>Figure 5.10</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no disorder, subsyndromal disorder and probable disorder on AUDIT in 2010 and 2015 based on self-reported measures</w:t>
      </w:r>
      <w:r>
        <w:rPr>
          <w:noProof/>
        </w:rPr>
        <w:tab/>
      </w:r>
      <w:r>
        <w:rPr>
          <w:noProof/>
        </w:rPr>
        <w:fldChar w:fldCharType="begin"/>
      </w:r>
      <w:r>
        <w:rPr>
          <w:noProof/>
        </w:rPr>
        <w:instrText xml:space="preserve"> PAGEREF _Toc532473647 \h </w:instrText>
      </w:r>
      <w:r>
        <w:rPr>
          <w:noProof/>
        </w:rPr>
      </w:r>
      <w:r>
        <w:rPr>
          <w:noProof/>
        </w:rPr>
        <w:fldChar w:fldCharType="separate"/>
      </w:r>
      <w:r>
        <w:rPr>
          <w:noProof/>
        </w:rPr>
        <w:t>84</w:t>
      </w:r>
      <w:r>
        <w:rPr>
          <w:noProof/>
        </w:rPr>
        <w:fldChar w:fldCharType="end"/>
      </w:r>
    </w:p>
    <w:p w14:paraId="20B0864B"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5.11</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no disorder, subsyndromal disorder and probable disorder on AUDIT in 2010 and 2015 based on self-reported measures</w:t>
      </w:r>
      <w:r>
        <w:rPr>
          <w:noProof/>
        </w:rPr>
        <w:tab/>
      </w:r>
      <w:r>
        <w:rPr>
          <w:noProof/>
        </w:rPr>
        <w:fldChar w:fldCharType="begin"/>
      </w:r>
      <w:r>
        <w:rPr>
          <w:noProof/>
        </w:rPr>
        <w:instrText xml:space="preserve"> PAGEREF _Toc532473648 \h </w:instrText>
      </w:r>
      <w:r>
        <w:rPr>
          <w:noProof/>
        </w:rPr>
      </w:r>
      <w:r>
        <w:rPr>
          <w:noProof/>
        </w:rPr>
        <w:fldChar w:fldCharType="separate"/>
      </w:r>
      <w:r>
        <w:rPr>
          <w:noProof/>
        </w:rPr>
        <w:t>85</w:t>
      </w:r>
      <w:r>
        <w:rPr>
          <w:noProof/>
        </w:rPr>
        <w:fldChar w:fldCharType="end"/>
      </w:r>
    </w:p>
    <w:p w14:paraId="2F1C9C67"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5.12</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 xml:space="preserve">2015 Regular ADF in the longitudinal cohort </w:t>
      </w:r>
      <w:r>
        <w:rPr>
          <w:noProof/>
        </w:rPr>
        <w:t>with no disorder, subsyndromal disorder and probable disorder on AUDIT in 2010 and 2015 based on self-reported measures</w:t>
      </w:r>
      <w:r>
        <w:rPr>
          <w:noProof/>
        </w:rPr>
        <w:tab/>
      </w:r>
      <w:r>
        <w:rPr>
          <w:noProof/>
        </w:rPr>
        <w:fldChar w:fldCharType="begin"/>
      </w:r>
      <w:r>
        <w:rPr>
          <w:noProof/>
        </w:rPr>
        <w:instrText xml:space="preserve"> PAGEREF _Toc532473649 \h </w:instrText>
      </w:r>
      <w:r>
        <w:rPr>
          <w:noProof/>
        </w:rPr>
      </w:r>
      <w:r>
        <w:rPr>
          <w:noProof/>
        </w:rPr>
        <w:fldChar w:fldCharType="separate"/>
      </w:r>
      <w:r>
        <w:rPr>
          <w:noProof/>
        </w:rPr>
        <w:t>86</w:t>
      </w:r>
      <w:r>
        <w:rPr>
          <w:noProof/>
        </w:rPr>
        <w:fldChar w:fldCharType="end"/>
      </w:r>
    </w:p>
    <w:p w14:paraId="77A8D4E3"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5.13</w:t>
      </w:r>
      <w:r>
        <w:rPr>
          <w:rFonts w:asciiTheme="minorHAnsi" w:eastAsiaTheme="minorEastAsia" w:hAnsiTheme="minorHAnsi" w:cstheme="minorBidi"/>
          <w:noProof/>
          <w:color w:val="auto"/>
          <w:sz w:val="22"/>
          <w:szCs w:val="22"/>
          <w:lang w:eastAsia="en-AU"/>
        </w:rPr>
        <w:tab/>
      </w:r>
      <w:r>
        <w:rPr>
          <w:noProof/>
        </w:rPr>
        <w:t>Mean PHQ-9 scores in Transitioned ADF and Regular ADF in the longitudinal cohort</w:t>
      </w:r>
      <w:r>
        <w:rPr>
          <w:noProof/>
        </w:rPr>
        <w:tab/>
      </w:r>
      <w:r>
        <w:rPr>
          <w:noProof/>
        </w:rPr>
        <w:fldChar w:fldCharType="begin"/>
      </w:r>
      <w:r>
        <w:rPr>
          <w:noProof/>
        </w:rPr>
        <w:instrText xml:space="preserve"> PAGEREF _Toc532473650 \h </w:instrText>
      </w:r>
      <w:r>
        <w:rPr>
          <w:noProof/>
        </w:rPr>
      </w:r>
      <w:r>
        <w:rPr>
          <w:noProof/>
        </w:rPr>
        <w:fldChar w:fldCharType="separate"/>
      </w:r>
      <w:r>
        <w:rPr>
          <w:noProof/>
        </w:rPr>
        <w:t>88</w:t>
      </w:r>
      <w:r>
        <w:rPr>
          <w:noProof/>
        </w:rPr>
        <w:fldChar w:fldCharType="end"/>
      </w:r>
    </w:p>
    <w:p w14:paraId="22FBEE85"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5.14</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_Toc532473651 \h </w:instrText>
      </w:r>
      <w:r>
        <w:rPr>
          <w:noProof/>
        </w:rPr>
      </w:r>
      <w:r>
        <w:rPr>
          <w:noProof/>
        </w:rPr>
        <w:fldChar w:fldCharType="separate"/>
      </w:r>
      <w:r>
        <w:rPr>
          <w:noProof/>
        </w:rPr>
        <w:t>90</w:t>
      </w:r>
      <w:r>
        <w:rPr>
          <w:noProof/>
        </w:rPr>
        <w:fldChar w:fldCharType="end"/>
      </w:r>
    </w:p>
    <w:p w14:paraId="35FA26E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5.15</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_Toc532473652 \h </w:instrText>
      </w:r>
      <w:r>
        <w:rPr>
          <w:noProof/>
        </w:rPr>
      </w:r>
      <w:r>
        <w:rPr>
          <w:noProof/>
        </w:rPr>
        <w:fldChar w:fldCharType="separate"/>
      </w:r>
      <w:r>
        <w:rPr>
          <w:noProof/>
        </w:rPr>
        <w:t>91</w:t>
      </w:r>
      <w:r>
        <w:rPr>
          <w:noProof/>
        </w:rPr>
        <w:fldChar w:fldCharType="end"/>
      </w:r>
    </w:p>
    <w:p w14:paraId="58B43E4B"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5.16</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no disorder, subsyndromal disorder and probable disorder on PHQ-9 in 2010 and 2015 based on self-reported measures</w:t>
      </w:r>
      <w:r>
        <w:rPr>
          <w:noProof/>
        </w:rPr>
        <w:tab/>
      </w:r>
      <w:r>
        <w:rPr>
          <w:noProof/>
        </w:rPr>
        <w:fldChar w:fldCharType="begin"/>
      </w:r>
      <w:r>
        <w:rPr>
          <w:noProof/>
        </w:rPr>
        <w:instrText xml:space="preserve"> PAGEREF _Toc532473653 \h </w:instrText>
      </w:r>
      <w:r>
        <w:rPr>
          <w:noProof/>
        </w:rPr>
      </w:r>
      <w:r>
        <w:rPr>
          <w:noProof/>
        </w:rPr>
        <w:fldChar w:fldCharType="separate"/>
      </w:r>
      <w:r>
        <w:rPr>
          <w:noProof/>
        </w:rPr>
        <w:t>92</w:t>
      </w:r>
      <w:r>
        <w:rPr>
          <w:noProof/>
        </w:rPr>
        <w:fldChar w:fldCharType="end"/>
      </w:r>
    </w:p>
    <w:p w14:paraId="15C6A82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5.17</w:t>
      </w:r>
      <w:r>
        <w:rPr>
          <w:rFonts w:asciiTheme="minorHAnsi" w:eastAsiaTheme="minorEastAsia" w:hAnsiTheme="minorHAnsi" w:cstheme="minorBidi"/>
          <w:noProof/>
          <w:color w:val="auto"/>
          <w:sz w:val="22"/>
          <w:szCs w:val="22"/>
          <w:lang w:eastAsia="en-AU"/>
        </w:rPr>
        <w:tab/>
      </w:r>
      <w:r>
        <w:rPr>
          <w:noProof/>
        </w:rPr>
        <w:t>Suicidal ideation, plans and attempts in Transitioned ADF and 2015 Regular ADF in the longitudinal cohort</w:t>
      </w:r>
      <w:r>
        <w:rPr>
          <w:noProof/>
        </w:rPr>
        <w:tab/>
      </w:r>
      <w:r>
        <w:rPr>
          <w:noProof/>
        </w:rPr>
        <w:fldChar w:fldCharType="begin"/>
      </w:r>
      <w:r>
        <w:rPr>
          <w:noProof/>
        </w:rPr>
        <w:instrText xml:space="preserve"> PAGEREF _Toc532473654 \h </w:instrText>
      </w:r>
      <w:r>
        <w:rPr>
          <w:noProof/>
        </w:rPr>
      </w:r>
      <w:r>
        <w:rPr>
          <w:noProof/>
        </w:rPr>
        <w:fldChar w:fldCharType="separate"/>
      </w:r>
      <w:r>
        <w:rPr>
          <w:noProof/>
        </w:rPr>
        <w:t>95</w:t>
      </w:r>
      <w:r>
        <w:rPr>
          <w:noProof/>
        </w:rPr>
        <w:fldChar w:fldCharType="end"/>
      </w:r>
    </w:p>
    <w:p w14:paraId="012E9387"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5.18</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_Toc532473655 \h </w:instrText>
      </w:r>
      <w:r>
        <w:rPr>
          <w:noProof/>
        </w:rPr>
      </w:r>
      <w:r>
        <w:rPr>
          <w:noProof/>
        </w:rPr>
        <w:fldChar w:fldCharType="separate"/>
      </w:r>
      <w:r>
        <w:rPr>
          <w:noProof/>
        </w:rPr>
        <w:t>97</w:t>
      </w:r>
      <w:r>
        <w:rPr>
          <w:noProof/>
        </w:rPr>
        <w:fldChar w:fldCharType="end"/>
      </w:r>
    </w:p>
    <w:p w14:paraId="72DE58F6"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5.19</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_Toc532473656 \h </w:instrText>
      </w:r>
      <w:r>
        <w:rPr>
          <w:noProof/>
        </w:rPr>
      </w:r>
      <w:r>
        <w:rPr>
          <w:noProof/>
        </w:rPr>
        <w:fldChar w:fldCharType="separate"/>
      </w:r>
      <w:r>
        <w:rPr>
          <w:noProof/>
        </w:rPr>
        <w:t>98</w:t>
      </w:r>
      <w:r>
        <w:rPr>
          <w:noProof/>
        </w:rPr>
        <w:fldChar w:fldCharType="end"/>
      </w:r>
    </w:p>
    <w:p w14:paraId="5707DB0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5.20</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any suicidality in 2010 and 2015 based on self-reported measures</w:t>
      </w:r>
      <w:r>
        <w:rPr>
          <w:noProof/>
        </w:rPr>
        <w:tab/>
      </w:r>
      <w:r>
        <w:rPr>
          <w:noProof/>
        </w:rPr>
        <w:fldChar w:fldCharType="begin"/>
      </w:r>
      <w:r>
        <w:rPr>
          <w:noProof/>
        </w:rPr>
        <w:instrText xml:space="preserve"> PAGEREF _Toc532473657 \h </w:instrText>
      </w:r>
      <w:r>
        <w:rPr>
          <w:noProof/>
        </w:rPr>
      </w:r>
      <w:r>
        <w:rPr>
          <w:noProof/>
        </w:rPr>
        <w:fldChar w:fldCharType="separate"/>
      </w:r>
      <w:r>
        <w:rPr>
          <w:noProof/>
        </w:rPr>
        <w:t>99</w:t>
      </w:r>
      <w:r>
        <w:rPr>
          <w:noProof/>
        </w:rPr>
        <w:fldChar w:fldCharType="end"/>
      </w:r>
    </w:p>
    <w:p w14:paraId="636AF5C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5.21</w:t>
      </w:r>
      <w:r>
        <w:rPr>
          <w:rFonts w:asciiTheme="minorHAnsi" w:eastAsiaTheme="minorEastAsia" w:hAnsiTheme="minorHAnsi" w:cstheme="minorBidi"/>
          <w:noProof/>
          <w:color w:val="auto"/>
          <w:sz w:val="22"/>
          <w:szCs w:val="22"/>
          <w:lang w:eastAsia="en-AU"/>
        </w:rPr>
        <w:tab/>
      </w:r>
      <w:r>
        <w:rPr>
          <w:noProof/>
        </w:rPr>
        <w:t>Mean DAR-5 scores in Transitioned ADF and 2015 Regular ADF in the longitudinal cohort</w:t>
      </w:r>
      <w:r>
        <w:rPr>
          <w:noProof/>
        </w:rPr>
        <w:tab/>
      </w:r>
      <w:r>
        <w:rPr>
          <w:noProof/>
        </w:rPr>
        <w:fldChar w:fldCharType="begin"/>
      </w:r>
      <w:r>
        <w:rPr>
          <w:noProof/>
        </w:rPr>
        <w:instrText xml:space="preserve"> PAGEREF _Toc532473658 \h </w:instrText>
      </w:r>
      <w:r>
        <w:rPr>
          <w:noProof/>
        </w:rPr>
      </w:r>
      <w:r>
        <w:rPr>
          <w:noProof/>
        </w:rPr>
        <w:fldChar w:fldCharType="separate"/>
      </w:r>
      <w:r>
        <w:rPr>
          <w:noProof/>
        </w:rPr>
        <w:t>100</w:t>
      </w:r>
      <w:r>
        <w:rPr>
          <w:noProof/>
        </w:rPr>
        <w:fldChar w:fldCharType="end"/>
      </w:r>
    </w:p>
    <w:p w14:paraId="1964E49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5.22</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_Toc532473659 \h </w:instrText>
      </w:r>
      <w:r>
        <w:rPr>
          <w:noProof/>
        </w:rPr>
      </w:r>
      <w:r>
        <w:rPr>
          <w:noProof/>
        </w:rPr>
        <w:fldChar w:fldCharType="separate"/>
      </w:r>
      <w:r>
        <w:rPr>
          <w:noProof/>
        </w:rPr>
        <w:t>102</w:t>
      </w:r>
      <w:r>
        <w:rPr>
          <w:noProof/>
        </w:rPr>
        <w:fldChar w:fldCharType="end"/>
      </w:r>
    </w:p>
    <w:p w14:paraId="4EA3096A"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5.23</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_Toc532473660 \h </w:instrText>
      </w:r>
      <w:r>
        <w:rPr>
          <w:noProof/>
        </w:rPr>
      </w:r>
      <w:r>
        <w:rPr>
          <w:noProof/>
        </w:rPr>
        <w:fldChar w:fldCharType="separate"/>
      </w:r>
      <w:r>
        <w:rPr>
          <w:noProof/>
        </w:rPr>
        <w:t>103</w:t>
      </w:r>
      <w:r>
        <w:rPr>
          <w:noProof/>
        </w:rPr>
        <w:fldChar w:fldCharType="end"/>
      </w:r>
    </w:p>
    <w:p w14:paraId="5FAD120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5.24</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DAR-5 problem anger (total ≥ 12) in 2010 and 2015 based on self-reported measures</w:t>
      </w:r>
      <w:r>
        <w:rPr>
          <w:noProof/>
        </w:rPr>
        <w:tab/>
      </w:r>
      <w:r>
        <w:rPr>
          <w:noProof/>
        </w:rPr>
        <w:fldChar w:fldCharType="begin"/>
      </w:r>
      <w:r>
        <w:rPr>
          <w:noProof/>
        </w:rPr>
        <w:instrText xml:space="preserve"> PAGEREF _Toc532473661 \h </w:instrText>
      </w:r>
      <w:r>
        <w:rPr>
          <w:noProof/>
        </w:rPr>
      </w:r>
      <w:r>
        <w:rPr>
          <w:noProof/>
        </w:rPr>
        <w:fldChar w:fldCharType="separate"/>
      </w:r>
      <w:r>
        <w:rPr>
          <w:noProof/>
        </w:rPr>
        <w:t>104</w:t>
      </w:r>
      <w:r>
        <w:rPr>
          <w:noProof/>
        </w:rPr>
        <w:fldChar w:fldCharType="end"/>
      </w:r>
    </w:p>
    <w:p w14:paraId="0D9A882B"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5.25</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_Toc532473662 \h </w:instrText>
      </w:r>
      <w:r>
        <w:rPr>
          <w:noProof/>
        </w:rPr>
      </w:r>
      <w:r>
        <w:rPr>
          <w:noProof/>
        </w:rPr>
        <w:fldChar w:fldCharType="separate"/>
      </w:r>
      <w:r>
        <w:rPr>
          <w:noProof/>
        </w:rPr>
        <w:t>106</w:t>
      </w:r>
      <w:r>
        <w:rPr>
          <w:noProof/>
        </w:rPr>
        <w:fldChar w:fldCharType="end"/>
      </w:r>
    </w:p>
    <w:p w14:paraId="7C668E5E"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5.26</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_Toc532473663 \h </w:instrText>
      </w:r>
      <w:r>
        <w:rPr>
          <w:noProof/>
        </w:rPr>
      </w:r>
      <w:r>
        <w:rPr>
          <w:noProof/>
        </w:rPr>
        <w:fldChar w:fldCharType="separate"/>
      </w:r>
      <w:r>
        <w:rPr>
          <w:noProof/>
        </w:rPr>
        <w:t>107</w:t>
      </w:r>
      <w:r>
        <w:rPr>
          <w:noProof/>
        </w:rPr>
        <w:fldChar w:fldCharType="end"/>
      </w:r>
    </w:p>
    <w:p w14:paraId="0570A78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5.27</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who ‘got into a fight and hit someone in the last month’ in 2010 and 2015 based on self-reported measures</w:t>
      </w:r>
      <w:r>
        <w:rPr>
          <w:noProof/>
        </w:rPr>
        <w:tab/>
      </w:r>
      <w:r>
        <w:rPr>
          <w:noProof/>
        </w:rPr>
        <w:fldChar w:fldCharType="begin"/>
      </w:r>
      <w:r>
        <w:rPr>
          <w:noProof/>
        </w:rPr>
        <w:instrText xml:space="preserve"> PAGEREF _Toc532473664 \h </w:instrText>
      </w:r>
      <w:r>
        <w:rPr>
          <w:noProof/>
        </w:rPr>
      </w:r>
      <w:r>
        <w:rPr>
          <w:noProof/>
        </w:rPr>
        <w:fldChar w:fldCharType="separate"/>
      </w:r>
      <w:r>
        <w:rPr>
          <w:noProof/>
        </w:rPr>
        <w:t>108</w:t>
      </w:r>
      <w:r>
        <w:rPr>
          <w:noProof/>
        </w:rPr>
        <w:fldChar w:fldCharType="end"/>
      </w:r>
    </w:p>
    <w:p w14:paraId="4DD8D2B8"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lastRenderedPageBreak/>
        <w:t>Figure 5.28</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_Toc532473665 \h </w:instrText>
      </w:r>
      <w:r>
        <w:rPr>
          <w:noProof/>
        </w:rPr>
      </w:r>
      <w:r>
        <w:rPr>
          <w:noProof/>
        </w:rPr>
        <w:fldChar w:fldCharType="separate"/>
      </w:r>
      <w:r>
        <w:rPr>
          <w:noProof/>
        </w:rPr>
        <w:t>110</w:t>
      </w:r>
      <w:r>
        <w:rPr>
          <w:noProof/>
        </w:rPr>
        <w:fldChar w:fldCharType="end"/>
      </w:r>
    </w:p>
    <w:p w14:paraId="1218B869"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5.29</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_Toc532473666 \h </w:instrText>
      </w:r>
      <w:r>
        <w:rPr>
          <w:noProof/>
        </w:rPr>
      </w:r>
      <w:r>
        <w:rPr>
          <w:noProof/>
        </w:rPr>
        <w:fldChar w:fldCharType="separate"/>
      </w:r>
      <w:r>
        <w:rPr>
          <w:noProof/>
        </w:rPr>
        <w:t>111</w:t>
      </w:r>
      <w:r>
        <w:rPr>
          <w:noProof/>
        </w:rPr>
        <w:fldChar w:fldCharType="end"/>
      </w:r>
    </w:p>
    <w:p w14:paraId="59674645"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5.30</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who ‘threatened someone with physical violence in the last month’ in 2010 and 2015 based on self-reported measures</w:t>
      </w:r>
      <w:r>
        <w:rPr>
          <w:noProof/>
        </w:rPr>
        <w:tab/>
      </w:r>
      <w:r>
        <w:rPr>
          <w:noProof/>
        </w:rPr>
        <w:fldChar w:fldCharType="begin"/>
      </w:r>
      <w:r>
        <w:rPr>
          <w:noProof/>
        </w:rPr>
        <w:instrText xml:space="preserve"> PAGEREF _Toc532473667 \h </w:instrText>
      </w:r>
      <w:r>
        <w:rPr>
          <w:noProof/>
        </w:rPr>
      </w:r>
      <w:r>
        <w:rPr>
          <w:noProof/>
        </w:rPr>
        <w:fldChar w:fldCharType="separate"/>
      </w:r>
      <w:r>
        <w:rPr>
          <w:noProof/>
        </w:rPr>
        <w:t>112</w:t>
      </w:r>
      <w:r>
        <w:rPr>
          <w:noProof/>
        </w:rPr>
        <w:fldChar w:fldCharType="end"/>
      </w:r>
    </w:p>
    <w:p w14:paraId="69FFB2C2"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6.1</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entire longitudinal cohort</w:t>
      </w:r>
      <w:r>
        <w:rPr>
          <w:noProof/>
        </w:rPr>
        <w:t xml:space="preserve"> with no disorder, subsyndromal disorder and probable disorder on K10 and PCL-C in 2010 and 2015 based on self-reported measures</w:t>
      </w:r>
      <w:r>
        <w:rPr>
          <w:noProof/>
        </w:rPr>
        <w:tab/>
      </w:r>
      <w:r>
        <w:rPr>
          <w:noProof/>
        </w:rPr>
        <w:fldChar w:fldCharType="begin"/>
      </w:r>
      <w:r>
        <w:rPr>
          <w:noProof/>
        </w:rPr>
        <w:instrText xml:space="preserve"> PAGEREF _Toc532473668 \h </w:instrText>
      </w:r>
      <w:r>
        <w:rPr>
          <w:noProof/>
        </w:rPr>
      </w:r>
      <w:r>
        <w:rPr>
          <w:noProof/>
        </w:rPr>
        <w:fldChar w:fldCharType="separate"/>
      </w:r>
      <w:r>
        <w:rPr>
          <w:noProof/>
        </w:rPr>
        <w:t>120</w:t>
      </w:r>
      <w:r>
        <w:rPr>
          <w:noProof/>
        </w:rPr>
        <w:fldChar w:fldCharType="end"/>
      </w:r>
    </w:p>
    <w:p w14:paraId="1179B9A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6.2</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Transitioned ADF in the longitudinal cohort</w:t>
      </w:r>
      <w:r>
        <w:rPr>
          <w:noProof/>
        </w:rPr>
        <w:t xml:space="preserve"> with no disorder, subsyndromal disorder and probable disorder in 2010 and 2015 based on self-reported measures</w:t>
      </w:r>
      <w:r>
        <w:rPr>
          <w:noProof/>
        </w:rPr>
        <w:tab/>
      </w:r>
      <w:r>
        <w:rPr>
          <w:noProof/>
        </w:rPr>
        <w:fldChar w:fldCharType="begin"/>
      </w:r>
      <w:r>
        <w:rPr>
          <w:noProof/>
        </w:rPr>
        <w:instrText xml:space="preserve"> PAGEREF _Toc532473669 \h </w:instrText>
      </w:r>
      <w:r>
        <w:rPr>
          <w:noProof/>
        </w:rPr>
      </w:r>
      <w:r>
        <w:rPr>
          <w:noProof/>
        </w:rPr>
        <w:fldChar w:fldCharType="separate"/>
      </w:r>
      <w:r>
        <w:rPr>
          <w:noProof/>
        </w:rPr>
        <w:t>121</w:t>
      </w:r>
      <w:r>
        <w:rPr>
          <w:noProof/>
        </w:rPr>
        <w:fldChar w:fldCharType="end"/>
      </w:r>
    </w:p>
    <w:p w14:paraId="05D5360F"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6.3</w:t>
      </w:r>
      <w:r>
        <w:rPr>
          <w:rFonts w:asciiTheme="minorHAnsi" w:eastAsiaTheme="minorEastAsia" w:hAnsiTheme="minorHAnsi" w:cstheme="minorBidi"/>
          <w:noProof/>
          <w:color w:val="auto"/>
          <w:sz w:val="22"/>
          <w:szCs w:val="22"/>
          <w:lang w:eastAsia="en-AU"/>
        </w:rPr>
        <w:tab/>
      </w:r>
      <w:r>
        <w:rPr>
          <w:noProof/>
        </w:rPr>
        <w:t xml:space="preserve">Proportion of </w:t>
      </w:r>
      <w:r w:rsidRPr="001D2909">
        <w:rPr>
          <w:noProof/>
          <w:u w:val="single"/>
        </w:rPr>
        <w:t>2015 Regular ADF in the longitudinal cohort</w:t>
      </w:r>
      <w:r>
        <w:rPr>
          <w:noProof/>
        </w:rPr>
        <w:t xml:space="preserve"> with no disorder, subsyndromal disorder and probable disorder in 2010 and 2015 based on self-reported measures</w:t>
      </w:r>
      <w:r>
        <w:rPr>
          <w:noProof/>
        </w:rPr>
        <w:tab/>
      </w:r>
      <w:r>
        <w:rPr>
          <w:noProof/>
        </w:rPr>
        <w:fldChar w:fldCharType="begin"/>
      </w:r>
      <w:r>
        <w:rPr>
          <w:noProof/>
        </w:rPr>
        <w:instrText xml:space="preserve"> PAGEREF _Toc532473670 \h </w:instrText>
      </w:r>
      <w:r>
        <w:rPr>
          <w:noProof/>
        </w:rPr>
      </w:r>
      <w:r>
        <w:rPr>
          <w:noProof/>
        </w:rPr>
        <w:fldChar w:fldCharType="separate"/>
      </w:r>
      <w:r>
        <w:rPr>
          <w:noProof/>
        </w:rPr>
        <w:t>122</w:t>
      </w:r>
      <w:r>
        <w:rPr>
          <w:noProof/>
        </w:rPr>
        <w:fldChar w:fldCharType="end"/>
      </w:r>
    </w:p>
    <w:p w14:paraId="5F879BDD" w14:textId="77777777" w:rsidR="00577DF5" w:rsidRDefault="00577DF5">
      <w:pPr>
        <w:pStyle w:val="TOC4"/>
        <w:rPr>
          <w:rFonts w:asciiTheme="minorHAnsi" w:eastAsiaTheme="minorEastAsia" w:hAnsiTheme="minorHAnsi" w:cstheme="minorBidi"/>
          <w:noProof/>
          <w:color w:val="auto"/>
          <w:sz w:val="22"/>
          <w:szCs w:val="22"/>
          <w:lang w:eastAsia="en-AU"/>
        </w:rPr>
      </w:pPr>
      <w:r>
        <w:rPr>
          <w:noProof/>
        </w:rPr>
        <w:t>Figure A.1</w:t>
      </w:r>
      <w:r>
        <w:rPr>
          <w:rFonts w:asciiTheme="minorHAnsi" w:eastAsiaTheme="minorEastAsia" w:hAnsiTheme="minorHAnsi" w:cstheme="minorBidi"/>
          <w:noProof/>
          <w:color w:val="auto"/>
          <w:sz w:val="22"/>
          <w:szCs w:val="22"/>
          <w:lang w:eastAsia="en-AU"/>
        </w:rPr>
        <w:tab/>
      </w:r>
      <w:r>
        <w:rPr>
          <w:noProof/>
        </w:rPr>
        <w:t>Survey response rates for Transitioned ADF and 2015 Regular ADF</w:t>
      </w:r>
      <w:r>
        <w:rPr>
          <w:noProof/>
        </w:rPr>
        <w:tab/>
      </w:r>
      <w:r>
        <w:rPr>
          <w:noProof/>
        </w:rPr>
        <w:fldChar w:fldCharType="begin"/>
      </w:r>
      <w:r>
        <w:rPr>
          <w:noProof/>
        </w:rPr>
        <w:instrText xml:space="preserve"> PAGEREF _Toc532473671 \h </w:instrText>
      </w:r>
      <w:r>
        <w:rPr>
          <w:noProof/>
        </w:rPr>
      </w:r>
      <w:r>
        <w:rPr>
          <w:noProof/>
        </w:rPr>
        <w:fldChar w:fldCharType="separate"/>
      </w:r>
      <w:r>
        <w:rPr>
          <w:noProof/>
        </w:rPr>
        <w:t>167</w:t>
      </w:r>
      <w:r>
        <w:rPr>
          <w:noProof/>
        </w:rPr>
        <w:fldChar w:fldCharType="end"/>
      </w:r>
    </w:p>
    <w:p w14:paraId="7E36E22D" w14:textId="4080AA08" w:rsidR="000E0B73" w:rsidRPr="0047058F" w:rsidRDefault="000E0B73">
      <w:r w:rsidRPr="0047058F">
        <w:fldChar w:fldCharType="end"/>
      </w:r>
    </w:p>
    <w:p w14:paraId="1A8FE0CB" w14:textId="77777777" w:rsidR="00BD0C61" w:rsidRPr="0047058F" w:rsidRDefault="00BD0C61" w:rsidP="00BD0C61">
      <w:pPr>
        <w:sectPr w:rsidR="00BD0C61" w:rsidRPr="0047058F" w:rsidSect="00FF5B5F">
          <w:type w:val="oddPage"/>
          <w:pgSz w:w="9979" w:h="14170" w:code="243"/>
          <w:pgMar w:top="1440" w:right="1152" w:bottom="1440" w:left="1728" w:header="576" w:footer="576" w:gutter="0"/>
          <w:pgNumType w:fmt="lowerRoman"/>
          <w:cols w:space="708"/>
          <w:docGrid w:linePitch="360"/>
        </w:sectPr>
      </w:pPr>
      <w:bookmarkStart w:id="3" w:name="_Toc498520960"/>
      <w:bookmarkStart w:id="4" w:name="_Toc529117448"/>
    </w:p>
    <w:p w14:paraId="1CAF9CBF" w14:textId="77777777" w:rsidR="00BD0C61" w:rsidRPr="0047058F" w:rsidRDefault="00BD0C61" w:rsidP="00BD0C61">
      <w:pPr>
        <w:pStyle w:val="Heading1"/>
        <w:numPr>
          <w:ilvl w:val="0"/>
          <w:numId w:val="0"/>
        </w:numPr>
        <w:ind w:left="432" w:hanging="432"/>
      </w:pPr>
      <w:bookmarkStart w:id="5" w:name="_Toc532474322"/>
      <w:r w:rsidRPr="0047058F">
        <w:lastRenderedPageBreak/>
        <w:t>Acknowledgements</w:t>
      </w:r>
      <w:bookmarkEnd w:id="3"/>
      <w:bookmarkEnd w:id="4"/>
      <w:bookmarkEnd w:id="5"/>
    </w:p>
    <w:p w14:paraId="181D0C6D" w14:textId="77777777" w:rsidR="00BD0C61" w:rsidRPr="0047058F" w:rsidRDefault="00BD0C61" w:rsidP="00860F45">
      <w:pPr>
        <w:pStyle w:val="Heading2a"/>
      </w:pPr>
      <w:r w:rsidRPr="0047058F">
        <w:t>Study participants</w:t>
      </w:r>
    </w:p>
    <w:p w14:paraId="2D727E8D" w14:textId="77777777" w:rsidR="00BD0C61" w:rsidRPr="0047058F" w:rsidRDefault="00BD0C61" w:rsidP="00BD0C61">
      <w:pPr>
        <w:spacing w:line="250" w:lineRule="atLeast"/>
      </w:pPr>
      <w:r w:rsidRPr="0047058F">
        <w:t>First and foremost, we acknowledge all current and ex-serving ADF personnel who generously gave their time to complete the study. This research was only made possible by their efforts and commitment to the study. Other key individuals include:</w:t>
      </w:r>
    </w:p>
    <w:p w14:paraId="1C6DAF9B" w14:textId="13CB6500" w:rsidR="00BD0C61" w:rsidRPr="0047058F" w:rsidRDefault="00BD0C61" w:rsidP="00860F45">
      <w:pPr>
        <w:pStyle w:val="Heading3a"/>
        <w:ind w:left="360"/>
      </w:pPr>
      <w:r w:rsidRPr="0047058F">
        <w:t>Principal Investigator</w:t>
      </w:r>
    </w:p>
    <w:p w14:paraId="36F6929E" w14:textId="77777777" w:rsidR="00BD0C61" w:rsidRPr="0047058F" w:rsidRDefault="00BD0C61" w:rsidP="00A831E8">
      <w:pPr>
        <w:spacing w:line="250" w:lineRule="atLeast"/>
        <w:ind w:left="360"/>
      </w:pPr>
      <w:r w:rsidRPr="0047058F">
        <w:t>Dr Miranda Van Hooff, Director of Research, Centre for Traumatic Stress Studies, University of Adelaide</w:t>
      </w:r>
    </w:p>
    <w:p w14:paraId="2C6391EA" w14:textId="77777777" w:rsidR="00BD0C61" w:rsidRPr="0047058F" w:rsidRDefault="00BD0C61" w:rsidP="00860F45">
      <w:pPr>
        <w:pStyle w:val="Heading3a"/>
        <w:ind w:left="360"/>
      </w:pPr>
      <w:r w:rsidRPr="0047058F">
        <w:t>Investigators</w:t>
      </w:r>
    </w:p>
    <w:p w14:paraId="02E181AC" w14:textId="77777777" w:rsidR="00BD0C61" w:rsidRPr="0047058F" w:rsidRDefault="00BD0C61" w:rsidP="00A831E8">
      <w:pPr>
        <w:spacing w:line="250" w:lineRule="atLeast"/>
        <w:ind w:left="360"/>
        <w:rPr>
          <w:rFonts w:asciiTheme="minorHAnsi" w:eastAsia="Times New Roman" w:hAnsiTheme="minorHAnsi" w:cstheme="minorHAnsi"/>
          <w:shd w:val="clear" w:color="auto" w:fill="FFFFFF"/>
        </w:rPr>
      </w:pPr>
      <w:r w:rsidRPr="0047058F">
        <w:rPr>
          <w:color w:val="000000" w:themeColor="text1"/>
        </w:rPr>
        <w:t xml:space="preserve">Professor Richard Bryant (Lead), </w:t>
      </w:r>
      <w:r w:rsidRPr="0047058F">
        <w:rPr>
          <w:rFonts w:asciiTheme="minorHAnsi" w:eastAsia="Times New Roman" w:hAnsiTheme="minorHAnsi" w:cstheme="minorHAnsi"/>
          <w:shd w:val="clear" w:color="auto" w:fill="FFFFFF"/>
        </w:rPr>
        <w:t>Scientia Professor and National Health and Medical Research Council Senior Principal Research Fellow, School of Psychology, University of New South Wales</w:t>
      </w:r>
    </w:p>
    <w:p w14:paraId="203857C9" w14:textId="77777777" w:rsidR="00BD0C61" w:rsidRPr="0047058F" w:rsidRDefault="00BD0C61" w:rsidP="00A831E8">
      <w:pPr>
        <w:spacing w:line="250" w:lineRule="atLeast"/>
        <w:ind w:left="360"/>
      </w:pPr>
      <w:r w:rsidRPr="0047058F">
        <w:t>Dr Ellie Lawrence-Wood, Senior Research Fellow, Centre for Traumatic Stress Studies, University of Adelaide</w:t>
      </w:r>
    </w:p>
    <w:p w14:paraId="2C8C8B9F" w14:textId="77777777" w:rsidR="00BD0C61" w:rsidRPr="0047058F" w:rsidRDefault="00BD0C61" w:rsidP="00A831E8">
      <w:pPr>
        <w:spacing w:line="250" w:lineRule="atLeast"/>
        <w:ind w:left="360"/>
      </w:pPr>
      <w:r w:rsidRPr="0047058F">
        <w:t>Dr Stephanie Hodson, National Manager, Open Arms – Veterans and Families Counselling (formerly Veterans and Veterans Families Counselling Service), Department of Veterans’ Affairs</w:t>
      </w:r>
    </w:p>
    <w:p w14:paraId="26D515D3" w14:textId="77777777" w:rsidR="00BD0C61" w:rsidRPr="0047058F" w:rsidRDefault="00BD0C61" w:rsidP="00A831E8">
      <w:pPr>
        <w:spacing w:line="250" w:lineRule="atLeast"/>
        <w:ind w:left="360"/>
      </w:pPr>
      <w:r w:rsidRPr="0047058F">
        <w:t>COL Nicole Sadler (Reservist), Senior Specialist, Military and High Risk Organisations, Phoenix Australia – Centre for Posttraumatic Mental Health, University of Melbourne</w:t>
      </w:r>
    </w:p>
    <w:p w14:paraId="57B308EE" w14:textId="77777777" w:rsidR="00BD0C61" w:rsidRPr="0047058F" w:rsidRDefault="00BD0C61" w:rsidP="00A831E8">
      <w:pPr>
        <w:spacing w:line="250" w:lineRule="atLeast"/>
        <w:ind w:left="360"/>
      </w:pPr>
      <w:r w:rsidRPr="0047058F">
        <w:t>Ms Helen Benassi, Mental Health, Rehabilitation and Psychology Branch, Joint Health Command, Department of Defence; PhD candidate, Australian National University</w:t>
      </w:r>
    </w:p>
    <w:p w14:paraId="0A6A8508" w14:textId="77777777" w:rsidR="00BD0C61" w:rsidRPr="0047058F" w:rsidRDefault="00BD0C61" w:rsidP="00A831E8">
      <w:pPr>
        <w:spacing w:line="250" w:lineRule="atLeast"/>
        <w:ind w:left="360"/>
      </w:pPr>
      <w:r w:rsidRPr="0047058F">
        <w:t>Professor Alexander McFarlane, Professor of Psychiatry, Head of Centre for Traumatic Stress Studies, University of Adelaide</w:t>
      </w:r>
    </w:p>
    <w:p w14:paraId="337E2CF8" w14:textId="77777777" w:rsidR="00BD0C61" w:rsidRPr="0047058F" w:rsidRDefault="00BD0C61" w:rsidP="00860F45">
      <w:pPr>
        <w:pStyle w:val="Heading3a"/>
        <w:ind w:left="360"/>
      </w:pPr>
      <w:r w:rsidRPr="0047058F">
        <w:t>Lead statistician</w:t>
      </w:r>
    </w:p>
    <w:p w14:paraId="0A8FEE41" w14:textId="77777777" w:rsidR="00BD0C61" w:rsidRPr="0047058F" w:rsidRDefault="00BD0C61" w:rsidP="00A831E8">
      <w:pPr>
        <w:spacing w:line="250" w:lineRule="atLeast"/>
        <w:ind w:left="360"/>
      </w:pPr>
      <w:r w:rsidRPr="0047058F">
        <w:t>Dr Stuart Howell, Senior Statistician, Adelaide Health Technology Assessment, University of Adelaide</w:t>
      </w:r>
    </w:p>
    <w:p w14:paraId="4EB3E404" w14:textId="77777777" w:rsidR="00BD0C61" w:rsidRPr="0047058F" w:rsidRDefault="00BD0C61" w:rsidP="00860F45">
      <w:pPr>
        <w:pStyle w:val="Heading3a"/>
        <w:ind w:left="360"/>
      </w:pPr>
      <w:r w:rsidRPr="0047058F">
        <w:t>Statistician</w:t>
      </w:r>
    </w:p>
    <w:p w14:paraId="663F5454" w14:textId="77777777" w:rsidR="00BD0C61" w:rsidRPr="0047058F" w:rsidRDefault="00BD0C61" w:rsidP="00A831E8">
      <w:pPr>
        <w:spacing w:line="250" w:lineRule="atLeast"/>
        <w:ind w:left="360"/>
      </w:pPr>
      <w:r w:rsidRPr="0047058F">
        <w:t>Dr Craig Hansen, Senior Statistician and Epidemiologist, Centre for Traumatic Stress Studies, University of Adelaide</w:t>
      </w:r>
    </w:p>
    <w:p w14:paraId="2693036B" w14:textId="77777777" w:rsidR="00BD0C61" w:rsidRPr="0047058F" w:rsidRDefault="00BD0C61" w:rsidP="00860F45">
      <w:pPr>
        <w:pStyle w:val="Heading3a"/>
        <w:ind w:left="360"/>
      </w:pPr>
      <w:r w:rsidRPr="0047058F">
        <w:lastRenderedPageBreak/>
        <w:t>Centre for Traumatic Stress Studies – University of Adelaide</w:t>
      </w:r>
    </w:p>
    <w:p w14:paraId="70F6DEBC" w14:textId="77777777" w:rsidR="00BD0C61" w:rsidRPr="0047058F" w:rsidRDefault="00BD0C61" w:rsidP="00A831E8">
      <w:pPr>
        <w:spacing w:line="250" w:lineRule="atLeast"/>
        <w:ind w:left="360"/>
      </w:pPr>
      <w:r w:rsidRPr="0047058F">
        <w:t>Mr Roger Glenny, Ms Maria Abraham, Ms Jenelle Baur, Ms Ashleigh Kenny, Ms Marie Iannos, Dr Jodie Avery, Dr Amelia Searle, Dr Elizabeth Saccone, Ms Jane Cocks, Mr Jeremy Hamlin,</w:t>
      </w:r>
      <w:r w:rsidRPr="0047058F" w:rsidDel="00E46FD6">
        <w:t xml:space="preserve"> </w:t>
      </w:r>
      <w:r w:rsidRPr="0047058F">
        <w:t>Ms Judy Bament, Ms Dianne Stewart, Dr Blair Grace</w:t>
      </w:r>
    </w:p>
    <w:p w14:paraId="49CBBB59" w14:textId="77777777" w:rsidR="00BD0C61" w:rsidRPr="0047058F" w:rsidRDefault="00BD0C61" w:rsidP="00860F45">
      <w:pPr>
        <w:pStyle w:val="Heading3a"/>
        <w:ind w:left="360"/>
      </w:pPr>
      <w:r w:rsidRPr="0047058F">
        <w:t>Hunter Research Foundation</w:t>
      </w:r>
    </w:p>
    <w:p w14:paraId="27DF1249" w14:textId="77777777" w:rsidR="00BD0C61" w:rsidRPr="0047058F" w:rsidRDefault="00BD0C61" w:rsidP="00A831E8">
      <w:pPr>
        <w:spacing w:line="250" w:lineRule="atLeast"/>
        <w:ind w:left="360"/>
      </w:pPr>
      <w:r w:rsidRPr="0047058F">
        <w:t>Ms Shanthi Ramanathan, Mr David Shellard, Dr Clare Hogue, Ms Phyllis Hartung, Mr Russ Redford, and the team of CIDI interviewers</w:t>
      </w:r>
    </w:p>
    <w:p w14:paraId="33CD42E7" w14:textId="77777777" w:rsidR="00BD0C61" w:rsidRPr="0047058F" w:rsidRDefault="00BD0C61" w:rsidP="00860F45">
      <w:pPr>
        <w:pStyle w:val="Heading3a"/>
        <w:ind w:left="360"/>
      </w:pPr>
      <w:r w:rsidRPr="0047058F">
        <w:t>Nexview Systems</w:t>
      </w:r>
    </w:p>
    <w:p w14:paraId="648C5D3A" w14:textId="77777777" w:rsidR="00BD0C61" w:rsidRPr="0047058F" w:rsidRDefault="00BD0C61" w:rsidP="00A831E8">
      <w:pPr>
        <w:spacing w:line="250" w:lineRule="atLeast"/>
        <w:ind w:left="360"/>
      </w:pPr>
      <w:r w:rsidRPr="0047058F">
        <w:t>Mr Trevor Moyle, Ms Hong Yan</w:t>
      </w:r>
    </w:p>
    <w:p w14:paraId="77E15495" w14:textId="77777777" w:rsidR="00BD0C61" w:rsidRPr="0047058F" w:rsidRDefault="00BD0C61" w:rsidP="00860F45">
      <w:pPr>
        <w:pStyle w:val="Heading3a"/>
        <w:ind w:left="360"/>
      </w:pPr>
      <w:r w:rsidRPr="0047058F">
        <w:t>Australian Institute of Family Studies</w:t>
      </w:r>
    </w:p>
    <w:p w14:paraId="1A76C228" w14:textId="77777777" w:rsidR="00BD0C61" w:rsidRPr="0047058F" w:rsidRDefault="00BD0C61" w:rsidP="00A831E8">
      <w:pPr>
        <w:spacing w:line="250" w:lineRule="atLeast"/>
        <w:ind w:left="360"/>
        <w:rPr>
          <w:rStyle w:val="CommentReference"/>
        </w:rPr>
      </w:pPr>
      <w:r w:rsidRPr="0047058F">
        <w:t>Dr Galina Daraganova, Dr Jacquie Harvey</w:t>
      </w:r>
    </w:p>
    <w:p w14:paraId="59032CE8" w14:textId="77777777" w:rsidR="00BD0C61" w:rsidRPr="0047058F" w:rsidRDefault="00BD0C61" w:rsidP="00860F45">
      <w:pPr>
        <w:pStyle w:val="Heading3a"/>
        <w:ind w:left="360"/>
      </w:pPr>
      <w:r w:rsidRPr="0047058F">
        <w:t>Australian Institute of Health and Welfare</w:t>
      </w:r>
    </w:p>
    <w:p w14:paraId="69DE98D8" w14:textId="77777777" w:rsidR="00BD0C61" w:rsidRPr="0047058F" w:rsidRDefault="00BD0C61" w:rsidP="00A831E8">
      <w:pPr>
        <w:spacing w:line="250" w:lineRule="atLeast"/>
        <w:ind w:left="360"/>
      </w:pPr>
      <w:r w:rsidRPr="0047058F">
        <w:t>Mr Phil Anderson, Mr Nick Von Sanden, Mr Richard Solon, Mr Tenniel Guiver</w:t>
      </w:r>
    </w:p>
    <w:p w14:paraId="1B9A8B22" w14:textId="77777777" w:rsidR="00BD0C61" w:rsidRPr="0047058F" w:rsidRDefault="00BD0C61" w:rsidP="00860F45">
      <w:pPr>
        <w:pStyle w:val="Heading3a"/>
        <w:ind w:left="360"/>
      </w:pPr>
      <w:r w:rsidRPr="0047058F">
        <w:t>Australian Bureau of Statistics</w:t>
      </w:r>
    </w:p>
    <w:p w14:paraId="12D86A13" w14:textId="77777777" w:rsidR="00BD0C61" w:rsidRPr="0047058F" w:rsidRDefault="00BD0C61" w:rsidP="00A831E8">
      <w:pPr>
        <w:spacing w:line="250" w:lineRule="atLeast"/>
        <w:ind w:left="360"/>
      </w:pPr>
      <w:r w:rsidRPr="0047058F">
        <w:t>Mr David Haynes, Ms Beatrix Forrest, Ms Michelle Ducat and staff from the Health and Disability Branch, Mr Barry Tynan and staff from the Communications and Dissemination Branch</w:t>
      </w:r>
    </w:p>
    <w:p w14:paraId="136A22C3" w14:textId="77777777" w:rsidR="00BD0C61" w:rsidRPr="0047058F" w:rsidRDefault="00BD0C61" w:rsidP="00860F45">
      <w:pPr>
        <w:pStyle w:val="Heading3a"/>
        <w:ind w:left="360"/>
      </w:pPr>
      <w:r w:rsidRPr="0047058F">
        <w:t>Transition and Wellbeing Research Programme Scientific Advisory Committee</w:t>
      </w:r>
    </w:p>
    <w:p w14:paraId="69C44DBB" w14:textId="77777777" w:rsidR="00BD0C61" w:rsidRPr="0047058F" w:rsidRDefault="00BD0C61" w:rsidP="00A831E8">
      <w:pPr>
        <w:spacing w:line="250" w:lineRule="atLeast"/>
        <w:ind w:left="360"/>
        <w:rPr>
          <w:bCs/>
        </w:rPr>
      </w:pPr>
      <w:r w:rsidRPr="0047058F">
        <w:t>RADM Jenny Firman (co-chair), Dr Ian Gardner (co-chair), Professor Ian Hickie, Professor Malcolm Battersby, Professor Mark Creamer, Professor Peter Butterworth, Professor Lyndall Strazdins, Dr Paul Jelfs, Dr Duncan Wallace, GPCAPT Lisa Jackson Pulver, Professor Tim Driscoll, Professor Kathy Griffiths, Professor Beverley Raphael, Dr Graeme Killer</w:t>
      </w:r>
    </w:p>
    <w:p w14:paraId="2AE6F64C" w14:textId="77777777" w:rsidR="00BD0C61" w:rsidRPr="0047058F" w:rsidRDefault="00BD0C61" w:rsidP="00860F45">
      <w:pPr>
        <w:pStyle w:val="Heading3a"/>
        <w:ind w:left="360"/>
      </w:pPr>
      <w:r w:rsidRPr="0047058F">
        <w:rPr>
          <w:color w:val="002060"/>
        </w:rPr>
        <w:t>Transition</w:t>
      </w:r>
      <w:r w:rsidRPr="0047058F">
        <w:t xml:space="preserve"> and Wellbeing Research Programme Management Team</w:t>
      </w:r>
    </w:p>
    <w:p w14:paraId="798382A5" w14:textId="61D3AF64" w:rsidR="00BD0C61" w:rsidRPr="0047058F" w:rsidRDefault="00BD0C61" w:rsidP="00A831E8">
      <w:pPr>
        <w:spacing w:line="250" w:lineRule="atLeast"/>
        <w:ind w:left="360"/>
      </w:pPr>
      <w:r w:rsidRPr="0047058F">
        <w:t>Ms Kyleigh Heggie, Ms Karen Barker, Dr Loretta Poerio, Ms Melissa Preston, Dr</w:t>
      </w:r>
      <w:r w:rsidR="000D39D7">
        <w:t> </w:t>
      </w:r>
      <w:r w:rsidRPr="0047058F">
        <w:t>Carmel Anderson, Department of Veterans’ Affairs</w:t>
      </w:r>
    </w:p>
    <w:p w14:paraId="4537E742" w14:textId="77777777" w:rsidR="00BD0C61" w:rsidRPr="0047058F" w:rsidRDefault="00BD0C61" w:rsidP="00A831E8">
      <w:pPr>
        <w:spacing w:line="250" w:lineRule="atLeast"/>
        <w:ind w:left="360"/>
      </w:pPr>
      <w:r w:rsidRPr="0047058F">
        <w:t>COL Laura Sinclair, Ms Jess Styles, Ms Kanny Tait, Mr Zushan Hashmi, Department of Defence</w:t>
      </w:r>
    </w:p>
    <w:p w14:paraId="0CAF9770" w14:textId="77777777" w:rsidR="00BD0C61" w:rsidRPr="0047058F" w:rsidRDefault="00BD0C61" w:rsidP="00A831E8">
      <w:pPr>
        <w:spacing w:line="250" w:lineRule="atLeast"/>
        <w:ind w:left="360"/>
      </w:pPr>
      <w:r w:rsidRPr="0047058F">
        <w:t xml:space="preserve">For their assistance in developing the </w:t>
      </w:r>
      <w:r w:rsidRPr="0047058F">
        <w:rPr>
          <w:b/>
        </w:rPr>
        <w:t>Military and Veteran Research Study Roll</w:t>
      </w:r>
      <w:r w:rsidRPr="0047058F">
        <w:t xml:space="preserve"> – Mr Mark Watson and Ms Megan MacDonald, Department of Veterans’ Affairs, and Ms Carolina Casetta and Warrant Officer Class One Iain Lewington, Joint Health Command, Department of Defence</w:t>
      </w:r>
    </w:p>
    <w:p w14:paraId="4751499A" w14:textId="77777777" w:rsidR="00BD0C61" w:rsidRPr="0047058F" w:rsidRDefault="00BD0C61" w:rsidP="00860F45">
      <w:pPr>
        <w:pStyle w:val="Heading3a"/>
        <w:ind w:left="360"/>
      </w:pPr>
      <w:r w:rsidRPr="0047058F">
        <w:t>Other key organisation</w:t>
      </w:r>
    </w:p>
    <w:p w14:paraId="14816F57" w14:textId="77777777" w:rsidR="00BD0C61" w:rsidRPr="0047058F" w:rsidRDefault="00BD0C61" w:rsidP="00A831E8">
      <w:pPr>
        <w:spacing w:line="250" w:lineRule="atLeast"/>
        <w:ind w:left="360"/>
      </w:pPr>
      <w:r w:rsidRPr="0047058F">
        <w:t>Australia Post</w:t>
      </w:r>
    </w:p>
    <w:p w14:paraId="449920A4" w14:textId="77777777" w:rsidR="00BD0C61" w:rsidRPr="0047058F" w:rsidRDefault="00BD0C61" w:rsidP="00BD0C61">
      <w:pPr>
        <w:sectPr w:rsidR="00BD0C61" w:rsidRPr="0047058F" w:rsidSect="00FF5B5F">
          <w:type w:val="oddPage"/>
          <w:pgSz w:w="9979" w:h="14170" w:code="243"/>
          <w:pgMar w:top="1440" w:right="1152" w:bottom="1440" w:left="1728" w:header="576" w:footer="576" w:gutter="0"/>
          <w:pgNumType w:fmt="lowerRoman"/>
          <w:cols w:space="708"/>
          <w:docGrid w:linePitch="360"/>
        </w:sectPr>
      </w:pPr>
    </w:p>
    <w:p w14:paraId="41860AB8" w14:textId="77777777" w:rsidR="00BD0C61" w:rsidRPr="0047058F" w:rsidRDefault="00BD0C61" w:rsidP="00BD0C61">
      <w:pPr>
        <w:pStyle w:val="Heading1"/>
        <w:numPr>
          <w:ilvl w:val="0"/>
          <w:numId w:val="0"/>
        </w:numPr>
        <w:spacing w:line="240" w:lineRule="auto"/>
      </w:pPr>
      <w:bookmarkStart w:id="6" w:name="_Toc529117449"/>
      <w:bookmarkStart w:id="7" w:name="_Toc532474323"/>
      <w:r w:rsidRPr="0047058F">
        <w:lastRenderedPageBreak/>
        <w:t>Transition and Wellbeing Research Programme – an overview</w:t>
      </w:r>
      <w:bookmarkEnd w:id="6"/>
      <w:bookmarkEnd w:id="7"/>
    </w:p>
    <w:p w14:paraId="4E561833" w14:textId="77777777" w:rsidR="00BD0C61" w:rsidRPr="0047058F" w:rsidRDefault="00BD0C61" w:rsidP="00BD0C61">
      <w:r w:rsidRPr="0047058F">
        <w:t>The Transition and Wellbeing Research Programme (the Programme) (see diagram below) is the most comprehensive study undertaken in Australia that examines the impact of military service on the mental, physical and social health of:</w:t>
      </w:r>
    </w:p>
    <w:p w14:paraId="57EB30D2" w14:textId="77777777" w:rsidR="00BD0C61" w:rsidRPr="0047058F" w:rsidRDefault="00BD0C61" w:rsidP="00BD0C61">
      <w:pPr>
        <w:pStyle w:val="Bullet"/>
      </w:pPr>
      <w:r w:rsidRPr="0047058F">
        <w:t>serving and ex-serving Australian Defence Force (ADF) members, including those who have been deployed in contemporary conflicts</w:t>
      </w:r>
    </w:p>
    <w:p w14:paraId="74BCCF63" w14:textId="77777777" w:rsidR="00BD0C61" w:rsidRPr="0047058F" w:rsidRDefault="00BD0C61" w:rsidP="00BD0C61">
      <w:pPr>
        <w:pStyle w:val="Bullet"/>
      </w:pPr>
      <w:r w:rsidRPr="0047058F">
        <w:t>their families.</w:t>
      </w:r>
    </w:p>
    <w:p w14:paraId="0A6D06C6" w14:textId="77777777" w:rsidR="00BD0C61" w:rsidRPr="0047058F" w:rsidRDefault="00BD0C61" w:rsidP="00BD0C61">
      <w:pPr>
        <w:spacing w:before="120"/>
        <w:rPr>
          <w:rFonts w:ascii="Times New Roman" w:hAnsi="Times New Roman"/>
          <w:sz w:val="24"/>
        </w:rPr>
      </w:pPr>
      <w:r w:rsidRPr="0047058F">
        <w:rPr>
          <w:rFonts w:ascii="Times New Roman" w:hAnsi="Times New Roman"/>
          <w:noProof/>
          <w:sz w:val="24"/>
          <w:lang w:eastAsia="en-AU"/>
        </w:rPr>
        <w:drawing>
          <wp:inline distT="0" distB="0" distL="0" distR="0" wp14:anchorId="6A261414" wp14:editId="7A2C7E78">
            <wp:extent cx="4480560" cy="3167913"/>
            <wp:effectExtent l="0" t="0" r="0" b="0"/>
            <wp:docPr id="38" name="Picture 38"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NTRODUCTION\TWRP diagram - 22.9.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0560" cy="3167913"/>
                    </a:xfrm>
                    <a:prstGeom prst="rect">
                      <a:avLst/>
                    </a:prstGeom>
                    <a:noFill/>
                    <a:ln>
                      <a:noFill/>
                    </a:ln>
                  </pic:spPr>
                </pic:pic>
              </a:graphicData>
            </a:graphic>
          </wp:inline>
        </w:drawing>
      </w:r>
    </w:p>
    <w:p w14:paraId="13A98C82" w14:textId="2575E7F1" w:rsidR="00BD0C61" w:rsidRPr="0047058F" w:rsidRDefault="00BD0C61" w:rsidP="00BD0C61">
      <w:r w:rsidRPr="0047058F">
        <w:t>This research further extends and builds on the findings of the world-leading research conducted with current serving members of the ADF in the 2010 Military Health Outcomes Program.</w:t>
      </w:r>
    </w:p>
    <w:p w14:paraId="6A802201" w14:textId="10E91535" w:rsidR="00BD0C61" w:rsidRPr="0047058F" w:rsidRDefault="00BD0C61" w:rsidP="00BD0C61">
      <w:r w:rsidRPr="0047058F">
        <w:t xml:space="preserve">This current research, conducted in 2015, arises from the collaborative partnership between the Department of Veterans’ Affairs (DVA) and Department of Defence. It aims to implement the Government’s goal of ensuring that current and future policy, </w:t>
      </w:r>
      <w:r w:rsidRPr="0047058F">
        <w:lastRenderedPageBreak/>
        <w:t>programs and services are responsive to the current and emerging health and wellbeing needs of serving and ex-serving ADF members and their families before, during and after transition from military life.</w:t>
      </w:r>
    </w:p>
    <w:p w14:paraId="50A564D7" w14:textId="374FC458" w:rsidR="00BD0C61" w:rsidRPr="0047058F" w:rsidRDefault="00BD0C61" w:rsidP="00BD0C61">
      <w:r w:rsidRPr="0047058F">
        <w:t>Ten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Transition and Wellbeing Research Programme Key Findings Report, which summarises the research</w:t>
      </w:r>
      <w:r w:rsidRPr="0047058F">
        <w:rPr>
          <w:bCs/>
        </w:rPr>
        <w:t xml:space="preserve">, </w:t>
      </w:r>
      <w:r w:rsidRPr="0047058F">
        <w:t xml:space="preserve">as the diagram above shows. The table below shows which reports deliver on the objectives of the Programme. This report, </w:t>
      </w:r>
      <w:r w:rsidRPr="0047058F">
        <w:rPr>
          <w:i/>
        </w:rPr>
        <w:t xml:space="preserve">Mental Health Changes Over Time: </w:t>
      </w:r>
      <w:r w:rsidR="00B777DC">
        <w:rPr>
          <w:i/>
        </w:rPr>
        <w:t>a</w:t>
      </w:r>
      <w:r w:rsidRPr="0047058F">
        <w:rPr>
          <w:i/>
        </w:rPr>
        <w:t xml:space="preserve"> Longitudinal Perspective</w:t>
      </w:r>
      <w:r w:rsidRPr="0047058F">
        <w:t xml:space="preserve">, is part of the Mental Health and Wellbeing Transition Study and addresses the sixth research objective, which is to conduct </w:t>
      </w:r>
      <w:r w:rsidRPr="0047058F">
        <w:rPr>
          <w:rFonts w:eastAsiaTheme="minorEastAsia"/>
        </w:rPr>
        <w:t>predictive modelling of the trajectory of mental health symptoms/disorder of Transitioned ADF and the 2015 Regular ADF, removing the need to rely on estimated rates</w:t>
      </w:r>
      <w:r w:rsidRPr="0047058F">
        <w:t>.</w:t>
      </w:r>
    </w:p>
    <w:tbl>
      <w:tblPr>
        <w:tblStyle w:val="TWRPTable"/>
        <w:tblW w:w="5000" w:type="pct"/>
        <w:tblLayout w:type="fixed"/>
        <w:tblCellMar>
          <w:left w:w="115" w:type="dxa"/>
          <w:right w:w="115" w:type="dxa"/>
        </w:tblCellMar>
        <w:tblLook w:val="04A0" w:firstRow="1" w:lastRow="0" w:firstColumn="1" w:lastColumn="0" w:noHBand="0" w:noVBand="1"/>
        <w:tblDescription w:val="Programme objectives"/>
      </w:tblPr>
      <w:tblGrid>
        <w:gridCol w:w="4236"/>
        <w:gridCol w:w="3093"/>
      </w:tblGrid>
      <w:tr w:rsidR="00BD0C61" w:rsidRPr="0047058F" w14:paraId="35111B7C" w14:textId="77777777" w:rsidTr="00BD0C61">
        <w:trPr>
          <w:cnfStyle w:val="100000000000" w:firstRow="1" w:lastRow="0" w:firstColumn="0" w:lastColumn="0" w:oddVBand="0" w:evenVBand="0" w:oddHBand="0" w:evenHBand="0" w:firstRowFirstColumn="0" w:firstRowLastColumn="0" w:lastRowFirstColumn="0" w:lastRowLastColumn="0"/>
          <w:cantSplit/>
          <w:tblHeader/>
        </w:trPr>
        <w:tc>
          <w:tcPr>
            <w:tcW w:w="4100" w:type="dxa"/>
          </w:tcPr>
          <w:p w14:paraId="741A7C32" w14:textId="77777777" w:rsidR="00BD0C61" w:rsidRPr="0047058F" w:rsidRDefault="00BD0C61" w:rsidP="00BD0C61">
            <w:pPr>
              <w:pStyle w:val="TableText"/>
            </w:pPr>
            <w:r w:rsidRPr="0047058F">
              <w:t>Programme objectives</w:t>
            </w:r>
          </w:p>
        </w:tc>
        <w:tc>
          <w:tcPr>
            <w:tcW w:w="2994" w:type="dxa"/>
          </w:tcPr>
          <w:p w14:paraId="371B802D" w14:textId="77777777" w:rsidR="00BD0C61" w:rsidRPr="0047058F" w:rsidRDefault="00BD0C61" w:rsidP="00BD0C61">
            <w:pPr>
              <w:pStyle w:val="TableText"/>
            </w:pPr>
            <w:r w:rsidRPr="0047058F">
              <w:t>Corresponding reports and papers</w:t>
            </w:r>
          </w:p>
        </w:tc>
      </w:tr>
      <w:tr w:rsidR="00BD0C61" w:rsidRPr="0047058F" w14:paraId="15AC41FF" w14:textId="77777777" w:rsidTr="00BD0C61">
        <w:trPr>
          <w:cnfStyle w:val="000000100000" w:firstRow="0" w:lastRow="0" w:firstColumn="0" w:lastColumn="0" w:oddVBand="0" w:evenVBand="0" w:oddHBand="1" w:evenHBand="0" w:firstRowFirstColumn="0" w:firstRowLastColumn="0" w:lastRowFirstColumn="0" w:lastRowLastColumn="0"/>
          <w:cantSplit/>
        </w:trPr>
        <w:tc>
          <w:tcPr>
            <w:tcW w:w="4100" w:type="dxa"/>
          </w:tcPr>
          <w:p w14:paraId="6C58356B" w14:textId="77777777" w:rsidR="00BD0C61" w:rsidRPr="0047058F" w:rsidRDefault="00BD0C61" w:rsidP="00BD0C61">
            <w:pPr>
              <w:pStyle w:val="TableText"/>
            </w:pPr>
            <w:r w:rsidRPr="0047058F">
              <w:t>1. Determine the prevalence of mental disorders among ADF members who have transitioned from Regular ADF service between 2010 and 2014.</w:t>
            </w:r>
          </w:p>
          <w:p w14:paraId="0F062DC1" w14:textId="77777777" w:rsidR="00BD0C61" w:rsidRPr="0047058F" w:rsidRDefault="00BD0C61" w:rsidP="00BD0C61">
            <w:pPr>
              <w:pStyle w:val="TableText"/>
            </w:pPr>
            <w:r w:rsidRPr="0047058F">
              <w:t>2. Examine self-reported mental health status of Transitioned ADF and the 2015 Regular ADF.</w:t>
            </w:r>
          </w:p>
        </w:tc>
        <w:tc>
          <w:tcPr>
            <w:tcW w:w="2994" w:type="dxa"/>
          </w:tcPr>
          <w:p w14:paraId="7B15FD88" w14:textId="77777777" w:rsidR="00BD0C61" w:rsidRPr="0047058F" w:rsidRDefault="00BD0C61" w:rsidP="00BD0C61">
            <w:pPr>
              <w:pStyle w:val="TableText"/>
              <w:rPr>
                <w:i/>
              </w:rPr>
            </w:pPr>
            <w:r w:rsidRPr="0047058F">
              <w:rPr>
                <w:i/>
              </w:rPr>
              <w:t>Mental Health Prevalence Report</w:t>
            </w:r>
          </w:p>
        </w:tc>
      </w:tr>
      <w:tr w:rsidR="00BD0C61" w:rsidRPr="0047058F" w14:paraId="30208955" w14:textId="77777777" w:rsidTr="00BD0C61">
        <w:trPr>
          <w:cantSplit/>
        </w:trPr>
        <w:tc>
          <w:tcPr>
            <w:tcW w:w="4100" w:type="dxa"/>
          </w:tcPr>
          <w:p w14:paraId="0C6C8338" w14:textId="77777777" w:rsidR="00BD0C61" w:rsidRPr="0047058F" w:rsidRDefault="00BD0C61" w:rsidP="00BD0C61">
            <w:pPr>
              <w:pStyle w:val="TableText"/>
            </w:pPr>
            <w:r w:rsidRPr="0047058F">
              <w:t>3. Assess pathways to care for Transitioned ADF and the 2015 Regular ADF, including those with a probable 30-day mental disorder.</w:t>
            </w:r>
          </w:p>
        </w:tc>
        <w:tc>
          <w:tcPr>
            <w:tcW w:w="2994" w:type="dxa"/>
          </w:tcPr>
          <w:p w14:paraId="39F2BBEF" w14:textId="77777777" w:rsidR="00BD0C61" w:rsidRPr="0047058F" w:rsidRDefault="00BD0C61" w:rsidP="00BD0C61">
            <w:pPr>
              <w:pStyle w:val="TableText"/>
              <w:rPr>
                <w:i/>
              </w:rPr>
            </w:pPr>
            <w:r w:rsidRPr="0047058F">
              <w:rPr>
                <w:i/>
              </w:rPr>
              <w:t>Pathways to Care Report</w:t>
            </w:r>
          </w:p>
        </w:tc>
      </w:tr>
      <w:tr w:rsidR="00BD0C61" w:rsidRPr="0047058F" w14:paraId="0EFEBFCC" w14:textId="77777777" w:rsidTr="00BD0C61">
        <w:trPr>
          <w:cnfStyle w:val="000000100000" w:firstRow="0" w:lastRow="0" w:firstColumn="0" w:lastColumn="0" w:oddVBand="0" w:evenVBand="0" w:oddHBand="1" w:evenHBand="0" w:firstRowFirstColumn="0" w:firstRowLastColumn="0" w:lastRowFirstColumn="0" w:lastRowLastColumn="0"/>
          <w:cantSplit/>
        </w:trPr>
        <w:tc>
          <w:tcPr>
            <w:tcW w:w="4100" w:type="dxa"/>
          </w:tcPr>
          <w:p w14:paraId="6B413C9F" w14:textId="77777777" w:rsidR="00BD0C61" w:rsidRPr="0047058F" w:rsidRDefault="00BD0C61" w:rsidP="00BD0C61">
            <w:pPr>
              <w:pStyle w:val="TableText"/>
            </w:pPr>
            <w:r w:rsidRPr="0047058F">
              <w:t>4. Examine the physical health status of Transitioned ADF and the 2015 Regular ADF.</w:t>
            </w:r>
          </w:p>
        </w:tc>
        <w:tc>
          <w:tcPr>
            <w:tcW w:w="2994" w:type="dxa"/>
          </w:tcPr>
          <w:p w14:paraId="40BF8930" w14:textId="77777777" w:rsidR="00BD0C61" w:rsidRPr="0047058F" w:rsidRDefault="00BD0C61" w:rsidP="00BD0C61">
            <w:pPr>
              <w:pStyle w:val="TableText"/>
              <w:rPr>
                <w:i/>
              </w:rPr>
            </w:pPr>
            <w:r w:rsidRPr="0047058F">
              <w:rPr>
                <w:i/>
              </w:rPr>
              <w:t>Physical Health Status Report</w:t>
            </w:r>
          </w:p>
        </w:tc>
      </w:tr>
      <w:tr w:rsidR="00BD0C61" w:rsidRPr="0047058F" w14:paraId="5CCED860" w14:textId="77777777" w:rsidTr="00BD0C61">
        <w:trPr>
          <w:cantSplit/>
        </w:trPr>
        <w:tc>
          <w:tcPr>
            <w:tcW w:w="4100" w:type="dxa"/>
          </w:tcPr>
          <w:p w14:paraId="5E10A1EA" w14:textId="77777777" w:rsidR="00BD0C61" w:rsidRPr="0047058F" w:rsidRDefault="00BD0C61" w:rsidP="00BD0C61">
            <w:pPr>
              <w:pStyle w:val="TableText"/>
            </w:pPr>
            <w:r w:rsidRPr="0047058F">
              <w:t>5. Investigate technology and its utility for health and mental health programmes including implications for future health service delivery.</w:t>
            </w:r>
          </w:p>
        </w:tc>
        <w:tc>
          <w:tcPr>
            <w:tcW w:w="2994" w:type="dxa"/>
          </w:tcPr>
          <w:p w14:paraId="3F207FAD" w14:textId="77777777" w:rsidR="00BD0C61" w:rsidRPr="0047058F" w:rsidRDefault="00BD0C61" w:rsidP="00BD0C61">
            <w:pPr>
              <w:pStyle w:val="TableText"/>
              <w:rPr>
                <w:i/>
              </w:rPr>
            </w:pPr>
            <w:r w:rsidRPr="0047058F">
              <w:rPr>
                <w:i/>
              </w:rPr>
              <w:t>Technology Use and Wellbeing Report</w:t>
            </w:r>
          </w:p>
        </w:tc>
      </w:tr>
      <w:tr w:rsidR="00BD0C61" w:rsidRPr="0047058F" w14:paraId="2EFCED33" w14:textId="77777777" w:rsidTr="00BD0C61">
        <w:trPr>
          <w:cnfStyle w:val="000000100000" w:firstRow="0" w:lastRow="0" w:firstColumn="0" w:lastColumn="0" w:oddVBand="0" w:evenVBand="0" w:oddHBand="1" w:evenHBand="0" w:firstRowFirstColumn="0" w:firstRowLastColumn="0" w:lastRowFirstColumn="0" w:lastRowLastColumn="0"/>
          <w:cantSplit/>
        </w:trPr>
        <w:tc>
          <w:tcPr>
            <w:tcW w:w="4100" w:type="dxa"/>
          </w:tcPr>
          <w:p w14:paraId="064FD47D" w14:textId="77777777" w:rsidR="00BD0C61" w:rsidRPr="0047058F" w:rsidRDefault="00BD0C61" w:rsidP="00BD0C61">
            <w:pPr>
              <w:pStyle w:val="TableText"/>
            </w:pPr>
            <w:r w:rsidRPr="0047058F">
              <w:t>6. Conduct predictive modelling of the trajectory of mental health symptoms/disorder of Transitioned ADF and the 2015 Regular ADF, removing the need to rely on estimated rates.</w:t>
            </w:r>
          </w:p>
        </w:tc>
        <w:tc>
          <w:tcPr>
            <w:tcW w:w="2994" w:type="dxa"/>
          </w:tcPr>
          <w:p w14:paraId="3F976B52" w14:textId="0A2C3BDD" w:rsidR="00BD0C61" w:rsidRPr="0047058F" w:rsidRDefault="00BD0C61" w:rsidP="00BD0C61">
            <w:pPr>
              <w:pStyle w:val="TableText"/>
              <w:rPr>
                <w:i/>
              </w:rPr>
            </w:pPr>
            <w:r w:rsidRPr="0047058F">
              <w:rPr>
                <w:i/>
              </w:rPr>
              <w:t xml:space="preserve">Mental Health Changes Over Time: </w:t>
            </w:r>
            <w:r w:rsidR="003F0291">
              <w:rPr>
                <w:i/>
              </w:rPr>
              <w:t>a</w:t>
            </w:r>
            <w:r w:rsidRPr="0047058F">
              <w:rPr>
                <w:i/>
              </w:rPr>
              <w:t xml:space="preserve"> Longitudinal Perspective Report</w:t>
            </w:r>
          </w:p>
        </w:tc>
      </w:tr>
      <w:tr w:rsidR="00BD0C61" w:rsidRPr="0047058F" w14:paraId="729D76C0" w14:textId="77777777" w:rsidTr="00BD0C61">
        <w:trPr>
          <w:cantSplit/>
        </w:trPr>
        <w:tc>
          <w:tcPr>
            <w:tcW w:w="4100" w:type="dxa"/>
          </w:tcPr>
          <w:p w14:paraId="38249126" w14:textId="77777777" w:rsidR="00BD0C61" w:rsidRPr="0047058F" w:rsidRDefault="00BD0C61" w:rsidP="00BD0C61">
            <w:pPr>
              <w:pStyle w:val="TableText"/>
            </w:pPr>
            <w:r w:rsidRPr="0047058F">
              <w:t>7. Investigate the mental health and wellbeing of currently serving 2015 Ab-initio Reservists.</w:t>
            </w:r>
          </w:p>
        </w:tc>
        <w:tc>
          <w:tcPr>
            <w:tcW w:w="2994" w:type="dxa"/>
          </w:tcPr>
          <w:p w14:paraId="6DE12D8D" w14:textId="77777777" w:rsidR="00BD0C61" w:rsidRPr="0047058F" w:rsidRDefault="00BD0C61" w:rsidP="00BD0C61">
            <w:pPr>
              <w:pStyle w:val="TableText"/>
              <w:rPr>
                <w:i/>
              </w:rPr>
            </w:pPr>
            <w:r w:rsidRPr="0047058F">
              <w:rPr>
                <w:i/>
              </w:rPr>
              <w:t>The Health and Wellbeing of ADF Reservists Paper</w:t>
            </w:r>
          </w:p>
        </w:tc>
      </w:tr>
      <w:tr w:rsidR="00BD0C61" w:rsidRPr="0047058F" w14:paraId="59B12172" w14:textId="77777777" w:rsidTr="00BD0C61">
        <w:trPr>
          <w:cnfStyle w:val="000000100000" w:firstRow="0" w:lastRow="0" w:firstColumn="0" w:lastColumn="0" w:oddVBand="0" w:evenVBand="0" w:oddHBand="1" w:evenHBand="0" w:firstRowFirstColumn="0" w:firstRowLastColumn="0" w:lastRowFirstColumn="0" w:lastRowLastColumn="0"/>
          <w:cantSplit/>
        </w:trPr>
        <w:tc>
          <w:tcPr>
            <w:tcW w:w="4100" w:type="dxa"/>
          </w:tcPr>
          <w:p w14:paraId="1DE19FC2" w14:textId="77777777" w:rsidR="00BD0C61" w:rsidRPr="0047058F" w:rsidRDefault="00BD0C61" w:rsidP="00BD0C61">
            <w:pPr>
              <w:pStyle w:val="TableText"/>
            </w:pPr>
            <w:r w:rsidRPr="0047058F">
              <w:t>8. Examine the factors that contribute to the wellbeing of Transitioned ADF and the 2015 Regular ADF.</w:t>
            </w:r>
          </w:p>
        </w:tc>
        <w:tc>
          <w:tcPr>
            <w:tcW w:w="2994" w:type="dxa"/>
          </w:tcPr>
          <w:p w14:paraId="73BAA0A0" w14:textId="77777777" w:rsidR="00BD0C61" w:rsidRPr="0047058F" w:rsidRDefault="00BD0C61" w:rsidP="00BD0C61">
            <w:pPr>
              <w:pStyle w:val="TableText"/>
              <w:rPr>
                <w:i/>
              </w:rPr>
            </w:pPr>
            <w:r w:rsidRPr="0047058F">
              <w:rPr>
                <w:i/>
              </w:rPr>
              <w:t>Psychosocial Predictors of Health Paper</w:t>
            </w:r>
          </w:p>
        </w:tc>
      </w:tr>
      <w:tr w:rsidR="00BD0C61" w:rsidRPr="0047058F" w14:paraId="2C4EF670" w14:textId="77777777" w:rsidTr="00BD0C61">
        <w:trPr>
          <w:cantSplit/>
        </w:trPr>
        <w:tc>
          <w:tcPr>
            <w:tcW w:w="4100" w:type="dxa"/>
          </w:tcPr>
          <w:p w14:paraId="7B5CEE0C" w14:textId="77777777" w:rsidR="00BD0C61" w:rsidRPr="0047058F" w:rsidRDefault="00BD0C61" w:rsidP="00BD0C61">
            <w:pPr>
              <w:pStyle w:val="TableText"/>
            </w:pPr>
            <w:r w:rsidRPr="0047058F">
              <w:t>9. Follow up on the mental, physical and neurocognitive health and wellbeing of participants who deployed to the Middle East Area of Operations between 2010 and 2012.</w:t>
            </w:r>
          </w:p>
        </w:tc>
        <w:tc>
          <w:tcPr>
            <w:tcW w:w="2994" w:type="dxa"/>
          </w:tcPr>
          <w:p w14:paraId="3725482F" w14:textId="77777777" w:rsidR="00BD0C61" w:rsidRPr="0047058F" w:rsidRDefault="00BD0C61" w:rsidP="00BD0C61">
            <w:pPr>
              <w:pStyle w:val="TableText"/>
              <w:rPr>
                <w:i/>
              </w:rPr>
            </w:pPr>
            <w:r w:rsidRPr="0047058F">
              <w:rPr>
                <w:i/>
              </w:rPr>
              <w:t>Impact of Combat Report</w:t>
            </w:r>
          </w:p>
        </w:tc>
      </w:tr>
      <w:tr w:rsidR="00BD0C61" w:rsidRPr="0047058F" w14:paraId="353F4F6B" w14:textId="77777777" w:rsidTr="00BD0C61">
        <w:trPr>
          <w:cnfStyle w:val="000000100000" w:firstRow="0" w:lastRow="0" w:firstColumn="0" w:lastColumn="0" w:oddVBand="0" w:evenVBand="0" w:oddHBand="1" w:evenHBand="0" w:firstRowFirstColumn="0" w:firstRowLastColumn="0" w:lastRowFirstColumn="0" w:lastRowLastColumn="0"/>
          <w:cantSplit/>
        </w:trPr>
        <w:tc>
          <w:tcPr>
            <w:tcW w:w="4100" w:type="dxa"/>
          </w:tcPr>
          <w:p w14:paraId="6C50E57A" w14:textId="77777777" w:rsidR="00BD0C61" w:rsidRPr="0047058F" w:rsidRDefault="00BD0C61" w:rsidP="00BD0C61">
            <w:pPr>
              <w:pStyle w:val="TableText"/>
            </w:pPr>
            <w:r w:rsidRPr="0047058F">
              <w:t>10. Investigate the impact of ADF service on the health and wellbeing of the families of Transitioned ADF and the 2015 Regular ADF.</w:t>
            </w:r>
          </w:p>
        </w:tc>
        <w:tc>
          <w:tcPr>
            <w:tcW w:w="2994" w:type="dxa"/>
          </w:tcPr>
          <w:p w14:paraId="76805B66" w14:textId="77777777" w:rsidR="00BD0C61" w:rsidRPr="0047058F" w:rsidRDefault="00BD0C61" w:rsidP="00BD0C61">
            <w:pPr>
              <w:pStyle w:val="TableText"/>
              <w:rPr>
                <w:i/>
              </w:rPr>
            </w:pPr>
            <w:r w:rsidRPr="0047058F">
              <w:rPr>
                <w:i/>
              </w:rPr>
              <w:t>Family Wellbeing Study</w:t>
            </w:r>
          </w:p>
        </w:tc>
      </w:tr>
      <w:tr w:rsidR="00BD0C61" w:rsidRPr="0047058F" w14:paraId="1CDCF6DB" w14:textId="77777777" w:rsidTr="00BD0C61">
        <w:trPr>
          <w:cantSplit/>
        </w:trPr>
        <w:tc>
          <w:tcPr>
            <w:tcW w:w="4100" w:type="dxa"/>
          </w:tcPr>
          <w:p w14:paraId="58D67CFC" w14:textId="77777777" w:rsidR="00BD0C61" w:rsidRPr="0047058F" w:rsidRDefault="00BD0C61" w:rsidP="00BD0C61">
            <w:pPr>
              <w:pStyle w:val="TableText"/>
            </w:pPr>
            <w:r w:rsidRPr="0047058F">
              <w:t>All objectives</w:t>
            </w:r>
          </w:p>
        </w:tc>
        <w:tc>
          <w:tcPr>
            <w:tcW w:w="2994" w:type="dxa"/>
          </w:tcPr>
          <w:p w14:paraId="3785A378" w14:textId="77777777" w:rsidR="00BD0C61" w:rsidRPr="0047058F" w:rsidRDefault="00BD0C61" w:rsidP="00BD0C61">
            <w:pPr>
              <w:pStyle w:val="TableText"/>
              <w:rPr>
                <w:i/>
              </w:rPr>
            </w:pPr>
            <w:r w:rsidRPr="0047058F">
              <w:rPr>
                <w:i/>
              </w:rPr>
              <w:t>Transition and Wellbeing Research Programme Key Findings Report</w:t>
            </w:r>
          </w:p>
        </w:tc>
      </w:tr>
    </w:tbl>
    <w:p w14:paraId="63F6F53D" w14:textId="77777777" w:rsidR="00BD0C61" w:rsidRPr="0047058F" w:rsidRDefault="00BD0C61" w:rsidP="00B777DC">
      <w:pPr>
        <w:spacing w:before="200"/>
      </w:pPr>
      <w:r w:rsidRPr="0047058F">
        <w:t>Two eminent Australian research institutions, one specialising in trauma and the other in families, have led the research programme. The Centre for Traumatic Stress Studies at the University of Adelaide conducted the Mental Health and Wellbeing Transition Study and the Impact of Combat Study, and the Australian Institute of Family Studies conducted the Family Wellbeing Study.</w:t>
      </w:r>
    </w:p>
    <w:p w14:paraId="142B2285" w14:textId="77777777" w:rsidR="00BD0C61" w:rsidRPr="0047058F" w:rsidRDefault="00BD0C61" w:rsidP="00BD0C61">
      <w:r w:rsidRPr="0047058F">
        <w:lastRenderedPageBreak/>
        <w:t>Their research expertise is enhanced through partner institutions from Monash University, the University of New South Wales, Phoenix Australia – Centre for Posttraumatic Mental Health and, until June 2016, the Young and Well Cooperative Research Centre, the work of which is being continued at the University of Sydney.</w:t>
      </w:r>
    </w:p>
    <w:p w14:paraId="55D7F75F" w14:textId="77777777" w:rsidR="00BD0C61" w:rsidRPr="0047058F" w:rsidRDefault="00BD0C61" w:rsidP="00BD0C61">
      <w:r w:rsidRPr="0047058F">
        <w:t>Through surveys and interviews, the researchers engaged with a range of ex-serving and serving ADF members, including:</w:t>
      </w:r>
    </w:p>
    <w:p w14:paraId="5939D40C" w14:textId="77777777" w:rsidR="00BD0C61" w:rsidRPr="0047058F" w:rsidRDefault="00BD0C61" w:rsidP="00BD0C61">
      <w:pPr>
        <w:pStyle w:val="Bullet"/>
      </w:pPr>
      <w:r w:rsidRPr="0047058F">
        <w:t>ADF members who transitioned from the Regular ADF between 2010 and 2014 (including Ex-Serving, Active and Inactive Reservists)</w:t>
      </w:r>
    </w:p>
    <w:p w14:paraId="1A88B6B7" w14:textId="77777777" w:rsidR="00BD0C61" w:rsidRPr="0047058F" w:rsidRDefault="00BD0C61" w:rsidP="00BD0C61">
      <w:pPr>
        <w:pStyle w:val="Bullet"/>
      </w:pPr>
      <w:r w:rsidRPr="0047058F">
        <w:t>a random sample of Regular ADF members serving in 2015</w:t>
      </w:r>
    </w:p>
    <w:p w14:paraId="09D6429B" w14:textId="77777777" w:rsidR="00BD0C61" w:rsidRPr="0047058F" w:rsidRDefault="00BD0C61" w:rsidP="00BD0C61">
      <w:pPr>
        <w:pStyle w:val="Bullet"/>
      </w:pPr>
      <w:r w:rsidRPr="0047058F">
        <w:t>a sample of Ab-initio Reservists serving in 2015 (who have never been full-time ADF members)</w:t>
      </w:r>
    </w:p>
    <w:p w14:paraId="7BC5E9A7" w14:textId="77777777" w:rsidR="00BD0C61" w:rsidRPr="0047058F" w:rsidRDefault="00BD0C61" w:rsidP="00BD0C61">
      <w:pPr>
        <w:pStyle w:val="Bullet"/>
      </w:pPr>
      <w:r w:rsidRPr="0047058F">
        <w:t>2015 Regular ADF and Transitioned ADF members who participated in the 2010 Military Health Outcomes Program</w:t>
      </w:r>
    </w:p>
    <w:p w14:paraId="72A1B875" w14:textId="77777777" w:rsidR="00BD0C61" w:rsidRPr="0047058F" w:rsidRDefault="00BD0C61" w:rsidP="00BD0C61">
      <w:pPr>
        <w:pStyle w:val="Bullet"/>
      </w:pPr>
      <w:r w:rsidRPr="0047058F">
        <w:t>family members nominated by the above.</w:t>
      </w:r>
    </w:p>
    <w:p w14:paraId="412E4608" w14:textId="77777777" w:rsidR="00BD0C61" w:rsidRPr="0047058F" w:rsidRDefault="00BD0C61" w:rsidP="00BD0C61">
      <w:r w:rsidRPr="0047058F">
        <w:t>DVA and the Department of Defence thank the current and ex-serving ADF members and their families who participated in this research, for sharing your experiences and insights. Your efforts will help inform and assist the ways you, your colleagues, friends and families, as well as those who come after you, can best be supported during and after a military career.</w:t>
      </w:r>
    </w:p>
    <w:p w14:paraId="27417F8B" w14:textId="77777777" w:rsidR="00BD0C61" w:rsidRPr="0047058F" w:rsidRDefault="00BD0C61"/>
    <w:p w14:paraId="16C6BAC9" w14:textId="77777777" w:rsidR="0047223A" w:rsidRPr="0047058F" w:rsidRDefault="0047223A">
      <w:pPr>
        <w:sectPr w:rsidR="0047223A" w:rsidRPr="0047058F" w:rsidSect="00FF5B5F">
          <w:type w:val="oddPage"/>
          <w:pgSz w:w="9979" w:h="14170" w:code="243"/>
          <w:pgMar w:top="1440" w:right="1152" w:bottom="1440" w:left="1728" w:header="576" w:footer="576" w:gutter="0"/>
          <w:pgNumType w:fmt="lowerRoman"/>
          <w:cols w:space="708"/>
          <w:docGrid w:linePitch="360"/>
        </w:sectPr>
      </w:pPr>
    </w:p>
    <w:p w14:paraId="60F868D7" w14:textId="77777777" w:rsidR="00191932" w:rsidRPr="0047058F" w:rsidRDefault="00191932" w:rsidP="00860F45">
      <w:pPr>
        <w:pStyle w:val="Heading1"/>
      </w:pPr>
      <w:bookmarkStart w:id="8" w:name="_Toc532474324"/>
      <w:r w:rsidRPr="0047058F">
        <w:lastRenderedPageBreak/>
        <w:t>Introduction</w:t>
      </w:r>
      <w:bookmarkEnd w:id="8"/>
    </w:p>
    <w:p w14:paraId="34DAE64F" w14:textId="77777777" w:rsidR="00D03F5A" w:rsidRPr="0047058F" w:rsidRDefault="00D03F5A" w:rsidP="00860F45">
      <w:pPr>
        <w:pStyle w:val="Heading2"/>
      </w:pPr>
      <w:bookmarkStart w:id="9" w:name="_Toc529117451"/>
      <w:bookmarkStart w:id="10" w:name="_Toc532474325"/>
      <w:bookmarkStart w:id="11" w:name="_Toc482021309"/>
      <w:bookmarkStart w:id="12" w:name="_Toc482024400"/>
      <w:bookmarkStart w:id="13" w:name="_Toc487011159"/>
      <w:bookmarkStart w:id="14" w:name="_Toc494449675"/>
      <w:bookmarkStart w:id="15" w:name="_Toc498520964"/>
      <w:r w:rsidRPr="0047058F">
        <w:t>Challenges for ADF members as they transition to civilian life</w:t>
      </w:r>
      <w:bookmarkEnd w:id="9"/>
      <w:bookmarkEnd w:id="10"/>
    </w:p>
    <w:p w14:paraId="4CC2353F" w14:textId="77777777" w:rsidR="00D03F5A" w:rsidRPr="0047058F" w:rsidRDefault="00D03F5A" w:rsidP="00860F45">
      <w:r w:rsidRPr="0047058F">
        <w:t>There are many challenges faced by military personnel as they discharge from active military service that may contribute to shifting mental health in the period of transition from active service to civilian life. The possible factors that may contribute to shifts in mental health are considered below.</w:t>
      </w:r>
    </w:p>
    <w:p w14:paraId="518195D7" w14:textId="77777777" w:rsidR="00D03F5A" w:rsidRPr="0047058F" w:rsidRDefault="00D03F5A" w:rsidP="00860F45">
      <w:pPr>
        <w:pStyle w:val="Heading3"/>
      </w:pPr>
      <w:bookmarkStart w:id="16" w:name="_Toc532474326"/>
      <w:r w:rsidRPr="0047058F">
        <w:t>Change of identity</w:t>
      </w:r>
      <w:bookmarkEnd w:id="16"/>
    </w:p>
    <w:p w14:paraId="735E3EC8" w14:textId="77777777" w:rsidR="00D03F5A" w:rsidRPr="0047058F" w:rsidRDefault="00D03F5A" w:rsidP="00860F45">
      <w:r w:rsidRPr="0047058F">
        <w:t>Inherent in training of military personnel is developing a very strong sense of the military self – in particular, how personnel perceive themselves as part of the military culture and organisation (McGurk, Cotting, Britt &amp; Adler, 2006; Williams et al., 2016). This training persists over the course of military service. Transition to civilian life has the potential to markedly challenge one’s self-esteem and sense of self-worth. Major transitions in life often result in threats to self-esteem (Caspi &amp; Roberts, 2001), and the centrality of the military identity as one transitions to civilian life can result in a significant reduction in self-esteem (Mobbs &amp; Bonanno, 2018).</w:t>
      </w:r>
    </w:p>
    <w:p w14:paraId="019B6B28" w14:textId="77777777" w:rsidR="00D03F5A" w:rsidRPr="0047058F" w:rsidRDefault="00D03F5A" w:rsidP="00860F45">
      <w:r w:rsidRPr="0047058F">
        <w:t>There is also suggestion that during the transition period veterans may manage their trauma memories in ways that are detrimental to their mental health. In general, individuals tend to organise their personal autobiographical memories in terms of major turning points or transitions in their lives (Enz &amp; Talarico, 2016). For military personnel, this may include such pivotal transitions as entry into and transition out of the military. These autobiographical memories are closely linked to one’s self-identity. One study found that Vietnam veterans with posttraumatic stress disorder (PTSD) who wore military regalia retrieved more war memories than other veterans (McNally, Lasko, Macklin &amp; Pitman, 1995). This is consistent with the notion that these memories reinforce the sense of self as a military person. Veterans can experience a jarring of their self-identities following transition, which can result in a focus on memories that may be centred on their military past rather than on events in their civilian life. The finding that veterans who respond poorly to anniversaries of military events tend to be those who do not adjust following transition (Morgan, Kingham, Nicolaou &amp; Southwick, 1998; Morgan, Hill, Fox, Kingham &amp; Southwick, 1999) suggests that memorialising their military pasts can contribute to greater difficulties during transition in civilian life.</w:t>
      </w:r>
    </w:p>
    <w:p w14:paraId="426A919B" w14:textId="77777777" w:rsidR="00D03F5A" w:rsidRPr="0047058F" w:rsidRDefault="00D03F5A" w:rsidP="00860F45">
      <w:pPr>
        <w:pStyle w:val="Heading3"/>
      </w:pPr>
      <w:bookmarkStart w:id="17" w:name="_Toc532474327"/>
      <w:r w:rsidRPr="0047058F">
        <w:t>Social needs</w:t>
      </w:r>
      <w:bookmarkEnd w:id="17"/>
    </w:p>
    <w:p w14:paraId="0D60CA5E" w14:textId="5E01433B" w:rsidR="00D03F5A" w:rsidRPr="0047058F" w:rsidRDefault="00D03F5A" w:rsidP="00D03F5A">
      <w:r w:rsidRPr="0047058F">
        <w:t xml:space="preserve">Inherent in being a member of the serving military is the constant access to social networks. In contrast, the transition to civilian life is often accompanied by a </w:t>
      </w:r>
      <w:r w:rsidRPr="0047058F">
        <w:lastRenderedPageBreak/>
        <w:t>fragmentation of social networks, which can result in social isolation. One Canadian study of veterans found that 32% reported major difficulties with maintaining friendships in the civilian context (Black &amp; Papile, 2010). This pattern can be reinforced by the lengthy absences military personnel have from their own family units and social networks, which can impede reintegration with these social networks following transition (Ray &amp; Heaslip, 2011).</w:t>
      </w:r>
    </w:p>
    <w:p w14:paraId="55403C08" w14:textId="77777777" w:rsidR="00D03F5A" w:rsidRPr="0047058F" w:rsidRDefault="00D03F5A" w:rsidP="00860F45">
      <w:pPr>
        <w:pStyle w:val="Heading3"/>
      </w:pPr>
      <w:bookmarkStart w:id="18" w:name="_Toc532474328"/>
      <w:r w:rsidRPr="0047058F">
        <w:t>Cumulative effects of trauma and stress</w:t>
      </w:r>
      <w:bookmarkEnd w:id="18"/>
    </w:p>
    <w:p w14:paraId="1C4BEE7A" w14:textId="77777777" w:rsidR="00D03F5A" w:rsidRPr="0047058F" w:rsidRDefault="00D03F5A" w:rsidP="000D2D22">
      <w:r w:rsidRPr="0047058F">
        <w:t>One of the common factors that occurs during transition, and in the initial period after leaving military service, is that there is a marked increase in life stressors. Apart from the stress of losing of one’s military identity, many stressors occur after transition, including loss of employment, uncertain sources of income, fragmentation of one’s social network, loss of status, legal difficulties, and new domestic responsibilities (Morin, 2011). Understandably, the stress that occurs following transition has been found to predict mental and physical problems in the period after leaving the military (Interian, Kline, Janal, Glynn &amp; Losonczy, 2014; Kline et al., 2010). There is much evidence that cumulative trauma and stress contributes to greater PTSD severity (Breslau, Davis, Andreski &amp; Peterson, 1991), which is consistent with evidence that multiple deployments contribute to greater risk for poorer mental health outcomes (Iversen et al., 2009; Seal et al., 2009); although this pattern has not always been observed (Bonanno et al., 2012b; Fear et al., 2010).</w:t>
      </w:r>
    </w:p>
    <w:p w14:paraId="2808838E" w14:textId="77777777" w:rsidR="00D03F5A" w:rsidRPr="0047058F" w:rsidRDefault="00D03F5A" w:rsidP="00860F45">
      <w:pPr>
        <w:pStyle w:val="Heading3"/>
      </w:pPr>
      <w:bookmarkStart w:id="19" w:name="_Toc532474329"/>
      <w:r w:rsidRPr="0047058F">
        <w:t>Moral injury</w:t>
      </w:r>
      <w:bookmarkEnd w:id="19"/>
    </w:p>
    <w:p w14:paraId="69ABB221" w14:textId="77777777" w:rsidR="00D03F5A" w:rsidRPr="0047058F" w:rsidRDefault="00D03F5A" w:rsidP="000D2D22">
      <w:r w:rsidRPr="0047058F">
        <w:t>Moral injury has been conceptualised in military contexts as ‘perpetrating, failing to prevent, bearing witness to, or learning about acts that transgress deeply held moral beliefs and expectations’ (Litz et al., 2009). This construct is distinct from the fear reactions that typically characterise PTSD and instead include a range of emotional responses that encompass guilt, shame, anger, and blame. These experiences can be common in the aftermath of recent conflicts, including peacekeeping activities, because they can arise following unintentional killing of others, including civilians (Maguen et al., 2011), exposure to atrocities (Beckham, Feldman &amp; Kirby, 1998), and disposing of dead bodies (Ursano &amp; McCarroll, 1990). Importantly, moral injury is not responsive to trauma-focused cognitive behaviour therapy for PTSD, which typically reduces PTSD symptoms (Steenkamp et al., 2011).</w:t>
      </w:r>
    </w:p>
    <w:p w14:paraId="7ADD8A21" w14:textId="77777777" w:rsidR="00D03F5A" w:rsidRPr="0047058F" w:rsidRDefault="00D03F5A" w:rsidP="000D2D22">
      <w:r w:rsidRPr="0047058F">
        <w:t xml:space="preserve">A recent study of US military combat veterans found that 10.8% reported transgressions by self, 25.5% reported transgressions by others, and 25.5% reported betrayal by others (Wisco et al., 2017); importantly, those with moral injury were twice as likely to attempt suicide following deployment than those without. For those who are transitioning from the military, the impacts of moral injury may be heightened due to a general lack of understanding within civilian cultures of the demands of combat and the difficulties of the rules of engagement during operations. This is highlighted by </w:t>
      </w:r>
      <w:r w:rsidRPr="0047058F">
        <w:lastRenderedPageBreak/>
        <w:t>one study which found that 84% of veterans did not believe the public understood their problems (Pew Research Center, 2011).</w:t>
      </w:r>
    </w:p>
    <w:p w14:paraId="200914A4" w14:textId="77777777" w:rsidR="00D03F5A" w:rsidRPr="0047058F" w:rsidRDefault="00D03F5A" w:rsidP="00860F45">
      <w:pPr>
        <w:pStyle w:val="Heading3"/>
      </w:pPr>
      <w:bookmarkStart w:id="20" w:name="_Toc532474330"/>
      <w:r w:rsidRPr="0047058F">
        <w:t>Stoicism and stigma</w:t>
      </w:r>
      <w:bookmarkEnd w:id="20"/>
    </w:p>
    <w:p w14:paraId="1769ACC6" w14:textId="717D263E" w:rsidR="00D03F5A" w:rsidRPr="0047058F" w:rsidRDefault="00D03F5A" w:rsidP="00D03F5A">
      <w:r w:rsidRPr="0047058F">
        <w:t xml:space="preserve">It has been suggested that the military stereotype of toughness and stoicism may contribute to stress in the transition period (Mobbs &amp; Bonanno, 2018). Stoicism is typically associated with suppression of emotional expression (Wagstaff &amp; Rowledge, 1995), and unsurprisingly it has been found that stoicism can limit treatment seeking (Pinnock, O’Brien &amp; Marshall, 1998). The </w:t>
      </w:r>
      <w:r w:rsidRPr="0047058F">
        <w:rPr>
          <w:i/>
        </w:rPr>
        <w:t>Pathways to Care Report</w:t>
      </w:r>
      <w:r w:rsidRPr="0047058F">
        <w:t xml:space="preserve"> (Forbes et al., 2018) </w:t>
      </w:r>
      <w:r w:rsidR="00C71218">
        <w:t>presented</w:t>
      </w:r>
      <w:r w:rsidRPr="0047058F">
        <w:t xml:space="preserve"> a thorough review of help-seeking patterns in the Transition and Wellbeing Research Programme cohort, and highlighted that a proportion of transitioned Australian Defence Force (ADF) members may be at risk of persistent mental health issues because of a reluctance to seek care. This may occur because of a sense of stoicism that one should cope, and stigma arising from concern of others (Clement et al., 2015; Corrigan, Watson &amp; Barr, 2006; Britt et al., 2008; Earnshaw &amp; Chaudoir, 2009).</w:t>
      </w:r>
    </w:p>
    <w:p w14:paraId="4C15EF90" w14:textId="77777777" w:rsidR="00D03F5A" w:rsidRPr="0047058F" w:rsidRDefault="00D03F5A" w:rsidP="00860F45">
      <w:r w:rsidRPr="0047058F">
        <w:t>Further, ex-serving veterans may internalise this view and believe that acknowledging mental health problems suggests that they are weak (Vogel, Wade &amp; Haake, 2006). There is much evidence that military populations experience significant stigma regarding help seeking for mental health problems and that this can impact on seeking treatment following transition to civilian life (Langston, Gould &amp; Greenberg, 2007; Vogt, 2011). Active serving and transitioned veterans also report the anticipation of stigma arising from seeking mental health assistance is a greater obstacle to accessing care than any logistical barriers (Britt et al., 2008; Iversen et al., 2011; Osório, Jones, Fertout &amp; Greenberg, 2013).</w:t>
      </w:r>
    </w:p>
    <w:p w14:paraId="009433AB" w14:textId="77777777" w:rsidR="00D03F5A" w:rsidRPr="0047058F" w:rsidRDefault="00D03F5A" w:rsidP="00860F45">
      <w:pPr>
        <w:pStyle w:val="Heading3"/>
      </w:pPr>
      <w:bookmarkStart w:id="21" w:name="_Toc532474331"/>
      <w:r w:rsidRPr="0047058F">
        <w:t>Impaired help seeking</w:t>
      </w:r>
      <w:bookmarkEnd w:id="21"/>
    </w:p>
    <w:p w14:paraId="508EDE1E" w14:textId="77777777" w:rsidR="00D03F5A" w:rsidRPr="0047058F" w:rsidRDefault="00D03F5A" w:rsidP="00D03F5A">
      <w:r w:rsidRPr="0047058F">
        <w:t>One viable reason why transitioned veterans may experience deficits in mental health is that they do not receive sufficient mental health care. This may evolve out of a learned reluctance to seek mental health assistance during service. There is overwhelming evidence from military agencies around the world, for example, that military personnel under-utilise mental health services. In the United States, less than half of the current serving personnel and veterans who could benefit from treatment report accessing relevant services (Hoge et al., 2004; Kehle et al., 2010; Ramchand, Rudavsky, Grant, Tanielian &amp; Jaycox, 2015). In the United Kingdom, 40% of military personnel who experience mental health problems seek help (Sharp et al., 2015), and in Canada, one in four serving military personnel who require assistance had sought help in the past year (Fikretoglu, Guay, Pedlar &amp; Brunet, 2008). Consistent with these rates, the 2010 ADF Mental Health Prevalence and Wellbeing Study found that approximately only half of those with PTSD sought help (McFarlane, Hodson, Van Hooff, Verhagen &amp; Davies, 2011).</w:t>
      </w:r>
    </w:p>
    <w:p w14:paraId="13EC0B2E" w14:textId="77777777" w:rsidR="00D03F5A" w:rsidRPr="0047058F" w:rsidRDefault="00D03F5A" w:rsidP="00860F45">
      <w:r w:rsidRPr="0047058F">
        <w:lastRenderedPageBreak/>
        <w:t xml:space="preserve">The reluctance to seek mental health assistance in the military may be attributed to concerns about adverse impacts on promotion, eligibility for deployment, or stigma from peers and superiors. Although most military organisations around the world do proactively offer mental health assistance, mental health care following transition often requires active help seeking by the veteran because they are no longer in the structured environment of the military. Interestingly, there may be a trend for veterans to access mental health services more frequently than has been previously reported, with a US </w:t>
      </w:r>
      <w:r w:rsidRPr="0047058F" w:rsidDel="00E3394E">
        <w:t xml:space="preserve">study of 6,287 US female veterans </w:t>
      </w:r>
      <w:r w:rsidRPr="0047058F">
        <w:t xml:space="preserve">reporting </w:t>
      </w:r>
      <w:r w:rsidRPr="0047058F" w:rsidDel="00E3394E">
        <w:t>a need for mental health care</w:t>
      </w:r>
      <w:r w:rsidRPr="0047058F">
        <w:t xml:space="preserve"> (Kimerling et al., 2015), showing that </w:t>
      </w:r>
      <w:r w:rsidRPr="0047058F" w:rsidDel="00E3394E">
        <w:t xml:space="preserve">84% of those who were in need of care, accessed care. </w:t>
      </w:r>
      <w:r w:rsidRPr="0047058F">
        <w:t>From an Australian perspective, a study of Australian peacekeepers (Hawthorne, Korn &amp; Creamer, 2014) found that 83% of peacekeepers with a mental health condition had seen a clinician or a therapist for their mental health concern in the previous three months.</w:t>
      </w:r>
    </w:p>
    <w:p w14:paraId="6175A054" w14:textId="77777777" w:rsidR="00D03F5A" w:rsidRPr="0047058F" w:rsidRDefault="00D03F5A" w:rsidP="00860F45">
      <w:pPr>
        <w:pStyle w:val="Heading2"/>
      </w:pPr>
      <w:bookmarkStart w:id="22" w:name="_Toc529117452"/>
      <w:bookmarkStart w:id="23" w:name="_Toc532474332"/>
      <w:r w:rsidRPr="0047058F">
        <w:t>Background to this report</w:t>
      </w:r>
      <w:bookmarkEnd w:id="11"/>
      <w:bookmarkEnd w:id="12"/>
      <w:bookmarkEnd w:id="13"/>
      <w:bookmarkEnd w:id="14"/>
      <w:bookmarkEnd w:id="15"/>
      <w:bookmarkEnd w:id="22"/>
      <w:bookmarkEnd w:id="23"/>
    </w:p>
    <w:p w14:paraId="78948E54" w14:textId="77777777" w:rsidR="00D03F5A" w:rsidRPr="0047058F" w:rsidRDefault="00D03F5A" w:rsidP="00860F45">
      <w:r w:rsidRPr="0047058F">
        <w:t>The current report specifically examines the longitudinal course of mental health across time in a cohort of ADF members who participated in the Military Health Outcomes Program’s 2010 ADF Mental Health Prevalence and Wellbeing Study. The findings of this report should be considered in the context of prior Australian and international reports on mental health in both military and veteran populations, as well as previous reports from the Transition and Wellbeing Research Programme. A brief summary of relevant research into mental health in military and veteran populations is provided in Annex B. It is worth noting that these prior studies indicate that:</w:t>
      </w:r>
    </w:p>
    <w:p w14:paraId="76252838" w14:textId="77777777" w:rsidR="00D03F5A" w:rsidRPr="0047058F" w:rsidRDefault="00D03F5A" w:rsidP="00031ACA">
      <w:pPr>
        <w:pStyle w:val="Bullet"/>
        <w:numPr>
          <w:ilvl w:val="0"/>
          <w:numId w:val="1"/>
        </w:numPr>
        <w:ind w:left="360"/>
      </w:pPr>
      <w:r w:rsidRPr="0047058F">
        <w:t>there is convergent evidence in Australia and overseas of poorer mental health in veterans relative to active serving defence personnel</w:t>
      </w:r>
    </w:p>
    <w:p w14:paraId="0A84E85B" w14:textId="77777777" w:rsidR="00D03F5A" w:rsidRPr="0047058F" w:rsidRDefault="00D03F5A" w:rsidP="00031ACA">
      <w:pPr>
        <w:pStyle w:val="Bullet"/>
        <w:numPr>
          <w:ilvl w:val="0"/>
          <w:numId w:val="1"/>
        </w:numPr>
        <w:ind w:left="360"/>
      </w:pPr>
      <w:r w:rsidRPr="0047058F">
        <w:t>despite this pattern, most defence personnel transition to civilian life with success and display no indications of poor mental health</w:t>
      </w:r>
    </w:p>
    <w:p w14:paraId="27D28FDA" w14:textId="77777777" w:rsidR="00D03F5A" w:rsidRPr="0047058F" w:rsidRDefault="00D03F5A" w:rsidP="00031ACA">
      <w:pPr>
        <w:pStyle w:val="Bullet"/>
        <w:numPr>
          <w:ilvl w:val="0"/>
          <w:numId w:val="1"/>
        </w:numPr>
        <w:ind w:left="360"/>
      </w:pPr>
      <w:r w:rsidRPr="0047058F">
        <w:t>the psychological difficulties displayed by a significant minority of veterans is often understood in the context of challenges that veterans face in the aftermath of transition, including changes in identity, employment, social networks, family roles, responsibilities, and financial security.</w:t>
      </w:r>
    </w:p>
    <w:p w14:paraId="53E558CA" w14:textId="77777777" w:rsidR="00D03F5A" w:rsidRPr="0047058F" w:rsidRDefault="00D03F5A" w:rsidP="00860F45">
      <w:pPr>
        <w:pStyle w:val="Heading3"/>
      </w:pPr>
      <w:bookmarkStart w:id="24" w:name="_Toc532474333"/>
      <w:r w:rsidRPr="0047058F">
        <w:t>Mental health in military populations</w:t>
      </w:r>
      <w:bookmarkEnd w:id="24"/>
    </w:p>
    <w:p w14:paraId="208C18DF" w14:textId="319AE818" w:rsidR="00D03F5A" w:rsidRPr="0047058F" w:rsidRDefault="00D03F5A" w:rsidP="00D03F5A">
      <w:r w:rsidRPr="0047058F">
        <w:t xml:space="preserve">When considering the impacts of military service on the mental health of ADF members, we also need to understand more broadly the mental health profile of military populations. The 2010 ADF Mental Health Prevalence and Wellbeing Study (MHPWS) found that 22% of the surveyed sample of currently serving ADF members met criteria for a mental disorder in the previous 12 months (McFarlane et al., 2011). </w:t>
      </w:r>
      <w:r w:rsidRPr="0047058F">
        <w:lastRenderedPageBreak/>
        <w:t>Younger personnel in particular (aged 18 to 37 years) had greater rates of anxiety and depression than their age-matched counterparts in the Australian community. Overall, this study also found that members of the ADF were more likely to be exposed to traumatic and stressful life events (e.g. severe accidents) than civilians (Van Hooff et al., 2012). Three important points emerged from the MHPWS that are also of relevance for the current report. First, there are significant rates of mental disorder and psychological symptoms in the ADF. Second, individuals who have served in the ADF are more likely to suffer cumulative effects of trauma exposure</w:t>
      </w:r>
      <w:r w:rsidR="00F74A04">
        <w:t xml:space="preserve">. </w:t>
      </w:r>
      <w:r w:rsidR="0082788D">
        <w:t>T</w:t>
      </w:r>
      <w:r w:rsidR="00F74A04">
        <w:t>hird, these cumulative effects</w:t>
      </w:r>
      <w:r w:rsidRPr="0047058F">
        <w:t xml:space="preserve"> in turn promote greater risk of mental disorder (Del Gaizo, Elhai &amp; Weaver, 2011; Karam et al., 2014).</w:t>
      </w:r>
    </w:p>
    <w:p w14:paraId="39A2F489" w14:textId="77777777" w:rsidR="00D03F5A" w:rsidRPr="0047058F" w:rsidRDefault="00D03F5A" w:rsidP="00860F45">
      <w:r w:rsidRPr="0047058F">
        <w:t>The mental disorder and symptom profiles identified in the MHPWS also need to be considered in the context of the differential patterns of disorder and symptoms identified across age bands. For example, in the 28–37 age band, 28.3% of ADF males had an affective disorder compared to 6.4% of the general population (McFarlane et al., 2011). In contrast, this difference was markedly smaller in the 38–47 age band, where 7.1% of ADF males had an affective disorder compared to 5.1% in the general population. Explaining these age effects requires consideration of the possibility that individuals who remain in the ADF are likely to be those who are resilient and who have completed the earlier years of military service without developing significant symptoms; this interpretation is supported by the finding that the decline in affective disorders with age is significantly greater in the ADF than in the general community (Slade, Johnston, Oakley Browne, Andrews &amp; Whiteford, 2009). The converse of this ‘healthy warrior’ effect may then be seen in those who transition out of the military, as it is probable that a proportion of personnel leave the ADF because of poor mental health, thereby potentially contributing to greater rates of mental health problems in transitioned ADF members. In the ADF, approximately 10% (n = 5,000) of serving men and women will discharge out of regular ADF service or transition into Reserves each year. During the five-year period 2010–2014, an estimated 25,000 ADF members discharged or transitioned into Reserves from regular ADF service. This represents a significant number of ex-serving military men and women who are in the critical early stages of transitioning to civilian life and reintegrating into their community.</w:t>
      </w:r>
    </w:p>
    <w:p w14:paraId="3B8BF739" w14:textId="77777777" w:rsidR="00D03F5A" w:rsidRPr="0047058F" w:rsidRDefault="00D03F5A" w:rsidP="00860F45">
      <w:pPr>
        <w:pStyle w:val="Heading3"/>
      </w:pPr>
      <w:bookmarkStart w:id="25" w:name="_Toc532474334"/>
      <w:r w:rsidRPr="0047058F">
        <w:t>‘Healthy worker effect’</w:t>
      </w:r>
      <w:bookmarkEnd w:id="25"/>
    </w:p>
    <w:p w14:paraId="03981C2E" w14:textId="77777777" w:rsidR="00D03F5A" w:rsidRPr="0047058F" w:rsidRDefault="00D03F5A" w:rsidP="00D03F5A">
      <w:pPr>
        <w:rPr>
          <w:rFonts w:eastAsiaTheme="majorEastAsia"/>
          <w:bCs/>
          <w:color w:val="000000" w:themeColor="text1"/>
        </w:rPr>
      </w:pPr>
      <w:r w:rsidRPr="0047058F">
        <w:t xml:space="preserve">Interpretation of increased mental health problems in veteran populations relative to active serving military cohorts needs to take into account that the rate of problems may be influenced by a number of self-selective factors that can define veteran and active serving populations. One of the most important examples of this is the </w:t>
      </w:r>
      <w:r w:rsidRPr="0047058F">
        <w:rPr>
          <w:i/>
        </w:rPr>
        <w:t>healthy worker effect</w:t>
      </w:r>
      <w:r w:rsidRPr="0047058F">
        <w:t xml:space="preserve">, whereby members remaining in service are likely to be healthier because their good health permits them to maintain their activities and roles within the military environment. Following on from this, it is logical that those members with fewer years of service may well have poorer mental health outcomes, largely due to </w:t>
      </w:r>
      <w:r w:rsidRPr="0047058F">
        <w:lastRenderedPageBreak/>
        <w:t xml:space="preserve">the impact that mental health symptoms can have on their inability to manage their roles, which consequently leads to their transition from service. </w:t>
      </w:r>
      <w:r w:rsidRPr="0047058F">
        <w:rPr>
          <w:rFonts w:eastAsiaTheme="majorEastAsia"/>
          <w:bCs/>
          <w:color w:val="000000" w:themeColor="text1"/>
        </w:rPr>
        <w:t>Evidence from the United Kingdom supports this notion, with several studies now pointing to early service leavers (generally defined as those who leave before completing their minimum 3 to 4.5 years of service) and those who leave at short notice with little time to plan the transition to civilian life (that is, those whose military career was cut short due to redundancy, or medical or disciplinary discharge) being at particular risk (Buckman et al., 2013; King’s Centre for Military Health Research, 2010; van Staden et al., 2007). Similarly, whether the transition process is perceived as a positive or negative life event can also significantly impact mental health outcomes (van Staden et al., 2007). One inference from this interpretation is that any observed increased mental health problems in veterans may not necessarily be attributed to transition factors but rather may also reflect difficulties that existed prior to transition and contributed to leaving the military.</w:t>
      </w:r>
    </w:p>
    <w:p w14:paraId="7D7DB559" w14:textId="77777777" w:rsidR="00D03F5A" w:rsidRPr="0047058F" w:rsidRDefault="00D03F5A" w:rsidP="00860F45">
      <w:pPr>
        <w:pStyle w:val="Heading2"/>
      </w:pPr>
      <w:bookmarkStart w:id="26" w:name="_Toc514415044"/>
      <w:bookmarkStart w:id="27" w:name="_Toc529117453"/>
      <w:bookmarkStart w:id="28" w:name="_Toc532474335"/>
      <w:r w:rsidRPr="0047058F">
        <w:t xml:space="preserve">Summary of the Mental Health and Wellbeing Transition Study </w:t>
      </w:r>
      <w:r w:rsidRPr="0047058F">
        <w:rPr>
          <w:i/>
        </w:rPr>
        <w:t>Mental Health Prevalence</w:t>
      </w:r>
      <w:r w:rsidRPr="0047058F">
        <w:t xml:space="preserve"> </w:t>
      </w:r>
      <w:r w:rsidRPr="0047058F">
        <w:rPr>
          <w:i/>
        </w:rPr>
        <w:t>Report</w:t>
      </w:r>
      <w:bookmarkEnd w:id="26"/>
      <w:bookmarkEnd w:id="27"/>
      <w:bookmarkEnd w:id="28"/>
    </w:p>
    <w:p w14:paraId="5AA310B7" w14:textId="77777777" w:rsidR="00D03F5A" w:rsidRPr="0047058F" w:rsidRDefault="00D03F5A" w:rsidP="000D2D22">
      <w:r w:rsidRPr="0047058F">
        <w:t xml:space="preserve">The first report from the Mental Health and Wellbeing Transition Study, the </w:t>
      </w:r>
      <w:r w:rsidRPr="0047058F">
        <w:rPr>
          <w:i/>
        </w:rPr>
        <w:t>Mental Health Prevalence</w:t>
      </w:r>
      <w:r w:rsidRPr="0047058F">
        <w:t xml:space="preserve"> </w:t>
      </w:r>
      <w:r w:rsidRPr="0047058F">
        <w:rPr>
          <w:i/>
        </w:rPr>
        <w:t>Report</w:t>
      </w:r>
      <w:r w:rsidRPr="0047058F">
        <w:t>, detailed the prevalence of mental disorders in Transitioned ADF members according to a number of factors, including their transition status (i.e. whether they were ex-serving or still in some form of reserve service), and various other demographic, service-related and transition-related factors (Van Hooff et al., 2018). Of note, mental disorder morbidity among the Transitioned ADF was high, with more than 40% of the Transitioned ADF estimated to have a 12-month mental disorder and more than half having at least one mental disorder comorbidity. Furthermore, Transitioned ADF members who were ex-serving reported higher rates of affective disorders (32.9%) relative to Active Reservists (12.5%; OR = 4.5) and Inactive Reservists (17.0%; OR = 2.0) – consistent with findings from the Middle East Area of Operations Census Study (Dobson et al., 2012). Ex-serving ADF members (44.6%) were also more likely to report an anxiety disorder than Active Reservists (31.9%; OR = 2.3) or Inactive Reservists (29.5%; OR = 1.7). Together, these patterns of higher morbidity among the ex-serving compared to reservists suggest that reservist status is in part a proxy for health, with those ADF members completely discharged more likely to have mental health problems. Furthermore, these findings are also consistent with the proposal that mental symptoms and disorder emerge with the passage of time, and the further along the process of transition ADF members are, the greater the likelihood of disorder emergence. The current report examines the issue of symptom and disorder emergence over time by examining the longitudinal mental symptom and disorder course among a cohort of ADF members who were currently serving in 2010, and who may or may not have transitioned in the intervening period before their participation in the Transition and Wellbeing Research Programme.</w:t>
      </w:r>
    </w:p>
    <w:p w14:paraId="3CC52036" w14:textId="77777777" w:rsidR="00D03F5A" w:rsidRPr="0047058F" w:rsidRDefault="00D03F5A" w:rsidP="00860F45">
      <w:pPr>
        <w:pStyle w:val="Heading2"/>
      </w:pPr>
      <w:bookmarkStart w:id="29" w:name="_Toc529117454"/>
      <w:bookmarkStart w:id="30" w:name="_Toc532474336"/>
      <w:r w:rsidRPr="0047058F">
        <w:lastRenderedPageBreak/>
        <w:t xml:space="preserve">Summary of the Mental Health and Wellbeing Transition Study </w:t>
      </w:r>
      <w:r w:rsidRPr="0047058F">
        <w:rPr>
          <w:i/>
        </w:rPr>
        <w:t>Pathways to Care Report</w:t>
      </w:r>
      <w:bookmarkEnd w:id="29"/>
      <w:bookmarkEnd w:id="30"/>
    </w:p>
    <w:p w14:paraId="71718863" w14:textId="77777777" w:rsidR="00D03F5A" w:rsidRPr="0047058F" w:rsidRDefault="00D03F5A" w:rsidP="00D03F5A">
      <w:r w:rsidRPr="0047058F">
        <w:t xml:space="preserve">The Mental Health and Wellbeing Transition Study </w:t>
      </w:r>
      <w:r w:rsidRPr="0047058F">
        <w:rPr>
          <w:i/>
        </w:rPr>
        <w:t>Pathways to Care Report</w:t>
      </w:r>
      <w:r w:rsidRPr="0047058F">
        <w:t xml:space="preserve"> (Forbes et al., 2018) focused on patterns of self-reported help seeking among transitioned and Regular serving ADF members. The report found that 64% of Transitioned ADF and 52% of 2015 Regular ADF had experienced concerns about their mental health in their lifetime. Of those with a concern about their mental health, a relatively high figure of three in four had sought assistance. Of these, 53% of Transitioned ADF and 61% of 2015 Regular ADF reported being in care currently or in the last 12 months. Among those with a current probable 30-day disorder, a substantial 84% of Transitioned ADF members with a mental health concern had sought care, with 75% of these reporting receiving care currently or within the last 12 months (i.e. 63% of total with a concern and probable 30-day disorder). Within the 2015 Regular ADF, 82% of those with a probable disorder in the past 30 days had sought care. As would be expected, based on need, rates of current or recent health service engagements were still substantial but lower (38% and 56% respectively) in Transitioned and Regular ADF who reported ‘ever’ having a mental health concern but without a current probable 30-day disorder.</w:t>
      </w:r>
    </w:p>
    <w:p w14:paraId="2B8A36D3" w14:textId="1EC69E3D" w:rsidR="00D03F5A" w:rsidRPr="0047058F" w:rsidRDefault="00D03F5A" w:rsidP="00D03F5A">
      <w:r w:rsidRPr="0047058F">
        <w:t>Overall the findings reflect high rates of engagement with care for those with mental health concerns, far exceeding the care-seeking rates in the general Australian community with mental health problems (Slade et al., 2009)</w:t>
      </w:r>
      <w:r w:rsidR="00515BC4">
        <w:t>,</w:t>
      </w:r>
      <w:r w:rsidRPr="0047058F">
        <w:t xml:space="preserve"> and consistent with the high rates reported in the 2010 MHPWS (McFarlane et al., 2011) and the upper range of care seeking reported in veteran and military care-seeking studies internationally. In examining the time taken to seek care after onset of a mental health concern, importantly</w:t>
      </w:r>
      <w:r w:rsidR="00515BC4">
        <w:t>,</w:t>
      </w:r>
      <w:r w:rsidRPr="0047058F">
        <w:t xml:space="preserve"> 45% of Transitioned ADF members with a concern sought care within three months of onset of that concern and another 25% between three months and a year. Of some contrast to the findings above is that for those with a probable 30-day disorder</w:t>
      </w:r>
      <w:r w:rsidR="00515BC4">
        <w:t>,</w:t>
      </w:r>
      <w:r w:rsidRPr="0047058F">
        <w:t xml:space="preserve"> only 37% sought care within three months of being concerned and 18% waited three or more years. Some implications of delayed care seeking are the potential worsening of symptoms or progression of disorder with the passage of time – a factor that may also contribute to delayed-onset PTSD, which has been shown to be more common in military populations. The current report will allow for the high-level examination of changes in symptom and disorder status over time in a cohort of currently and recently regular serving ADF members.</w:t>
      </w:r>
    </w:p>
    <w:p w14:paraId="7066160A" w14:textId="77777777" w:rsidR="00D03F5A" w:rsidRPr="0047058F" w:rsidRDefault="00D03F5A" w:rsidP="00860F45">
      <w:pPr>
        <w:pStyle w:val="Heading2"/>
      </w:pPr>
      <w:bookmarkStart w:id="31" w:name="_Toc529117455"/>
      <w:bookmarkStart w:id="32" w:name="_Toc532474337"/>
      <w:r w:rsidRPr="0047058F">
        <w:lastRenderedPageBreak/>
        <w:t>The need for longitudinal analysis</w:t>
      </w:r>
      <w:bookmarkEnd w:id="31"/>
      <w:bookmarkEnd w:id="32"/>
    </w:p>
    <w:p w14:paraId="17687239" w14:textId="77777777" w:rsidR="00D03F5A" w:rsidRPr="0047058F" w:rsidRDefault="00D03F5A" w:rsidP="00D03F5A">
      <w:pPr>
        <w:keepNext/>
      </w:pPr>
      <w:r w:rsidRPr="0047058F">
        <w:t>The findings from the Transition and Wellbeing Research Programme to date highlight several key issues:</w:t>
      </w:r>
    </w:p>
    <w:p w14:paraId="1CF2C076" w14:textId="77777777" w:rsidR="00D03F5A" w:rsidRPr="0047058F" w:rsidRDefault="00D03F5A" w:rsidP="00031ACA">
      <w:pPr>
        <w:pStyle w:val="Bullet"/>
        <w:numPr>
          <w:ilvl w:val="0"/>
          <w:numId w:val="1"/>
        </w:numPr>
        <w:ind w:left="360"/>
      </w:pPr>
      <w:r w:rsidRPr="0047058F">
        <w:t>Consistent with prior reports, military personnel who have transitioned to civilian life report higher rates of mental health difficulties than those who are currently serving in the military.</w:t>
      </w:r>
    </w:p>
    <w:p w14:paraId="27CE3AD9" w14:textId="77777777" w:rsidR="00D03F5A" w:rsidRPr="0047058F" w:rsidRDefault="00D03F5A" w:rsidP="00031ACA">
      <w:pPr>
        <w:pStyle w:val="Bullet"/>
        <w:numPr>
          <w:ilvl w:val="0"/>
          <w:numId w:val="1"/>
        </w:numPr>
        <w:ind w:left="360"/>
      </w:pPr>
      <w:r w:rsidRPr="0047058F">
        <w:t>There appears to be a period in the five years after departure from the ADF in which personnel are vulnerable to experiencing the onset or worsening of psychological problems.</w:t>
      </w:r>
    </w:p>
    <w:p w14:paraId="2DB4515A" w14:textId="77777777" w:rsidR="00D03F5A" w:rsidRPr="0047058F" w:rsidRDefault="00D03F5A" w:rsidP="00031ACA">
      <w:pPr>
        <w:pStyle w:val="Bullet"/>
        <w:numPr>
          <w:ilvl w:val="0"/>
          <w:numId w:val="1"/>
        </w:numPr>
        <w:ind w:left="360"/>
      </w:pPr>
      <w:r w:rsidRPr="0047058F">
        <w:t>Although most Transitioned ADF who are concerned about their mental health do seek mental health assistance within months of perceiving a problem, the rates of problems in the Transitioned ADF personnel suggest that many of these problems persist.</w:t>
      </w:r>
    </w:p>
    <w:p w14:paraId="79A1BE36" w14:textId="77777777" w:rsidR="00D03F5A" w:rsidRPr="0047058F" w:rsidRDefault="00D03F5A" w:rsidP="000D2D22">
      <w:r w:rsidRPr="0047058F">
        <w:t>Several outstanding questions arise from these analyses that require longitudinal analysis:</w:t>
      </w:r>
    </w:p>
    <w:p w14:paraId="4D0B199F" w14:textId="77777777" w:rsidR="00D03F5A" w:rsidRPr="0047058F" w:rsidRDefault="00D03F5A" w:rsidP="00031ACA">
      <w:pPr>
        <w:pStyle w:val="Bullet"/>
        <w:numPr>
          <w:ilvl w:val="0"/>
          <w:numId w:val="1"/>
        </w:numPr>
        <w:ind w:left="360"/>
      </w:pPr>
      <w:r w:rsidRPr="0047058F">
        <w:t xml:space="preserve">To address the issue of how transition impacts on the mental health of ADF personnel, it is necessary to map the </w:t>
      </w:r>
      <w:r w:rsidRPr="0047058F">
        <w:rPr>
          <w:i/>
        </w:rPr>
        <w:t>course</w:t>
      </w:r>
      <w:r w:rsidRPr="0047058F">
        <w:t xml:space="preserve"> of mental health in Transitioned ADF personnel </w:t>
      </w:r>
      <w:r w:rsidRPr="0047058F">
        <w:rPr>
          <w:i/>
        </w:rPr>
        <w:t xml:space="preserve">in relation </w:t>
      </w:r>
      <w:r w:rsidRPr="0047058F">
        <w:t>to their mental health during their time in the ADF. It is only through the examination of how the mental health of members changes when they move from active service to civilian life, that the impact of transition can be more fully understood.</w:t>
      </w:r>
    </w:p>
    <w:p w14:paraId="3DE2DA47" w14:textId="77777777" w:rsidR="00D03F5A" w:rsidRPr="0047058F" w:rsidRDefault="00D03F5A" w:rsidP="00031ACA">
      <w:pPr>
        <w:pStyle w:val="Bullet"/>
        <w:numPr>
          <w:ilvl w:val="0"/>
          <w:numId w:val="1"/>
        </w:numPr>
        <w:ind w:left="360"/>
      </w:pPr>
      <w:r w:rsidRPr="0047058F">
        <w:t>If the ADF and Department of Veterans’ Affairs are to better identify personnel who may be at risk of developing mental health problems after transition, it is imperative to also identify factors that can predict altered mental health status across the transition period. The clarification of potential predictors can only be achieved through longitudinal study of the change in mental health between active service and transition, and examination of factors that may predict these changes.</w:t>
      </w:r>
    </w:p>
    <w:p w14:paraId="42DCB6C0" w14:textId="77777777" w:rsidR="00D03F5A" w:rsidRPr="0047058F" w:rsidRDefault="00D03F5A" w:rsidP="00860F45">
      <w:r w:rsidRPr="0047058F">
        <w:t xml:space="preserve">Accordingly, the major goals of the current report are to (a) map the changing course of mental health in ADF personnel from active military service to transition, and (b) identify predictors of this change in mental health over time. The current report first investigates the patterns of changing mental health status over time, and importantly, how the mental health of personnel improved, worsened, or remained stable. The following section outlines what is known to date about the longitudinal nature of </w:t>
      </w:r>
      <w:r w:rsidRPr="0047058F">
        <w:lastRenderedPageBreak/>
        <w:t>posttraumatic mental health, with specific focus on the longitudinal course of mental health in military and veteran contexts.</w:t>
      </w:r>
    </w:p>
    <w:p w14:paraId="285BBF3D" w14:textId="77777777" w:rsidR="00D03F5A" w:rsidRPr="0047058F" w:rsidRDefault="00D03F5A" w:rsidP="00860F45">
      <w:pPr>
        <w:pStyle w:val="Heading3"/>
      </w:pPr>
      <w:bookmarkStart w:id="33" w:name="_Toc532474338"/>
      <w:r w:rsidRPr="0047058F">
        <w:t>The longitudinal nature of posttraumatic mental health</w:t>
      </w:r>
      <w:bookmarkEnd w:id="33"/>
    </w:p>
    <w:p w14:paraId="62C458AE" w14:textId="21F278E0" w:rsidR="00D03F5A" w:rsidRPr="0047058F" w:rsidRDefault="00D03F5A" w:rsidP="00860F45">
      <w:r w:rsidRPr="0047058F">
        <w:t>To provide further context for this report, in particular the documenting of change in mental health status over time, it is useful to understand the course of posttraumatic mental health. In recent years</w:t>
      </w:r>
      <w:r w:rsidR="00515BC4">
        <w:t>,</w:t>
      </w:r>
      <w:r w:rsidRPr="0047058F">
        <w:t xml:space="preserve"> there has been considerable research undertaken on how the incidence of posttraumatic stress disorder (PTSD) changes over time. Much of this work has been conducted in the acute post-trauma phase, and has subsequently tracked rates of PTSD over the following years. Although the traditional view was that PTSD responses typically abated over time (Bryant, 2003), more controlled and longer-term studies have shown that while PTSD rates in a given population tend to be somewhat consistent over time, </w:t>
      </w:r>
      <w:r w:rsidRPr="0047058F">
        <w:rPr>
          <w:i/>
        </w:rPr>
        <w:t>individuals</w:t>
      </w:r>
      <w:r w:rsidRPr="0047058F">
        <w:t xml:space="preserve"> actually fluctuate markedly over time in terms of their PTSD symptoms. For example, a landmark study of civilians in Australia assessed trauma survivors within days of the event, and again at 3, 12, and 24 months (Bryant, O’Donnell, Creamer, McFarlane &amp; Silove, 2013). This study found that although the rates of PTSD remained reasonably stable, people tended to change in terms of their PTSD status considerably over time. Specifically, approximately half of those individuals with PTSD at one assessment did not have it at the next assessment, with these individuals ‘migrating’ to either subsyndromal or no PTSD status. Similar proportions of the sample then worsened at the subsequent assessment by moving from subsyndromal to full PTSD, or no PTSD to either subsyndromal or full PTSD. Moreover, this fluctuation appears to be driven strongly by the number of current stressors that the individual was experiencing in the period since the traumatic event (Bryant et al., 2017). Two points emerge from the longitudinal research of trauma responses in civilian contexts: (a) mental health status is dynamic and fluid across time, and (b) ongoing stressors play a major role in shaping one’s current mental health.</w:t>
      </w:r>
    </w:p>
    <w:p w14:paraId="218AFD07" w14:textId="77777777" w:rsidR="00D03F5A" w:rsidRPr="0047058F" w:rsidRDefault="00D03F5A" w:rsidP="00860F45">
      <w:pPr>
        <w:pStyle w:val="Heading3"/>
      </w:pPr>
      <w:bookmarkStart w:id="34" w:name="_Toc532474339"/>
      <w:r w:rsidRPr="0047058F">
        <w:t>The role of subsyndromal disorder</w:t>
      </w:r>
      <w:bookmarkEnd w:id="34"/>
    </w:p>
    <w:p w14:paraId="6C19CC02" w14:textId="44B14282" w:rsidR="00D03F5A" w:rsidRPr="0047058F" w:rsidRDefault="00D03F5A" w:rsidP="00D03F5A">
      <w:r w:rsidRPr="0047058F">
        <w:t>Subsyndromal PTSD is a significant risk factor for the recurrence of a full-blown PTSD (Smid, Mooren, van der Mast, Gersons &amp; Kleber, 2009). Subsyndromal PTSD is associated with significant health-related difficulties (Pietrzak, Goldstein, Malley, Johnson &amp; Southwick, 2009)</w:t>
      </w:r>
      <w:r w:rsidR="001D74E2">
        <w:t xml:space="preserve"> and</w:t>
      </w:r>
      <w:r w:rsidRPr="0047058F">
        <w:t xml:space="preserve"> impairment (Stein, Walker, Hazen &amp; Forde, 1997), and predicts subsequent PTSD (O’Donnell, 2013) and suicidal risk (Marshall et al., 2001). These findings highlight the importance of early identification of such symptoms due to the opportunity and potential to intervene and limit worsening of these states to full-blown disorder.</w:t>
      </w:r>
    </w:p>
    <w:p w14:paraId="34B45A18" w14:textId="77777777" w:rsidR="00D03F5A" w:rsidRPr="0047058F" w:rsidRDefault="00D03F5A" w:rsidP="00D03F5A">
      <w:r w:rsidRPr="0047058F">
        <w:t xml:space="preserve">In the context of military and emergency service personnel, it has especially been recognised that subsyndromal symptoms represent a significant risk in terms of impairment. In this setting, these symptoms represent an important focus for clinical intervention despite not satisfying the full diagnostic criteria (Kornfield, Klaus, McKay, </w:t>
      </w:r>
      <w:r w:rsidRPr="0047058F">
        <w:lastRenderedPageBreak/>
        <w:t>Helstrom &amp; Oslin, 2012). Reflecting this pattern, one study of police officers four years after the 11 September 2001 attacks in the United States found that 5.4% had full-blown PTSD and 15.4% had subsyndromal PTSD; importantly, there were significant associations with alcohol abuse and somatic symptoms in both the full PTSD and subsyndromal groups (Pietrzak et al., 2012). This paper concluded that it was important to have a dimensional perspective of PTSD ‘particularly in professions such as police, as operational definitions and conventional screening cut-points may underestimate the psychological burden for this population’. The relationship between subsyndromal PTSD and pain is also an issue that has been highlighted in the literature (Jenewein, Wittmann, Moergeli, Creutzig &amp; Schnyder, 2009). There is further evidence that presence of key symptoms following trauma exposure can subsequently lead to PTSD. For example, one study of police officers found that development of nightmares is prodromal to subsequent PTSD (Neylan et al., 2002).</w:t>
      </w:r>
    </w:p>
    <w:p w14:paraId="05F11DD1" w14:textId="77777777" w:rsidR="00D03F5A" w:rsidRPr="0047058F" w:rsidRDefault="00D03F5A" w:rsidP="00D03F5A">
      <w:r w:rsidRPr="0047058F">
        <w:t>The importance of screening programs was further highlighted for military populations in this regard, in the 2010 MHPWS, which found that increasing exposure to trauma was associated with subsyndromal symptoms (McFarlane et al., 2011). This indicated that individuals with subsyndromal symptoms appear to be at risk of further symptom exacerbation with further exposures. These findings particularly underscore the importance of the early identification of a pattern of progressive increasing symptomatology. The linear relationship between the numbers of traumas an individual has been exposed to and the onset of PTSD symptoms has also been found in other samples (Del Gaizo et al., 2011). This literature highlights the importance of mapping the course of symptoms within individuals across time, with any screening program ideally performed by the same assessor. At a minimum, there should be a review of any prior assessments so as to map the progressive longitudinal trajectory of an individual’s symptoms or distress.</w:t>
      </w:r>
    </w:p>
    <w:p w14:paraId="0E119F44" w14:textId="77777777" w:rsidR="00D03F5A" w:rsidRPr="0047058F" w:rsidRDefault="00D03F5A" w:rsidP="00860F45">
      <w:pPr>
        <w:pStyle w:val="Heading3"/>
      </w:pPr>
      <w:bookmarkStart w:id="35" w:name="_Toc532474340"/>
      <w:r w:rsidRPr="0047058F">
        <w:t>The longitudinal course of mental health in military and veteran populations</w:t>
      </w:r>
      <w:bookmarkEnd w:id="35"/>
    </w:p>
    <w:p w14:paraId="551799FE" w14:textId="77777777" w:rsidR="00D03F5A" w:rsidRPr="0047058F" w:rsidRDefault="00D03F5A" w:rsidP="00D03F5A">
      <w:r w:rsidRPr="0047058F">
        <w:t>There has been much longitudinal research over the past decade on military samples, particularly those deployed to the Middle East. These studies have primarily focused on active serving military personnel and have adopted one of two designs: (a) assessing characteristics prior to deployment and determining mental health outcomes after deployment, or (b) assessing experiences during deployment and assessing mental health outcomes after returning from their deployment. Importantly, these studies have focused on active serving military personnel rather than considering the longitudinal course of mental health from active service through to civilian life.</w:t>
      </w:r>
    </w:p>
    <w:p w14:paraId="057B7826" w14:textId="77777777" w:rsidR="00D03F5A" w:rsidRPr="0047058F" w:rsidRDefault="00D03F5A" w:rsidP="00860F45">
      <w:pPr>
        <w:pStyle w:val="Heading3"/>
      </w:pPr>
      <w:bookmarkStart w:id="36" w:name="_Toc532474341"/>
      <w:r w:rsidRPr="0047058F">
        <w:t>Long-term reactions</w:t>
      </w:r>
      <w:bookmarkEnd w:id="36"/>
    </w:p>
    <w:p w14:paraId="6CBCF93B" w14:textId="77777777" w:rsidR="00D03F5A" w:rsidRPr="0047058F" w:rsidRDefault="00D03F5A" w:rsidP="00D03F5A">
      <w:r w:rsidRPr="0047058F">
        <w:t xml:space="preserve">Several longitudinal studies have focused on military cohorts that have been assessed over decades after deployment to war zones. The findings of these studies have been mixed, which is likely attributable to changing methodological approaches and </w:t>
      </w:r>
      <w:r w:rsidRPr="0047058F">
        <w:lastRenderedPageBreak/>
        <w:t>measurement tools as time has elapsed. One early study of Second World War veterans found that stress reactions increased over a 20-year period following combat exposure (Archibald &amp; Tuddenham, 1965). An Israeli study of personnel who served during the 1973 Yom Kippur War also found an increase in PTSD rates over a 20-year period (Solomon, 1993). Another study reported a decline in rates of PTSD over a 14-year period in Vietnam era veterans (Koenen, Stellman, Stellman &amp; Sommer, 2003).</w:t>
      </w:r>
    </w:p>
    <w:p w14:paraId="28B24BD0" w14:textId="77777777" w:rsidR="00D03F5A" w:rsidRPr="0047058F" w:rsidRDefault="00D03F5A" w:rsidP="00D03F5A">
      <w:r w:rsidRPr="0047058F">
        <w:t xml:space="preserve">The major mental health study of US troops deployed to Vietnam was the National Vietnam Veterans Readjustment Study, which was conducted 10 years after the war ended (Kulka et al., 1990). At that time, it was reported that 15.2% of men and 8.5% of women met criteria for current PTSD. A recent 25-year follow-up of this cohort (Marmar et al., 2015) broadly supported the proposal that PTSD diagnosis and symptoms fluctuate substantially over time. The rates of PTSD for men and women were substantially lower at the 25-year follow-up, at 4.5% and 6.1%, respectively; however, it is worth noting that a different definition of PTSD was used for this study (the </w:t>
      </w:r>
      <w:r w:rsidRPr="0047058F">
        <w:rPr>
          <w:i/>
        </w:rPr>
        <w:t>Diagnostic and Statistical Manual of Mental Disorders, Fifth Edition</w:t>
      </w:r>
      <w:r w:rsidRPr="0047058F">
        <w:t xml:space="preserve"> (DSM-5)), which is markedly different from the one used in the initial study. Interestingly, 10.8% – while not meeting full criteria – met at least subsyndromal levels of PTSD. Importantly, 16.0% of veterans reported an increase of more than 20 points on the </w:t>
      </w:r>
      <w:bookmarkStart w:id="37" w:name="_Hlk528319146"/>
      <w:r w:rsidRPr="0047058F">
        <w:t>Mississippi Scale for Combat-Related PTSD</w:t>
      </w:r>
      <w:bookmarkEnd w:id="37"/>
      <w:r w:rsidRPr="0047058F">
        <w:t>, and 7.6% reported a decrease of more than 20 points. The predictors of current PTSD that were identified included poor social support and increased stressors in the past year (Steenkamp et al., 2017). This underscores the enormous fluctuations that occurred with many veterans over this time. Although the overall rates of PTSD tend to reduce over the decades following deployment, for a significant proportion of personnel mental health problems appear to increase. This conclusion is further supported by longitudinal evidence that older male veterans who initially display PTSD report poorer mental health as they transition to retirement (Schnurr, Lunney, Sengupta &amp; Spiro, 2005).</w:t>
      </w:r>
    </w:p>
    <w:p w14:paraId="5B133C4F" w14:textId="77777777" w:rsidR="00D03F5A" w:rsidRPr="0047058F" w:rsidRDefault="00D03F5A" w:rsidP="00860F45">
      <w:pPr>
        <w:pStyle w:val="Heading3"/>
      </w:pPr>
      <w:bookmarkStart w:id="38" w:name="_Toc532474342"/>
      <w:r w:rsidRPr="0047058F">
        <w:t>Intermediate reactions to deployment</w:t>
      </w:r>
      <w:bookmarkEnd w:id="38"/>
    </w:p>
    <w:p w14:paraId="0BFD830F" w14:textId="77777777" w:rsidR="00D03F5A" w:rsidRPr="0047058F" w:rsidRDefault="00D03F5A" w:rsidP="00D03F5A">
      <w:r w:rsidRPr="0047058F">
        <w:t>A limitation of longitudinal studies of Vietnam and other cohorts that have been followed up decades after deployment is that they do not shed light on more immediate effects as time elapses in the months and years after deployment or combat exposure. In the wake of recent wars in Iraq and Afghanistan, a range of studies have focused on the course of mental health in these contexts. This review now summarises lessons from these studies.</w:t>
      </w:r>
    </w:p>
    <w:p w14:paraId="1799A08E" w14:textId="77777777" w:rsidR="00D03F5A" w:rsidRPr="0047058F" w:rsidRDefault="00D03F5A" w:rsidP="00D03F5A">
      <w:r w:rsidRPr="0047058F">
        <w:t>Few studies have assessed longitudinal changes in mental health status in military personnel in more intermediate time frames after deployment. Consistent with studies of long-term follow-up, there is evidence that rates of PTSD in deployed personnel can increase in the post-deployment period. For example, one study of US personnel found an increase of 14.2% in PTSD rates in the period between post-deployment and one-</w:t>
      </w:r>
      <w:r w:rsidRPr="0047058F">
        <w:lastRenderedPageBreak/>
        <w:t>year follow-up (Vasterling et al., 2016). Relevant to this report, PTSD symptoms increased in ex-serving veterans more than active duty military personnel. This accords with a Dutch study that reported a marked increase in PTSD symptoms between post-deployment and five-year follow-up (Eekhout, Reijnen, Vermetten &amp; Geuze, 2016). Another study that tracked PTSD symptoms in military personnel in primary care settings found that the majority of those with PTSD continued to have PTSD 12 months later (Bray et al., 2016).</w:t>
      </w:r>
    </w:p>
    <w:p w14:paraId="7BB133B6" w14:textId="77777777" w:rsidR="00D03F5A" w:rsidRPr="0047058F" w:rsidRDefault="00D03F5A" w:rsidP="00D03F5A">
      <w:r w:rsidRPr="0047058F">
        <w:t>The Millennium Cohort Study, which assessed a population-based representative sample of 8,178 US military personnel, included assessments at baseline, and again every three years for a total 10-year follow-up period (Bonanno et al., 2012b; Donoho, Bonanno, Porter, Kearney &amp; Powell, 2017). This study used latent growth mixture modelling, which is a statistical approach that focuses on levels of PTSD severity, rather than diagnostic categories, and models classes of people who fall into distant trajectories over time. This approach, which requires multiple assessments, allows a more robust assessment of long-term adjustment. The key findings to emerge from this study were (a) that PTSD severity increased in a proportion of personnel following initial deployment, (b) that PTSD severity increased in a proportion of personnel at least three years after their initial deployment, and (c) that PTSD severity increased in a proportion of personnel at least six years after initial deployment. Importantly, those personnel who showed increased PTSD severity over time tended to display some PTSD symptoms initially. It is also worth noting that when other factors were controlled for, there was no difference in the course of PTSD over time between men and women (Jacobson, Donoho, Crum-Cianflone &amp; Maguen, 2015). These patterns reinforce previous reports that PTSD is a fluctuating condition, and that it can increase over time in those who initially displayed some degree of PTSD symptoms.</w:t>
      </w:r>
    </w:p>
    <w:p w14:paraId="5819BBEF" w14:textId="77777777" w:rsidR="00D03F5A" w:rsidRPr="0047058F" w:rsidRDefault="00D03F5A" w:rsidP="00D03F5A">
      <w:r w:rsidRPr="0047058F">
        <w:t xml:space="preserve">A very consistent finding across all longitudinal studies that have used latent growth mixture modelling is that most military personnel who are deployed are resilient and consistently show good mental health over time (Berntsen et al., 2012; Bonanno et al., 2012b; Donoho et al., 2017; Isaacs et al., 2017). This pattern has been shown in personnel deployed to the Gulf War (Orcutt, Erickson &amp; Wolfe, 2004), Kosovo (Dickstein, Suvak, Litz &amp; Adler, 2010), Afghanistan (Berntsen et al., 2012), and Iraq (Bonanno et al., 2012b). </w:t>
      </w:r>
      <w:bookmarkStart w:id="39" w:name="_Hlk512936167"/>
      <w:r w:rsidRPr="0047058F">
        <w:t>When combat exposure is controlled for, resilient personnel tend to show initial PTSD symptoms in the immediate aftermath of deployment, but thereafter show consistently low symptomatology (Boasso, Steenkamp, Nash, Larson &amp; Litz, 2015).</w:t>
      </w:r>
      <w:bookmarkEnd w:id="39"/>
    </w:p>
    <w:p w14:paraId="6E4BB289" w14:textId="77777777" w:rsidR="00D03F5A" w:rsidRPr="0047058F" w:rsidRDefault="00D03F5A" w:rsidP="00D03F5A">
      <w:r w:rsidRPr="0047058F">
        <w:t xml:space="preserve">Longitudinal studies have also been conducted on suicidal risk in the military. Suicide attempts in military agencies have increased over the past decade, and so considerable attention has been given to the course and risk for suicidality (Schoenbaum et al., 2014). These studies indicate that females, personnel at early stages of their careers, </w:t>
      </w:r>
      <w:r w:rsidRPr="0047058F">
        <w:lastRenderedPageBreak/>
        <w:t>and non-deployed personnel are at increased risk (Ursano et al., 2015). Moreover, longitudinal work suggests that among those with at least one prior deployment, risk for suicide attempts was higher in those with either PTSD or depression after return from deployment, particularly at the six-month post-deployment mark (Ursano et al., 2016).</w:t>
      </w:r>
    </w:p>
    <w:p w14:paraId="690D357E" w14:textId="77777777" w:rsidR="00D03F5A" w:rsidRPr="0047058F" w:rsidRDefault="00D03F5A" w:rsidP="00860F45">
      <w:pPr>
        <w:pStyle w:val="Heading3"/>
      </w:pPr>
      <w:bookmarkStart w:id="40" w:name="_Toc532474343"/>
      <w:r w:rsidRPr="0047058F">
        <w:t>Lessons from delayed-onset PTSD</w:t>
      </w:r>
      <w:bookmarkEnd w:id="40"/>
    </w:p>
    <w:p w14:paraId="3ACA0933" w14:textId="5F513F7B" w:rsidR="00D03F5A" w:rsidRPr="0047058F" w:rsidRDefault="00D03F5A" w:rsidP="000D2D22">
      <w:r w:rsidRPr="0047058F">
        <w:t xml:space="preserve">There are relevant lessons to learn about the course of mental health responses in military populations from studies of delayed-onset PTSD. This form of PTSD is defined by DSM-5 as PTSD that meets criteria for the disorder after a delay of at least </w:t>
      </w:r>
      <w:r w:rsidR="00E77BCC">
        <w:t>six</w:t>
      </w:r>
      <w:r w:rsidRPr="0047058F">
        <w:t xml:space="preserve"> months following exposure to a traumatic event. Although this form of PTSD was initially conceptualised as occurring after a period of six months in which the trauma survivor was ‘symptom-free’, more recent conceptualisations have converged on the view that trauma survivors may have a degree of symptoms but they worsen over time to the point that the person eventually meets full criteria for PTSD. It is for this reason that DSM-5 clarified that delayed-onset PTSD referred to cases in which the condition worsened over time to eventually meet criteria for the disorder (Friedman, Resick, Bryant &amp; Brewin, 2011a).</w:t>
      </w:r>
    </w:p>
    <w:p w14:paraId="73CFCEFA" w14:textId="77777777" w:rsidR="00D03F5A" w:rsidRPr="0047058F" w:rsidRDefault="00D03F5A" w:rsidP="000D2D22">
      <w:r w:rsidRPr="0047058F">
        <w:t>Numerous longitudinal studies have been conducted that have mapped the course of PTSD reactions and determined the rates of delayed-onset PTSD. Interestingly, delayed-onset PTSD appears to occur more often in military than civilian populations. For example, one systematic review of 19 studies of trauma survivor cohorts found that delayed-onset PTSD accounted for 38.2% and 15.3%, respectively, of military and civilian cases of PTSD (Andrews, Brewin, Philpott &amp; Stewart, 2007). Notably, all participants who reported delayed-onset PTSD had symptoms in the acute phase, indicating that their conditions worsened over time. In terms of the time frames in which this worsening occurred in military samples, it was observed in cohort studies that assessed veterans at six months (Helzer, Robins &amp; McEvoy, 1987; Prigerson, Maciejewski &amp; Rosenheck, 2001), 1 to 2 years (Solomon &amp; Mikulincer, 2006; Southwick, Morgan, Darnell &amp; Bremner, 1995), and 5 years (Op den Velde et al., 1996).</w:t>
      </w:r>
    </w:p>
    <w:p w14:paraId="06444AC7" w14:textId="4AFD2BBF" w:rsidR="00D03F5A" w:rsidRPr="0047058F" w:rsidRDefault="00D03F5A" w:rsidP="000D2D22">
      <w:r w:rsidRPr="0047058F">
        <w:t xml:space="preserve">These convergent studies indicate that there </w:t>
      </w:r>
      <w:r w:rsidR="00E42E0C">
        <w:t>is</w:t>
      </w:r>
      <w:r w:rsidRPr="0047058F">
        <w:t xml:space="preserve"> a sizable proportion of people with PTSD who develop worsening symptoms over time, and it appears this is a more common pattern in military/veteran populations than civilian populations. Importantly, there is evidence that veterans who develop delayed-onset PTSD display more depressive symptoms and alcohol abuse in the period before they develop PTSD than those who develop immediate PTSD; further, veterans with delayed-onset PTSD experience more life stressors in the year prior to developing PTSD (Andrews, Brewin, Stewart, Philpott &amp; Hejdenberg, 2009).</w:t>
      </w:r>
    </w:p>
    <w:p w14:paraId="04F574CF" w14:textId="77777777" w:rsidR="00D03F5A" w:rsidRPr="0047058F" w:rsidRDefault="00D03F5A" w:rsidP="00860F45">
      <w:pPr>
        <w:pStyle w:val="Heading3"/>
      </w:pPr>
      <w:bookmarkStart w:id="41" w:name="_Toc532474344"/>
      <w:r w:rsidRPr="0047058F">
        <w:lastRenderedPageBreak/>
        <w:t>The role of sensitisation</w:t>
      </w:r>
      <w:bookmarkEnd w:id="41"/>
    </w:p>
    <w:p w14:paraId="578EEBBC" w14:textId="77777777" w:rsidR="00D03F5A" w:rsidRPr="0047058F" w:rsidRDefault="00D03F5A" w:rsidP="00D03F5A">
      <w:r w:rsidRPr="0047058F">
        <w:t>There are well-established neurobiological models that can explain the observed increase in mental health problems in populations, such as veterans, who have experienced cumulative trauma. Sensitisation models propose that once someone has been severely stressed by a traumatic event, a predisposition subsequently exists to have an excessive response to less severe stressful stimuli that occur subsequently. This occurs because neural circuitry, and in particular the limbic system, is sensitised following the initial traumatic experience (Post, Weiss &amp; Smith, 1995). This pattern has been observed across much fundamental research with both animals and humans who have been exposed to a prior stressful aversive event (Stam, 2007a; Stam, 2007b).</w:t>
      </w:r>
    </w:p>
    <w:p w14:paraId="20F67087" w14:textId="77777777" w:rsidR="00D03F5A" w:rsidRPr="0047058F" w:rsidRDefault="00D03F5A" w:rsidP="00860F45">
      <w:r w:rsidRPr="0047058F">
        <w:t>Supporting this model is evidence that previous traumatic events are linked to greater reactivity to subsequent stressors (Breslau et al., 1991; King, King, Foy &amp; Gudanowski, 1996). Moreover, one of the major predictors of subsequent worsening of PTSD severity is the frequency of post-trauma stressors (Boscarino &amp; Adams, 2009; Horesh, Solomon, Keinan &amp; Ein-Dor, 2013; Smid et al., 2012). It has also been observed that trauma survivors who subsequently develop PTSD do not display elevated startle responses immediately after the traumatic event but do so in the following months (Griffin, 2008; Shalev et al., 2000). This pattern suggests there is a progressive neural sensitisation following exposure to a traumatic event that can contribute to PTSD.</w:t>
      </w:r>
    </w:p>
    <w:p w14:paraId="2947ADBB" w14:textId="77777777" w:rsidR="00D03F5A" w:rsidRPr="0047058F" w:rsidRDefault="00D03F5A" w:rsidP="00860F45">
      <w:r w:rsidRPr="0047058F">
        <w:t>In the context of military personnel, this theory has been demonstrated in a longitudinal study of Dutch military personnel, who were assessed prior to deployment, and again at 2, 7, 14, and 26 months after deployment (Smid, Kleber, Rademaker, van Zuiden &amp; Vermetten, 2013). This study found that military personnel who were highly exposed to combat stress during deployment responded more strongly to post-deployment stressors in the year after deployment; this pattern was not found in those with low levels of combat stress. These findings are consistent with sensitisation models. Considering the frequency of increased stress that occurs in the post-trauma period, including the stressors experienced by military personnel as they transition from military service to civilian life, trauma survivors may experience a poor trajectory of mental health as a result of the combined effects of the initial traumatic experiences and the subsequent susceptibility to ongoing stressors (McFarlane, 2010).</w:t>
      </w:r>
    </w:p>
    <w:p w14:paraId="3DE0ABBC" w14:textId="77777777" w:rsidR="00D03F5A" w:rsidRPr="0047058F" w:rsidRDefault="00D03F5A" w:rsidP="00860F45">
      <w:pPr>
        <w:pStyle w:val="Heading3"/>
      </w:pPr>
      <w:bookmarkStart w:id="42" w:name="_Toc532474345"/>
      <w:r w:rsidRPr="0047058F">
        <w:t>Impact of cumulative stress exposure</w:t>
      </w:r>
      <w:bookmarkEnd w:id="42"/>
    </w:p>
    <w:p w14:paraId="6F292C1A" w14:textId="77777777" w:rsidR="00D03F5A" w:rsidRPr="0047058F" w:rsidRDefault="00D03F5A" w:rsidP="00860F45">
      <w:r w:rsidRPr="0047058F">
        <w:t xml:space="preserve">When discussing cumulative stress exposure, it is relevant to consider the literature on first responders because, although they have distinct organisational cultures, career paths, deployment cycles, and rates of trauma exposure, they also have many commonalities with military personnel. Specifically, it can be argued that over the course of many years, first responders (including police, firefighters, and paramedics) can be repeatedly exposed to more traumatic events than many military personnel. </w:t>
      </w:r>
      <w:r w:rsidRPr="0047058F">
        <w:lastRenderedPageBreak/>
        <w:t>Accordingly, it is worth considering these populations in regard to the effects of cumulative exposure to trauma and stress.</w:t>
      </w:r>
    </w:p>
    <w:p w14:paraId="198DD55D" w14:textId="77777777" w:rsidR="00D03F5A" w:rsidRPr="0047058F" w:rsidRDefault="00D03F5A" w:rsidP="00860F45">
      <w:r w:rsidRPr="0047058F">
        <w:t>A meta-analysis of studies of PTSD in first responders indicates that the rates of PTSD across studies is approximately 10%, which is markedly higher than observed in the general population (Berger et al., 2012). One reason commonly offered for the elevated rates of PTSD in these populations is the cumulative trauma exposure experienced by them (Neria, DiGrande &amp; Adams, 2011). Supporting this proposal is evidence that the number of distressing missions attended by firefighters predicts PTSD severity (Wagner, Heinrichs &amp; Ehlert, 1998), and mood and alcohol use disorders (Kaufmann, Rutkow, Spira &amp; Mojtabai, 2013).</w:t>
      </w:r>
    </w:p>
    <w:p w14:paraId="713F0442" w14:textId="77777777" w:rsidR="00D03F5A" w:rsidRPr="0047058F" w:rsidRDefault="00D03F5A" w:rsidP="00860F45">
      <w:r w:rsidRPr="0047058F">
        <w:t>Despite the considerable attention given to active duty first responders, there is less attention given to retired personnel. There is evidence of heightened levels of depression and PTSD in retired firefighters (Chiu et al., 2011; Chiu et al., 2010). In studies of first responders after the 11 September 2001 attacks in the United States, PTSD increased to 19.5% about six years after the attacks (Brackbill et al., 2009). In a study directly relevant to the Australian context, a comparison of mental health outcomes in active duty and retired firefighters found that retired firefighters had significantly higher rates of PTSD (17.9% vs 7.7%), depression (18.1% vs 4.9%), and heavy drinking (7.2% vs 4.1%) than active duty firefighters (Harvey et al., 2016). Moreover, the more firefighters had been exposed to severe traumatic events (e.g. fatal accidents), the greater the likelihood they developed PTSD, depression, and heavy drinking. This study highlighted that among firefighters, retirement is associated with greater mental health problems, and these are linked to greater trauma exposure. That is, it is difficult to disentangle the relative contributions of cumulative trauma exposure and retirement that may contribute to increased rates of psychological problems.</w:t>
      </w:r>
    </w:p>
    <w:p w14:paraId="19935004" w14:textId="77777777" w:rsidR="00D03F5A" w:rsidRPr="0047058F" w:rsidRDefault="00D03F5A" w:rsidP="00860F45">
      <w:r w:rsidRPr="0047058F">
        <w:t xml:space="preserve">In terms of suicidal risk, there is considerable evidence that first responders are at greater risk for suicidality than the general population, despite the fact that the strict screening that occurs during recruitment of these personnel should result in lower suicidal risk. One meta-analysis of 63 different studies found strong evidence for increased suicidal risk across emergency service personnel (Stanley, Hom &amp; Joiner, 2016). Across a number of studies, there is evidence that risk for suicide increases as a result of PTSD (Maia et al., 2007; Steyn, Vawda, Wyatt &amp; Williams, 2013) and the cumulative effects of ongoing stress, organisational dissatisfaction, and legal difficulties (Berg, Hem, Lau, Loeb &amp; Ekeberg, 2003; O’Hara, Violanti, Levenson &amp; Clark, 2013). Relevant to the current report is some evidence that first responders may be more at risk of suicide during periods of career transition; specifically, the repeated finding that suicide risk is higher among those of lower rank, fewer years of service, and those in a volunteer role may suggest that suicide risk is heightened when personnel transition in </w:t>
      </w:r>
      <w:r w:rsidRPr="0047058F">
        <w:lastRenderedPageBreak/>
        <w:t>their role, particularly when they are not in a structured organisational (i.e. professional) setting (O’Hara et al., 2013; Stanley, Hom, Hagan &amp; Joiner, 2015).</w:t>
      </w:r>
    </w:p>
    <w:p w14:paraId="43715CA1" w14:textId="77777777" w:rsidR="00D03F5A" w:rsidRPr="0047058F" w:rsidRDefault="00D03F5A" w:rsidP="00860F45">
      <w:pPr>
        <w:pStyle w:val="Heading2"/>
      </w:pPr>
      <w:bookmarkStart w:id="43" w:name="_Toc487011166"/>
      <w:bookmarkStart w:id="44" w:name="_Toc494449682"/>
      <w:bookmarkStart w:id="45" w:name="_Toc498520971"/>
      <w:bookmarkStart w:id="46" w:name="_Toc529117456"/>
      <w:bookmarkStart w:id="47" w:name="_Toc532474346"/>
      <w:bookmarkStart w:id="48" w:name="_Toc482021328"/>
      <w:bookmarkStart w:id="49" w:name="_Toc482024419"/>
      <w:r w:rsidRPr="0047058F">
        <w:t>Aims, definitions, structure and scope</w:t>
      </w:r>
      <w:bookmarkEnd w:id="43"/>
      <w:bookmarkEnd w:id="44"/>
      <w:bookmarkEnd w:id="45"/>
      <w:bookmarkEnd w:id="46"/>
      <w:bookmarkEnd w:id="47"/>
    </w:p>
    <w:p w14:paraId="6EFB68A6" w14:textId="77777777" w:rsidR="00D03F5A" w:rsidRPr="0047058F" w:rsidRDefault="00D03F5A" w:rsidP="00D03F5A">
      <w:r w:rsidRPr="0047058F">
        <w:t>The Australian and international literature highlights the need for comprehensive research on the mental health and wellbeing of members who have transitioned from full-time military service, including examining protective and risk factors. It is only through this understanding that targeted policy and programs can be developed to meet the needs of individuals in each stage of their military career.</w:t>
      </w:r>
    </w:p>
    <w:p w14:paraId="3DEA922E" w14:textId="77777777" w:rsidR="00D03F5A" w:rsidRPr="0047058F" w:rsidRDefault="00D03F5A" w:rsidP="00D03F5A">
      <w:r w:rsidRPr="0047058F">
        <w:t xml:space="preserve">The Military Health Outcomes Program (MilHOP) studies provided valuable information for developing policy and programs within DVA and the Department of Defence (Defence). For example, the finding that non-operational service can involve significant risk to ADF members led to new Defence policy initiatives to increase access to mental health services for </w:t>
      </w:r>
      <w:r w:rsidRPr="0047058F">
        <w:rPr>
          <w:i/>
        </w:rPr>
        <w:t>all</w:t>
      </w:r>
      <w:r w:rsidRPr="0047058F">
        <w:t xml:space="preserve"> ADF members. Within DVA, the eligibility criteria for members and families to access the Veterans and Veterans Families Counselling Service was expanded to include more types of non-operational service; for example, border protection, training accidents and disaster relief. Further, members with more than three years of peacetime service became eligible to access health care for PTSD, depression, anxiety and substance use disorders without the need to submit a claim. Importantly, the MilHOP studies provided a framework for future research, which has been a significant driver for this Programme.</w:t>
      </w:r>
    </w:p>
    <w:p w14:paraId="6AF6BB83" w14:textId="77777777" w:rsidR="00D03F5A" w:rsidRPr="0047058F" w:rsidRDefault="00D03F5A" w:rsidP="00D03F5A">
      <w:r w:rsidRPr="0047058F">
        <w:t>The Mental Health and Wellbeing Transition Study aimed to examine the prevalence of mental disorders and self-reported mental health and wellbeing in the first five years after transition, as this is a critical period to target for early intervention. Importantly, an understanding of the difference between mental health and wellbeing in those currently serving, those who have transitioned to the Reserves and those discharged and in the community is needed to start examining protective and risk factors in the Australian context. The current study builds on the findings from the earlier reports of the Transition and Wellbeing Research Programme, addressing the issue of the longitudinal course of mental health in contemporary Australian Defence Force members, including as they transition from regular service to civilian life.</w:t>
      </w:r>
    </w:p>
    <w:p w14:paraId="16847166" w14:textId="77777777" w:rsidR="00D03F5A" w:rsidRPr="0047058F" w:rsidRDefault="00D03F5A" w:rsidP="00860F45">
      <w:pPr>
        <w:pStyle w:val="Heading3"/>
      </w:pPr>
      <w:bookmarkStart w:id="50" w:name="_Toc487011167"/>
      <w:bookmarkStart w:id="51" w:name="_Toc494449683"/>
      <w:bookmarkStart w:id="52" w:name="_Toc498520972"/>
      <w:bookmarkStart w:id="53" w:name="_Toc532474347"/>
      <w:r w:rsidRPr="0047058F">
        <w:t>Aims of this report</w:t>
      </w:r>
      <w:bookmarkEnd w:id="50"/>
      <w:bookmarkEnd w:id="51"/>
      <w:bookmarkEnd w:id="52"/>
      <w:bookmarkEnd w:id="53"/>
    </w:p>
    <w:p w14:paraId="71FF239A" w14:textId="77777777" w:rsidR="00D03F5A" w:rsidRPr="0047058F" w:rsidRDefault="00D03F5A" w:rsidP="00860F45">
      <w:pPr>
        <w:keepNext/>
        <w:rPr>
          <w:rFonts w:eastAsia="MS Mincho"/>
        </w:rPr>
      </w:pPr>
      <w:r w:rsidRPr="0047058F">
        <w:t>The primary aims of this report are to:</w:t>
      </w:r>
    </w:p>
    <w:p w14:paraId="6405CB12" w14:textId="77777777" w:rsidR="00D03F5A" w:rsidRPr="0047058F" w:rsidRDefault="00D03F5A" w:rsidP="00860F45">
      <w:pPr>
        <w:pStyle w:val="Bullet"/>
      </w:pPr>
      <w:r w:rsidRPr="0047058F">
        <w:t>examine the longitudinal course of mental disorder and symptoms among a cohort of ADF members who previously participated in the MilHOP</w:t>
      </w:r>
    </w:p>
    <w:p w14:paraId="4D4C62C1" w14:textId="77777777" w:rsidR="00D03F5A" w:rsidRPr="0047058F" w:rsidRDefault="00D03F5A" w:rsidP="00031ACA">
      <w:pPr>
        <w:pStyle w:val="Bullet"/>
        <w:numPr>
          <w:ilvl w:val="0"/>
          <w:numId w:val="1"/>
        </w:numPr>
        <w:ind w:left="360"/>
      </w:pPr>
      <w:r w:rsidRPr="0047058F">
        <w:lastRenderedPageBreak/>
        <w:t>explore a range of potential demographic, service-related and transition-related predictors of the course of mental health outcomes between active service and transition.</w:t>
      </w:r>
    </w:p>
    <w:p w14:paraId="06757190" w14:textId="77777777" w:rsidR="00D03F5A" w:rsidRPr="0047058F" w:rsidRDefault="00D03F5A" w:rsidP="00860F45">
      <w:pPr>
        <w:pStyle w:val="Heading3"/>
      </w:pPr>
      <w:bookmarkStart w:id="54" w:name="_Toc494449684"/>
      <w:bookmarkStart w:id="55" w:name="_Toc498520973"/>
      <w:bookmarkStart w:id="56" w:name="_Toc532474348"/>
      <w:r w:rsidRPr="0047058F">
        <w:t>Structure of this report</w:t>
      </w:r>
      <w:bookmarkEnd w:id="54"/>
      <w:bookmarkEnd w:id="55"/>
      <w:bookmarkEnd w:id="56"/>
    </w:p>
    <w:p w14:paraId="629266EB" w14:textId="77777777" w:rsidR="00D03F5A" w:rsidRPr="0047058F" w:rsidRDefault="00D03F5A" w:rsidP="00D03F5A">
      <w:bookmarkStart w:id="57" w:name="_Toc487011170"/>
      <w:bookmarkStart w:id="58" w:name="_Toc494449686"/>
      <w:bookmarkStart w:id="59" w:name="_Toc498520975"/>
      <w:r w:rsidRPr="0047058F">
        <w:t xml:space="preserve">This report provides an overview of the time course of mental health functioning in ADF personnel across the 2010–2015 period, with the focus on comparing mental health changes between Transitioned and Regular ADF personnel in 2015 </w:t>
      </w:r>
      <w:r w:rsidRPr="0047058F">
        <w:rPr>
          <w:i/>
        </w:rPr>
        <w:t xml:space="preserve">relative to their mental health status in 2010. </w:t>
      </w:r>
      <w:r w:rsidRPr="0047058F">
        <w:t xml:space="preserve">It will initially briefly identify the key demographic and service factors of the longitudinal cohort. It will then provide an overview of the 2010 and 2015 unweighted prevalence rates of mental disorder among the Transitioned and Regular ADF personnel in the longitudinal cohort. </w:t>
      </w:r>
      <w:r w:rsidRPr="0047058F">
        <w:rPr>
          <w:rFonts w:asciiTheme="minorHAnsi" w:hAnsiTheme="minorHAnsi" w:cstheme="minorHAnsi"/>
        </w:rPr>
        <w:t xml:space="preserve">It is important to note that prevalence rates described in the current report are based on unweighted data, whereas the results in the </w:t>
      </w:r>
      <w:r w:rsidRPr="0047058F">
        <w:rPr>
          <w:rFonts w:asciiTheme="minorHAnsi" w:hAnsiTheme="minorHAnsi" w:cstheme="minorHAnsi"/>
          <w:i/>
        </w:rPr>
        <w:t>Mental Health Prevalence Report</w:t>
      </w:r>
      <w:r w:rsidRPr="0047058F">
        <w:rPr>
          <w:rFonts w:asciiTheme="minorHAnsi" w:hAnsiTheme="minorHAnsi" w:cstheme="minorHAnsi"/>
        </w:rPr>
        <w:t xml:space="preserve"> are based on weighted data. In this sense, the estimated prevalence rates in the </w:t>
      </w:r>
      <w:r w:rsidRPr="0047058F">
        <w:rPr>
          <w:rFonts w:asciiTheme="minorHAnsi" w:hAnsiTheme="minorHAnsi" w:cstheme="minorHAnsi"/>
          <w:i/>
        </w:rPr>
        <w:t>Mental Health Prevalence Report</w:t>
      </w:r>
      <w:r w:rsidRPr="0047058F">
        <w:rPr>
          <w:rFonts w:asciiTheme="minorHAnsi" w:hAnsiTheme="minorHAnsi" w:cstheme="minorHAnsi"/>
        </w:rPr>
        <w:t xml:space="preserve"> may be considered more reliable at a population level than the unweighted rates reported here. The emphasis in the current report is on the shifts in mental health status over time. </w:t>
      </w:r>
      <w:r w:rsidRPr="0047058F">
        <w:t>Self-reported mental health problems are then examined, including the migration from no, subsyndromal, and probable disorder in 2010 to the different levels of disorder in 2015, for both Transitioned and Regular ADF personnel. Predictive analyses are then reported that explore certain factors in 2010 that may contribute to 2015 mental health status. Finally, these findings are discussed in terms of current knowledge about the course of mental health, and possible implications for the ADF and DVA in planning mental health strategies for the future.</w:t>
      </w:r>
    </w:p>
    <w:p w14:paraId="25833BC2" w14:textId="77777777" w:rsidR="00D03F5A" w:rsidRPr="0047058F" w:rsidRDefault="00D03F5A" w:rsidP="00860F45">
      <w:pPr>
        <w:pStyle w:val="Heading3"/>
      </w:pPr>
      <w:bookmarkStart w:id="60" w:name="_Toc482021312"/>
      <w:bookmarkStart w:id="61" w:name="_Toc482024403"/>
      <w:bookmarkStart w:id="62" w:name="_Toc487011169"/>
      <w:bookmarkStart w:id="63" w:name="_Toc494449685"/>
      <w:bookmarkStart w:id="64" w:name="_Toc510680337"/>
      <w:bookmarkStart w:id="65" w:name="_Toc532474349"/>
      <w:r w:rsidRPr="0047058F">
        <w:t>Defining transition from regular military service</w:t>
      </w:r>
      <w:bookmarkEnd w:id="60"/>
      <w:bookmarkEnd w:id="61"/>
      <w:bookmarkEnd w:id="62"/>
      <w:bookmarkEnd w:id="63"/>
      <w:bookmarkEnd w:id="64"/>
      <w:bookmarkEnd w:id="65"/>
    </w:p>
    <w:p w14:paraId="36985B04" w14:textId="42D9A0E1" w:rsidR="00D03F5A" w:rsidRPr="0047058F" w:rsidRDefault="00D03F5A" w:rsidP="00D03F5A">
      <w:bookmarkStart w:id="66" w:name="_Hlk531440536"/>
      <w:r w:rsidRPr="0047058F">
        <w:t>Th</w:t>
      </w:r>
      <w:r w:rsidR="00AA57C5">
        <w:t>e</w:t>
      </w:r>
      <w:r w:rsidRPr="0047058F">
        <w:t xml:space="preserve"> </w:t>
      </w:r>
      <w:r w:rsidR="00AA57C5">
        <w:t xml:space="preserve">Transition and Wellbeing Research </w:t>
      </w:r>
      <w:r w:rsidRPr="0047058F">
        <w:t xml:space="preserve">Programme </w:t>
      </w:r>
      <w:r w:rsidR="00ED63E0" w:rsidRPr="00DE5CA1">
        <w:t xml:space="preserve">targeted transition across a five-year time frame (January 2010 to December 2014), commencing </w:t>
      </w:r>
      <w:r w:rsidR="00ED63E0" w:rsidRPr="00DE5CA1">
        <w:rPr>
          <w:i/>
        </w:rPr>
        <w:t>after</w:t>
      </w:r>
      <w:r w:rsidR="00ED63E0" w:rsidRPr="00DE5CA1">
        <w:t xml:space="preserve"> </w:t>
      </w:r>
      <w:r w:rsidR="00ED63E0">
        <w:t>military members left</w:t>
      </w:r>
      <w:r w:rsidR="00ED63E0" w:rsidRPr="00DE5CA1">
        <w:t xml:space="preserve"> full-time Regular ADF service</w:t>
      </w:r>
      <w:r w:rsidR="00ED63E0">
        <w:t>.</w:t>
      </w:r>
      <w:bookmarkEnd w:id="66"/>
      <w:r w:rsidRPr="0047058F">
        <w:t xml:space="preserve"> In Australia, when an ADF member leaves full-time regular service, they are either discharged completely (if they are involuntarily discharged; that is, on medical or administrative grounds) or they transfer into the Active or Inactive Reserves. Therefore, the term ‘Transitioned ADF’ is used to denote all </w:t>
      </w:r>
      <w:bookmarkStart w:id="67" w:name="_Hlk489523481"/>
      <w:r w:rsidRPr="0047058F">
        <w:t xml:space="preserve">regular service </w:t>
      </w:r>
      <w:bookmarkEnd w:id="67"/>
      <w:r w:rsidRPr="0047058F">
        <w:t>leavers, including Ex-Serving ADF members and Active (minimum requirement of 20 days’ service per year and ongoing training) and Inactive/Standby Reserves (no minimum requirement and no training obligation). As such, Active Reservists are generally those most engaged with Defence, and ex-serving members are least engaged, so the impact of this level of continued engagement will also be examined.</w:t>
      </w:r>
    </w:p>
    <w:bookmarkEnd w:id="48"/>
    <w:bookmarkEnd w:id="49"/>
    <w:bookmarkEnd w:id="57"/>
    <w:bookmarkEnd w:id="58"/>
    <w:bookmarkEnd w:id="59"/>
    <w:p w14:paraId="0DE8849E" w14:textId="77777777" w:rsidR="00466C4D" w:rsidRPr="0047058F" w:rsidRDefault="00466C4D" w:rsidP="001E395F">
      <w:pPr>
        <w:pStyle w:val="ShadedBoxTitle"/>
      </w:pPr>
      <w:r w:rsidRPr="0047058F">
        <w:lastRenderedPageBreak/>
        <w:t>How to interpret and discuss the findings in this report</w:t>
      </w:r>
    </w:p>
    <w:p w14:paraId="2C3464E9" w14:textId="77777777" w:rsidR="00466C4D" w:rsidRPr="0047058F" w:rsidRDefault="00466C4D" w:rsidP="00466C4D">
      <w:pPr>
        <w:keepNext/>
        <w:keepLines/>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Rates of disorder:</w:t>
      </w:r>
      <w:r w:rsidRPr="0047058F">
        <w:rPr>
          <w:rFonts w:eastAsia="Calibri"/>
          <w:sz w:val="18"/>
          <w:lang w:eastAsia="en-AU"/>
        </w:rPr>
        <w:t xml:space="preserve"> All analyses were conducted using raw totals, means and proportions, except where specified otherwise, with no statistical weighting used. Standard errors were produced using linearisation, except where specified otherwise.</w:t>
      </w:r>
    </w:p>
    <w:p w14:paraId="71100B5E" w14:textId="77777777" w:rsidR="00466C4D" w:rsidRPr="0047058F" w:rsidRDefault="00466C4D" w:rsidP="00466C4D">
      <w:pPr>
        <w:keepNext/>
        <w:keepLines/>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Confidence intervals:</w:t>
      </w:r>
      <w:r w:rsidRPr="0047058F">
        <w:rPr>
          <w:rFonts w:eastAsia="Calibri"/>
          <w:sz w:val="18"/>
          <w:lang w:eastAsia="en-AU"/>
        </w:rPr>
        <w:t xml:space="preserve"> Confidence intervals express the degree of uncertainty associated with a sample statistic. Where the value of interest is a rate, the confidence intervals show the range of error of that rate. In general, confidence intervals that are close to the rate value reflect the precision of the rate, while those that are very wide reflect rate imprecision. Where there are wide confidence intervals, associated rates should be interpreted cautiously, with the upper and lower limits considered the top and bottom range of possible precise values.</w:t>
      </w:r>
    </w:p>
    <w:p w14:paraId="0F91155B"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Standard errors:</w:t>
      </w:r>
      <w:r w:rsidRPr="0047058F">
        <w:rPr>
          <w:rFonts w:eastAsia="Calibri"/>
          <w:sz w:val="18"/>
          <w:lang w:eastAsia="en-AU"/>
        </w:rPr>
        <w:t xml:space="preserve"> Like confidence intervals, standard errors indicate the range of error in an average score that is presented.</w:t>
      </w:r>
    </w:p>
    <w:p w14:paraId="4BECEF71"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Between-group comparisons:</w:t>
      </w:r>
      <w:r w:rsidRPr="0047058F">
        <w:rPr>
          <w:rFonts w:eastAsia="Calibri"/>
          <w:sz w:val="18"/>
          <w:lang w:eastAsia="en-AU"/>
        </w:rPr>
        <w:t xml:space="preserve"> When comparing outcomes between groups, the overlap in confidence intervals provides an indication of between-group differences. Where there is significant overlap, any apparent difference is more likely to reflect measurement or estimate error.</w:t>
      </w:r>
    </w:p>
    <w:p w14:paraId="5BAAA268"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Odds ratios (ORs):</w:t>
      </w:r>
      <w:r w:rsidRPr="0047058F">
        <w:rPr>
          <w:rFonts w:eastAsia="Calibri"/>
          <w:sz w:val="18"/>
          <w:lang w:eastAsia="en-AU"/>
        </w:rPr>
        <w:t xml:space="preserve"> When examining a specific health outcome, there can be differences in the rates between two groups (for example, 2015 Regular ADF and Transitioned ADF) due to differences in factors other than transition status – such as sex, age, Service or rank – across the comparison groups, particularly if these other factors are associated with the health outcome. If this is the case, these factors are potentially confounders, and one method of reducing confounding is to employ a logistic regression model that controls (for example, adjusts) for these factors. The statistical output from a logistic regression model is an odds ratio (OR). An OR denotes the odds of a particular group (for example, Transitioned ADF) having a specific health outcome compared to a reference group (for example, 2015 Regular ADF).</w:t>
      </w:r>
    </w:p>
    <w:p w14:paraId="3C256040"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sz w:val="18"/>
          <w:lang w:eastAsia="en-AU"/>
        </w:rPr>
        <w:t>An OR of greater than one indicates increased odds of having a particular health outcome compared to the reference group, and an OR of less than one suggests less likelihood of having a particular health outcome. For example, an OR of 1.7 for the Transitioned ADF (compared to 2015 Regular ADF) suggests that members of the Transitioned ADF have 70% increased odds of having that particular health outcome. Conversely, an OR of 0.7 suggests that Transitioned ADF members are 30% less likely than 2015 Regular ADF members to have a particular health outcome. When an OR is greater than two, we can then say that Transitioned ADF members are twice as likely as 2015 Regular ADF to have a particular health outcome. Similarly, if the OR is greater than three, they would be three times as likely to have a particular health outcome, and so forth.</w:t>
      </w:r>
      <w:r w:rsidRPr="0047058F">
        <w:t xml:space="preserve"> </w:t>
      </w:r>
      <w:r w:rsidRPr="0047058F">
        <w:rPr>
          <w:rFonts w:eastAsia="Calibri"/>
          <w:sz w:val="18"/>
          <w:lang w:eastAsia="en-AU"/>
        </w:rPr>
        <w:t>Where the outcome has three levels, a reference category is selected, and the odds are of the outcome in comparison to that reference outcome. In the case of the longitudinal predictive modelling in this report, the key outcome variable has three levels (no disorder, subsyndromal disorder, probable disorder). In all models, the reference category is no disorder, with the odds of being subsyndromal compared to no disorder, or the odds of probable disorder compared to no disorder. The odds of subsyndromal disorder compared to probable disorder are not included in the models.</w:t>
      </w:r>
    </w:p>
    <w:p w14:paraId="00EA4362"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lastRenderedPageBreak/>
        <w:t>Significance:</w:t>
      </w:r>
      <w:r w:rsidRPr="0047058F">
        <w:rPr>
          <w:rFonts w:eastAsia="Calibri"/>
          <w:sz w:val="18"/>
          <w:lang w:eastAsia="en-AU"/>
        </w:rPr>
        <w:t xml:space="preserve"> Where a between-group difference is discussed as significant in the text, this means that the difference between groups was statistically tested, adjusting for sex, age and Service, and the associated confidence intervals had no overlap between groups.</w:t>
      </w:r>
    </w:p>
    <w:p w14:paraId="3627A8B2"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lang w:eastAsia="en-AU"/>
        </w:rPr>
      </w:pPr>
      <w:r w:rsidRPr="0047058F">
        <w:rPr>
          <w:rFonts w:eastAsia="Calibri"/>
          <w:b/>
          <w:sz w:val="18"/>
          <w:lang w:eastAsia="en-AU"/>
        </w:rPr>
        <w:t>Caveats:</w:t>
      </w:r>
      <w:r w:rsidRPr="0047058F">
        <w:rPr>
          <w:rFonts w:eastAsia="Calibri"/>
          <w:sz w:val="18"/>
          <w:lang w:eastAsia="en-AU"/>
        </w:rPr>
        <w:t xml:space="preserve"> The longitudinal sample should be considered an ‘enriched’ sample for the purposes of mental health outcomes due to two factors. Selection into the Composite International Diagnostic Interview (CIDI) component of the study at time point 1 was prioritised to detect disorder for the purposes of generating population-level prevalence estimates. Therefore, it oversampled individuals with high mental disorder symptoms. CIDIs were also offered to sample members who scored highly on self-report measures of distress or who reported suicidal ideation. As the data in this report are not weighted to be representative, prevalence rates may be higher than expected due to the nature of the sample.</w:t>
      </w:r>
    </w:p>
    <w:p w14:paraId="2A7F80F2" w14:textId="77777777" w:rsidR="00466C4D" w:rsidRPr="0047058F" w:rsidRDefault="00466C4D" w:rsidP="00466C4D">
      <w:pPr>
        <w:pBdr>
          <w:top w:val="single" w:sz="2" w:space="4" w:color="FFFFFF"/>
          <w:left w:val="single" w:sz="2" w:space="4" w:color="FFFFFF"/>
          <w:bottom w:val="single" w:sz="2" w:space="4" w:color="FFFFFF"/>
          <w:right w:val="single" w:sz="2" w:space="4" w:color="FFFFFF"/>
        </w:pBdr>
        <w:shd w:val="clear" w:color="auto" w:fill="C1D9FF"/>
        <w:spacing w:after="180" w:line="240" w:lineRule="atLeast"/>
        <w:rPr>
          <w:rFonts w:eastAsia="Calibri"/>
          <w:sz w:val="18"/>
        </w:rPr>
      </w:pPr>
      <w:r w:rsidRPr="0047058F">
        <w:rPr>
          <w:rFonts w:eastAsia="Calibri"/>
          <w:b/>
          <w:sz w:val="18"/>
        </w:rPr>
        <w:t>Glossary:</w:t>
      </w:r>
      <w:r w:rsidRPr="0047058F">
        <w:rPr>
          <w:rFonts w:eastAsia="Calibri"/>
          <w:sz w:val="18"/>
        </w:rPr>
        <w:t xml:space="preserve"> Refer to the glossary for definitions of key terms in this report.</w:t>
      </w:r>
    </w:p>
    <w:p w14:paraId="78827F67" w14:textId="77777777" w:rsidR="00A340EE" w:rsidRPr="0047058F" w:rsidRDefault="00A340EE" w:rsidP="00191932">
      <w:pPr>
        <w:sectPr w:rsidR="00A340EE" w:rsidRPr="0047058F" w:rsidSect="00FF5B5F">
          <w:type w:val="oddPage"/>
          <w:pgSz w:w="9979" w:h="14170" w:code="243"/>
          <w:pgMar w:top="1440" w:right="1152" w:bottom="1440" w:left="1728" w:header="576" w:footer="576" w:gutter="0"/>
          <w:pgNumType w:start="1"/>
          <w:cols w:space="708"/>
          <w:docGrid w:linePitch="360"/>
        </w:sectPr>
      </w:pPr>
    </w:p>
    <w:p w14:paraId="415E9B2A" w14:textId="77777777" w:rsidR="00191932" w:rsidRPr="0047058F" w:rsidRDefault="00A340EE" w:rsidP="00A340EE">
      <w:pPr>
        <w:pStyle w:val="Heading1"/>
      </w:pPr>
      <w:bookmarkStart w:id="68" w:name="_Toc532474350"/>
      <w:r w:rsidRPr="0047058F">
        <w:lastRenderedPageBreak/>
        <w:t>Methodology</w:t>
      </w:r>
      <w:bookmarkEnd w:id="68"/>
    </w:p>
    <w:p w14:paraId="657360C3" w14:textId="77777777" w:rsidR="00A340EE" w:rsidRPr="0047058F" w:rsidRDefault="00A340EE" w:rsidP="00860F45">
      <w:r w:rsidRPr="0047058F">
        <w:t>Chapter 2 outlines the methodology for this report. For the full methodology, including a comprehensive description of all measures used in the survey, refer to Annex A.</w:t>
      </w:r>
    </w:p>
    <w:p w14:paraId="1654161F" w14:textId="77777777" w:rsidR="00A340EE" w:rsidRPr="0047058F" w:rsidRDefault="00A340EE" w:rsidP="00860F45">
      <w:pPr>
        <w:pStyle w:val="Heading2"/>
      </w:pPr>
      <w:bookmarkStart w:id="69" w:name="_Toc487011173"/>
      <w:bookmarkStart w:id="70" w:name="_Toc494449689"/>
      <w:bookmarkStart w:id="71" w:name="_Toc498520978"/>
      <w:bookmarkStart w:id="72" w:name="_Toc529117458"/>
      <w:bookmarkStart w:id="73" w:name="_Toc532474351"/>
      <w:r w:rsidRPr="0047058F">
        <w:t>Study design</w:t>
      </w:r>
      <w:bookmarkEnd w:id="69"/>
      <w:bookmarkEnd w:id="70"/>
      <w:bookmarkEnd w:id="71"/>
      <w:bookmarkEnd w:id="72"/>
      <w:bookmarkEnd w:id="73"/>
    </w:p>
    <w:p w14:paraId="32E171B6" w14:textId="77777777" w:rsidR="00A340EE" w:rsidRPr="0047058F" w:rsidRDefault="00A340EE" w:rsidP="00860F45">
      <w:r w:rsidRPr="0047058F">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which was completed online or in hard copy. Each participant received a questionnaire version that was relevant to their current ADF status – Transitioned ADF, 2015 Regular ADF or Ab initio Reservist – and regarding demographics, service and deployment history. However, the core-validated measures of psychological and physical health remained the same, and, where possible, replicated the measures previously administered as part of the 2010 ADF Mental Health Prevalence and Wellbeing Study (MHPWS). This component of the design is critical to making longitudinal comparisons across time and highlights the importance of using a consistent approach to research design for military and veteran populations over time.</w:t>
      </w:r>
    </w:p>
    <w:p w14:paraId="0DD433C7" w14:textId="77777777" w:rsidR="00A340EE" w:rsidRPr="0047058F" w:rsidRDefault="00A340EE" w:rsidP="00860F45">
      <w:r w:rsidRPr="0047058F">
        <w:t xml:space="preserve">In phase 2, a subsample of Transitioned ADF members surveyed in phase 1 were selected to participate in a one-hour diagnostic telephone interview using the Composite International Diagnostic Interview (CIDI) (Kessler &amp; Ustun, 2004). This interview was the same as that conducted in 2010, and assessed mental disorders based on the definitions and criteria of two classification systems: the </w:t>
      </w:r>
      <w:bookmarkStart w:id="74" w:name="_Hlk489447586"/>
      <w:r w:rsidRPr="0047058F">
        <w:rPr>
          <w:i/>
        </w:rPr>
        <w:t>Diagnostic and Statistical Manual of Mental Disorders, Fourth Edition</w:t>
      </w:r>
      <w:r w:rsidRPr="0047058F">
        <w:t xml:space="preserve"> (DSM-IV)</w:t>
      </w:r>
      <w:bookmarkEnd w:id="74"/>
      <w:r w:rsidRPr="0047058F">
        <w:t xml:space="preserve"> and the International Statistical Classification of Diseases and Related Health Problems, 10th Revision (ICD-10) (World Health Organization, 1994). For this report, ICD-10 diagnostic criteria were reported to be consistent with the 2010 MHPWS and the 2007 National Survey of Mental Health and Wellbeing, conducted by the Australian Bureau of Statistics (Australian Bureau of Statistics, 2008).</w:t>
      </w:r>
    </w:p>
    <w:p w14:paraId="20D318E9" w14:textId="77777777" w:rsidR="00A340EE" w:rsidRPr="0047058F" w:rsidRDefault="00A340EE" w:rsidP="00860F45">
      <w:r w:rsidRPr="0047058F">
        <w:t xml:space="preserve">This instrument was chosen because it is widely used in epidemiological surveys worldwide and is fully structured. </w:t>
      </w:r>
      <w:bookmarkStart w:id="75" w:name="_Hlk491080023"/>
      <w:r w:rsidRPr="0047058F">
        <w:t xml:space="preserve">The Hunter Research Foundation conducted the interviews. </w:t>
      </w:r>
      <w:bookmarkStart w:id="76" w:name="_Hlk490141207"/>
      <w:bookmarkEnd w:id="75"/>
      <w:r w:rsidRPr="0047058F">
        <w:t>All interviewers were trained in the computer-assisted personal interview version of CIDI and had experience working with veterans. Further details of the self-report survey measures and the 12-month and lifetime ICD-10 mental disorders examined using the CIDI are provided in Section 2.5.</w:t>
      </w:r>
    </w:p>
    <w:p w14:paraId="5D6F5E49" w14:textId="77777777" w:rsidR="00A340EE" w:rsidRPr="0047058F" w:rsidRDefault="00A340EE" w:rsidP="00860F45">
      <w:pPr>
        <w:pStyle w:val="Heading2"/>
      </w:pPr>
      <w:bookmarkStart w:id="77" w:name="_Toc482021318"/>
      <w:bookmarkStart w:id="78" w:name="_Toc482024409"/>
      <w:bookmarkStart w:id="79" w:name="_Toc487011174"/>
      <w:bookmarkStart w:id="80" w:name="_Toc494449690"/>
      <w:bookmarkStart w:id="81" w:name="_Toc498520979"/>
      <w:bookmarkStart w:id="82" w:name="_Toc529117459"/>
      <w:bookmarkStart w:id="83" w:name="_Toc532474352"/>
      <w:bookmarkEnd w:id="76"/>
      <w:r w:rsidRPr="0047058F">
        <w:lastRenderedPageBreak/>
        <w:t>Samples</w:t>
      </w:r>
      <w:bookmarkEnd w:id="77"/>
      <w:bookmarkEnd w:id="78"/>
      <w:bookmarkEnd w:id="79"/>
      <w:bookmarkEnd w:id="80"/>
      <w:bookmarkEnd w:id="81"/>
      <w:bookmarkEnd w:id="82"/>
      <w:bookmarkEnd w:id="83"/>
    </w:p>
    <w:p w14:paraId="148106D7" w14:textId="77777777" w:rsidR="00A340EE" w:rsidRPr="0047058F" w:rsidRDefault="00A340EE" w:rsidP="00A340EE">
      <w:r w:rsidRPr="0047058F">
        <w:t>The current report utilises one of the Programme’s six overlapping samples (a detailed description of all six samples used in the broader Transition and Wellbeing Research Programme can be viewed in Annex A).</w:t>
      </w:r>
    </w:p>
    <w:p w14:paraId="34F0244C" w14:textId="77777777" w:rsidR="00A340EE" w:rsidRPr="0047058F" w:rsidRDefault="00A340EE" w:rsidP="00860F45">
      <w:pPr>
        <w:pStyle w:val="Heading3"/>
      </w:pPr>
      <w:bookmarkStart w:id="84" w:name="_Toc532474353"/>
      <w:r w:rsidRPr="0047058F">
        <w:t>Sample 6: MHPWS sample</w:t>
      </w:r>
      <w:bookmarkEnd w:id="84"/>
    </w:p>
    <w:p w14:paraId="7BAD484E" w14:textId="77777777" w:rsidR="00A340EE" w:rsidRPr="0047058F" w:rsidRDefault="00A340EE" w:rsidP="00A340EE">
      <w:r w:rsidRPr="0047058F">
        <w:t>This longitudinal cohort comprised all individuals who participated in the 2010 ADF Mental Health Prevalence and Wellbeing Study (MHPWS) component of the Military Health Outcomes Program (MilHOP). All participants belonging to this longitudinal cohort, except those who had opted out of the current study, or not consented to being contacted for future research, were invited to complete a survey as part of the current investigation.</w:t>
      </w:r>
    </w:p>
    <w:p w14:paraId="41BBCA3A" w14:textId="77777777" w:rsidR="00A340EE" w:rsidRPr="0047058F" w:rsidRDefault="00A340EE" w:rsidP="00860F45">
      <w:r w:rsidRPr="0047058F">
        <w:t>This sample comprises two groups:</w:t>
      </w:r>
    </w:p>
    <w:p w14:paraId="5C49F081" w14:textId="77777777" w:rsidR="00A340EE" w:rsidRPr="0047058F" w:rsidRDefault="00A340EE" w:rsidP="00860F45">
      <w:pPr>
        <w:pStyle w:val="Bullet"/>
      </w:pPr>
      <w:r w:rsidRPr="0047058F">
        <w:t>Transitioned ADF: ADF members who participated in the 2010 MHPWS as a Regular ADF member but have since transitioned</w:t>
      </w:r>
    </w:p>
    <w:p w14:paraId="1B9C721C" w14:textId="77777777" w:rsidR="00A340EE" w:rsidRPr="0047058F" w:rsidRDefault="00A340EE" w:rsidP="00860F45">
      <w:pPr>
        <w:pStyle w:val="Bullet"/>
      </w:pPr>
      <w:r w:rsidRPr="0047058F">
        <w:t>2015 Regular ADF: ADF members who participated in the 2010 MHPWS as a Regular ADF member and have remained in the ADF as a Regular member in 2015.</w:t>
      </w:r>
    </w:p>
    <w:p w14:paraId="5BD26F91" w14:textId="77777777" w:rsidR="00A340EE" w:rsidRPr="0047058F" w:rsidRDefault="00A340EE" w:rsidP="00860F45">
      <w:r w:rsidRPr="0047058F">
        <w:t>Only participants with MilHOP survey and/or CIDI data who also completed a survey and/or CIDI as part of the Transition and Wellbeing Research Programme, and who consented as part of the current study to have their data linked back to the MilHOP, were included in the longitudinal cohort for the current report.</w:t>
      </w:r>
    </w:p>
    <w:p w14:paraId="330EEDE3" w14:textId="29FA7C3F" w:rsidR="00A340EE" w:rsidRPr="0047058F" w:rsidRDefault="00A340EE" w:rsidP="00A340EE">
      <w:pPr>
        <w:rPr>
          <w:rFonts w:cs="Calibri"/>
        </w:rPr>
      </w:pPr>
      <w:r w:rsidRPr="0047058F">
        <w:rPr>
          <w:rFonts w:cs="Calibri"/>
        </w:rPr>
        <w:t xml:space="preserve">DVA and Defence have commissioned several reports from the research Programme, and Table A.1 in Annex A presents the samples </w:t>
      </w:r>
      <w:r w:rsidR="004530F1">
        <w:rPr>
          <w:rFonts w:cs="Calibri"/>
        </w:rPr>
        <w:t xml:space="preserve">that </w:t>
      </w:r>
      <w:r w:rsidRPr="0047058F">
        <w:rPr>
          <w:rFonts w:cs="Calibri"/>
        </w:rPr>
        <w:t>each report cover</w:t>
      </w:r>
      <w:r w:rsidR="005D527A">
        <w:rPr>
          <w:rFonts w:cs="Calibri"/>
        </w:rPr>
        <w:t>s</w:t>
      </w:r>
      <w:r w:rsidRPr="0047058F">
        <w:rPr>
          <w:rFonts w:cs="Calibri"/>
        </w:rPr>
        <w:t xml:space="preserve">. All samples were drawn from the Military and Veteran Research Study Roll, which is described </w:t>
      </w:r>
      <w:r w:rsidR="003E2590">
        <w:rPr>
          <w:rFonts w:cs="Calibri"/>
        </w:rPr>
        <w:t>i</w:t>
      </w:r>
      <w:r w:rsidRPr="0047058F">
        <w:rPr>
          <w:rFonts w:cs="Calibri"/>
        </w:rPr>
        <w:t xml:space="preserve">n </w:t>
      </w:r>
      <w:r w:rsidR="003E2590">
        <w:rPr>
          <w:rFonts w:cs="Calibri"/>
        </w:rPr>
        <w:t>subsection A.11.2 of</w:t>
      </w:r>
      <w:r w:rsidRPr="0047058F">
        <w:rPr>
          <w:rFonts w:cs="Calibri"/>
        </w:rPr>
        <w:t xml:space="preserve"> Annex A.</w:t>
      </w:r>
    </w:p>
    <w:p w14:paraId="5EC8D9A1" w14:textId="77777777" w:rsidR="00A340EE" w:rsidRPr="0047058F" w:rsidRDefault="00A340EE" w:rsidP="00A340EE">
      <w:pPr>
        <w:rPr>
          <w:rFonts w:cs="Calibri"/>
        </w:rPr>
      </w:pPr>
      <w:r w:rsidRPr="0047058F">
        <w:rPr>
          <w:rFonts w:cs="Calibri"/>
        </w:rPr>
        <w:t>Data for all samples was taken from the Military and Veteran Research Study Roll, generated for the Programme and held at the Australian Institute of Health and Welfare (AIHW). The Study Roll was generated from members’ data from Defence, contact data from DVA and contact details from ComSuper, and cross-referenced against the National Death Index. For all individuals in the Transitioned ADF and the 2015 Regular ADF, basic demographic characteristics to be used in weighting were held by the AIHW until the end of the data collection. These data were then provided to researchers in either identified or de-identified form, depending on participation and consent status.</w:t>
      </w:r>
    </w:p>
    <w:p w14:paraId="5A51F038" w14:textId="77777777" w:rsidR="00A340EE" w:rsidRPr="0047058F" w:rsidRDefault="00A340EE" w:rsidP="00860F45">
      <w:pPr>
        <w:pStyle w:val="Heading3"/>
      </w:pPr>
      <w:bookmarkStart w:id="85" w:name="_Toc532474354"/>
      <w:r w:rsidRPr="0047058F">
        <w:lastRenderedPageBreak/>
        <w:t>2015 Transition and Wellbeing Research Programme survey eligibility</w:t>
      </w:r>
      <w:bookmarkEnd w:id="85"/>
    </w:p>
    <w:p w14:paraId="1479826B" w14:textId="77777777" w:rsidR="00A340EE" w:rsidRPr="0047058F" w:rsidRDefault="00A340EE" w:rsidP="00A340EE">
      <w:r w:rsidRPr="0047058F">
        <w:t>A total of 20,908 individuals who participated in the 2010 MHPWS component of the Military Health Outcomes Program were invited to complete a survey as part of the current investigation. This included ADF members who participated in the 2010 MHPWS as a Regular ADF member and have since transitioned (MHPWS Transitioned ADF) and individuals who participated in the 2010 MHPWS as a Regular ADF member and have remained a Regular ADF member (MHPWS 2015 Regular ADF).</w:t>
      </w:r>
    </w:p>
    <w:p w14:paraId="148CEFD5" w14:textId="77777777" w:rsidR="00A340EE" w:rsidRPr="0047058F" w:rsidRDefault="00A340EE" w:rsidP="00860F45">
      <w:pPr>
        <w:pStyle w:val="Heading3"/>
      </w:pPr>
      <w:bookmarkStart w:id="86" w:name="_Toc532474355"/>
      <w:r w:rsidRPr="0047058F">
        <w:t>2015 Transition and Wellbeing Research Programme CIDI eligibility</w:t>
      </w:r>
      <w:bookmarkEnd w:id="86"/>
    </w:p>
    <w:p w14:paraId="7DD97140" w14:textId="77777777" w:rsidR="00A340EE" w:rsidRPr="0047058F" w:rsidRDefault="00A340EE" w:rsidP="00A340EE">
      <w:r w:rsidRPr="0047058F">
        <w:t>All 2,684 MHPWS participants who were interviewed in 2010 were eligible to participate in a CIDI again in 2015. This included participants belonging to the stratified 2010 MHPWS CIDI sample as well as the 2010 duty of care CIDI sample (both 2010 samples are described below). However, due to budgetary constraints, only 1,085 of the larger 2,684 sample were invited to complete a CIDI as part of the current investigation.</w:t>
      </w:r>
    </w:p>
    <w:p w14:paraId="19DAB145" w14:textId="77777777" w:rsidR="00A340EE" w:rsidRPr="0047058F" w:rsidRDefault="00A340EE" w:rsidP="00A340EE">
      <w:pPr>
        <w:pStyle w:val="Heading4"/>
      </w:pPr>
      <w:r w:rsidRPr="0047058F">
        <w:t>2010 MHPWS stratified CIDI sample (sample used in MHPWS report)</w:t>
      </w:r>
    </w:p>
    <w:p w14:paraId="75CF51D8" w14:textId="77777777" w:rsidR="00A340EE" w:rsidRPr="0047058F" w:rsidRDefault="00A340EE" w:rsidP="00A340EE">
      <w:r w:rsidRPr="0047058F">
        <w:t>Participants who were invited to participate in a CIDI as part of the Mental Health Prevalence and Wellbeing Study in 2010 were selected via stratified random sampling. Strata was determined according to participants’ scores on the Posttraumatic Stress Disorder Checklist – civilian version (PCL-C) and the Alcohol Use Disorders Identification Test (AUDIT) in order to ensure a cross-section of low, medium and high scorers on these measures. The sample was stratified according to sex and Service to ensure adequate representation of these factors in the final sample. Participants were ranked by survey completion date and then randomly allocated to the interviewers. Fifteen per cent of the respondents (n = 3,688) were offered an interview and approximately half of them (n = 1,798) accepted the offer.</w:t>
      </w:r>
    </w:p>
    <w:p w14:paraId="2D83CB00" w14:textId="77777777" w:rsidR="00A340EE" w:rsidRPr="0047058F" w:rsidRDefault="00A340EE" w:rsidP="00A340EE">
      <w:pPr>
        <w:pStyle w:val="Heading5"/>
        <w:rPr>
          <w:lang w:val="en-AU" w:eastAsia="en-AU"/>
        </w:rPr>
      </w:pPr>
      <w:r w:rsidRPr="0047058F">
        <w:rPr>
          <w:lang w:val="en-AU" w:eastAsia="en-AU"/>
        </w:rPr>
        <w:t>Stratification procedure</w:t>
      </w:r>
    </w:p>
    <w:p w14:paraId="340F7879" w14:textId="77777777" w:rsidR="00A340EE" w:rsidRPr="0047058F" w:rsidRDefault="00A340EE" w:rsidP="0047058F">
      <w:pPr>
        <w:pStyle w:val="Heading6"/>
      </w:pPr>
      <w:r w:rsidRPr="0047058F">
        <w:t>Selection procedure 1: self-report measures</w:t>
      </w:r>
    </w:p>
    <w:p w14:paraId="508D79A5" w14:textId="77777777" w:rsidR="00A340EE" w:rsidRPr="0047058F" w:rsidRDefault="00A340EE" w:rsidP="00A340EE">
      <w:pPr>
        <w:rPr>
          <w:lang w:eastAsia="en-AU"/>
        </w:rPr>
      </w:pPr>
      <w:r w:rsidRPr="0047058F">
        <w:rPr>
          <w:lang w:eastAsia="en-AU"/>
        </w:rPr>
        <w:t>The 60th and 80th percentiles of the PCL-C and AUDIT distributions from the previous surveys were used as cut-offs for each measure to form three bands to stratify the sample for subsequent interview. The 80th percentile was suitable as a cut-off for ‘high scorers’ as it was deemed a conservative diagnostic boundary for the detection of caseness. The 60th percentile was chosen as a secondary cut-off to represent those who displayed significant symptoms in their responses to the phase 1 questionnaire and thus could include a number of ‘false negatives’, specifically, individuals with mental health problems who would have otherwise been missed by the 80th percentile cut-offs. The lowest scorers (Band 1) were individuals who had a lower probability of false negative diagnoses. The specific scores on the PCL-C and AUDIT represented within each of these bands are as follows:</w:t>
      </w:r>
    </w:p>
    <w:p w14:paraId="5E8097EA" w14:textId="77777777" w:rsidR="00A340EE" w:rsidRPr="0047058F" w:rsidRDefault="00A340EE" w:rsidP="00031ACA">
      <w:pPr>
        <w:pStyle w:val="Bullet"/>
        <w:numPr>
          <w:ilvl w:val="0"/>
          <w:numId w:val="1"/>
        </w:numPr>
        <w:ind w:left="357" w:hanging="357"/>
        <w:rPr>
          <w:lang w:eastAsia="en-AU"/>
        </w:rPr>
      </w:pPr>
      <w:r w:rsidRPr="0047058F">
        <w:rPr>
          <w:lang w:eastAsia="en-AU"/>
        </w:rPr>
        <w:lastRenderedPageBreak/>
        <w:t>Band 3: PCL-C &gt; 33 or AUDIT &gt; 10</w:t>
      </w:r>
    </w:p>
    <w:p w14:paraId="0650D835" w14:textId="77777777" w:rsidR="00A340EE" w:rsidRPr="0047058F" w:rsidRDefault="00A340EE" w:rsidP="00031ACA">
      <w:pPr>
        <w:pStyle w:val="Bullet"/>
        <w:numPr>
          <w:ilvl w:val="0"/>
          <w:numId w:val="1"/>
        </w:numPr>
        <w:ind w:left="360"/>
        <w:rPr>
          <w:lang w:eastAsia="en-AU"/>
        </w:rPr>
      </w:pPr>
      <w:r w:rsidRPr="0047058F">
        <w:rPr>
          <w:lang w:eastAsia="en-AU"/>
        </w:rPr>
        <w:t>Band 2: (25 &lt; PCL-C ≤ 33 and AUDIT ≤ 10) or (PCL-C ≤ 33 and 7 &lt; AUDIT ≤ 10)</w:t>
      </w:r>
    </w:p>
    <w:p w14:paraId="668327D1" w14:textId="77777777" w:rsidR="00A340EE" w:rsidRPr="0047058F" w:rsidRDefault="00A340EE" w:rsidP="00031ACA">
      <w:pPr>
        <w:pStyle w:val="Bullet"/>
        <w:numPr>
          <w:ilvl w:val="0"/>
          <w:numId w:val="1"/>
        </w:numPr>
        <w:ind w:left="360"/>
        <w:rPr>
          <w:lang w:eastAsia="en-AU"/>
        </w:rPr>
      </w:pPr>
      <w:r w:rsidRPr="0047058F">
        <w:rPr>
          <w:lang w:eastAsia="en-AU"/>
        </w:rPr>
        <w:t>Band 1: PCL-C ≤ 25 and AUDIT ≤ 7.</w:t>
      </w:r>
    </w:p>
    <w:p w14:paraId="509B7077" w14:textId="77777777" w:rsidR="00A340EE" w:rsidRPr="0047058F" w:rsidRDefault="00A340EE" w:rsidP="00A340EE">
      <w:pPr>
        <w:rPr>
          <w:lang w:eastAsia="en-AU"/>
        </w:rPr>
      </w:pPr>
      <w:r w:rsidRPr="0047058F">
        <w:rPr>
          <w:lang w:eastAsia="en-AU"/>
        </w:rPr>
        <w:t>To ensure that high scorers on the Kessler Psychological Distress 10-item scale (K10) were not being excluded by this stratification process, possibly creating a systematic underestimate of the prevalence estimates of mental disorders, the distribution of high K10 scores (above 25) was compared for those participants who were selected for interview and those not selected. A very small proportion of high K10 scorers were not selected. Hence, the decision to use the PCL-C and AUDIT to select the phase 1 respondents for interview did not create any substantial error by consistently missing individuals with a diagnosable mental disorder.</w:t>
      </w:r>
    </w:p>
    <w:p w14:paraId="76366283" w14:textId="77777777" w:rsidR="00A340EE" w:rsidRPr="0047058F" w:rsidRDefault="00A340EE" w:rsidP="0047058F">
      <w:pPr>
        <w:pStyle w:val="Heading6"/>
      </w:pPr>
      <w:r w:rsidRPr="0047058F">
        <w:t>Selection procedure 2: demographic characteristics</w:t>
      </w:r>
    </w:p>
    <w:p w14:paraId="1F6E4144" w14:textId="77777777" w:rsidR="00A340EE" w:rsidRPr="0047058F" w:rsidRDefault="00A340EE" w:rsidP="00A340EE">
      <w:pPr>
        <w:rPr>
          <w:lang w:eastAsia="en-AU"/>
        </w:rPr>
      </w:pPr>
      <w:r w:rsidRPr="0047058F">
        <w:rPr>
          <w:lang w:eastAsia="en-AU"/>
        </w:rPr>
        <w:t>In addition to the PCL-C and AUDIT, sex and Service were used to select participants in phase 2. This step was taken because of the greater number of males and Army personnel in the ADF. Females were oversampled to ensure sufficient numbers from each Service.</w:t>
      </w:r>
    </w:p>
    <w:p w14:paraId="63CA82FA" w14:textId="77777777" w:rsidR="00A340EE" w:rsidRPr="0047058F" w:rsidRDefault="00A340EE" w:rsidP="00A340EE">
      <w:pPr>
        <w:rPr>
          <w:lang w:eastAsia="en-AU"/>
        </w:rPr>
      </w:pPr>
      <w:r w:rsidRPr="0047058F">
        <w:rPr>
          <w:lang w:eastAsia="en-AU"/>
        </w:rPr>
        <w:t>In total, 3,688 of the 16,184 eligible participants were selected to be offered an interview in 2010.</w:t>
      </w:r>
    </w:p>
    <w:p w14:paraId="6B0F9047" w14:textId="77777777" w:rsidR="00A340EE" w:rsidRPr="0047058F" w:rsidRDefault="00A340EE" w:rsidP="00A340EE">
      <w:pPr>
        <w:pStyle w:val="Heading4"/>
      </w:pPr>
      <w:r w:rsidRPr="0047058F">
        <w:t>2010 duty of care CIDI sample</w:t>
      </w:r>
    </w:p>
    <w:p w14:paraId="4F1EDD5E" w14:textId="77777777" w:rsidR="00A340EE" w:rsidRPr="0047058F" w:rsidRDefault="00A340EE" w:rsidP="00A340EE">
      <w:pPr>
        <w:rPr>
          <w:lang w:eastAsia="en-AU"/>
        </w:rPr>
      </w:pPr>
      <w:r w:rsidRPr="0047058F">
        <w:rPr>
          <w:lang w:eastAsia="en-AU"/>
        </w:rPr>
        <w:t xml:space="preserve">In addition to the 1,798 participants who were selected to complete a CIDI in 2010 based on predetermined stratification variables (AUDIT, PCL-C, sex, Service), a </w:t>
      </w:r>
      <w:r w:rsidRPr="0047058F">
        <w:rPr>
          <w:rFonts w:cs="Arial"/>
        </w:rPr>
        <w:t xml:space="preserve">duty of care protocol was implemented to ensure that ADF members who scored highly on self-report measures of distress or who reported suicidal ideation in the self-report booklet </w:t>
      </w:r>
      <w:r w:rsidRPr="0047058F">
        <w:t>were offered the opportunity to have a more thorough assessment of their mental health symptoms. The following eligibility criteria applied:</w:t>
      </w:r>
    </w:p>
    <w:p w14:paraId="6E1F3670" w14:textId="77777777" w:rsidR="00A340EE" w:rsidRPr="0047058F" w:rsidRDefault="00A340EE" w:rsidP="00A340EE">
      <w:pPr>
        <w:tabs>
          <w:tab w:val="left" w:pos="360"/>
        </w:tabs>
        <w:ind w:left="360" w:hanging="360"/>
      </w:pPr>
      <w:r w:rsidRPr="0047058F">
        <w:t>1.</w:t>
      </w:r>
      <w:r w:rsidRPr="0047058F">
        <w:tab/>
        <w:t>They were a currently serving, Regular ADF member.</w:t>
      </w:r>
    </w:p>
    <w:p w14:paraId="3E7857FB" w14:textId="77777777" w:rsidR="00A340EE" w:rsidRPr="0047058F" w:rsidRDefault="00A340EE" w:rsidP="00A340EE">
      <w:pPr>
        <w:tabs>
          <w:tab w:val="left" w:pos="360"/>
        </w:tabs>
        <w:ind w:left="360" w:hanging="360"/>
      </w:pPr>
      <w:r w:rsidRPr="0047058F">
        <w:t>2.</w:t>
      </w:r>
      <w:r w:rsidRPr="0047058F">
        <w:tab/>
        <w:t>They were a participant in the 2010 ADF Mental Health Prevalence and Wellbeing Study or the Middle East Area of Operations Census Study and either:</w:t>
      </w:r>
    </w:p>
    <w:p w14:paraId="29D4043D" w14:textId="77777777" w:rsidR="00A340EE" w:rsidRPr="0047058F" w:rsidRDefault="00A340EE" w:rsidP="00A340EE">
      <w:pPr>
        <w:ind w:left="720" w:hanging="360"/>
      </w:pPr>
      <w:r w:rsidRPr="0047058F">
        <w:t>(a)</w:t>
      </w:r>
      <w:r w:rsidRPr="0047058F">
        <w:tab/>
        <w:t xml:space="preserve">they completed and scored highly on </w:t>
      </w:r>
      <w:r w:rsidRPr="0047058F">
        <w:rPr>
          <w:i/>
        </w:rPr>
        <w:t>any</w:t>
      </w:r>
      <w:r w:rsidRPr="0047058F">
        <w:t xml:space="preserve"> of the following self-report measures:</w:t>
      </w:r>
    </w:p>
    <w:p w14:paraId="45B359A6" w14:textId="77777777" w:rsidR="00A340EE" w:rsidRPr="0047058F" w:rsidRDefault="00A340EE" w:rsidP="002548A9">
      <w:pPr>
        <w:pStyle w:val="Bullet"/>
        <w:numPr>
          <w:ilvl w:val="0"/>
          <w:numId w:val="1"/>
        </w:numPr>
        <w:spacing w:after="120"/>
        <w:ind w:left="1080"/>
      </w:pPr>
      <w:r w:rsidRPr="0047058F">
        <w:t>K10 (a score of 30 or greater, indicating very high psychological distress)</w:t>
      </w:r>
    </w:p>
    <w:p w14:paraId="0C8305B5" w14:textId="3D4AD0C7" w:rsidR="00A340EE" w:rsidRPr="0047058F" w:rsidRDefault="00A340EE" w:rsidP="002548A9">
      <w:pPr>
        <w:pStyle w:val="Bullet"/>
        <w:numPr>
          <w:ilvl w:val="0"/>
          <w:numId w:val="1"/>
        </w:numPr>
        <w:spacing w:after="120"/>
        <w:ind w:left="1080"/>
      </w:pPr>
      <w:r w:rsidRPr="0047058F">
        <w:t>PCL-C (a score of 50 or greater</w:t>
      </w:r>
      <w:r w:rsidR="00AC5742">
        <w:t>,</w:t>
      </w:r>
      <w:r w:rsidRPr="0047058F">
        <w:t xml:space="preserve"> indicating very high risk)</w:t>
      </w:r>
    </w:p>
    <w:p w14:paraId="197EA069" w14:textId="642470AD" w:rsidR="00A340EE" w:rsidRPr="0047058F" w:rsidRDefault="00A340EE" w:rsidP="00031ACA">
      <w:pPr>
        <w:pStyle w:val="Bullet"/>
        <w:numPr>
          <w:ilvl w:val="0"/>
          <w:numId w:val="1"/>
        </w:numPr>
        <w:ind w:left="1080"/>
      </w:pPr>
      <w:r w:rsidRPr="0047058F">
        <w:t xml:space="preserve">AUDIT (a score of 20 or greater, </w:t>
      </w:r>
      <w:r w:rsidR="00AC5742">
        <w:t xml:space="preserve">indicating </w:t>
      </w:r>
      <w:r w:rsidRPr="0047058F">
        <w:t>Zone IV risk)</w:t>
      </w:r>
    </w:p>
    <w:p w14:paraId="29DCA3B4" w14:textId="77777777" w:rsidR="00A340EE" w:rsidRPr="0047058F" w:rsidRDefault="00A340EE" w:rsidP="00A340EE">
      <w:pPr>
        <w:ind w:left="720" w:hanging="360"/>
      </w:pPr>
      <w:r w:rsidRPr="0047058F">
        <w:lastRenderedPageBreak/>
        <w:t>(b)</w:t>
      </w:r>
      <w:r w:rsidRPr="0047058F">
        <w:tab/>
        <w:t>they responded ‘yes’ to any of the suicide questions (including the Patient Health Questionnaire 9-item scale (PHQ-9) question related to suicidal ideation and self-harm).</w:t>
      </w:r>
    </w:p>
    <w:p w14:paraId="1080F5C7" w14:textId="77777777" w:rsidR="00A340EE" w:rsidRPr="0047058F" w:rsidRDefault="00A340EE" w:rsidP="00A340EE">
      <w:pPr>
        <w:tabs>
          <w:tab w:val="left" w:pos="360"/>
        </w:tabs>
        <w:ind w:left="360" w:hanging="360"/>
      </w:pPr>
      <w:r w:rsidRPr="0047058F">
        <w:t>3.</w:t>
      </w:r>
      <w:r w:rsidRPr="0047058F">
        <w:tab/>
        <w:t>They completed their survey before 31 January 2011.</w:t>
      </w:r>
    </w:p>
    <w:p w14:paraId="3E618E69" w14:textId="77777777" w:rsidR="00A340EE" w:rsidRPr="0047058F" w:rsidRDefault="00A340EE" w:rsidP="00A340EE">
      <w:pPr>
        <w:tabs>
          <w:tab w:val="left" w:pos="360"/>
        </w:tabs>
        <w:ind w:left="360" w:hanging="360"/>
      </w:pPr>
      <w:r w:rsidRPr="0047058F">
        <w:t>4.</w:t>
      </w:r>
      <w:r w:rsidRPr="0047058F">
        <w:tab/>
        <w:t>They provided consent to b</w:t>
      </w:r>
      <w:r w:rsidRPr="0047058F">
        <w:rPr>
          <w:szCs w:val="22"/>
        </w:rPr>
        <w:t>eing contacted to do a telephone interview about their health and wellbeing.</w:t>
      </w:r>
    </w:p>
    <w:p w14:paraId="3FA1380C" w14:textId="77777777" w:rsidR="00A340EE" w:rsidRPr="0047058F" w:rsidRDefault="00A340EE" w:rsidP="00A340EE">
      <w:r w:rsidRPr="0047058F">
        <w:t>At the commencement of the CIDI duty of care protocol in September 2010, interviews were prioritised as follows:</w:t>
      </w:r>
    </w:p>
    <w:p w14:paraId="26EFFF66" w14:textId="77777777" w:rsidR="00A340EE" w:rsidRPr="0047058F" w:rsidRDefault="00A340EE" w:rsidP="00A340EE">
      <w:pPr>
        <w:tabs>
          <w:tab w:val="left" w:pos="360"/>
        </w:tabs>
        <w:ind w:left="360" w:hanging="360"/>
      </w:pPr>
      <w:r w:rsidRPr="0047058F">
        <w:t>1.</w:t>
      </w:r>
      <w:r w:rsidRPr="0047058F">
        <w:tab/>
        <w:t>Recent responders with suicidal ideation.</w:t>
      </w:r>
    </w:p>
    <w:p w14:paraId="6025BA21" w14:textId="77777777" w:rsidR="00A340EE" w:rsidRPr="0047058F" w:rsidRDefault="00A340EE" w:rsidP="00A340EE">
      <w:pPr>
        <w:tabs>
          <w:tab w:val="left" w:pos="360"/>
        </w:tabs>
        <w:ind w:left="360" w:hanging="360"/>
      </w:pPr>
      <w:r w:rsidRPr="0047058F">
        <w:t>2.</w:t>
      </w:r>
      <w:r w:rsidRPr="0047058F">
        <w:tab/>
        <w:t>Current high K10, PCL-C and AUDIT scorers (who had completed the questionnaire in the last month).</w:t>
      </w:r>
    </w:p>
    <w:p w14:paraId="2262682B" w14:textId="77777777" w:rsidR="00A340EE" w:rsidRPr="0047058F" w:rsidRDefault="00A340EE" w:rsidP="00A340EE">
      <w:pPr>
        <w:tabs>
          <w:tab w:val="left" w:pos="360"/>
        </w:tabs>
        <w:ind w:left="360" w:hanging="360"/>
      </w:pPr>
      <w:r w:rsidRPr="0047058F">
        <w:t>3.</w:t>
      </w:r>
      <w:r w:rsidRPr="0047058F">
        <w:tab/>
        <w:t>Current high K10, PCL-C and AUDIT scorers (those completing the questionnaire between 1 month and 2 months ago).</w:t>
      </w:r>
    </w:p>
    <w:p w14:paraId="34430DD7" w14:textId="77777777" w:rsidR="00A340EE" w:rsidRPr="0047058F" w:rsidRDefault="00A340EE" w:rsidP="00A340EE">
      <w:pPr>
        <w:tabs>
          <w:tab w:val="left" w:pos="360"/>
        </w:tabs>
        <w:ind w:left="360" w:hanging="360"/>
      </w:pPr>
      <w:r w:rsidRPr="0047058F">
        <w:t>4.</w:t>
      </w:r>
      <w:r w:rsidRPr="0047058F">
        <w:tab/>
        <w:t>Past survey completers who had indicated suicidal ideation.</w:t>
      </w:r>
    </w:p>
    <w:p w14:paraId="0B76D13E" w14:textId="77777777" w:rsidR="00A340EE" w:rsidRPr="0047058F" w:rsidRDefault="00A340EE" w:rsidP="00A340EE">
      <w:pPr>
        <w:tabs>
          <w:tab w:val="left" w:pos="360"/>
        </w:tabs>
        <w:ind w:left="360" w:hanging="360"/>
      </w:pPr>
      <w:r w:rsidRPr="0047058F">
        <w:t>5.</w:t>
      </w:r>
      <w:r w:rsidRPr="0047058F">
        <w:tab/>
        <w:t>Past high scorers on K10, PCL-C or AUDIT.</w:t>
      </w:r>
    </w:p>
    <w:p w14:paraId="6845ECB8" w14:textId="77777777" w:rsidR="00A340EE" w:rsidRPr="0047058F" w:rsidRDefault="00A340EE" w:rsidP="00860F45">
      <w:pPr>
        <w:pStyle w:val="Heading2"/>
      </w:pPr>
      <w:bookmarkStart w:id="87" w:name="_Toc529117460"/>
      <w:bookmarkStart w:id="88" w:name="_Toc532474356"/>
      <w:r w:rsidRPr="0047058F">
        <w:t>Response rates</w:t>
      </w:r>
      <w:bookmarkEnd w:id="87"/>
      <w:bookmarkEnd w:id="88"/>
    </w:p>
    <w:p w14:paraId="5D974DB2" w14:textId="77777777" w:rsidR="00A340EE" w:rsidRPr="0047058F" w:rsidRDefault="00A340EE" w:rsidP="00860F45">
      <w:pPr>
        <w:pStyle w:val="Heading3"/>
      </w:pPr>
      <w:bookmarkStart w:id="89" w:name="_Toc482021321"/>
      <w:bookmarkStart w:id="90" w:name="_Toc482024412"/>
      <w:bookmarkStart w:id="91" w:name="_Toc487011177"/>
      <w:bookmarkStart w:id="92" w:name="_Toc532474357"/>
      <w:r w:rsidRPr="0047058F">
        <w:t>Survey responders</w:t>
      </w:r>
      <w:bookmarkEnd w:id="89"/>
      <w:bookmarkEnd w:id="90"/>
      <w:bookmarkEnd w:id="91"/>
      <w:bookmarkEnd w:id="92"/>
    </w:p>
    <w:p w14:paraId="108C935D" w14:textId="77777777" w:rsidR="00A340EE" w:rsidRPr="0047058F" w:rsidRDefault="00A340EE" w:rsidP="00A340EE">
      <w:r w:rsidRPr="0047058F">
        <w:t>Figure 2.1 and Table 2.1 show the total populations for the Transitioned ADF and the 2015 Regular ADF, the number from each population who were invited to participate in the study, and the proportion of those invited who responded.</w:t>
      </w:r>
    </w:p>
    <w:p w14:paraId="7BFE0743" w14:textId="77777777" w:rsidR="00A340EE" w:rsidRPr="0047058F" w:rsidRDefault="00A340EE" w:rsidP="00A340EE">
      <w:r w:rsidRPr="0047058F">
        <w:t>The MHPWS sample consisted of 54,009, of which 24,481 (48.9%) responded to the study. Of these responders, 20,908 (85.4%) were invited to participate in the Transition and Wellbeing Research Programme. This comprised 6,777 (32.4%) Transitioned ADF and 14,131 (67.6%) Regular ADF. Of those invited, 2,602 (38.4%) of Transitioned ADF and 7,042 (49.8%) of Regular ADF responded to the Programme. This sample was further reduced by the need to consent to the linkage of data at the two time points. The final sample comprised 8,497 (40.6% of invited) responders, 2,334 (34.4%) Transitioned ADF and 6,163 (43.6%) Regular ADF, who responded at both time points and provided consent to link their data.</w:t>
      </w:r>
    </w:p>
    <w:p w14:paraId="5B69832F" w14:textId="77777777" w:rsidR="00A340EE" w:rsidRPr="0047058F" w:rsidRDefault="00A340EE" w:rsidP="00A340EE">
      <w:r w:rsidRPr="0047058F">
        <w:t>Table 2.1 also presents the unweighted demographic characteristics of Transitioned ADF and 2015 Regular ADF survey respondents.</w:t>
      </w:r>
    </w:p>
    <w:p w14:paraId="79DA8700" w14:textId="77777777" w:rsidR="00A340EE" w:rsidRPr="0047058F" w:rsidRDefault="00A340EE" w:rsidP="00A340EE">
      <w:pPr>
        <w:pStyle w:val="FigureName"/>
      </w:pPr>
      <w:bookmarkStart w:id="93" w:name="_Ref482013262"/>
      <w:bookmarkStart w:id="94" w:name="_Toc482023815"/>
      <w:bookmarkStart w:id="95" w:name="_Toc487014348"/>
      <w:bookmarkStart w:id="96" w:name="_Toc497383367"/>
      <w:bookmarkStart w:id="97" w:name="_Toc529117559"/>
      <w:bookmarkStart w:id="98" w:name="_Toc532473632"/>
      <w:r w:rsidRPr="0047058F">
        <w:lastRenderedPageBreak/>
        <w:t>Figure 2.1</w:t>
      </w:r>
      <w:bookmarkEnd w:id="93"/>
      <w:r w:rsidRPr="0047058F">
        <w:tab/>
        <w:t>Survey response rates for Transitioned ADF and 2015 Regular ADF</w:t>
      </w:r>
      <w:bookmarkEnd w:id="94"/>
      <w:bookmarkEnd w:id="95"/>
      <w:bookmarkEnd w:id="96"/>
      <w:bookmarkEnd w:id="97"/>
      <w:bookmarkEnd w:id="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329"/>
      </w:tblGrid>
      <w:tr w:rsidR="00A340EE" w:rsidRPr="0047058F" w14:paraId="1626D192" w14:textId="77777777" w:rsidTr="004F7DC6">
        <w:trPr>
          <w:cantSplit/>
          <w:trHeight w:val="9054"/>
        </w:trPr>
        <w:tc>
          <w:tcPr>
            <w:tcW w:w="7315" w:type="dxa"/>
          </w:tcPr>
          <w:p w14:paraId="4F79FE8A" w14:textId="77777777" w:rsidR="00A340EE" w:rsidRPr="0047058F" w:rsidRDefault="009775E2" w:rsidP="004F7DC6">
            <w:r>
              <w:rPr>
                <w:noProof/>
                <w:lang w:eastAsia="en-AU"/>
              </w:rPr>
              <mc:AlternateContent>
                <mc:Choice Requires="wpg">
                  <w:drawing>
                    <wp:anchor distT="0" distB="0" distL="114300" distR="114300" simplePos="0" relativeHeight="251642880" behindDoc="0" locked="0" layoutInCell="1" allowOverlap="1" wp14:anchorId="30414677" wp14:editId="74D0CD12">
                      <wp:simplePos x="0" y="0"/>
                      <wp:positionH relativeFrom="column">
                        <wp:posOffset>3126</wp:posOffset>
                      </wp:positionH>
                      <wp:positionV relativeFrom="paragraph">
                        <wp:posOffset>41031</wp:posOffset>
                      </wp:positionV>
                      <wp:extent cx="4483296" cy="5549848"/>
                      <wp:effectExtent l="57150" t="38100" r="69850" b="89535"/>
                      <wp:wrapNone/>
                      <wp:docPr id="508" name="Group 508" descr="Figure 2.1 Survey response rates for Transitioned ADF and 2015 Regular ADF"/>
                      <wp:cNvGraphicFramePr/>
                      <a:graphic xmlns:a="http://schemas.openxmlformats.org/drawingml/2006/main">
                        <a:graphicData uri="http://schemas.microsoft.com/office/word/2010/wordprocessingGroup">
                          <wpg:wgp>
                            <wpg:cNvGrpSpPr/>
                            <wpg:grpSpPr>
                              <a:xfrm>
                                <a:off x="0" y="0"/>
                                <a:ext cx="4483296" cy="5549848"/>
                                <a:chOff x="0" y="0"/>
                                <a:chExt cx="4483296" cy="5549848"/>
                              </a:xfrm>
                            </wpg:grpSpPr>
                            <wps:wsp>
                              <wps:cNvPr id="71" name="Rectangle 71"/>
                              <wps:cNvSpPr/>
                              <wps:spPr>
                                <a:xfrm>
                                  <a:off x="0" y="1969477"/>
                                  <a:ext cx="2517140" cy="101663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578708" y="0"/>
                                  <a:ext cx="1342390" cy="597312"/>
                                </a:xfrm>
                                <a:prstGeom prst="rect">
                                  <a:avLst/>
                                </a:prstGeom>
                                <a:solidFill>
                                  <a:schemeClr val="bg1"/>
                                </a:solidFill>
                                <a:ln>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04EB356D" w14:textId="77777777" w:rsidR="001A1792" w:rsidRPr="00220382" w:rsidRDefault="001A1792" w:rsidP="00220382">
                                    <w:pPr>
                                      <w:pStyle w:val="FigureText"/>
                                      <w:rPr>
                                        <w:b w:val="0"/>
                                      </w:rPr>
                                    </w:pPr>
                                    <w:r w:rsidRPr="00BC3DB0">
                                      <w:rPr>
                                        <w:lang w:val="en-US"/>
                                      </w:rPr>
                                      <w:t xml:space="preserve">2010 </w:t>
                                    </w:r>
                                    <w:r>
                                      <w:rPr>
                                        <w:lang w:val="en-US"/>
                                      </w:rPr>
                                      <w:t xml:space="preserve">ADF </w:t>
                                    </w:r>
                                    <w:r w:rsidRPr="00BC3DB0">
                                      <w:rPr>
                                        <w:lang w:val="en-US"/>
                                      </w:rPr>
                                      <w:t>Mental Health Prevalence and Wellbeing Study</w:t>
                                    </w:r>
                                    <w:r w:rsidRPr="00BC3DB0">
                                      <w:t xml:space="preserve"> sample</w:t>
                                    </w:r>
                                    <w:r>
                                      <w:br/>
                                    </w:r>
                                    <w:r w:rsidRPr="00220382">
                                      <w:rPr>
                                        <w:b w:val="0"/>
                                      </w:rPr>
                                      <w:t>n = 54,009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578708" y="797169"/>
                                  <a:ext cx="1342390" cy="346228"/>
                                </a:xfrm>
                                <a:prstGeom prst="rect">
                                  <a:avLst/>
                                </a:prstGeom>
                                <a:solidFill>
                                  <a:schemeClr val="bg1"/>
                                </a:solidFill>
                                <a:ln>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505B1C9C" w14:textId="77777777" w:rsidR="001A1792" w:rsidRPr="00220382" w:rsidRDefault="001A1792" w:rsidP="00220382">
                                    <w:pPr>
                                      <w:pStyle w:val="FigureText"/>
                                      <w:rPr>
                                        <w:b w:val="0"/>
                                      </w:rPr>
                                    </w:pPr>
                                    <w:r w:rsidRPr="001341A8">
                                      <w:t>MHPWS responders</w:t>
                                    </w:r>
                                    <w:r>
                                      <w:br/>
                                    </w:r>
                                    <w:r w:rsidRPr="00220382">
                                      <w:rPr>
                                        <w:b w:val="0"/>
                                      </w:rPr>
                                      <w:t>n = 24,481 (48.9%)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ectangle 70"/>
                              <wps:cNvSpPr/>
                              <wps:spPr>
                                <a:xfrm>
                                  <a:off x="0" y="3282461"/>
                                  <a:ext cx="2517140" cy="101692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7816" y="1398954"/>
                                  <a:ext cx="4475480" cy="336628"/>
                                </a:xfrm>
                                <a:prstGeom prst="rect">
                                  <a:avLst/>
                                </a:prstGeom>
                                <a:solidFill>
                                  <a:srgbClr val="001E60"/>
                                </a:solidFill>
                                <a:ln>
                                  <a:solidFill>
                                    <a:srgbClr val="001E6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6"/>
                                </a:lnRef>
                                <a:fillRef idx="2">
                                  <a:schemeClr val="accent6"/>
                                </a:fillRef>
                                <a:effectRef idx="1">
                                  <a:schemeClr val="accent6"/>
                                </a:effectRef>
                                <a:fontRef idx="minor">
                                  <a:schemeClr val="dk1"/>
                                </a:fontRef>
                              </wps:style>
                              <wps:txbx>
                                <w:txbxContent>
                                  <w:p w14:paraId="18E0ACD5" w14:textId="77777777" w:rsidR="001A1792" w:rsidRPr="00BC3DB0" w:rsidRDefault="001A1792" w:rsidP="00220382">
                                    <w:pPr>
                                      <w:pStyle w:val="FigureTextwhite"/>
                                      <w:spacing w:before="60"/>
                                    </w:pPr>
                                    <w:r w:rsidRPr="00BC3DB0">
                                      <w:t>Transition and Wellbeing Research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954216" y="1977292"/>
                                  <a:ext cx="1342390" cy="346868"/>
                                </a:xfrm>
                                <a:prstGeom prst="rect">
                                  <a:avLst/>
                                </a:prstGeom>
                                <a:solidFill>
                                  <a:schemeClr val="bg1"/>
                                </a:solidFill>
                                <a:ln>
                                  <a:solidFill>
                                    <a:schemeClr val="tx1"/>
                                  </a:solidFill>
                                  <a:prstDash val="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6"/>
                                </a:lnRef>
                                <a:fillRef idx="2">
                                  <a:schemeClr val="accent6"/>
                                </a:fillRef>
                                <a:effectRef idx="1">
                                  <a:schemeClr val="accent6"/>
                                </a:effectRef>
                                <a:fontRef idx="minor">
                                  <a:schemeClr val="dk1"/>
                                </a:fontRef>
                              </wps:style>
                              <wps:txbx>
                                <w:txbxContent>
                                  <w:p w14:paraId="55511432" w14:textId="77777777" w:rsidR="001A1792" w:rsidRPr="00220382" w:rsidRDefault="001A1792" w:rsidP="00220382">
                                    <w:pPr>
                                      <w:pStyle w:val="FigureText"/>
                                      <w:rPr>
                                        <w:b w:val="0"/>
                                      </w:rPr>
                                    </w:pPr>
                                    <w:r w:rsidRPr="001341A8">
                                      <w:t>Not invited</w:t>
                                    </w:r>
                                    <w:r>
                                      <w:br/>
                                    </w:r>
                                    <w:r w:rsidRPr="00220382">
                                      <w:rPr>
                                        <w:b w:val="0"/>
                                      </w:rPr>
                                      <w:t>n = 3573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601785" y="2086707"/>
                                  <a:ext cx="1342390" cy="34671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BB11B3E" w14:textId="77777777" w:rsidR="001A1792" w:rsidRPr="00220382" w:rsidRDefault="001A1792" w:rsidP="00220382">
                                    <w:pPr>
                                      <w:pStyle w:val="FigureText"/>
                                      <w:rPr>
                                        <w:b w:val="0"/>
                                        <w:color w:val="FFFFFF" w:themeColor="background1"/>
                                      </w:rPr>
                                    </w:pPr>
                                    <w:r w:rsidRPr="001341A8">
                                      <w:t>Invited population</w:t>
                                    </w:r>
                                    <w:r>
                                      <w:br/>
                                    </w:r>
                                    <w:r w:rsidRPr="00220382">
                                      <w:rPr>
                                        <w:b w:val="0"/>
                                      </w:rPr>
                                      <w:t>n = 20,908 (85.4%)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34462" y="2547815"/>
                                  <a:ext cx="950595" cy="346868"/>
                                </a:xfrm>
                                <a:prstGeom prst="rect">
                                  <a:avLst/>
                                </a:prstGeom>
                                <a:solidFill>
                                  <a:srgbClr val="782F40"/>
                                </a:solidFill>
                                <a:ln>
                                  <a:solidFill>
                                    <a:srgbClr val="782F4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DA95D68" w14:textId="77777777" w:rsidR="001A1792" w:rsidRPr="00220382" w:rsidRDefault="001A1792" w:rsidP="00220382">
                                    <w:pPr>
                                      <w:pStyle w:val="FigureTextwhite"/>
                                      <w:rPr>
                                        <w:b w:val="0"/>
                                      </w:rPr>
                                    </w:pPr>
                                    <w:r w:rsidRPr="001341A8">
                                      <w:t>Transitioned ADF</w:t>
                                    </w:r>
                                    <w:r>
                                      <w:br/>
                                    </w:r>
                                    <w:r w:rsidRPr="00220382">
                                      <w:rPr>
                                        <w:b w:val="0"/>
                                      </w:rPr>
                                      <w:t>n = 6777 (32.4%)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367692" y="2547815"/>
                                  <a:ext cx="950595" cy="34671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5D4E3A5" w14:textId="77777777" w:rsidR="001A1792" w:rsidRPr="00220382" w:rsidRDefault="001A1792" w:rsidP="00220382">
                                    <w:pPr>
                                      <w:pStyle w:val="FigureTextwhite"/>
                                      <w:rPr>
                                        <w:b w:val="0"/>
                                      </w:rPr>
                                    </w:pPr>
                                    <w:r w:rsidRPr="001341A8">
                                      <w:t>Regular ADF</w:t>
                                    </w:r>
                                    <w:r>
                                      <w:br/>
                                    </w:r>
                                    <w:r w:rsidRPr="00220382">
                                      <w:rPr>
                                        <w:b w:val="0"/>
                                      </w:rPr>
                                      <w:t>n = 14,131 (67.6%)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26646" y="3837354"/>
                                  <a:ext cx="950595" cy="336628"/>
                                </a:xfrm>
                                <a:prstGeom prst="rect">
                                  <a:avLst/>
                                </a:prstGeom>
                                <a:solidFill>
                                  <a:srgbClr val="782F40"/>
                                </a:solidFill>
                                <a:ln>
                                  <a:solidFill>
                                    <a:srgbClr val="782F4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691A126" w14:textId="77777777" w:rsidR="001A1792" w:rsidRPr="00220382" w:rsidRDefault="001A1792" w:rsidP="00220382">
                                    <w:pPr>
                                      <w:pStyle w:val="FigureTextwhite"/>
                                      <w:rPr>
                                        <w:b w:val="0"/>
                                      </w:rPr>
                                    </w:pPr>
                                    <w:r w:rsidRPr="001341A8">
                                      <w:t>Transitioned ADF</w:t>
                                    </w:r>
                                    <w:r>
                                      <w:br/>
                                    </w:r>
                                    <w:r w:rsidRPr="00220382">
                                      <w:rPr>
                                        <w:b w:val="0"/>
                                      </w:rPr>
                                      <w:t>n = 2602 (38.4%)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359877" y="3837354"/>
                                  <a:ext cx="950595" cy="34290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E5940DC" w14:textId="77777777" w:rsidR="001A1792" w:rsidRPr="00220382" w:rsidRDefault="001A1792" w:rsidP="00220382">
                                    <w:pPr>
                                      <w:pStyle w:val="FigureTextwhite"/>
                                      <w:rPr>
                                        <w:b w:val="0"/>
                                      </w:rPr>
                                    </w:pPr>
                                    <w:r w:rsidRPr="001341A8">
                                      <w:t>Regular ADF</w:t>
                                    </w:r>
                                    <w:r>
                                      <w:br/>
                                    </w:r>
                                    <w:r w:rsidRPr="00220382">
                                      <w:rPr>
                                        <w:b w:val="0"/>
                                      </w:rPr>
                                      <w:t>n = 7042 (49.8%)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593969" y="3376246"/>
                                  <a:ext cx="1342390" cy="343028"/>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2899C19" w14:textId="77777777" w:rsidR="001A1792" w:rsidRPr="00220382" w:rsidRDefault="001A1792" w:rsidP="00220382">
                                    <w:pPr>
                                      <w:pStyle w:val="FigureText"/>
                                      <w:rPr>
                                        <w:b w:val="0"/>
                                      </w:rPr>
                                    </w:pPr>
                                    <w:r w:rsidRPr="001341A8">
                                      <w:t>Responders</w:t>
                                    </w:r>
                                    <w:r>
                                      <w:br/>
                                    </w:r>
                                    <w:r w:rsidRPr="00220382">
                                      <w:rPr>
                                        <w:b w:val="0"/>
                                      </w:rPr>
                                      <w:t>n = 9644 (46.1%)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Rectangle 81"/>
                              <wps:cNvSpPr/>
                              <wps:spPr>
                                <a:xfrm>
                                  <a:off x="0" y="4532923"/>
                                  <a:ext cx="2517140" cy="101692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226646" y="5103446"/>
                                  <a:ext cx="950595" cy="343028"/>
                                </a:xfrm>
                                <a:prstGeom prst="rect">
                                  <a:avLst/>
                                </a:prstGeom>
                                <a:solidFill>
                                  <a:srgbClr val="782F40"/>
                                </a:solidFill>
                                <a:ln>
                                  <a:solidFill>
                                    <a:srgbClr val="782F4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C7B5765" w14:textId="77777777" w:rsidR="001A1792" w:rsidRPr="00220382" w:rsidRDefault="001A1792" w:rsidP="00220382">
                                    <w:pPr>
                                      <w:pStyle w:val="FigureTextwhite"/>
                                      <w:rPr>
                                        <w:b w:val="0"/>
                                      </w:rPr>
                                    </w:pPr>
                                    <w:r w:rsidRPr="001341A8">
                                      <w:t>Transitioned ADF</w:t>
                                    </w:r>
                                    <w:r>
                                      <w:br/>
                                    </w:r>
                                    <w:r w:rsidRPr="00220382">
                                      <w:rPr>
                                        <w:b w:val="0"/>
                                      </w:rPr>
                                      <w:t>n = 2334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359877" y="5103446"/>
                                  <a:ext cx="950595" cy="34290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5385ADE" w14:textId="77777777" w:rsidR="001A1792" w:rsidRPr="00220382" w:rsidRDefault="001A1792" w:rsidP="00220382">
                                    <w:pPr>
                                      <w:pStyle w:val="FigureTextwhite"/>
                                      <w:rPr>
                                        <w:b w:val="0"/>
                                      </w:rPr>
                                    </w:pPr>
                                    <w:r w:rsidRPr="001341A8">
                                      <w:t>Regular ADF</w:t>
                                    </w:r>
                                    <w:r>
                                      <w:br/>
                                    </w:r>
                                    <w:r w:rsidRPr="00220382">
                                      <w:rPr>
                                        <w:b w:val="0"/>
                                      </w:rPr>
                                      <w:t>n = 6163 (43.6%)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601785" y="4642338"/>
                                  <a:ext cx="1342390" cy="3429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9DA988E" w14:textId="77777777" w:rsidR="001A1792" w:rsidRPr="00220382" w:rsidRDefault="001A1792" w:rsidP="00220382">
                                    <w:pPr>
                                      <w:pStyle w:val="FigureText"/>
                                      <w:rPr>
                                        <w:b w:val="0"/>
                                      </w:rPr>
                                    </w:pPr>
                                    <w:r w:rsidRPr="001341A8">
                                      <w:t>Consented to linkage</w:t>
                                    </w:r>
                                    <w:r>
                                      <w:br/>
                                    </w:r>
                                    <w:r w:rsidRPr="00220382">
                                      <w:rPr>
                                        <w:b w:val="0"/>
                                      </w:rPr>
                                      <w:t>n = 8497 (40.6%)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wps:spPr>
                                <a:xfrm flipH="1">
                                  <a:off x="2250831" y="593969"/>
                                  <a:ext cx="0" cy="2076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2250831" y="1156677"/>
                                  <a:ext cx="0" cy="2743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1266092" y="1735015"/>
                                  <a:ext cx="0" cy="2292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3634154" y="1727200"/>
                                  <a:ext cx="0" cy="2533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a:off x="1266092" y="2985477"/>
                                  <a:ext cx="0" cy="2819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H="1">
                                  <a:off x="1266092" y="4306277"/>
                                  <a:ext cx="0" cy="2292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414677" id="Group 508" o:spid="_x0000_s1026" alt="Figure 2.1 Survey response rates for Transitioned ADF and 2015 Regular ADF" style="position:absolute;margin-left:.25pt;margin-top:3.25pt;width:353pt;height:437pt;z-index:251642880" coordsize="44832,5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">
                      <v:rect id="Rectangle 71" o:spid="_x0000_s1027" style="position:absolute;top:19694;width:25171;height:10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LL8UA&#10;AADbAAAADwAAAGRycy9kb3ducmV2LnhtbESPQWvCQBSE74X+h+UVeqsbFaqkbkIRA6GXEmMrvT2y&#10;r0kw+zZkV03+fbcgeBxm5htmk46mExcaXGtZwXwWgSCurG65VnAos5c1COeRNXaWScFEDtLk8WGD&#10;sbZXLuiy97UIEHYxKmi872MpXdWQQTezPXHwfu1g0Ac51FIPeA1w08lFFL1Kgy2HhQZ72jZUnfZn&#10;o2C5nKrvr89j/nHMovLU/hQ75kKp56fx/Q2Ep9Hfw7d2rhWs5vD/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EsvxQAAANsAAAAPAAAAAAAAAAAAAAAAAJgCAABkcnMv&#10;ZG93bnJldi54bWxQSwUGAAAAAAQABAD1AAAAigMAAAAA&#10;" fillcolor="white [3212]" strokecolor="black [3213]">
                        <v:shadow on="t" color="black" opacity="24903f" origin=",.5" offset="0,.55556mm"/>
                      </v:rect>
                      <v:shapetype id="_x0000_t202" coordsize="21600,21600" o:spt="202" path="m,l,21600r21600,l21600,xe">
                        <v:stroke joinstyle="miter"/>
                        <v:path gradientshapeok="t" o:connecttype="rect"/>
                      </v:shapetype>
                      <v:shape id="Text Box 68" o:spid="_x0000_s1028" type="#_x0000_t202" style="position:absolute;left:15787;width:13423;height:5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NC8AA&#10;AADbAAAADwAAAGRycy9kb3ducmV2LnhtbERPTWvCQBC9C/6HZYTezKYWgqSukrZoe9QoSG9Ddkyi&#10;2dmQXZP4791DocfH+15tRtOInjpXW1bwGsUgiAuray4VnI7b+RKE88gaG8uk4EEONuvpZIWptgMf&#10;qM99KUIIuxQVVN63qZSuqMigi2xLHLiL7Qz6ALtS6g6HEG4auYjjRBqsOTRU2NJnRcUtvxsFX4+3&#10;e5bsP/gbF9cL63O74+xXqZfZmL2D8DT6f/Gf+0crSMLY8CX8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cNC8AAAADbAAAADwAAAAAAAAAAAAAAAACYAgAAZHJzL2Rvd25y&#10;ZXYueG1sUEsFBgAAAAAEAAQA9QAAAIUDAAAAAA==&#10;" fillcolor="white [3212]" strokecolor="black [3213]">
                        <v:shadow on="t" color="black" opacity="24903f" origin=",.5" offset="0,.55556mm"/>
                        <v:textbox>
                          <w:txbxContent>
                            <w:p w14:paraId="04EB356D" w14:textId="77777777" w:rsidR="001A1792" w:rsidRPr="00220382" w:rsidRDefault="001A1792" w:rsidP="00220382">
                              <w:pPr>
                                <w:pStyle w:val="FigureText"/>
                                <w:rPr>
                                  <w:b w:val="0"/>
                                </w:rPr>
                              </w:pPr>
                              <w:r w:rsidRPr="00BC3DB0">
                                <w:rPr>
                                  <w:lang w:val="en-US"/>
                                </w:rPr>
                                <w:t xml:space="preserve">2010 </w:t>
                              </w:r>
                              <w:r>
                                <w:rPr>
                                  <w:lang w:val="en-US"/>
                                </w:rPr>
                                <w:t xml:space="preserve">ADF </w:t>
                              </w:r>
                              <w:r w:rsidRPr="00BC3DB0">
                                <w:rPr>
                                  <w:lang w:val="en-US"/>
                                </w:rPr>
                                <w:t>Mental Health Prevalence and Wellbeing Study</w:t>
                              </w:r>
                              <w:r w:rsidRPr="00BC3DB0">
                                <w:t xml:space="preserve"> sample</w:t>
                              </w:r>
                              <w:r>
                                <w:br/>
                              </w:r>
                              <w:r w:rsidRPr="00220382">
                                <w:rPr>
                                  <w:b w:val="0"/>
                                </w:rPr>
                                <w:t>n = 54,009</w:t>
                              </w:r>
                            </w:p>
                          </w:txbxContent>
                        </v:textbox>
                      </v:shape>
                      <v:shape id="Text Box 69" o:spid="_x0000_s1029" type="#_x0000_t202" style="position:absolute;left:15787;top:7971;width:1342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okMMA&#10;AADbAAAADwAAAGRycy9kb3ducmV2LnhtbESPS4vCQBCE7wv+h6EFb+tEhaBZR4mKj6OPhWVvTaZN&#10;opmekBk1/ntHWNhjUVVfUdN5aypxp8aVlhUM+hEI4szqknMF36f15xiE88gaK8uk4EkO5rPOxxQT&#10;bR98oPvR5yJA2CWooPC+TqR0WUEGXd/WxME728agD7LJpW7wEeCmksMoiqXBksNCgTUtC8qux5tR&#10;sHqObmm8X/AWh5cz6596w+mvUr1um36B8NT6//Bfe6cVxB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okMMAAADbAAAADwAAAAAAAAAAAAAAAACYAgAAZHJzL2Rv&#10;d25yZXYueG1sUEsFBgAAAAAEAAQA9QAAAIgDAAAAAA==&#10;" fillcolor="white [3212]" strokecolor="black [3213]">
                        <v:shadow on="t" color="black" opacity="24903f" origin=",.5" offset="0,.55556mm"/>
                        <v:textbox>
                          <w:txbxContent>
                            <w:p w14:paraId="505B1C9C" w14:textId="77777777" w:rsidR="001A1792" w:rsidRPr="00220382" w:rsidRDefault="001A1792" w:rsidP="00220382">
                              <w:pPr>
                                <w:pStyle w:val="FigureText"/>
                                <w:rPr>
                                  <w:b w:val="0"/>
                                </w:rPr>
                              </w:pPr>
                              <w:r w:rsidRPr="001341A8">
                                <w:t>MHPWS responders</w:t>
                              </w:r>
                              <w:r>
                                <w:br/>
                              </w:r>
                              <w:r w:rsidRPr="00220382">
                                <w:rPr>
                                  <w:b w:val="0"/>
                                </w:rPr>
                                <w:t>n = 24,481 (48.9%)</w:t>
                              </w:r>
                            </w:p>
                          </w:txbxContent>
                        </v:textbox>
                      </v:shape>
                      <v:rect id="Rectangle 70" o:spid="_x0000_s1030" style="position:absolute;top:32824;width:25171;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utMIA&#10;AADbAAAADwAAAGRycy9kb3ducmV2LnhtbERPy2rCQBTdF/yH4Qrd1YkN2BIzESkVpBuJWsXdJXNN&#10;gpk7ITPN4+87i0KXh/NON6NpRE+dqy0rWC4iEMSF1TWXCs6n3cs7COeRNTaWScFEDjbZ7CnFRNuB&#10;c+qPvhQhhF2CCirv20RKV1Rk0C1sSxy4u+0M+gC7UuoOhxBuGvkaRStpsObQUGFLHxUVj+OPURDH&#10;U3H5Plz3X9dddHrUt/yTOVfqeT5u1yA8jf5f/OfeawVvYX34En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O60wgAAANsAAAAPAAAAAAAAAAAAAAAAAJgCAABkcnMvZG93&#10;bnJldi54bWxQSwUGAAAAAAQABAD1AAAAhwMAAAAA&#10;" fillcolor="white [3212]" strokecolor="black [3213]">
                        <v:shadow on="t" color="black" opacity="24903f" origin=",.5" offset="0,.55556mm"/>
                      </v:rect>
                      <v:shape id="Text Box 73" o:spid="_x0000_s1031" type="#_x0000_t202" style="position:absolute;left:78;top:13989;width:44754;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TU8UA&#10;AADbAAAADwAAAGRycy9kb3ducmV2LnhtbESPQWvCQBSE74L/YXkFb7qxlajRVYq0tGAvjR48PrPP&#10;JDX7NmRXk/bXdwXB4zAz3zDLdWcqcaXGlZYVjEcRCOLM6pJzBfvd+3AGwnlkjZVlUvBLDtarfm+J&#10;ibYtf9M19bkIEHYJKii8rxMpXVaQQTeyNXHwTrYx6INscqkbbAPcVPI5imJpsOSwUGBNm4Kyc3ox&#10;CuK/KpuYyeHrI43bnyO/bTfj+VGpwVP3ugDhqfOP8L39qRVMX+D2Jfw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BNTxQAAANsAAAAPAAAAAAAAAAAAAAAAAJgCAABkcnMv&#10;ZG93bnJldi54bWxQSwUGAAAAAAQABAD1AAAAigMAAAAA&#10;" fillcolor="#001e60" strokecolor="#001e60">
                        <v:shadow on="t" color="black" opacity="24903f" origin=",.5" offset="0,.55556mm"/>
                        <v:textbox>
                          <w:txbxContent>
                            <w:p w14:paraId="18E0ACD5" w14:textId="77777777" w:rsidR="001A1792" w:rsidRPr="00BC3DB0" w:rsidRDefault="001A1792" w:rsidP="00220382">
                              <w:pPr>
                                <w:pStyle w:val="FigureTextwhite"/>
                                <w:spacing w:before="60"/>
                              </w:pPr>
                              <w:r w:rsidRPr="00BC3DB0">
                                <w:t>Transition and Wellbeing Research Programme</w:t>
                              </w:r>
                            </w:p>
                          </w:txbxContent>
                        </v:textbox>
                      </v:shape>
                      <v:shape id="Text Box 74" o:spid="_x0000_s1032" type="#_x0000_t202" style="position:absolute;left:29542;top:19772;width:13424;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7w8MA&#10;AADbAAAADwAAAGRycy9kb3ducmV2LnhtbESP3YrCMBSE7wXfIRzBO02Vri5do4gi6IKCug9waM72&#10;x+akNFHbt98sCF4OM/MNs1i1phIPalxhWcFkHIEgTq0uOFPwc92NPkE4j6yxskwKOnKwWvZ7C0y0&#10;ffKZHhefiQBhl6CC3Ps6kdKlORl0Y1sTB+/XNgZ9kE0mdYPPADeVnEbRTBosOCzkWNMmp/R2uRsF&#10;6/hja4/Z7FC64+k7rtOOy7JTajho118gPLX+HX6191rBPIb/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7w8MAAADbAAAADwAAAAAAAAAAAAAAAACYAgAAZHJzL2Rv&#10;d25yZXYueG1sUEsFBgAAAAAEAAQA9QAAAIgDAAAAAA==&#10;" fillcolor="white [3212]" strokecolor="black [3213]">
                        <v:stroke dashstyle="dash"/>
                        <v:shadow on="t" color="black" opacity="24903f" origin=",.5" offset="0,.55556mm"/>
                        <v:textbox>
                          <w:txbxContent>
                            <w:p w14:paraId="55511432" w14:textId="77777777" w:rsidR="001A1792" w:rsidRPr="00220382" w:rsidRDefault="001A1792" w:rsidP="00220382">
                              <w:pPr>
                                <w:pStyle w:val="FigureText"/>
                                <w:rPr>
                                  <w:b w:val="0"/>
                                </w:rPr>
                              </w:pPr>
                              <w:r w:rsidRPr="001341A8">
                                <w:t>Not invited</w:t>
                              </w:r>
                              <w:r>
                                <w:br/>
                              </w:r>
                              <w:r w:rsidRPr="00220382">
                                <w:rPr>
                                  <w:b w:val="0"/>
                                </w:rPr>
                                <w:t>n = 3573 (14.6%)</w:t>
                              </w:r>
                            </w:p>
                          </w:txbxContent>
                        </v:textbox>
                      </v:shape>
                      <v:shape id="Text Box 75" o:spid="_x0000_s1033" type="#_x0000_t202" style="position:absolute;left:6017;top:20867;width:1342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N6cIA&#10;AADbAAAADwAAAGRycy9kb3ducmV2LnhtbESPQWvCQBSE74X+h+UVvNWNim1Is4YgFDwJtQrx9sg+&#10;k2D2bchuTfLvu4LgcZiZb5g0G00rbtS7xrKCxTwCQVxa3XCl4Pj7/R6DcB5ZY2uZFEzkINu8vqSY&#10;aDvwD90OvhIBwi5BBbX3XSKlK2sy6Oa2Iw7exfYGfZB9JXWPQ4CbVi6j6EMabDgs1NjRtqbyevgz&#10;CvbTdM3PQ1EUJ/RG48qZM8VKzd7G/AuEp9E/w4/2Tiv4XMP9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g3pwgAAANsAAAAPAAAAAAAAAAAAAAAAAJgCAABkcnMvZG93&#10;bnJldi54bWxQSwUGAAAAAAQABAD1AAAAhwMAAAAA&#10;" fillcolor="white [3212]" strokecolor="black [3213]">
                        <v:textbox>
                          <w:txbxContent>
                            <w:p w14:paraId="3BB11B3E" w14:textId="77777777" w:rsidR="001A1792" w:rsidRPr="00220382" w:rsidRDefault="001A1792" w:rsidP="00220382">
                              <w:pPr>
                                <w:pStyle w:val="FigureText"/>
                                <w:rPr>
                                  <w:b w:val="0"/>
                                  <w:color w:val="FFFFFF" w:themeColor="background1"/>
                                </w:rPr>
                              </w:pPr>
                              <w:r w:rsidRPr="001341A8">
                                <w:t>Invited population</w:t>
                              </w:r>
                              <w:r>
                                <w:br/>
                              </w:r>
                              <w:r w:rsidRPr="00220382">
                                <w:rPr>
                                  <w:b w:val="0"/>
                                </w:rPr>
                                <w:t>n = 20,908 (85.4%)</w:t>
                              </w:r>
                            </w:p>
                          </w:txbxContent>
                        </v:textbox>
                      </v:shape>
                      <v:shape id="Text Box 76" o:spid="_x0000_s1034" type="#_x0000_t202" style="position:absolute;left:2344;top:25478;width:950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wMAA&#10;AADbAAAADwAAAGRycy9kb3ducmV2LnhtbESPQYvCMBSE78L+h/AWvGm6HrrSNS3qIni1iuzx0Tyb&#10;YvNSmljrvzeCsMdhZr5hVsVoWzFQ7xvHCr7mCQjiyumGawWn4262BOEDssbWMSl4kIci/5isMNPu&#10;zgcaylCLCGGfoQITQpdJ6StDFv3cdcTRu7jeYoiyr6Xu8R7htpWLJEmlxYbjgsGOtoaqa3mzCvC4&#10;/dW3Ki3d327fnmmUi40ZlJp+jusfEIHG8B9+t/dawXcKr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0pwMAAAADbAAAADwAAAAAAAAAAAAAAAACYAgAAZHJzL2Rvd25y&#10;ZXYueG1sUEsFBgAAAAAEAAQA9QAAAIUDAAAAAA==&#10;" fillcolor="#782f40" strokecolor="#782f40">
                        <v:textbox>
                          <w:txbxContent>
                            <w:p w14:paraId="7DA95D68" w14:textId="77777777" w:rsidR="001A1792" w:rsidRPr="00220382" w:rsidRDefault="001A1792" w:rsidP="00220382">
                              <w:pPr>
                                <w:pStyle w:val="FigureTextwhite"/>
                                <w:rPr>
                                  <w:b w:val="0"/>
                                </w:rPr>
                              </w:pPr>
                              <w:r w:rsidRPr="001341A8">
                                <w:t>Transitioned ADF</w:t>
                              </w:r>
                              <w:r>
                                <w:br/>
                              </w:r>
                              <w:r w:rsidRPr="00220382">
                                <w:rPr>
                                  <w:b w:val="0"/>
                                </w:rPr>
                                <w:t>n = 6777 (32.4%)</w:t>
                              </w:r>
                            </w:p>
                          </w:txbxContent>
                        </v:textbox>
                      </v:shape>
                      <v:shape id="Text Box 77" o:spid="_x0000_s1035" type="#_x0000_t202" style="position:absolute;left:13676;top:25478;width:950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C+cQA&#10;AADbAAAADwAAAGRycy9kb3ducmV2LnhtbESPT2vCQBTE7wW/w/IK3uqmhVSJrqGmKL1JowePj+wz&#10;ic2+DdnNH799tyD0OMzMb5hNOplGDNS52rKC10UEgriwuuZSwfm0f1mBcB5ZY2OZFNzJQbqdPW0w&#10;0XbkbxpyX4oAYZeggsr7NpHSFRUZdAvbEgfvajuDPsiulLrDMcBNI9+i6F0arDksVNhSVlHxk/dG&#10;Qd6Pl/gw6J05ZvF+PN8+L/fVTan58/SxBuFp8v/hR/tLK1gu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vnEAAAA2wAAAA8AAAAAAAAAAAAAAAAAmAIAAGRycy9k&#10;b3ducmV2LnhtbFBLBQYAAAAABAAEAPUAAACJAwAAAAA=&#10;" fillcolor="#00a9e0" strokecolor="black [3213]">
                        <v:textbox>
                          <w:txbxContent>
                            <w:p w14:paraId="45D4E3A5" w14:textId="77777777" w:rsidR="001A1792" w:rsidRPr="00220382" w:rsidRDefault="001A1792" w:rsidP="00220382">
                              <w:pPr>
                                <w:pStyle w:val="FigureTextwhite"/>
                                <w:rPr>
                                  <w:b w:val="0"/>
                                </w:rPr>
                              </w:pPr>
                              <w:r w:rsidRPr="001341A8">
                                <w:t>Regular ADF</w:t>
                              </w:r>
                              <w:r>
                                <w:br/>
                              </w:r>
                              <w:r w:rsidRPr="00220382">
                                <w:rPr>
                                  <w:b w:val="0"/>
                                </w:rPr>
                                <w:t>n = 14,131 (67.6%)</w:t>
                              </w:r>
                            </w:p>
                          </w:txbxContent>
                        </v:textbox>
                      </v:shape>
                      <v:shape id="Text Box 78" o:spid="_x0000_s1036" type="#_x0000_t202" style="position:absolute;left:2266;top:38373;width:9506;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YKbsA&#10;AADbAAAADwAAAGRycy9kb3ducmV2LnhtbERPuwrCMBTdBf8hXMFNUx1UqlF8ILhaRRwvzbUpNjel&#10;ibX+vRkEx8N5rzadrURLjS8dK5iMExDEudMlFwqul+NoAcIHZI2VY1LwIQ+bdb+3wlS7N5+pzUIh&#10;Ygj7FBWYEOpUSp8bsujHriaO3MM1FkOETSF1g+8Ybis5TZKZtFhybDBY095Q/sxeVgFe9gf9ymeZ&#10;ux9P1Y06Od2ZVqnhoNsuQQTqwl/8c5+0gnkcG7/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NuGCm7AAAA2wAAAA8AAAAAAAAAAAAAAAAAmAIAAGRycy9kb3ducmV2Lnht&#10;bFBLBQYAAAAABAAEAPUAAACAAwAAAAA=&#10;" fillcolor="#782f40" strokecolor="#782f40">
                        <v:textbox>
                          <w:txbxContent>
                            <w:p w14:paraId="6691A126" w14:textId="77777777" w:rsidR="001A1792" w:rsidRPr="00220382" w:rsidRDefault="001A1792" w:rsidP="00220382">
                              <w:pPr>
                                <w:pStyle w:val="FigureTextwhite"/>
                                <w:rPr>
                                  <w:b w:val="0"/>
                                </w:rPr>
                              </w:pPr>
                              <w:r w:rsidRPr="001341A8">
                                <w:t>Transitioned ADF</w:t>
                              </w:r>
                              <w:r>
                                <w:br/>
                              </w:r>
                              <w:r w:rsidRPr="00220382">
                                <w:rPr>
                                  <w:b w:val="0"/>
                                </w:rPr>
                                <w:t>n = 2602 (38.4%)</w:t>
                              </w:r>
                            </w:p>
                          </w:txbxContent>
                        </v:textbox>
                      </v:shape>
                      <v:shape id="Text Box 79" o:spid="_x0000_s1037" type="#_x0000_t202" style="position:absolute;left:13598;top:38373;width:95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zEMUA&#10;AADbAAAADwAAAGRycy9kb3ducmV2LnhtbESPT2vCQBTE70K/w/IK3nRTwdamrqFGUryVph48PrKv&#10;SWz2bciu+fPt3ULB4zAzv2G2yWga0VPnassKnpYRCOLC6ppLBafvbLEB4TyyxsYyKZjIQbJ7mG0x&#10;1nbgL+pzX4oAYRejgsr7NpbSFRUZdEvbEgfvx3YGfZBdKXWHQ4CbRq6i6FkarDksVNhSWlHxm1+N&#10;gvw6nNcfvd6bz3SdDafL4TxtLkrNH8f3NxCeRn8P/7ePWsHLK/x9CT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jMQxQAAANsAAAAPAAAAAAAAAAAAAAAAAJgCAABkcnMv&#10;ZG93bnJldi54bWxQSwUGAAAAAAQABAD1AAAAigMAAAAA&#10;" fillcolor="#00a9e0" strokecolor="black [3213]">
                        <v:textbox>
                          <w:txbxContent>
                            <w:p w14:paraId="5E5940DC" w14:textId="77777777" w:rsidR="001A1792" w:rsidRPr="00220382" w:rsidRDefault="001A1792" w:rsidP="00220382">
                              <w:pPr>
                                <w:pStyle w:val="FigureTextwhite"/>
                                <w:rPr>
                                  <w:b w:val="0"/>
                                </w:rPr>
                              </w:pPr>
                              <w:r w:rsidRPr="001341A8">
                                <w:t>Regular ADF</w:t>
                              </w:r>
                              <w:r>
                                <w:br/>
                              </w:r>
                              <w:r w:rsidRPr="00220382">
                                <w:rPr>
                                  <w:b w:val="0"/>
                                </w:rPr>
                                <w:t>n = 7042 (49.8%)</w:t>
                              </w:r>
                            </w:p>
                          </w:txbxContent>
                        </v:textbox>
                      </v:shape>
                      <v:shape id="Text Box 80" o:spid="_x0000_s1038" type="#_x0000_t202" style="position:absolute;left:5939;top:33762;width:1342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eVrsA&#10;AADbAAAADwAAAGRycy9kb3ducmV2LnhtbERPSwrCMBDdC94hjOBOUxWkVKOIILgS/EHdDc3YFptJ&#10;aaJtb28WgsvH+6+3nanEhxpXWlYwm0YgiDOrS84V3K6HSQzCeWSNlWVS0JOD7WY4WGOibctn+lx8&#10;LkIIuwQVFN7XiZQuK8igm9qaOHBP2xj0ATa51A22IdxUch5FS2mw5NBQYE37grLX5W0UnPr+tXu0&#10;aZre0RuNC2ceFCs1HnW7FQhPnf+Lf+6jVhCH9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s3la7AAAA2wAAAA8AAAAAAAAAAAAAAAAAmAIAAGRycy9kb3ducmV2Lnht&#10;bFBLBQYAAAAABAAEAPUAAACAAwAAAAA=&#10;" fillcolor="white [3212]" strokecolor="black [3213]">
                        <v:textbox>
                          <w:txbxContent>
                            <w:p w14:paraId="02899C19" w14:textId="77777777" w:rsidR="001A1792" w:rsidRPr="00220382" w:rsidRDefault="001A1792" w:rsidP="00220382">
                              <w:pPr>
                                <w:pStyle w:val="FigureText"/>
                                <w:rPr>
                                  <w:b w:val="0"/>
                                </w:rPr>
                              </w:pPr>
                              <w:r w:rsidRPr="001341A8">
                                <w:t>Responders</w:t>
                              </w:r>
                              <w:r>
                                <w:br/>
                              </w:r>
                              <w:r w:rsidRPr="00220382">
                                <w:rPr>
                                  <w:b w:val="0"/>
                                </w:rPr>
                                <w:t>n = 9644 (46.1%)</w:t>
                              </w:r>
                            </w:p>
                          </w:txbxContent>
                        </v:textbox>
                      </v:shape>
                      <v:rect id="Rectangle 81" o:spid="_x0000_s1039" style="position:absolute;top:45329;width:25171;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7CMUA&#10;AADbAAAADwAAAGRycy9kb3ducmV2LnhtbESPzWrDMBCE74W+g9hAb7XsGkJwo4QSGgi9FCdpQ2+L&#10;tbWNrZWxVP+8fRUI5DjMzDfMejuZVgzUu9qygiSKQRAXVtdcKjif9s8rEM4ja2wtk4KZHGw3jw9r&#10;zLQdOafh6EsRIOwyVFB532VSuqIigy6yHXHwfm1v0AfZl1L3OAa4aeVLHC+lwZrDQoUd7SoqmuOf&#10;UZCmc/H99Xk5fFz28ampf/J35lypp8X09grC0+Tv4Vv7oBWsErh+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TsIxQAAANsAAAAPAAAAAAAAAAAAAAAAAJgCAABkcnMv&#10;ZG93bnJldi54bWxQSwUGAAAAAAQABAD1AAAAigMAAAAA&#10;" fillcolor="white [3212]" strokecolor="black [3213]">
                        <v:shadow on="t" color="black" opacity="24903f" origin=",.5" offset="0,.55556mm"/>
                      </v:rect>
                      <v:shape id="Text Box 82" o:spid="_x0000_s1040" type="#_x0000_t202" style="position:absolute;left:2266;top:51034;width:950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f5L8A&#10;AADbAAAADwAAAGRycy9kb3ducmV2LnhtbESPzarCMBSE9xd8h3AEd7epXYhUo/iD4NZ6ubg8NMem&#10;2JyUJtb69kYQXA4z8w2zXA+2ET11vnasYJqkIIhLp2uuFPydD79zED4ga2wck4IneVivRj9LzLV7&#10;8In6IlQiQtjnqMCE0OZS+tKQRZ+4ljh6V9dZDFF2ldQdPiLcNjJL05m0WHNcMNjSzlB5K+5WAZ53&#10;e30vZ4W7HI7NPw0y25peqcl42CxABBrCN/xpH7WCeQbv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1/kvwAAANsAAAAPAAAAAAAAAAAAAAAAAJgCAABkcnMvZG93bnJl&#10;di54bWxQSwUGAAAAAAQABAD1AAAAhAMAAAAA&#10;" fillcolor="#782f40" strokecolor="#782f40">
                        <v:textbox>
                          <w:txbxContent>
                            <w:p w14:paraId="5C7B5765" w14:textId="77777777" w:rsidR="001A1792" w:rsidRPr="00220382" w:rsidRDefault="001A1792" w:rsidP="00220382">
                              <w:pPr>
                                <w:pStyle w:val="FigureTextwhite"/>
                                <w:rPr>
                                  <w:b w:val="0"/>
                                </w:rPr>
                              </w:pPr>
                              <w:r w:rsidRPr="001341A8">
                                <w:t>Transitioned ADF</w:t>
                              </w:r>
                              <w:r>
                                <w:br/>
                              </w:r>
                              <w:r w:rsidRPr="00220382">
                                <w:rPr>
                                  <w:b w:val="0"/>
                                </w:rPr>
                                <w:t>n = 2334 (34.4%)</w:t>
                              </w:r>
                            </w:p>
                          </w:txbxContent>
                        </v:textbox>
                      </v:shape>
                      <v:shape id="Text Box 83" o:spid="_x0000_s1041" type="#_x0000_t202" style="position:absolute;left:13598;top:51034;width:95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03cMA&#10;AADbAAAADwAAAGRycy9kb3ducmV2LnhtbESPQYvCMBSE78L+h/AW9qbpriilGmVXcfEmVg8eH82z&#10;rTYvpYlt/fdGEDwOM/MNM1/2phItNa60rOB7FIEgzqwuOVdwPGyGMQjnkTVWlknBnRwsFx+DOSba&#10;drynNvW5CBB2CSoovK8TKV1WkEE3sjVx8M62MeiDbHKpG+wC3FTyJ4qm0mDJYaHAmlYFZdf0ZhSk&#10;t+40+W/1n9mtJpvueFmf7vFFqa/P/ncGwlPv3+FXe6sVxG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03cMAAADbAAAADwAAAAAAAAAAAAAAAACYAgAAZHJzL2Rv&#10;d25yZXYueG1sUEsFBgAAAAAEAAQA9QAAAIgDAAAAAA==&#10;" fillcolor="#00a9e0" strokecolor="black [3213]">
                        <v:textbox>
                          <w:txbxContent>
                            <w:p w14:paraId="35385ADE" w14:textId="77777777" w:rsidR="001A1792" w:rsidRPr="00220382" w:rsidRDefault="001A1792" w:rsidP="00220382">
                              <w:pPr>
                                <w:pStyle w:val="FigureTextwhite"/>
                                <w:rPr>
                                  <w:b w:val="0"/>
                                </w:rPr>
                              </w:pPr>
                              <w:r w:rsidRPr="001341A8">
                                <w:t>Regular ADF</w:t>
                              </w:r>
                              <w:r>
                                <w:br/>
                              </w:r>
                              <w:r w:rsidRPr="00220382">
                                <w:rPr>
                                  <w:b w:val="0"/>
                                </w:rPr>
                                <w:t>n = 6163 (43.6%)</w:t>
                              </w:r>
                            </w:p>
                          </w:txbxContent>
                        </v:textbox>
                      </v:shape>
                      <v:shape id="Text Box 84" o:spid="_x0000_s1042" type="#_x0000_t202" style="position:absolute;left:6017;top:46423;width:13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YVcIA&#10;AADbAAAADwAAAGRycy9kb3ducmV2LnhtbESPQWuDQBSE74H8h+UFeqtrmlDEuAkhUOgp0LQBvT3c&#10;FxXdt+Juo/77biGQ4zAz3zDZYTKduNPgGssK1lEMgri0uuFKwc/3x2sCwnlkjZ1lUjCTg8N+ucgw&#10;1XbkL7pffCUChF2KCmrv+1RKV9Zk0EW2Jw7ezQ4GfZBDJfWAY4CbTr7F8bs02HBYqLGnU01le/k1&#10;Cs7z3B6LMc/zK3qjceNMQYlSL6vpuAPhafLP8KP9qRUkW/j/En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9hVwgAAANsAAAAPAAAAAAAAAAAAAAAAAJgCAABkcnMvZG93&#10;bnJldi54bWxQSwUGAAAAAAQABAD1AAAAhwMAAAAA&#10;" fillcolor="white [3212]" strokecolor="black [3213]">
                        <v:textbox>
                          <w:txbxContent>
                            <w:p w14:paraId="59DA988E" w14:textId="77777777" w:rsidR="001A1792" w:rsidRPr="00220382" w:rsidRDefault="001A1792" w:rsidP="00220382">
                              <w:pPr>
                                <w:pStyle w:val="FigureText"/>
                                <w:rPr>
                                  <w:b w:val="0"/>
                                </w:rPr>
                              </w:pPr>
                              <w:r w:rsidRPr="001341A8">
                                <w:t>Consented to linkage</w:t>
                              </w:r>
                              <w:r>
                                <w:br/>
                              </w:r>
                              <w:r w:rsidRPr="00220382">
                                <w:rPr>
                                  <w:b w:val="0"/>
                                </w:rPr>
                                <w:t>n = 8497 (40.6%)</w:t>
                              </w:r>
                            </w:p>
                          </w:txbxContent>
                        </v:textbox>
                      </v:shape>
                      <v:line id="Straight Connector 54" o:spid="_x0000_s1043" style="position:absolute;flip:x;visibility:visible;mso-wrap-style:square" from="22508,5939" to="22508,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TtMUAAADbAAAADwAAAGRycy9kb3ducmV2LnhtbESPQWvCQBSE70L/w/IK3nSjVmmjq9iC&#10;Remh1grx+Mg+k2D2bciuGv31riB4HGbmG2Yya0wpTlS7wrKCXjcCQZxaXXCmYPu/6LyDcB5ZY2mZ&#10;FFzIwWz60ppgrO2Z/+i08ZkIEHYxKsi9r2IpXZqTQde1FXHw9rY26IOsM6lrPAe4KWU/ikbSYMFh&#10;IceKvnJKD5ujUXA99P06Wf1+y8958XNNPgb7XZUo1X5t5mMQnhr/DD/aS61g+Ab3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ATtMUAAADbAAAADwAAAAAAAAAA&#10;AAAAAAChAgAAZHJzL2Rvd25yZXYueG1sUEsFBgAAAAAEAAQA+QAAAJMDAAAAAA==&#10;" strokecolor="black [3213]" strokeweight=".5pt"/>
                      <v:line id="Straight Connector 48" o:spid="_x0000_s1044" style="position:absolute;flip:x;visibility:visible;mso-wrap-style:square" from="22508,11566" to="22508,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PbMMAAADbAAAADwAAAGRycy9kb3ducmV2LnhtbERPTWvCQBC9C/0PyxS86aZpkTZ1FRVa&#10;Kh7aWiEeh+yYBLOzIbsmaX69exA8Pt73fNmbSrTUuNKygqdpBII4s7rkXMHh72PyCsJ5ZI2VZVLw&#10;Tw6Wi4fRHBNtO/6ldu9zEULYJaig8L5OpHRZQQbd1NbEgTvZxqAPsMmlbrAL4aaScRTNpMGSQ0OB&#10;NW0Kys77i1EwnGP/k26/P+V6Ve6G9O35dKxTpcaP/eodhKfe38U395dW8BLGhi/h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Uj2zDAAAA2wAAAA8AAAAAAAAAAAAA&#10;AAAAoQIAAGRycy9kb3ducmV2LnhtbFBLBQYAAAAABAAEAPkAAACRAwAAAAA=&#10;" strokecolor="black [3213]" strokeweight=".5pt"/>
                      <v:line id="Straight Connector 50" o:spid="_x0000_s1045" style="position:absolute;flip:x;visibility:visible;mso-wrap-style:square" from="12660,17350" to="12660,1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Vt8MAAADbAAAADwAAAGRycy9kb3ducmV2LnhtbERPTWvCQBC9C/0PyxS86aYplTZ1FRVa&#10;Kh7aWiEeh+yYBLOzIbsmaX69exA8Pt73fNmbSrTUuNKygqdpBII4s7rkXMHh72PyCsJ5ZI2VZVLw&#10;Tw6Wi4fRHBNtO/6ldu9zEULYJaig8L5OpHRZQQbd1NbEgTvZxqAPsMmlbrAL4aaScRTNpMGSQ0OB&#10;NW0Kys77i1EwnGP/k26/P+V6Ve6G9O35dKxTpcaP/eodhKfe38U395dW8BLWhy/h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FbfDAAAA2wAAAA8AAAAAAAAAAAAA&#10;AAAAoQIAAGRycy9kb3ducmV2LnhtbFBLBQYAAAAABAAEAPkAAACRAwAAAAA=&#10;" strokecolor="black [3213]" strokeweight=".5pt"/>
                      <v:line id="Straight Connector 49" o:spid="_x0000_s1046" style="position:absolute;visibility:visible;mso-wrap-style:square" from="36341,17272" to="36341,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rysUAAADbAAAADwAAAGRycy9kb3ducmV2LnhtbESPQWvCQBSE70L/w/IEL0U3StE2dRUV&#10;C6UI0ljI9ZF9zcZm34bsatJ/3xUKHoeZ+YZZrntbiyu1vnKsYDpJQBAXTldcKvg6vY2fQfiArLF2&#10;TAp+ycN69TBYYqpdx590zUIpIoR9igpMCE0qpS8MWfQT1xBH79u1FkOUbSl1i12E21rOkmQuLVYc&#10;Fww2tDNU/GQXq2C7P2+O2iwed11e5k13yBP9kSs1GvabVxCB+nAP/7fftYKnF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rysUAAADbAAAADwAAAAAAAAAA&#10;AAAAAAChAgAAZHJzL2Rvd25yZXYueG1sUEsFBgAAAAAEAAQA+QAAAJMDAAAAAA==&#10;" strokecolor="black [3213]" strokeweight=".5pt"/>
                      <v:line id="Straight Connector 53" o:spid="_x0000_s1047" style="position:absolute;flip:x;visibility:visible;mso-wrap-style:square" from="12660,29854" to="12660,3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LwMYAAADbAAAADwAAAGRycy9kb3ducmV2LnhtbESPQWvCQBSE7wX/w/KE3sxGxWKja1Ch&#10;Yumh1RbS4yP7TEKyb0N21dRf3y0IPQ4z8w2zTHvTiAt1rrKsYBzFIIhzqysuFHx9vozmIJxH1thY&#10;JgU/5CBdDR6WmGh75QNdjr4QAcIuQQWl920ipctLMugi2xIH72Q7gz7IrpC6w2uAm0ZO4vhJGqw4&#10;LJTY0rakvD6ejYJbPfEf2ev7Tm7W1dste56evttMqcdhv16A8NT7//C9vdcKZl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pi8DGAAAA2wAAAA8AAAAAAAAA&#10;AAAAAAAAoQIAAGRycy9kb3ducmV2LnhtbFBLBQYAAAAABAAEAPkAAACUAwAAAAA=&#10;" strokecolor="black [3213]" strokeweight=".5pt"/>
                      <v:line id="Straight Connector 25" o:spid="_x0000_s1048" style="position:absolute;flip:x;visibility:visible;mso-wrap-style:square" from="12660,43062" to="12660,4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FUsUAAADbAAAADwAAAGRycy9kb3ducmV2LnhtbESPT2vCQBTE7wW/w/IEb3VjpEWjq2ih&#10;0uLBvxCPj+wzCWbfhuyqqZ/eLRR6HGbmN8x03ppK3KhxpWUFg34EgjizuuRcwfHw+ToC4Tyyxsoy&#10;KfghB/NZ52WKibZ33tFt73MRIOwSVFB4XydSuqwgg65va+LgnW1j0AfZ5FI3eA9wU8k4it6lwZLD&#10;QoE1fRSUXfZXo+Bxif02/d6s5HJRrh/peHg+1alSvW67mIDw1Pr/8F/7SyuI3+D3S/gB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rFUsUAAADbAAAADwAAAAAAAAAA&#10;AAAAAAChAgAAZHJzL2Rvd25yZXYueG1sUEsFBgAAAAAEAAQA+QAAAJMDAAAAAA==&#10;" strokecolor="black [3213]" strokeweight=".5pt"/>
                    </v:group>
                  </w:pict>
                </mc:Fallback>
              </mc:AlternateContent>
            </w:r>
          </w:p>
        </w:tc>
      </w:tr>
    </w:tbl>
    <w:p w14:paraId="6A4294EB" w14:textId="77777777" w:rsidR="00A340EE" w:rsidRPr="0047058F" w:rsidRDefault="00A340EE" w:rsidP="00A340EE">
      <w:pPr>
        <w:pStyle w:val="TableName"/>
      </w:pPr>
      <w:bookmarkStart w:id="99" w:name="_Ref482013237"/>
      <w:bookmarkStart w:id="100" w:name="_Toc487014243"/>
      <w:bookmarkStart w:id="101" w:name="_Ref384551646"/>
      <w:bookmarkStart w:id="102" w:name="_Toc479243368"/>
      <w:bookmarkStart w:id="103" w:name="_Toc482023757"/>
      <w:bookmarkStart w:id="104" w:name="_Toc529117501"/>
      <w:bookmarkStart w:id="105" w:name="_Toc532473571"/>
      <w:r w:rsidRPr="0047058F">
        <w:lastRenderedPageBreak/>
        <w:t>Table 2.1</w:t>
      </w:r>
      <w:bookmarkEnd w:id="99"/>
      <w:r w:rsidRPr="0047058F">
        <w:tab/>
        <w:t>Unweighted demographic characteristics and survey response rates for Transitioned ADF and 2015 Regular ADF</w:t>
      </w:r>
      <w:bookmarkEnd w:id="100"/>
      <w:bookmarkEnd w:id="101"/>
      <w:bookmarkEnd w:id="102"/>
      <w:bookmarkEnd w:id="103"/>
      <w:bookmarkEnd w:id="104"/>
      <w:bookmarkEnd w:id="105"/>
    </w:p>
    <w:tbl>
      <w:tblPr>
        <w:tblStyle w:val="TWRPTable"/>
        <w:tblW w:w="5000" w:type="pct"/>
        <w:tblLayout w:type="fixed"/>
        <w:tblLook w:val="04A0" w:firstRow="1" w:lastRow="0" w:firstColumn="1" w:lastColumn="0" w:noHBand="0" w:noVBand="1"/>
        <w:tblDescription w:val="Table 2.1 Unweighted demographic characteristics and survey response rates for Transitioned ADF and 2015 Regular ADF"/>
      </w:tblPr>
      <w:tblGrid>
        <w:gridCol w:w="1054"/>
        <w:gridCol w:w="574"/>
        <w:gridCol w:w="575"/>
        <w:gridCol w:w="573"/>
        <w:gridCol w:w="573"/>
        <w:gridCol w:w="812"/>
        <w:gridCol w:w="584"/>
        <w:gridCol w:w="585"/>
        <w:gridCol w:w="584"/>
        <w:gridCol w:w="585"/>
        <w:gridCol w:w="816"/>
      </w:tblGrid>
      <w:tr w:rsidR="00860F45" w:rsidRPr="0047058F" w14:paraId="29F60C09" w14:textId="77777777" w:rsidTr="00BD64A6">
        <w:trPr>
          <w:cnfStyle w:val="100000000000" w:firstRow="1" w:lastRow="0" w:firstColumn="0" w:lastColumn="0" w:oddVBand="0" w:evenVBand="0" w:oddHBand="0" w:evenHBand="0" w:firstRowFirstColumn="0" w:firstRowLastColumn="0" w:lastRowFirstColumn="0" w:lastRowLastColumn="0"/>
          <w:tblHeader/>
        </w:trPr>
        <w:tc>
          <w:tcPr>
            <w:tcW w:w="720" w:type="pct"/>
            <w:vMerge w:val="restart"/>
          </w:tcPr>
          <w:p w14:paraId="1757F522" w14:textId="3A9C45C6" w:rsidR="00860F45" w:rsidRPr="0047058F" w:rsidRDefault="00860F45" w:rsidP="003876A3">
            <w:pPr>
              <w:spacing w:after="40" w:line="240" w:lineRule="auto"/>
              <w:rPr>
                <w:rFonts w:ascii="Arial Narrow" w:hAnsi="Arial Narrow" w:cs="Calibri"/>
                <w:bCs/>
                <w:sz w:val="14"/>
                <w:szCs w:val="14"/>
              </w:rPr>
            </w:pPr>
            <w:r w:rsidRPr="0047058F">
              <w:rPr>
                <w:rFonts w:ascii="Arial Narrow" w:hAnsi="Arial Narrow" w:cs="Calibri"/>
                <w:sz w:val="14"/>
                <w:szCs w:val="14"/>
              </w:rPr>
              <w:t>Demographic characteristics</w:t>
            </w:r>
          </w:p>
        </w:tc>
        <w:tc>
          <w:tcPr>
            <w:tcW w:w="2124" w:type="pct"/>
            <w:gridSpan w:val="5"/>
          </w:tcPr>
          <w:p w14:paraId="2463D333"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Transitioned ADF</w:t>
            </w:r>
            <w:r w:rsidRPr="0047058F">
              <w:rPr>
                <w:rFonts w:ascii="Arial Narrow" w:hAnsi="Arial Narrow" w:cs="Calibri"/>
                <w:bCs/>
                <w:sz w:val="14"/>
                <w:szCs w:val="14"/>
              </w:rPr>
              <w:br/>
              <w:t>n = 6777</w:t>
            </w:r>
          </w:p>
        </w:tc>
        <w:tc>
          <w:tcPr>
            <w:tcW w:w="2156" w:type="pct"/>
            <w:gridSpan w:val="5"/>
            <w:hideMark/>
          </w:tcPr>
          <w:p w14:paraId="24AA07B2"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2015 Regular ADF</w:t>
            </w:r>
            <w:r w:rsidRPr="0047058F">
              <w:rPr>
                <w:rFonts w:ascii="Arial Narrow" w:hAnsi="Arial Narrow" w:cs="Calibri"/>
                <w:bCs/>
                <w:sz w:val="14"/>
                <w:szCs w:val="14"/>
              </w:rPr>
              <w:br/>
              <w:t>n = 14,131</w:t>
            </w:r>
          </w:p>
        </w:tc>
      </w:tr>
      <w:tr w:rsidR="00860F45" w:rsidRPr="0047058F" w14:paraId="398A7789" w14:textId="77777777" w:rsidTr="00BD64A6">
        <w:trPr>
          <w:cnfStyle w:val="100000000000" w:firstRow="1" w:lastRow="0" w:firstColumn="0" w:lastColumn="0" w:oddVBand="0" w:evenVBand="0" w:oddHBand="0" w:evenHBand="0" w:firstRowFirstColumn="0" w:firstRowLastColumn="0" w:lastRowFirstColumn="0" w:lastRowLastColumn="0"/>
          <w:tblHeader/>
        </w:trPr>
        <w:tc>
          <w:tcPr>
            <w:tcW w:w="720" w:type="pct"/>
            <w:vMerge/>
          </w:tcPr>
          <w:p w14:paraId="5F387CF9" w14:textId="77777777" w:rsidR="00860F45" w:rsidRPr="0047058F" w:rsidRDefault="00860F45" w:rsidP="004F7DC6">
            <w:pPr>
              <w:spacing w:after="40" w:line="240" w:lineRule="auto"/>
              <w:rPr>
                <w:rFonts w:ascii="Arial Narrow" w:hAnsi="Arial Narrow" w:cs="Calibri"/>
                <w:sz w:val="14"/>
                <w:szCs w:val="14"/>
              </w:rPr>
            </w:pPr>
          </w:p>
        </w:tc>
        <w:tc>
          <w:tcPr>
            <w:tcW w:w="785" w:type="pct"/>
            <w:gridSpan w:val="2"/>
            <w:hideMark/>
          </w:tcPr>
          <w:p w14:paraId="151F5625"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Invited</w:t>
            </w:r>
          </w:p>
        </w:tc>
        <w:tc>
          <w:tcPr>
            <w:tcW w:w="783" w:type="pct"/>
            <w:gridSpan w:val="2"/>
          </w:tcPr>
          <w:p w14:paraId="6E387C51"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Responders</w:t>
            </w:r>
          </w:p>
        </w:tc>
        <w:tc>
          <w:tcPr>
            <w:tcW w:w="555" w:type="pct"/>
            <w:hideMark/>
          </w:tcPr>
          <w:p w14:paraId="08061615"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Response rate</w:t>
            </w:r>
          </w:p>
        </w:tc>
        <w:tc>
          <w:tcPr>
            <w:tcW w:w="799" w:type="pct"/>
            <w:gridSpan w:val="2"/>
            <w:hideMark/>
          </w:tcPr>
          <w:p w14:paraId="6C89D168"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Invited</w:t>
            </w:r>
          </w:p>
        </w:tc>
        <w:tc>
          <w:tcPr>
            <w:tcW w:w="799" w:type="pct"/>
            <w:gridSpan w:val="2"/>
            <w:hideMark/>
          </w:tcPr>
          <w:p w14:paraId="7E33824E"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Responders</w:t>
            </w:r>
          </w:p>
        </w:tc>
        <w:tc>
          <w:tcPr>
            <w:tcW w:w="558" w:type="pct"/>
          </w:tcPr>
          <w:p w14:paraId="191AF089" w14:textId="77777777" w:rsidR="00860F45" w:rsidRPr="0047058F" w:rsidRDefault="00860F45" w:rsidP="004F7DC6">
            <w:pPr>
              <w:spacing w:after="40" w:line="240" w:lineRule="auto"/>
              <w:jc w:val="center"/>
              <w:rPr>
                <w:rFonts w:ascii="Arial Narrow" w:hAnsi="Arial Narrow" w:cs="Calibri"/>
                <w:bCs/>
                <w:sz w:val="14"/>
                <w:szCs w:val="14"/>
              </w:rPr>
            </w:pPr>
            <w:r w:rsidRPr="0047058F">
              <w:rPr>
                <w:rFonts w:ascii="Arial Narrow" w:hAnsi="Arial Narrow" w:cs="Calibri"/>
                <w:bCs/>
                <w:sz w:val="14"/>
                <w:szCs w:val="14"/>
              </w:rPr>
              <w:t>Response rate</w:t>
            </w:r>
          </w:p>
        </w:tc>
      </w:tr>
      <w:tr w:rsidR="00860F45" w:rsidRPr="0047058F" w14:paraId="67B09C5B" w14:textId="77777777" w:rsidTr="00BD64A6">
        <w:trPr>
          <w:cnfStyle w:val="100000000000" w:firstRow="1" w:lastRow="0" w:firstColumn="0" w:lastColumn="0" w:oddVBand="0" w:evenVBand="0" w:oddHBand="0" w:evenHBand="0" w:firstRowFirstColumn="0" w:firstRowLastColumn="0" w:lastRowFirstColumn="0" w:lastRowLastColumn="0"/>
          <w:tblHeader/>
        </w:trPr>
        <w:tc>
          <w:tcPr>
            <w:tcW w:w="720" w:type="pct"/>
            <w:vMerge/>
          </w:tcPr>
          <w:p w14:paraId="10188C5A" w14:textId="77777777" w:rsidR="00860F45" w:rsidRPr="0047058F" w:rsidRDefault="00860F45" w:rsidP="004F7DC6">
            <w:pPr>
              <w:spacing w:after="40" w:line="240" w:lineRule="auto"/>
              <w:rPr>
                <w:rFonts w:ascii="Arial Narrow" w:hAnsi="Arial Narrow" w:cs="Calibri"/>
                <w:sz w:val="14"/>
                <w:szCs w:val="14"/>
              </w:rPr>
            </w:pPr>
          </w:p>
        </w:tc>
        <w:tc>
          <w:tcPr>
            <w:tcW w:w="392" w:type="pct"/>
          </w:tcPr>
          <w:p w14:paraId="18CD1A69"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n</w:t>
            </w:r>
          </w:p>
        </w:tc>
        <w:tc>
          <w:tcPr>
            <w:tcW w:w="393" w:type="pct"/>
          </w:tcPr>
          <w:p w14:paraId="0F7AED16"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c>
          <w:tcPr>
            <w:tcW w:w="392" w:type="pct"/>
          </w:tcPr>
          <w:p w14:paraId="79E62EA5"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n</w:t>
            </w:r>
          </w:p>
        </w:tc>
        <w:tc>
          <w:tcPr>
            <w:tcW w:w="392" w:type="pct"/>
          </w:tcPr>
          <w:p w14:paraId="0E985EFD"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c>
          <w:tcPr>
            <w:tcW w:w="555" w:type="pct"/>
          </w:tcPr>
          <w:p w14:paraId="0680CAE2"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c>
          <w:tcPr>
            <w:tcW w:w="399" w:type="pct"/>
          </w:tcPr>
          <w:p w14:paraId="15F3F1B5"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n</w:t>
            </w:r>
          </w:p>
        </w:tc>
        <w:tc>
          <w:tcPr>
            <w:tcW w:w="400" w:type="pct"/>
          </w:tcPr>
          <w:p w14:paraId="4A8C69AC"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c>
          <w:tcPr>
            <w:tcW w:w="399" w:type="pct"/>
          </w:tcPr>
          <w:p w14:paraId="07BEB8D0"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n</w:t>
            </w:r>
          </w:p>
        </w:tc>
        <w:tc>
          <w:tcPr>
            <w:tcW w:w="400" w:type="pct"/>
          </w:tcPr>
          <w:p w14:paraId="3AC4C86C"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c>
          <w:tcPr>
            <w:tcW w:w="558" w:type="pct"/>
          </w:tcPr>
          <w:p w14:paraId="2A49AE4D" w14:textId="77777777" w:rsidR="00860F45" w:rsidRPr="0047058F" w:rsidRDefault="00860F45" w:rsidP="004F7DC6">
            <w:pPr>
              <w:spacing w:after="40" w:line="240" w:lineRule="auto"/>
              <w:jc w:val="right"/>
              <w:rPr>
                <w:rFonts w:ascii="Arial Narrow" w:hAnsi="Arial Narrow" w:cs="Calibri"/>
                <w:bCs/>
                <w:sz w:val="14"/>
                <w:szCs w:val="14"/>
              </w:rPr>
            </w:pPr>
            <w:r w:rsidRPr="0047058F">
              <w:rPr>
                <w:rFonts w:ascii="Arial Narrow" w:hAnsi="Arial Narrow" w:cs="Calibri"/>
                <w:bCs/>
                <w:sz w:val="14"/>
                <w:szCs w:val="14"/>
              </w:rPr>
              <w:t>%</w:t>
            </w:r>
          </w:p>
        </w:tc>
      </w:tr>
      <w:tr w:rsidR="00055107" w:rsidRPr="0047058F" w14:paraId="6FEB147B" w14:textId="77777777" w:rsidTr="00BD64A6">
        <w:trPr>
          <w:cnfStyle w:val="000000100000" w:firstRow="0" w:lastRow="0" w:firstColumn="0" w:lastColumn="0" w:oddVBand="0" w:evenVBand="0" w:oddHBand="1" w:evenHBand="0" w:firstRowFirstColumn="0" w:firstRowLastColumn="0" w:lastRowFirstColumn="0" w:lastRowLastColumn="0"/>
        </w:trPr>
        <w:tc>
          <w:tcPr>
            <w:tcW w:w="720" w:type="pct"/>
          </w:tcPr>
          <w:p w14:paraId="7D6B4DD5" w14:textId="77777777" w:rsidR="00A340EE" w:rsidRPr="0047058F" w:rsidRDefault="00A340EE" w:rsidP="00BD64A6">
            <w:pPr>
              <w:pStyle w:val="TableText"/>
              <w:rPr>
                <w:b/>
              </w:rPr>
            </w:pPr>
            <w:r w:rsidRPr="0047058F">
              <w:rPr>
                <w:b/>
              </w:rPr>
              <w:t>Age group</w:t>
            </w:r>
          </w:p>
        </w:tc>
        <w:tc>
          <w:tcPr>
            <w:tcW w:w="392" w:type="pct"/>
          </w:tcPr>
          <w:p w14:paraId="1895F179" w14:textId="77777777" w:rsidR="00A340EE" w:rsidRPr="0047058F" w:rsidRDefault="00A340EE" w:rsidP="00BD64A6">
            <w:pPr>
              <w:pStyle w:val="TableText"/>
              <w:jc w:val="right"/>
            </w:pPr>
          </w:p>
        </w:tc>
        <w:tc>
          <w:tcPr>
            <w:tcW w:w="393" w:type="pct"/>
          </w:tcPr>
          <w:p w14:paraId="4B5D63A2" w14:textId="77777777" w:rsidR="00A340EE" w:rsidRPr="0047058F" w:rsidRDefault="00A340EE" w:rsidP="00BD64A6">
            <w:pPr>
              <w:pStyle w:val="TableText"/>
              <w:jc w:val="right"/>
            </w:pPr>
          </w:p>
        </w:tc>
        <w:tc>
          <w:tcPr>
            <w:tcW w:w="392" w:type="pct"/>
          </w:tcPr>
          <w:p w14:paraId="58C40BED" w14:textId="77777777" w:rsidR="00A340EE" w:rsidRPr="0047058F" w:rsidRDefault="00A340EE" w:rsidP="00BD64A6">
            <w:pPr>
              <w:pStyle w:val="TableText"/>
              <w:jc w:val="right"/>
            </w:pPr>
          </w:p>
        </w:tc>
        <w:tc>
          <w:tcPr>
            <w:tcW w:w="392" w:type="pct"/>
          </w:tcPr>
          <w:p w14:paraId="740A6746" w14:textId="77777777" w:rsidR="00A340EE" w:rsidRPr="0047058F" w:rsidRDefault="00A340EE" w:rsidP="00BD64A6">
            <w:pPr>
              <w:pStyle w:val="TableText"/>
              <w:jc w:val="right"/>
            </w:pPr>
          </w:p>
        </w:tc>
        <w:tc>
          <w:tcPr>
            <w:tcW w:w="555" w:type="pct"/>
          </w:tcPr>
          <w:p w14:paraId="4E28E303" w14:textId="77777777" w:rsidR="00A340EE" w:rsidRPr="0047058F" w:rsidRDefault="00A340EE" w:rsidP="00BD64A6">
            <w:pPr>
              <w:pStyle w:val="TableText"/>
              <w:jc w:val="right"/>
            </w:pPr>
          </w:p>
        </w:tc>
        <w:tc>
          <w:tcPr>
            <w:tcW w:w="399" w:type="pct"/>
          </w:tcPr>
          <w:p w14:paraId="1199CA3A" w14:textId="77777777" w:rsidR="00A340EE" w:rsidRPr="0047058F" w:rsidRDefault="00A340EE" w:rsidP="00BD64A6">
            <w:pPr>
              <w:pStyle w:val="TableText"/>
              <w:jc w:val="right"/>
            </w:pPr>
          </w:p>
        </w:tc>
        <w:tc>
          <w:tcPr>
            <w:tcW w:w="400" w:type="pct"/>
          </w:tcPr>
          <w:p w14:paraId="53EFC845" w14:textId="77777777" w:rsidR="00A340EE" w:rsidRPr="0047058F" w:rsidRDefault="00A340EE" w:rsidP="00BD64A6">
            <w:pPr>
              <w:pStyle w:val="TableText"/>
              <w:jc w:val="right"/>
            </w:pPr>
          </w:p>
        </w:tc>
        <w:tc>
          <w:tcPr>
            <w:tcW w:w="399" w:type="pct"/>
          </w:tcPr>
          <w:p w14:paraId="30E2D78F" w14:textId="77777777" w:rsidR="00A340EE" w:rsidRPr="0047058F" w:rsidRDefault="00A340EE" w:rsidP="00BD64A6">
            <w:pPr>
              <w:pStyle w:val="TableText"/>
              <w:jc w:val="right"/>
            </w:pPr>
          </w:p>
        </w:tc>
        <w:tc>
          <w:tcPr>
            <w:tcW w:w="400" w:type="pct"/>
          </w:tcPr>
          <w:p w14:paraId="09745049" w14:textId="77777777" w:rsidR="00A340EE" w:rsidRPr="0047058F" w:rsidRDefault="00A340EE" w:rsidP="00BD64A6">
            <w:pPr>
              <w:pStyle w:val="TableText"/>
              <w:jc w:val="right"/>
            </w:pPr>
          </w:p>
        </w:tc>
        <w:tc>
          <w:tcPr>
            <w:tcW w:w="558" w:type="pct"/>
          </w:tcPr>
          <w:p w14:paraId="4E38B0FF" w14:textId="77777777" w:rsidR="00A340EE" w:rsidRPr="0047058F" w:rsidRDefault="00A340EE" w:rsidP="00BD64A6">
            <w:pPr>
              <w:pStyle w:val="TableText"/>
              <w:jc w:val="right"/>
            </w:pPr>
          </w:p>
        </w:tc>
      </w:tr>
      <w:tr w:rsidR="00055107" w:rsidRPr="0047058F" w14:paraId="658EC1D3" w14:textId="77777777" w:rsidTr="00BD64A6">
        <w:tc>
          <w:tcPr>
            <w:tcW w:w="720" w:type="pct"/>
          </w:tcPr>
          <w:p w14:paraId="287D9777" w14:textId="77777777" w:rsidR="00A340EE" w:rsidRPr="0047058F" w:rsidRDefault="00A340EE" w:rsidP="00BD64A6">
            <w:pPr>
              <w:pStyle w:val="TableText"/>
            </w:pPr>
            <w:r w:rsidRPr="0047058F">
              <w:t>18–27</w:t>
            </w:r>
          </w:p>
        </w:tc>
        <w:tc>
          <w:tcPr>
            <w:tcW w:w="392" w:type="pct"/>
          </w:tcPr>
          <w:p w14:paraId="75286F8B" w14:textId="77777777" w:rsidR="00A340EE" w:rsidRPr="0047058F" w:rsidRDefault="00A340EE" w:rsidP="00BD64A6">
            <w:pPr>
              <w:pStyle w:val="TableText"/>
              <w:jc w:val="right"/>
            </w:pPr>
            <w:r w:rsidRPr="0047058F">
              <w:rPr>
                <w:rFonts w:eastAsia="Times New Roman" w:cs="Arial"/>
              </w:rPr>
              <w:t>567</w:t>
            </w:r>
          </w:p>
        </w:tc>
        <w:tc>
          <w:tcPr>
            <w:tcW w:w="393" w:type="pct"/>
          </w:tcPr>
          <w:p w14:paraId="2B4C13FE" w14:textId="77777777" w:rsidR="00A340EE" w:rsidRPr="0047058F" w:rsidRDefault="00A340EE" w:rsidP="00BD64A6">
            <w:pPr>
              <w:pStyle w:val="TableText"/>
              <w:jc w:val="right"/>
            </w:pPr>
            <w:r w:rsidRPr="0047058F">
              <w:rPr>
                <w:rFonts w:eastAsia="Times New Roman" w:cs="Arial"/>
              </w:rPr>
              <w:t>8.4</w:t>
            </w:r>
          </w:p>
        </w:tc>
        <w:tc>
          <w:tcPr>
            <w:tcW w:w="392" w:type="pct"/>
          </w:tcPr>
          <w:p w14:paraId="20A7D1B7" w14:textId="77777777" w:rsidR="00A340EE" w:rsidRPr="0047058F" w:rsidRDefault="00A340EE" w:rsidP="00BD64A6">
            <w:pPr>
              <w:pStyle w:val="TableText"/>
              <w:jc w:val="right"/>
            </w:pPr>
            <w:r w:rsidRPr="0047058F">
              <w:t>82</w:t>
            </w:r>
          </w:p>
        </w:tc>
        <w:tc>
          <w:tcPr>
            <w:tcW w:w="392" w:type="pct"/>
          </w:tcPr>
          <w:p w14:paraId="6125162C" w14:textId="77777777" w:rsidR="00A340EE" w:rsidRPr="0047058F" w:rsidRDefault="00A340EE" w:rsidP="00BD64A6">
            <w:pPr>
              <w:pStyle w:val="TableText"/>
              <w:jc w:val="right"/>
            </w:pPr>
            <w:r w:rsidRPr="0047058F">
              <w:t>3.5</w:t>
            </w:r>
          </w:p>
        </w:tc>
        <w:tc>
          <w:tcPr>
            <w:tcW w:w="555" w:type="pct"/>
          </w:tcPr>
          <w:p w14:paraId="66D074C4" w14:textId="77777777" w:rsidR="00A340EE" w:rsidRPr="0047058F" w:rsidRDefault="00A340EE" w:rsidP="00BD64A6">
            <w:pPr>
              <w:pStyle w:val="TableText"/>
              <w:jc w:val="right"/>
            </w:pPr>
            <w:r w:rsidRPr="0047058F">
              <w:rPr>
                <w:rFonts w:eastAsia="Times New Roman"/>
              </w:rPr>
              <w:t>14.5</w:t>
            </w:r>
          </w:p>
        </w:tc>
        <w:tc>
          <w:tcPr>
            <w:tcW w:w="399" w:type="pct"/>
          </w:tcPr>
          <w:p w14:paraId="661C7AC9" w14:textId="77777777" w:rsidR="00A340EE" w:rsidRPr="0047058F" w:rsidRDefault="00A340EE" w:rsidP="00BD64A6">
            <w:pPr>
              <w:pStyle w:val="TableText"/>
              <w:jc w:val="right"/>
            </w:pPr>
            <w:r w:rsidRPr="0047058F">
              <w:rPr>
                <w:rFonts w:eastAsia="Times New Roman" w:cs="Arial"/>
              </w:rPr>
              <w:t>699</w:t>
            </w:r>
          </w:p>
        </w:tc>
        <w:tc>
          <w:tcPr>
            <w:tcW w:w="400" w:type="pct"/>
          </w:tcPr>
          <w:p w14:paraId="6D9F6D53" w14:textId="77777777" w:rsidR="00A340EE" w:rsidRPr="0047058F" w:rsidRDefault="00A340EE" w:rsidP="00BD64A6">
            <w:pPr>
              <w:pStyle w:val="TableText"/>
              <w:jc w:val="right"/>
            </w:pPr>
            <w:r w:rsidRPr="0047058F">
              <w:rPr>
                <w:rFonts w:eastAsia="Times New Roman" w:cs="Arial"/>
              </w:rPr>
              <w:t>4.9</w:t>
            </w:r>
          </w:p>
        </w:tc>
        <w:tc>
          <w:tcPr>
            <w:tcW w:w="399" w:type="pct"/>
          </w:tcPr>
          <w:p w14:paraId="1831F01B" w14:textId="77777777" w:rsidR="00A340EE" w:rsidRPr="0047058F" w:rsidRDefault="00A340EE" w:rsidP="00BD64A6">
            <w:pPr>
              <w:pStyle w:val="TableText"/>
              <w:jc w:val="right"/>
            </w:pPr>
            <w:r w:rsidRPr="0047058F">
              <w:rPr>
                <w:rFonts w:eastAsia="Times New Roman" w:cs="Arial"/>
              </w:rPr>
              <w:t>156</w:t>
            </w:r>
          </w:p>
        </w:tc>
        <w:tc>
          <w:tcPr>
            <w:tcW w:w="400" w:type="pct"/>
          </w:tcPr>
          <w:p w14:paraId="4ED50576" w14:textId="77777777" w:rsidR="00A340EE" w:rsidRPr="0047058F" w:rsidRDefault="00A340EE" w:rsidP="00BD64A6">
            <w:pPr>
              <w:pStyle w:val="TableText"/>
              <w:jc w:val="right"/>
            </w:pPr>
            <w:r w:rsidRPr="0047058F">
              <w:rPr>
                <w:rFonts w:eastAsia="Times New Roman" w:cs="Arial"/>
              </w:rPr>
              <w:t>2.5</w:t>
            </w:r>
          </w:p>
        </w:tc>
        <w:tc>
          <w:tcPr>
            <w:tcW w:w="558" w:type="pct"/>
          </w:tcPr>
          <w:p w14:paraId="5D3F6EE9" w14:textId="77777777" w:rsidR="00A340EE" w:rsidRPr="0047058F" w:rsidRDefault="00A340EE" w:rsidP="00BD64A6">
            <w:pPr>
              <w:pStyle w:val="TableText"/>
              <w:jc w:val="right"/>
            </w:pPr>
            <w:r w:rsidRPr="0047058F">
              <w:rPr>
                <w:rFonts w:eastAsia="Times New Roman"/>
              </w:rPr>
              <w:t>22.3</w:t>
            </w:r>
          </w:p>
        </w:tc>
      </w:tr>
      <w:tr w:rsidR="00055107" w:rsidRPr="0047058F" w14:paraId="6A96C50F" w14:textId="77777777" w:rsidTr="00BD64A6">
        <w:trPr>
          <w:cnfStyle w:val="000000100000" w:firstRow="0" w:lastRow="0" w:firstColumn="0" w:lastColumn="0" w:oddVBand="0" w:evenVBand="0" w:oddHBand="1" w:evenHBand="0" w:firstRowFirstColumn="0" w:firstRowLastColumn="0" w:lastRowFirstColumn="0" w:lastRowLastColumn="0"/>
        </w:trPr>
        <w:tc>
          <w:tcPr>
            <w:tcW w:w="720" w:type="pct"/>
          </w:tcPr>
          <w:p w14:paraId="30AEAC0C" w14:textId="77777777" w:rsidR="00A340EE" w:rsidRPr="0047058F" w:rsidRDefault="00A340EE" w:rsidP="00BD64A6">
            <w:pPr>
              <w:pStyle w:val="TableText"/>
            </w:pPr>
            <w:r w:rsidRPr="0047058F">
              <w:t>28–37</w:t>
            </w:r>
          </w:p>
        </w:tc>
        <w:tc>
          <w:tcPr>
            <w:tcW w:w="392" w:type="pct"/>
          </w:tcPr>
          <w:p w14:paraId="380B0D85" w14:textId="77777777" w:rsidR="00A340EE" w:rsidRPr="0047058F" w:rsidRDefault="00A340EE" w:rsidP="00BD64A6">
            <w:pPr>
              <w:pStyle w:val="TableText"/>
              <w:jc w:val="right"/>
            </w:pPr>
            <w:r w:rsidRPr="0047058F">
              <w:rPr>
                <w:rFonts w:eastAsia="Times New Roman" w:cs="Arial"/>
              </w:rPr>
              <w:t>2429</w:t>
            </w:r>
          </w:p>
        </w:tc>
        <w:tc>
          <w:tcPr>
            <w:tcW w:w="393" w:type="pct"/>
          </w:tcPr>
          <w:p w14:paraId="1B1273E5" w14:textId="77777777" w:rsidR="00A340EE" w:rsidRPr="0047058F" w:rsidRDefault="00A340EE" w:rsidP="00BD64A6">
            <w:pPr>
              <w:pStyle w:val="TableText"/>
              <w:jc w:val="right"/>
            </w:pPr>
            <w:r w:rsidRPr="0047058F">
              <w:rPr>
                <w:rFonts w:eastAsia="Times New Roman" w:cs="Arial"/>
              </w:rPr>
              <w:t>35.8</w:t>
            </w:r>
          </w:p>
        </w:tc>
        <w:tc>
          <w:tcPr>
            <w:tcW w:w="392" w:type="pct"/>
          </w:tcPr>
          <w:p w14:paraId="2DF4E418" w14:textId="77777777" w:rsidR="00A340EE" w:rsidRPr="0047058F" w:rsidRDefault="00A340EE" w:rsidP="00BD64A6">
            <w:pPr>
              <w:pStyle w:val="TableText"/>
              <w:jc w:val="right"/>
            </w:pPr>
            <w:r w:rsidRPr="0047058F">
              <w:t>566</w:t>
            </w:r>
          </w:p>
        </w:tc>
        <w:tc>
          <w:tcPr>
            <w:tcW w:w="392" w:type="pct"/>
          </w:tcPr>
          <w:p w14:paraId="26DF46A2" w14:textId="77777777" w:rsidR="00A340EE" w:rsidRPr="0047058F" w:rsidRDefault="00A340EE" w:rsidP="00BD64A6">
            <w:pPr>
              <w:pStyle w:val="TableText"/>
              <w:jc w:val="right"/>
            </w:pPr>
            <w:r w:rsidRPr="0047058F">
              <w:t>24.3</w:t>
            </w:r>
          </w:p>
        </w:tc>
        <w:tc>
          <w:tcPr>
            <w:tcW w:w="555" w:type="pct"/>
          </w:tcPr>
          <w:p w14:paraId="5EA58D7D" w14:textId="77777777" w:rsidR="00A340EE" w:rsidRPr="0047058F" w:rsidRDefault="00A340EE" w:rsidP="00BD64A6">
            <w:pPr>
              <w:pStyle w:val="TableText"/>
              <w:jc w:val="right"/>
            </w:pPr>
            <w:r w:rsidRPr="0047058F">
              <w:rPr>
                <w:rFonts w:eastAsia="Times New Roman"/>
              </w:rPr>
              <w:t>23.3</w:t>
            </w:r>
          </w:p>
        </w:tc>
        <w:tc>
          <w:tcPr>
            <w:tcW w:w="399" w:type="pct"/>
          </w:tcPr>
          <w:p w14:paraId="1031F00C" w14:textId="77777777" w:rsidR="00A340EE" w:rsidRPr="0047058F" w:rsidRDefault="00A340EE" w:rsidP="00BD64A6">
            <w:pPr>
              <w:pStyle w:val="TableText"/>
              <w:jc w:val="right"/>
            </w:pPr>
            <w:r w:rsidRPr="0047058F">
              <w:rPr>
                <w:rFonts w:eastAsia="Times New Roman" w:cs="Arial"/>
              </w:rPr>
              <w:t>5056</w:t>
            </w:r>
          </w:p>
        </w:tc>
        <w:tc>
          <w:tcPr>
            <w:tcW w:w="400" w:type="pct"/>
          </w:tcPr>
          <w:p w14:paraId="66D2A498" w14:textId="77777777" w:rsidR="00A340EE" w:rsidRPr="0047058F" w:rsidRDefault="00A340EE" w:rsidP="00BD64A6">
            <w:pPr>
              <w:pStyle w:val="TableText"/>
              <w:jc w:val="right"/>
            </w:pPr>
            <w:r w:rsidRPr="0047058F">
              <w:rPr>
                <w:rFonts w:eastAsia="Times New Roman" w:cs="Arial"/>
              </w:rPr>
              <w:t>35.8</w:t>
            </w:r>
          </w:p>
        </w:tc>
        <w:tc>
          <w:tcPr>
            <w:tcW w:w="399" w:type="pct"/>
          </w:tcPr>
          <w:p w14:paraId="3A0149D0" w14:textId="77777777" w:rsidR="00A340EE" w:rsidRPr="0047058F" w:rsidRDefault="00A340EE" w:rsidP="00BD64A6">
            <w:pPr>
              <w:pStyle w:val="TableText"/>
              <w:jc w:val="right"/>
            </w:pPr>
            <w:r w:rsidRPr="0047058F">
              <w:rPr>
                <w:rFonts w:eastAsia="Times New Roman" w:cs="Arial"/>
              </w:rPr>
              <w:t>1786</w:t>
            </w:r>
          </w:p>
        </w:tc>
        <w:tc>
          <w:tcPr>
            <w:tcW w:w="400" w:type="pct"/>
          </w:tcPr>
          <w:p w14:paraId="5E798E4C" w14:textId="77777777" w:rsidR="00A340EE" w:rsidRPr="0047058F" w:rsidRDefault="00A340EE" w:rsidP="00BD64A6">
            <w:pPr>
              <w:pStyle w:val="TableText"/>
              <w:jc w:val="right"/>
            </w:pPr>
            <w:r w:rsidRPr="0047058F">
              <w:rPr>
                <w:rFonts w:eastAsia="Times New Roman" w:cs="Arial"/>
              </w:rPr>
              <w:t>29.0</w:t>
            </w:r>
          </w:p>
        </w:tc>
        <w:tc>
          <w:tcPr>
            <w:tcW w:w="558" w:type="pct"/>
          </w:tcPr>
          <w:p w14:paraId="7854DC5D" w14:textId="77777777" w:rsidR="00A340EE" w:rsidRPr="0047058F" w:rsidRDefault="00A340EE" w:rsidP="00BD64A6">
            <w:pPr>
              <w:pStyle w:val="TableText"/>
              <w:jc w:val="right"/>
            </w:pPr>
            <w:r w:rsidRPr="0047058F">
              <w:rPr>
                <w:rFonts w:eastAsia="Times New Roman"/>
              </w:rPr>
              <w:t>35.3</w:t>
            </w:r>
          </w:p>
        </w:tc>
      </w:tr>
      <w:tr w:rsidR="00055107" w:rsidRPr="0047058F" w14:paraId="507DD386" w14:textId="77777777" w:rsidTr="00BD64A6">
        <w:tc>
          <w:tcPr>
            <w:tcW w:w="720" w:type="pct"/>
          </w:tcPr>
          <w:p w14:paraId="3512B23B" w14:textId="77777777" w:rsidR="00A340EE" w:rsidRPr="0047058F" w:rsidRDefault="00A340EE" w:rsidP="00BD64A6">
            <w:pPr>
              <w:pStyle w:val="TableText"/>
            </w:pPr>
            <w:r w:rsidRPr="0047058F">
              <w:t>38–47</w:t>
            </w:r>
          </w:p>
        </w:tc>
        <w:tc>
          <w:tcPr>
            <w:tcW w:w="392" w:type="pct"/>
          </w:tcPr>
          <w:p w14:paraId="294C5CD9" w14:textId="77777777" w:rsidR="00A340EE" w:rsidRPr="0047058F" w:rsidRDefault="00A340EE" w:rsidP="00BD64A6">
            <w:pPr>
              <w:pStyle w:val="TableText"/>
              <w:jc w:val="right"/>
            </w:pPr>
            <w:r w:rsidRPr="0047058F">
              <w:rPr>
                <w:rFonts w:eastAsia="Times New Roman" w:cs="Arial"/>
              </w:rPr>
              <w:t>1795</w:t>
            </w:r>
          </w:p>
        </w:tc>
        <w:tc>
          <w:tcPr>
            <w:tcW w:w="393" w:type="pct"/>
          </w:tcPr>
          <w:p w14:paraId="7192BB62" w14:textId="77777777" w:rsidR="00A340EE" w:rsidRPr="0047058F" w:rsidRDefault="00A340EE" w:rsidP="00BD64A6">
            <w:pPr>
              <w:pStyle w:val="TableText"/>
              <w:jc w:val="right"/>
            </w:pPr>
            <w:r w:rsidRPr="0047058F">
              <w:rPr>
                <w:rFonts w:eastAsia="Times New Roman" w:cs="Arial"/>
              </w:rPr>
              <w:t>26.5</w:t>
            </w:r>
          </w:p>
        </w:tc>
        <w:tc>
          <w:tcPr>
            <w:tcW w:w="392" w:type="pct"/>
          </w:tcPr>
          <w:p w14:paraId="252B948A" w14:textId="77777777" w:rsidR="00A340EE" w:rsidRPr="0047058F" w:rsidRDefault="00A340EE" w:rsidP="00BD64A6">
            <w:pPr>
              <w:pStyle w:val="TableText"/>
              <w:jc w:val="right"/>
            </w:pPr>
            <w:r w:rsidRPr="0047058F">
              <w:t>649</w:t>
            </w:r>
          </w:p>
        </w:tc>
        <w:tc>
          <w:tcPr>
            <w:tcW w:w="392" w:type="pct"/>
          </w:tcPr>
          <w:p w14:paraId="13EE4861" w14:textId="77777777" w:rsidR="00A340EE" w:rsidRPr="0047058F" w:rsidRDefault="00A340EE" w:rsidP="00BD64A6">
            <w:pPr>
              <w:pStyle w:val="TableText"/>
              <w:jc w:val="right"/>
            </w:pPr>
            <w:r w:rsidRPr="0047058F">
              <w:t>27.8</w:t>
            </w:r>
          </w:p>
        </w:tc>
        <w:tc>
          <w:tcPr>
            <w:tcW w:w="555" w:type="pct"/>
          </w:tcPr>
          <w:p w14:paraId="375B6756" w14:textId="77777777" w:rsidR="00A340EE" w:rsidRPr="0047058F" w:rsidRDefault="00A340EE" w:rsidP="00BD64A6">
            <w:pPr>
              <w:pStyle w:val="TableText"/>
              <w:jc w:val="right"/>
            </w:pPr>
            <w:r w:rsidRPr="0047058F">
              <w:rPr>
                <w:rFonts w:eastAsia="Times New Roman"/>
              </w:rPr>
              <w:t>36.2</w:t>
            </w:r>
          </w:p>
        </w:tc>
        <w:tc>
          <w:tcPr>
            <w:tcW w:w="399" w:type="pct"/>
          </w:tcPr>
          <w:p w14:paraId="48982DA0" w14:textId="77777777" w:rsidR="00A340EE" w:rsidRPr="0047058F" w:rsidRDefault="00A340EE" w:rsidP="00BD64A6">
            <w:pPr>
              <w:pStyle w:val="TableText"/>
              <w:jc w:val="right"/>
            </w:pPr>
            <w:r w:rsidRPr="0047058F">
              <w:rPr>
                <w:rFonts w:eastAsia="Times New Roman" w:cs="Arial"/>
              </w:rPr>
              <w:t>5015</w:t>
            </w:r>
          </w:p>
        </w:tc>
        <w:tc>
          <w:tcPr>
            <w:tcW w:w="400" w:type="pct"/>
          </w:tcPr>
          <w:p w14:paraId="111B35BC" w14:textId="77777777" w:rsidR="00A340EE" w:rsidRPr="0047058F" w:rsidRDefault="00A340EE" w:rsidP="00BD64A6">
            <w:pPr>
              <w:pStyle w:val="TableText"/>
              <w:jc w:val="right"/>
            </w:pPr>
            <w:r w:rsidRPr="0047058F">
              <w:rPr>
                <w:rFonts w:eastAsia="Times New Roman" w:cs="Arial"/>
              </w:rPr>
              <w:t>35.5</w:t>
            </w:r>
          </w:p>
        </w:tc>
        <w:tc>
          <w:tcPr>
            <w:tcW w:w="399" w:type="pct"/>
          </w:tcPr>
          <w:p w14:paraId="5BE92245" w14:textId="77777777" w:rsidR="00A340EE" w:rsidRPr="0047058F" w:rsidRDefault="00A340EE" w:rsidP="00BD64A6">
            <w:pPr>
              <w:pStyle w:val="TableText"/>
              <w:jc w:val="right"/>
            </w:pPr>
            <w:r w:rsidRPr="0047058F">
              <w:rPr>
                <w:rFonts w:eastAsia="Times New Roman" w:cs="Arial"/>
              </w:rPr>
              <w:t>2348</w:t>
            </w:r>
          </w:p>
        </w:tc>
        <w:tc>
          <w:tcPr>
            <w:tcW w:w="400" w:type="pct"/>
          </w:tcPr>
          <w:p w14:paraId="19D49B05" w14:textId="77777777" w:rsidR="00A340EE" w:rsidRPr="0047058F" w:rsidRDefault="00A340EE" w:rsidP="00BD64A6">
            <w:pPr>
              <w:pStyle w:val="TableText"/>
              <w:jc w:val="right"/>
            </w:pPr>
            <w:r w:rsidRPr="0047058F">
              <w:rPr>
                <w:rFonts w:eastAsia="Times New Roman" w:cs="Arial"/>
              </w:rPr>
              <w:t>38.1</w:t>
            </w:r>
          </w:p>
        </w:tc>
        <w:tc>
          <w:tcPr>
            <w:tcW w:w="558" w:type="pct"/>
          </w:tcPr>
          <w:p w14:paraId="0C4BBC27" w14:textId="77777777" w:rsidR="00A340EE" w:rsidRPr="0047058F" w:rsidRDefault="00A340EE" w:rsidP="00BD64A6">
            <w:pPr>
              <w:pStyle w:val="TableText"/>
              <w:jc w:val="right"/>
            </w:pPr>
            <w:r w:rsidRPr="0047058F">
              <w:rPr>
                <w:rFonts w:eastAsia="Times New Roman"/>
              </w:rPr>
              <w:t>46.8</w:t>
            </w:r>
          </w:p>
        </w:tc>
      </w:tr>
      <w:tr w:rsidR="00055107" w:rsidRPr="0047058F" w14:paraId="05D65F79" w14:textId="77777777" w:rsidTr="00BD64A6">
        <w:trPr>
          <w:cnfStyle w:val="000000100000" w:firstRow="0" w:lastRow="0" w:firstColumn="0" w:lastColumn="0" w:oddVBand="0" w:evenVBand="0" w:oddHBand="1" w:evenHBand="0" w:firstRowFirstColumn="0" w:firstRowLastColumn="0" w:lastRowFirstColumn="0" w:lastRowLastColumn="0"/>
        </w:trPr>
        <w:tc>
          <w:tcPr>
            <w:tcW w:w="720" w:type="pct"/>
          </w:tcPr>
          <w:p w14:paraId="06288DBB" w14:textId="77777777" w:rsidR="00A340EE" w:rsidRPr="0047058F" w:rsidRDefault="00A340EE" w:rsidP="00BD64A6">
            <w:pPr>
              <w:pStyle w:val="TableText"/>
            </w:pPr>
            <w:r w:rsidRPr="0047058F">
              <w:t>48–57</w:t>
            </w:r>
          </w:p>
        </w:tc>
        <w:tc>
          <w:tcPr>
            <w:tcW w:w="392" w:type="pct"/>
          </w:tcPr>
          <w:p w14:paraId="5CD1EE70" w14:textId="77777777" w:rsidR="00A340EE" w:rsidRPr="0047058F" w:rsidRDefault="00A340EE" w:rsidP="00BD64A6">
            <w:pPr>
              <w:pStyle w:val="TableText"/>
              <w:jc w:val="right"/>
            </w:pPr>
            <w:r w:rsidRPr="0047058F">
              <w:rPr>
                <w:rFonts w:eastAsia="Times New Roman" w:cs="Arial"/>
              </w:rPr>
              <w:t>1252</w:t>
            </w:r>
          </w:p>
        </w:tc>
        <w:tc>
          <w:tcPr>
            <w:tcW w:w="393" w:type="pct"/>
          </w:tcPr>
          <w:p w14:paraId="7CB51EAB" w14:textId="77777777" w:rsidR="00A340EE" w:rsidRPr="0047058F" w:rsidRDefault="00A340EE" w:rsidP="00BD64A6">
            <w:pPr>
              <w:pStyle w:val="TableText"/>
              <w:jc w:val="right"/>
            </w:pPr>
            <w:r w:rsidRPr="0047058F">
              <w:rPr>
                <w:rFonts w:eastAsia="Times New Roman" w:cs="Arial"/>
              </w:rPr>
              <w:t>18.5</w:t>
            </w:r>
          </w:p>
        </w:tc>
        <w:tc>
          <w:tcPr>
            <w:tcW w:w="392" w:type="pct"/>
          </w:tcPr>
          <w:p w14:paraId="4B667A1C" w14:textId="77777777" w:rsidR="00A340EE" w:rsidRPr="0047058F" w:rsidRDefault="00A340EE" w:rsidP="00BD64A6">
            <w:pPr>
              <w:pStyle w:val="TableText"/>
              <w:jc w:val="right"/>
            </w:pPr>
            <w:r w:rsidRPr="0047058F">
              <w:t>616</w:t>
            </w:r>
          </w:p>
        </w:tc>
        <w:tc>
          <w:tcPr>
            <w:tcW w:w="392" w:type="pct"/>
          </w:tcPr>
          <w:p w14:paraId="356764E8" w14:textId="77777777" w:rsidR="00A340EE" w:rsidRPr="0047058F" w:rsidRDefault="00A340EE" w:rsidP="00BD64A6">
            <w:pPr>
              <w:pStyle w:val="TableText"/>
              <w:jc w:val="right"/>
            </w:pPr>
            <w:r w:rsidRPr="0047058F">
              <w:t>26.4</w:t>
            </w:r>
          </w:p>
        </w:tc>
        <w:tc>
          <w:tcPr>
            <w:tcW w:w="555" w:type="pct"/>
          </w:tcPr>
          <w:p w14:paraId="5A96DEDD" w14:textId="77777777" w:rsidR="00A340EE" w:rsidRPr="0047058F" w:rsidRDefault="00A340EE" w:rsidP="00BD64A6">
            <w:pPr>
              <w:pStyle w:val="TableText"/>
              <w:jc w:val="right"/>
            </w:pPr>
            <w:r w:rsidRPr="0047058F">
              <w:rPr>
                <w:rFonts w:eastAsia="Times New Roman"/>
              </w:rPr>
              <w:t>49.2</w:t>
            </w:r>
          </w:p>
        </w:tc>
        <w:tc>
          <w:tcPr>
            <w:tcW w:w="399" w:type="pct"/>
          </w:tcPr>
          <w:p w14:paraId="68F0A22B" w14:textId="77777777" w:rsidR="00A340EE" w:rsidRPr="0047058F" w:rsidRDefault="00A340EE" w:rsidP="00BD64A6">
            <w:pPr>
              <w:pStyle w:val="TableText"/>
              <w:jc w:val="right"/>
            </w:pPr>
            <w:r w:rsidRPr="0047058F">
              <w:rPr>
                <w:rFonts w:eastAsia="Times New Roman" w:cs="Arial"/>
              </w:rPr>
              <w:t>2982</w:t>
            </w:r>
          </w:p>
        </w:tc>
        <w:tc>
          <w:tcPr>
            <w:tcW w:w="400" w:type="pct"/>
          </w:tcPr>
          <w:p w14:paraId="728A3C4F" w14:textId="77777777" w:rsidR="00A340EE" w:rsidRPr="0047058F" w:rsidRDefault="00A340EE" w:rsidP="00BD64A6">
            <w:pPr>
              <w:pStyle w:val="TableText"/>
              <w:jc w:val="right"/>
            </w:pPr>
            <w:r w:rsidRPr="0047058F">
              <w:rPr>
                <w:rFonts w:eastAsia="Times New Roman" w:cs="Arial"/>
              </w:rPr>
              <w:t>21.1</w:t>
            </w:r>
          </w:p>
        </w:tc>
        <w:tc>
          <w:tcPr>
            <w:tcW w:w="399" w:type="pct"/>
          </w:tcPr>
          <w:p w14:paraId="3C38AA18" w14:textId="77777777" w:rsidR="00A340EE" w:rsidRPr="0047058F" w:rsidRDefault="00A340EE" w:rsidP="00BD64A6">
            <w:pPr>
              <w:pStyle w:val="TableText"/>
              <w:jc w:val="right"/>
            </w:pPr>
            <w:r w:rsidRPr="0047058F">
              <w:rPr>
                <w:rFonts w:eastAsia="Times New Roman" w:cs="Arial"/>
              </w:rPr>
              <w:t>1704</w:t>
            </w:r>
          </w:p>
        </w:tc>
        <w:tc>
          <w:tcPr>
            <w:tcW w:w="400" w:type="pct"/>
          </w:tcPr>
          <w:p w14:paraId="64E23D3F" w14:textId="77777777" w:rsidR="00A340EE" w:rsidRPr="0047058F" w:rsidRDefault="00A340EE" w:rsidP="00BD64A6">
            <w:pPr>
              <w:pStyle w:val="TableText"/>
              <w:jc w:val="right"/>
            </w:pPr>
            <w:r w:rsidRPr="0047058F">
              <w:rPr>
                <w:rFonts w:eastAsia="Times New Roman" w:cs="Arial"/>
              </w:rPr>
              <w:t>27.6</w:t>
            </w:r>
          </w:p>
        </w:tc>
        <w:tc>
          <w:tcPr>
            <w:tcW w:w="558" w:type="pct"/>
          </w:tcPr>
          <w:p w14:paraId="5654949E" w14:textId="77777777" w:rsidR="00A340EE" w:rsidRPr="0047058F" w:rsidRDefault="00A340EE" w:rsidP="00BD64A6">
            <w:pPr>
              <w:pStyle w:val="TableText"/>
              <w:jc w:val="right"/>
            </w:pPr>
            <w:r w:rsidRPr="0047058F">
              <w:rPr>
                <w:rFonts w:eastAsia="Times New Roman"/>
              </w:rPr>
              <w:t>57.1</w:t>
            </w:r>
          </w:p>
        </w:tc>
      </w:tr>
      <w:tr w:rsidR="00055107" w:rsidRPr="0047058F" w14:paraId="330F85CB" w14:textId="77777777" w:rsidTr="00055107">
        <w:tc>
          <w:tcPr>
            <w:tcW w:w="720" w:type="pct"/>
            <w:tcBorders>
              <w:bottom w:val="single" w:sz="4" w:space="0" w:color="000000"/>
            </w:tcBorders>
          </w:tcPr>
          <w:p w14:paraId="0C1951EB" w14:textId="77777777" w:rsidR="00A340EE" w:rsidRPr="0047058F" w:rsidRDefault="00A340EE" w:rsidP="00BD64A6">
            <w:pPr>
              <w:pStyle w:val="TableText"/>
            </w:pPr>
            <w:r w:rsidRPr="0047058F">
              <w:t>58+</w:t>
            </w:r>
          </w:p>
        </w:tc>
        <w:tc>
          <w:tcPr>
            <w:tcW w:w="392" w:type="pct"/>
            <w:tcBorders>
              <w:bottom w:val="single" w:sz="4" w:space="0" w:color="000000"/>
            </w:tcBorders>
          </w:tcPr>
          <w:p w14:paraId="4268573F" w14:textId="77777777" w:rsidR="00A340EE" w:rsidRPr="0047058F" w:rsidRDefault="00A340EE" w:rsidP="00BD64A6">
            <w:pPr>
              <w:pStyle w:val="TableText"/>
              <w:jc w:val="right"/>
            </w:pPr>
            <w:r w:rsidRPr="0047058F">
              <w:rPr>
                <w:rFonts w:eastAsia="Times New Roman" w:cs="Arial"/>
              </w:rPr>
              <w:t>707</w:t>
            </w:r>
          </w:p>
        </w:tc>
        <w:tc>
          <w:tcPr>
            <w:tcW w:w="393" w:type="pct"/>
            <w:tcBorders>
              <w:bottom w:val="single" w:sz="4" w:space="0" w:color="000000"/>
            </w:tcBorders>
          </w:tcPr>
          <w:p w14:paraId="37E7F28A" w14:textId="77777777" w:rsidR="00A340EE" w:rsidRPr="0047058F" w:rsidRDefault="00A340EE" w:rsidP="00BD64A6">
            <w:pPr>
              <w:pStyle w:val="TableText"/>
              <w:jc w:val="right"/>
            </w:pPr>
            <w:r w:rsidRPr="0047058F">
              <w:rPr>
                <w:rFonts w:eastAsia="Times New Roman" w:cs="Arial"/>
              </w:rPr>
              <w:t>10.4</w:t>
            </w:r>
          </w:p>
        </w:tc>
        <w:tc>
          <w:tcPr>
            <w:tcW w:w="392" w:type="pct"/>
            <w:tcBorders>
              <w:bottom w:val="single" w:sz="4" w:space="0" w:color="000000"/>
            </w:tcBorders>
          </w:tcPr>
          <w:p w14:paraId="58506C20" w14:textId="77777777" w:rsidR="00A340EE" w:rsidRPr="0047058F" w:rsidRDefault="00A340EE" w:rsidP="00BD64A6">
            <w:pPr>
              <w:pStyle w:val="TableText"/>
              <w:jc w:val="right"/>
            </w:pPr>
            <w:r w:rsidRPr="0047058F">
              <w:t>421</w:t>
            </w:r>
          </w:p>
        </w:tc>
        <w:tc>
          <w:tcPr>
            <w:tcW w:w="392" w:type="pct"/>
            <w:tcBorders>
              <w:bottom w:val="single" w:sz="4" w:space="0" w:color="000000"/>
            </w:tcBorders>
          </w:tcPr>
          <w:p w14:paraId="2050F938" w14:textId="77777777" w:rsidR="00A340EE" w:rsidRPr="0047058F" w:rsidRDefault="00A340EE" w:rsidP="00BD64A6">
            <w:pPr>
              <w:pStyle w:val="TableText"/>
              <w:jc w:val="right"/>
            </w:pPr>
            <w:r w:rsidRPr="0047058F">
              <w:t>18.0</w:t>
            </w:r>
          </w:p>
        </w:tc>
        <w:tc>
          <w:tcPr>
            <w:tcW w:w="555" w:type="pct"/>
            <w:tcBorders>
              <w:bottom w:val="single" w:sz="4" w:space="0" w:color="000000"/>
            </w:tcBorders>
          </w:tcPr>
          <w:p w14:paraId="5D759AE8" w14:textId="77777777" w:rsidR="00A340EE" w:rsidRPr="0047058F" w:rsidRDefault="00A340EE" w:rsidP="00BD64A6">
            <w:pPr>
              <w:pStyle w:val="TableText"/>
              <w:jc w:val="right"/>
            </w:pPr>
            <w:r w:rsidRPr="0047058F">
              <w:rPr>
                <w:rFonts w:eastAsia="Times New Roman"/>
              </w:rPr>
              <w:t>59.5</w:t>
            </w:r>
          </w:p>
        </w:tc>
        <w:tc>
          <w:tcPr>
            <w:tcW w:w="399" w:type="pct"/>
            <w:tcBorders>
              <w:bottom w:val="single" w:sz="4" w:space="0" w:color="000000"/>
            </w:tcBorders>
          </w:tcPr>
          <w:p w14:paraId="03C48DA7" w14:textId="77777777" w:rsidR="00A340EE" w:rsidRPr="0047058F" w:rsidRDefault="00A340EE" w:rsidP="00BD64A6">
            <w:pPr>
              <w:pStyle w:val="TableText"/>
              <w:jc w:val="right"/>
            </w:pPr>
            <w:r w:rsidRPr="0047058F">
              <w:rPr>
                <w:rFonts w:eastAsia="Times New Roman" w:cs="Arial"/>
              </w:rPr>
              <w:t>268</w:t>
            </w:r>
          </w:p>
        </w:tc>
        <w:tc>
          <w:tcPr>
            <w:tcW w:w="400" w:type="pct"/>
            <w:tcBorders>
              <w:bottom w:val="single" w:sz="4" w:space="0" w:color="000000"/>
            </w:tcBorders>
          </w:tcPr>
          <w:p w14:paraId="267AEB34" w14:textId="77777777" w:rsidR="00A340EE" w:rsidRPr="0047058F" w:rsidRDefault="00A340EE" w:rsidP="00BD64A6">
            <w:pPr>
              <w:pStyle w:val="TableText"/>
              <w:jc w:val="right"/>
            </w:pPr>
            <w:r w:rsidRPr="0047058F">
              <w:rPr>
                <w:rFonts w:eastAsia="Times New Roman" w:cs="Arial"/>
              </w:rPr>
              <w:t>1.9</w:t>
            </w:r>
          </w:p>
        </w:tc>
        <w:tc>
          <w:tcPr>
            <w:tcW w:w="399" w:type="pct"/>
            <w:tcBorders>
              <w:bottom w:val="single" w:sz="4" w:space="0" w:color="000000"/>
            </w:tcBorders>
          </w:tcPr>
          <w:p w14:paraId="549DF1D2" w14:textId="77777777" w:rsidR="00A340EE" w:rsidRPr="0047058F" w:rsidRDefault="00A340EE" w:rsidP="00BD64A6">
            <w:pPr>
              <w:pStyle w:val="TableText"/>
              <w:jc w:val="right"/>
            </w:pPr>
            <w:r w:rsidRPr="0047058F">
              <w:rPr>
                <w:rFonts w:eastAsia="Times New Roman" w:cs="Arial"/>
              </w:rPr>
              <w:t>169</w:t>
            </w:r>
          </w:p>
        </w:tc>
        <w:tc>
          <w:tcPr>
            <w:tcW w:w="400" w:type="pct"/>
            <w:tcBorders>
              <w:bottom w:val="single" w:sz="4" w:space="0" w:color="000000"/>
            </w:tcBorders>
          </w:tcPr>
          <w:p w14:paraId="4A52ED84" w14:textId="77777777" w:rsidR="00A340EE" w:rsidRPr="0047058F" w:rsidRDefault="00A340EE" w:rsidP="00BD64A6">
            <w:pPr>
              <w:pStyle w:val="TableText"/>
              <w:jc w:val="right"/>
            </w:pPr>
            <w:r w:rsidRPr="0047058F">
              <w:rPr>
                <w:rFonts w:eastAsia="Times New Roman" w:cs="Arial"/>
              </w:rPr>
              <w:t>2.7</w:t>
            </w:r>
          </w:p>
        </w:tc>
        <w:tc>
          <w:tcPr>
            <w:tcW w:w="558" w:type="pct"/>
            <w:tcBorders>
              <w:bottom w:val="single" w:sz="4" w:space="0" w:color="000000"/>
            </w:tcBorders>
          </w:tcPr>
          <w:p w14:paraId="6A6EADD4" w14:textId="77777777" w:rsidR="00A340EE" w:rsidRPr="0047058F" w:rsidRDefault="00A340EE" w:rsidP="00BD64A6">
            <w:pPr>
              <w:pStyle w:val="TableText"/>
              <w:jc w:val="right"/>
            </w:pPr>
            <w:r w:rsidRPr="0047058F">
              <w:rPr>
                <w:rFonts w:eastAsia="Times New Roman"/>
              </w:rPr>
              <w:t>63.1</w:t>
            </w:r>
          </w:p>
        </w:tc>
      </w:tr>
      <w:tr w:rsidR="00055107" w:rsidRPr="0047058F" w14:paraId="53CDAC64"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000000"/>
              <w:bottom w:val="nil"/>
            </w:tcBorders>
            <w:hideMark/>
          </w:tcPr>
          <w:p w14:paraId="758C862C" w14:textId="77777777" w:rsidR="00A340EE" w:rsidRPr="0047058F" w:rsidRDefault="00A340EE" w:rsidP="00BD64A6">
            <w:pPr>
              <w:pStyle w:val="TableText"/>
              <w:rPr>
                <w:b/>
              </w:rPr>
            </w:pPr>
            <w:r w:rsidRPr="0047058F">
              <w:rPr>
                <w:b/>
              </w:rPr>
              <w:t>Service</w:t>
            </w:r>
          </w:p>
        </w:tc>
        <w:tc>
          <w:tcPr>
            <w:tcW w:w="392" w:type="pct"/>
            <w:tcBorders>
              <w:top w:val="single" w:sz="4" w:space="0" w:color="000000"/>
              <w:bottom w:val="nil"/>
            </w:tcBorders>
          </w:tcPr>
          <w:p w14:paraId="2B04467D" w14:textId="77777777" w:rsidR="00A340EE" w:rsidRPr="0047058F" w:rsidRDefault="00A340EE" w:rsidP="00BD64A6">
            <w:pPr>
              <w:pStyle w:val="TableText"/>
              <w:jc w:val="right"/>
            </w:pPr>
          </w:p>
        </w:tc>
        <w:tc>
          <w:tcPr>
            <w:tcW w:w="393" w:type="pct"/>
            <w:tcBorders>
              <w:top w:val="single" w:sz="4" w:space="0" w:color="000000"/>
              <w:bottom w:val="nil"/>
            </w:tcBorders>
          </w:tcPr>
          <w:p w14:paraId="5E10F0AA" w14:textId="77777777" w:rsidR="00A340EE" w:rsidRPr="0047058F" w:rsidRDefault="00A340EE" w:rsidP="00BD64A6">
            <w:pPr>
              <w:pStyle w:val="TableText"/>
              <w:jc w:val="right"/>
            </w:pPr>
          </w:p>
        </w:tc>
        <w:tc>
          <w:tcPr>
            <w:tcW w:w="392" w:type="pct"/>
            <w:tcBorders>
              <w:top w:val="single" w:sz="4" w:space="0" w:color="000000"/>
              <w:bottom w:val="nil"/>
            </w:tcBorders>
          </w:tcPr>
          <w:p w14:paraId="4AED9FFF" w14:textId="77777777" w:rsidR="00A340EE" w:rsidRPr="0047058F" w:rsidRDefault="00A340EE" w:rsidP="00BD64A6">
            <w:pPr>
              <w:pStyle w:val="TableText"/>
              <w:jc w:val="right"/>
            </w:pPr>
          </w:p>
        </w:tc>
        <w:tc>
          <w:tcPr>
            <w:tcW w:w="392" w:type="pct"/>
            <w:tcBorders>
              <w:top w:val="single" w:sz="4" w:space="0" w:color="000000"/>
              <w:bottom w:val="nil"/>
            </w:tcBorders>
          </w:tcPr>
          <w:p w14:paraId="191FC53E" w14:textId="77777777" w:rsidR="00A340EE" w:rsidRPr="0047058F" w:rsidRDefault="00A340EE" w:rsidP="00BD64A6">
            <w:pPr>
              <w:pStyle w:val="TableText"/>
              <w:jc w:val="right"/>
            </w:pPr>
          </w:p>
        </w:tc>
        <w:tc>
          <w:tcPr>
            <w:tcW w:w="555" w:type="pct"/>
            <w:tcBorders>
              <w:top w:val="single" w:sz="4" w:space="0" w:color="000000"/>
              <w:bottom w:val="nil"/>
            </w:tcBorders>
          </w:tcPr>
          <w:p w14:paraId="72DE9990" w14:textId="77777777" w:rsidR="00A340EE" w:rsidRPr="0047058F" w:rsidRDefault="00A340EE" w:rsidP="00BD64A6">
            <w:pPr>
              <w:pStyle w:val="TableText"/>
              <w:jc w:val="right"/>
            </w:pPr>
          </w:p>
        </w:tc>
        <w:tc>
          <w:tcPr>
            <w:tcW w:w="399" w:type="pct"/>
            <w:tcBorders>
              <w:top w:val="single" w:sz="4" w:space="0" w:color="000000"/>
              <w:bottom w:val="nil"/>
            </w:tcBorders>
          </w:tcPr>
          <w:p w14:paraId="60B6126F" w14:textId="77777777" w:rsidR="00A340EE" w:rsidRPr="0047058F" w:rsidRDefault="00A340EE" w:rsidP="00BD64A6">
            <w:pPr>
              <w:pStyle w:val="TableText"/>
              <w:jc w:val="right"/>
            </w:pPr>
          </w:p>
        </w:tc>
        <w:tc>
          <w:tcPr>
            <w:tcW w:w="400" w:type="pct"/>
            <w:tcBorders>
              <w:top w:val="single" w:sz="4" w:space="0" w:color="000000"/>
              <w:bottom w:val="nil"/>
            </w:tcBorders>
          </w:tcPr>
          <w:p w14:paraId="43EE2688" w14:textId="77777777" w:rsidR="00A340EE" w:rsidRPr="0047058F" w:rsidRDefault="00A340EE" w:rsidP="00BD64A6">
            <w:pPr>
              <w:pStyle w:val="TableText"/>
              <w:jc w:val="right"/>
            </w:pPr>
          </w:p>
        </w:tc>
        <w:tc>
          <w:tcPr>
            <w:tcW w:w="399" w:type="pct"/>
            <w:tcBorders>
              <w:top w:val="single" w:sz="4" w:space="0" w:color="000000"/>
              <w:bottom w:val="nil"/>
            </w:tcBorders>
          </w:tcPr>
          <w:p w14:paraId="22491310" w14:textId="77777777" w:rsidR="00A340EE" w:rsidRPr="0047058F" w:rsidRDefault="00A340EE" w:rsidP="00BD64A6">
            <w:pPr>
              <w:pStyle w:val="TableText"/>
              <w:jc w:val="right"/>
            </w:pPr>
          </w:p>
        </w:tc>
        <w:tc>
          <w:tcPr>
            <w:tcW w:w="400" w:type="pct"/>
            <w:tcBorders>
              <w:top w:val="single" w:sz="4" w:space="0" w:color="000000"/>
              <w:bottom w:val="nil"/>
            </w:tcBorders>
          </w:tcPr>
          <w:p w14:paraId="686D169D" w14:textId="77777777" w:rsidR="00A340EE" w:rsidRPr="0047058F" w:rsidRDefault="00A340EE" w:rsidP="00BD64A6">
            <w:pPr>
              <w:pStyle w:val="TableText"/>
              <w:jc w:val="right"/>
            </w:pPr>
          </w:p>
        </w:tc>
        <w:tc>
          <w:tcPr>
            <w:tcW w:w="558" w:type="pct"/>
            <w:tcBorders>
              <w:top w:val="single" w:sz="4" w:space="0" w:color="000000"/>
              <w:bottom w:val="nil"/>
            </w:tcBorders>
          </w:tcPr>
          <w:p w14:paraId="3C098204" w14:textId="77777777" w:rsidR="00A340EE" w:rsidRPr="0047058F" w:rsidRDefault="00A340EE" w:rsidP="00BD64A6">
            <w:pPr>
              <w:pStyle w:val="TableText"/>
              <w:jc w:val="right"/>
            </w:pPr>
          </w:p>
        </w:tc>
      </w:tr>
      <w:tr w:rsidR="00055107" w:rsidRPr="0047058F" w14:paraId="66BCD882" w14:textId="77777777" w:rsidTr="00055107">
        <w:tc>
          <w:tcPr>
            <w:tcW w:w="720" w:type="pct"/>
            <w:tcBorders>
              <w:top w:val="nil"/>
            </w:tcBorders>
            <w:hideMark/>
          </w:tcPr>
          <w:p w14:paraId="145B6979" w14:textId="77777777" w:rsidR="00A340EE" w:rsidRPr="0047058F" w:rsidRDefault="00A340EE" w:rsidP="00BD64A6">
            <w:pPr>
              <w:pStyle w:val="TableText"/>
            </w:pPr>
            <w:r w:rsidRPr="0047058F">
              <w:t>Navy</w:t>
            </w:r>
          </w:p>
        </w:tc>
        <w:tc>
          <w:tcPr>
            <w:tcW w:w="392" w:type="pct"/>
            <w:tcBorders>
              <w:top w:val="nil"/>
            </w:tcBorders>
          </w:tcPr>
          <w:p w14:paraId="11EA0513" w14:textId="77777777" w:rsidR="00A340EE" w:rsidRPr="0047058F" w:rsidRDefault="00A340EE" w:rsidP="00BD64A6">
            <w:pPr>
              <w:pStyle w:val="TableText"/>
              <w:jc w:val="right"/>
            </w:pPr>
            <w:r w:rsidRPr="0047058F">
              <w:rPr>
                <w:rFonts w:eastAsia="Times New Roman" w:cs="Arial"/>
              </w:rPr>
              <w:t>1499</w:t>
            </w:r>
          </w:p>
        </w:tc>
        <w:tc>
          <w:tcPr>
            <w:tcW w:w="393" w:type="pct"/>
            <w:tcBorders>
              <w:top w:val="nil"/>
            </w:tcBorders>
          </w:tcPr>
          <w:p w14:paraId="59D173A1" w14:textId="77777777" w:rsidR="00A340EE" w:rsidRPr="0047058F" w:rsidRDefault="00A340EE" w:rsidP="00BD64A6">
            <w:pPr>
              <w:pStyle w:val="TableText"/>
              <w:jc w:val="right"/>
            </w:pPr>
            <w:r w:rsidRPr="0047058F">
              <w:rPr>
                <w:rFonts w:eastAsia="Times New Roman" w:cs="Arial"/>
              </w:rPr>
              <w:t>22.1</w:t>
            </w:r>
          </w:p>
        </w:tc>
        <w:tc>
          <w:tcPr>
            <w:tcW w:w="392" w:type="pct"/>
            <w:tcBorders>
              <w:top w:val="nil"/>
            </w:tcBorders>
          </w:tcPr>
          <w:p w14:paraId="534DDD80" w14:textId="77777777" w:rsidR="00A340EE" w:rsidRPr="0047058F" w:rsidRDefault="00A340EE" w:rsidP="00BD64A6">
            <w:pPr>
              <w:pStyle w:val="TableText"/>
              <w:jc w:val="right"/>
            </w:pPr>
            <w:r w:rsidRPr="0047058F">
              <w:t>465</w:t>
            </w:r>
          </w:p>
        </w:tc>
        <w:tc>
          <w:tcPr>
            <w:tcW w:w="392" w:type="pct"/>
            <w:tcBorders>
              <w:top w:val="nil"/>
            </w:tcBorders>
          </w:tcPr>
          <w:p w14:paraId="6D37548F" w14:textId="77777777" w:rsidR="00A340EE" w:rsidRPr="0047058F" w:rsidRDefault="00A340EE" w:rsidP="00BD64A6">
            <w:pPr>
              <w:pStyle w:val="TableText"/>
              <w:jc w:val="right"/>
            </w:pPr>
            <w:r w:rsidRPr="0047058F">
              <w:t>19.9</w:t>
            </w:r>
          </w:p>
        </w:tc>
        <w:tc>
          <w:tcPr>
            <w:tcW w:w="555" w:type="pct"/>
            <w:tcBorders>
              <w:top w:val="nil"/>
            </w:tcBorders>
          </w:tcPr>
          <w:p w14:paraId="7EB3E2B6" w14:textId="77777777" w:rsidR="00A340EE" w:rsidRPr="0047058F" w:rsidRDefault="00A340EE" w:rsidP="00BD64A6">
            <w:pPr>
              <w:pStyle w:val="TableText"/>
              <w:jc w:val="right"/>
            </w:pPr>
            <w:r w:rsidRPr="0047058F">
              <w:rPr>
                <w:rFonts w:eastAsia="Times New Roman"/>
              </w:rPr>
              <w:t>31.0</w:t>
            </w:r>
          </w:p>
        </w:tc>
        <w:tc>
          <w:tcPr>
            <w:tcW w:w="399" w:type="pct"/>
            <w:tcBorders>
              <w:top w:val="nil"/>
            </w:tcBorders>
          </w:tcPr>
          <w:p w14:paraId="560D6E8E" w14:textId="77777777" w:rsidR="00A340EE" w:rsidRPr="0047058F" w:rsidRDefault="00A340EE" w:rsidP="00BD64A6">
            <w:pPr>
              <w:pStyle w:val="TableText"/>
              <w:jc w:val="right"/>
            </w:pPr>
            <w:r w:rsidRPr="0047058F">
              <w:rPr>
                <w:rFonts w:eastAsia="Times New Roman" w:cs="Arial"/>
              </w:rPr>
              <w:t>3332</w:t>
            </w:r>
          </w:p>
        </w:tc>
        <w:tc>
          <w:tcPr>
            <w:tcW w:w="400" w:type="pct"/>
            <w:tcBorders>
              <w:top w:val="nil"/>
            </w:tcBorders>
          </w:tcPr>
          <w:p w14:paraId="5C5722F6" w14:textId="77777777" w:rsidR="00A340EE" w:rsidRPr="0047058F" w:rsidRDefault="00A340EE" w:rsidP="00BD64A6">
            <w:pPr>
              <w:pStyle w:val="TableText"/>
              <w:jc w:val="right"/>
            </w:pPr>
            <w:r w:rsidRPr="0047058F">
              <w:rPr>
                <w:rFonts w:eastAsia="Times New Roman" w:cs="Arial"/>
              </w:rPr>
              <w:t>23.6</w:t>
            </w:r>
          </w:p>
        </w:tc>
        <w:tc>
          <w:tcPr>
            <w:tcW w:w="399" w:type="pct"/>
            <w:tcBorders>
              <w:top w:val="nil"/>
            </w:tcBorders>
          </w:tcPr>
          <w:p w14:paraId="15E52E5B" w14:textId="77777777" w:rsidR="00A340EE" w:rsidRPr="0047058F" w:rsidRDefault="00A340EE" w:rsidP="00BD64A6">
            <w:pPr>
              <w:pStyle w:val="TableText"/>
              <w:jc w:val="right"/>
            </w:pPr>
            <w:r w:rsidRPr="0047058F">
              <w:t>1452</w:t>
            </w:r>
          </w:p>
        </w:tc>
        <w:tc>
          <w:tcPr>
            <w:tcW w:w="400" w:type="pct"/>
            <w:tcBorders>
              <w:top w:val="nil"/>
            </w:tcBorders>
          </w:tcPr>
          <w:p w14:paraId="14301D9F" w14:textId="77777777" w:rsidR="00A340EE" w:rsidRPr="0047058F" w:rsidRDefault="00A340EE" w:rsidP="00BD64A6">
            <w:pPr>
              <w:pStyle w:val="TableText"/>
              <w:jc w:val="right"/>
            </w:pPr>
            <w:r w:rsidRPr="0047058F">
              <w:rPr>
                <w:rFonts w:eastAsia="Times New Roman" w:cs="Arial"/>
              </w:rPr>
              <w:t>23.6</w:t>
            </w:r>
          </w:p>
        </w:tc>
        <w:tc>
          <w:tcPr>
            <w:tcW w:w="558" w:type="pct"/>
            <w:tcBorders>
              <w:top w:val="nil"/>
            </w:tcBorders>
          </w:tcPr>
          <w:p w14:paraId="14ED17F5" w14:textId="77777777" w:rsidR="00A340EE" w:rsidRPr="0047058F" w:rsidRDefault="00A340EE" w:rsidP="00BD64A6">
            <w:pPr>
              <w:pStyle w:val="TableText"/>
              <w:jc w:val="right"/>
              <w:rPr>
                <w:rFonts w:eastAsia="Times New Roman"/>
              </w:rPr>
            </w:pPr>
            <w:r w:rsidRPr="0047058F">
              <w:rPr>
                <w:rFonts w:eastAsia="Times New Roman"/>
              </w:rPr>
              <w:t>43.6</w:t>
            </w:r>
          </w:p>
        </w:tc>
      </w:tr>
      <w:tr w:rsidR="00055107" w:rsidRPr="0047058F" w14:paraId="79A7C572" w14:textId="77777777" w:rsidTr="00BD64A6">
        <w:trPr>
          <w:cnfStyle w:val="000000100000" w:firstRow="0" w:lastRow="0" w:firstColumn="0" w:lastColumn="0" w:oddVBand="0" w:evenVBand="0" w:oddHBand="1" w:evenHBand="0" w:firstRowFirstColumn="0" w:firstRowLastColumn="0" w:lastRowFirstColumn="0" w:lastRowLastColumn="0"/>
        </w:trPr>
        <w:tc>
          <w:tcPr>
            <w:tcW w:w="720" w:type="pct"/>
            <w:hideMark/>
          </w:tcPr>
          <w:p w14:paraId="75CAF081" w14:textId="77777777" w:rsidR="00A340EE" w:rsidRPr="0047058F" w:rsidRDefault="00A340EE" w:rsidP="00BD64A6">
            <w:pPr>
              <w:pStyle w:val="TableText"/>
            </w:pPr>
            <w:r w:rsidRPr="0047058F">
              <w:t>Army</w:t>
            </w:r>
          </w:p>
        </w:tc>
        <w:tc>
          <w:tcPr>
            <w:tcW w:w="392" w:type="pct"/>
          </w:tcPr>
          <w:p w14:paraId="057979AE" w14:textId="77777777" w:rsidR="00A340EE" w:rsidRPr="0047058F" w:rsidRDefault="00A340EE" w:rsidP="00BD64A6">
            <w:pPr>
              <w:pStyle w:val="TableText"/>
              <w:jc w:val="right"/>
            </w:pPr>
            <w:r w:rsidRPr="0047058F">
              <w:rPr>
                <w:rFonts w:eastAsia="Times New Roman" w:cs="Arial"/>
              </w:rPr>
              <w:t>3624</w:t>
            </w:r>
          </w:p>
        </w:tc>
        <w:tc>
          <w:tcPr>
            <w:tcW w:w="393" w:type="pct"/>
          </w:tcPr>
          <w:p w14:paraId="203DC295" w14:textId="77777777" w:rsidR="00A340EE" w:rsidRPr="0047058F" w:rsidRDefault="00A340EE" w:rsidP="00BD64A6">
            <w:pPr>
              <w:pStyle w:val="TableText"/>
              <w:jc w:val="right"/>
            </w:pPr>
            <w:r w:rsidRPr="0047058F">
              <w:rPr>
                <w:rFonts w:eastAsia="Times New Roman" w:cs="Arial"/>
              </w:rPr>
              <w:t>53.5</w:t>
            </w:r>
          </w:p>
        </w:tc>
        <w:tc>
          <w:tcPr>
            <w:tcW w:w="392" w:type="pct"/>
          </w:tcPr>
          <w:p w14:paraId="7C5E94B5" w14:textId="77777777" w:rsidR="00A340EE" w:rsidRPr="0047058F" w:rsidRDefault="00A340EE" w:rsidP="00BD64A6">
            <w:pPr>
              <w:pStyle w:val="TableText"/>
              <w:jc w:val="right"/>
            </w:pPr>
            <w:r w:rsidRPr="0047058F">
              <w:t>1248</w:t>
            </w:r>
          </w:p>
        </w:tc>
        <w:tc>
          <w:tcPr>
            <w:tcW w:w="392" w:type="pct"/>
          </w:tcPr>
          <w:p w14:paraId="537BE800" w14:textId="77777777" w:rsidR="00A340EE" w:rsidRPr="0047058F" w:rsidRDefault="00A340EE" w:rsidP="00BD64A6">
            <w:pPr>
              <w:pStyle w:val="TableText"/>
              <w:jc w:val="right"/>
            </w:pPr>
            <w:r w:rsidRPr="0047058F">
              <w:t>53.5</w:t>
            </w:r>
          </w:p>
        </w:tc>
        <w:tc>
          <w:tcPr>
            <w:tcW w:w="555" w:type="pct"/>
          </w:tcPr>
          <w:p w14:paraId="538038C4" w14:textId="77777777" w:rsidR="00A340EE" w:rsidRPr="0047058F" w:rsidRDefault="00A340EE" w:rsidP="00BD64A6">
            <w:pPr>
              <w:pStyle w:val="TableText"/>
              <w:jc w:val="right"/>
            </w:pPr>
            <w:r w:rsidRPr="0047058F">
              <w:rPr>
                <w:rFonts w:eastAsia="Times New Roman"/>
              </w:rPr>
              <w:t>34.4</w:t>
            </w:r>
          </w:p>
        </w:tc>
        <w:tc>
          <w:tcPr>
            <w:tcW w:w="399" w:type="pct"/>
          </w:tcPr>
          <w:p w14:paraId="790E9F33" w14:textId="77777777" w:rsidR="00A340EE" w:rsidRPr="0047058F" w:rsidRDefault="00A340EE" w:rsidP="00BD64A6">
            <w:pPr>
              <w:pStyle w:val="TableText"/>
              <w:jc w:val="right"/>
            </w:pPr>
            <w:r w:rsidRPr="0047058F">
              <w:rPr>
                <w:rFonts w:eastAsia="Times New Roman" w:cs="Arial"/>
              </w:rPr>
              <w:t>5861</w:t>
            </w:r>
          </w:p>
        </w:tc>
        <w:tc>
          <w:tcPr>
            <w:tcW w:w="400" w:type="pct"/>
          </w:tcPr>
          <w:p w14:paraId="40FE6C3A" w14:textId="77777777" w:rsidR="00A340EE" w:rsidRPr="0047058F" w:rsidRDefault="00A340EE" w:rsidP="00BD64A6">
            <w:pPr>
              <w:pStyle w:val="TableText"/>
              <w:jc w:val="right"/>
            </w:pPr>
            <w:r w:rsidRPr="0047058F">
              <w:rPr>
                <w:rFonts w:eastAsia="Times New Roman" w:cs="Arial"/>
              </w:rPr>
              <w:t>41.5</w:t>
            </w:r>
          </w:p>
        </w:tc>
        <w:tc>
          <w:tcPr>
            <w:tcW w:w="399" w:type="pct"/>
          </w:tcPr>
          <w:p w14:paraId="7B8ABAEB" w14:textId="77777777" w:rsidR="00A340EE" w:rsidRPr="0047058F" w:rsidRDefault="00A340EE" w:rsidP="00BD64A6">
            <w:pPr>
              <w:pStyle w:val="TableText"/>
              <w:jc w:val="right"/>
            </w:pPr>
            <w:r w:rsidRPr="0047058F">
              <w:t>2599</w:t>
            </w:r>
          </w:p>
        </w:tc>
        <w:tc>
          <w:tcPr>
            <w:tcW w:w="400" w:type="pct"/>
          </w:tcPr>
          <w:p w14:paraId="1431BF03" w14:textId="77777777" w:rsidR="00A340EE" w:rsidRPr="0047058F" w:rsidRDefault="00A340EE" w:rsidP="00BD64A6">
            <w:pPr>
              <w:pStyle w:val="TableText"/>
              <w:jc w:val="right"/>
            </w:pPr>
            <w:r w:rsidRPr="0047058F">
              <w:rPr>
                <w:rFonts w:eastAsia="Times New Roman" w:cs="Arial"/>
              </w:rPr>
              <w:t>42.2</w:t>
            </w:r>
          </w:p>
        </w:tc>
        <w:tc>
          <w:tcPr>
            <w:tcW w:w="558" w:type="pct"/>
          </w:tcPr>
          <w:p w14:paraId="53799075" w14:textId="77777777" w:rsidR="00A340EE" w:rsidRPr="0047058F" w:rsidRDefault="00A340EE" w:rsidP="00BD64A6">
            <w:pPr>
              <w:pStyle w:val="TableText"/>
              <w:jc w:val="right"/>
              <w:rPr>
                <w:rFonts w:eastAsia="Times New Roman"/>
              </w:rPr>
            </w:pPr>
            <w:r w:rsidRPr="0047058F">
              <w:rPr>
                <w:rFonts w:eastAsia="Times New Roman"/>
              </w:rPr>
              <w:t>44.3</w:t>
            </w:r>
          </w:p>
        </w:tc>
      </w:tr>
      <w:tr w:rsidR="00055107" w:rsidRPr="0047058F" w14:paraId="0698C254" w14:textId="77777777" w:rsidTr="00055107">
        <w:tc>
          <w:tcPr>
            <w:tcW w:w="720" w:type="pct"/>
            <w:tcBorders>
              <w:bottom w:val="single" w:sz="4" w:space="0" w:color="000000"/>
            </w:tcBorders>
            <w:hideMark/>
          </w:tcPr>
          <w:p w14:paraId="344EAAAA" w14:textId="77777777" w:rsidR="00A340EE" w:rsidRPr="0047058F" w:rsidRDefault="00A340EE" w:rsidP="00BD64A6">
            <w:pPr>
              <w:pStyle w:val="TableText"/>
            </w:pPr>
            <w:r w:rsidRPr="0047058F">
              <w:t>Air Force</w:t>
            </w:r>
          </w:p>
        </w:tc>
        <w:tc>
          <w:tcPr>
            <w:tcW w:w="392" w:type="pct"/>
            <w:tcBorders>
              <w:bottom w:val="single" w:sz="4" w:space="0" w:color="000000"/>
            </w:tcBorders>
          </w:tcPr>
          <w:p w14:paraId="48F60629" w14:textId="77777777" w:rsidR="00A340EE" w:rsidRPr="0047058F" w:rsidRDefault="00A340EE" w:rsidP="00BD64A6">
            <w:pPr>
              <w:pStyle w:val="TableText"/>
              <w:jc w:val="right"/>
            </w:pPr>
            <w:r w:rsidRPr="0047058F">
              <w:rPr>
                <w:rFonts w:eastAsia="Times New Roman" w:cs="Arial"/>
              </w:rPr>
              <w:t>1654</w:t>
            </w:r>
          </w:p>
        </w:tc>
        <w:tc>
          <w:tcPr>
            <w:tcW w:w="393" w:type="pct"/>
            <w:tcBorders>
              <w:bottom w:val="single" w:sz="4" w:space="0" w:color="000000"/>
            </w:tcBorders>
          </w:tcPr>
          <w:p w14:paraId="21573AE6" w14:textId="77777777" w:rsidR="00A340EE" w:rsidRPr="0047058F" w:rsidRDefault="00A340EE" w:rsidP="00BD64A6">
            <w:pPr>
              <w:pStyle w:val="TableText"/>
              <w:jc w:val="right"/>
            </w:pPr>
            <w:r w:rsidRPr="0047058F">
              <w:rPr>
                <w:rFonts w:eastAsia="Times New Roman" w:cs="Arial"/>
              </w:rPr>
              <w:t>24.4</w:t>
            </w:r>
          </w:p>
        </w:tc>
        <w:tc>
          <w:tcPr>
            <w:tcW w:w="392" w:type="pct"/>
            <w:tcBorders>
              <w:bottom w:val="single" w:sz="4" w:space="0" w:color="000000"/>
            </w:tcBorders>
          </w:tcPr>
          <w:p w14:paraId="2A7B4187" w14:textId="77777777" w:rsidR="00A340EE" w:rsidRPr="0047058F" w:rsidRDefault="00A340EE" w:rsidP="00BD64A6">
            <w:pPr>
              <w:pStyle w:val="TableText"/>
              <w:jc w:val="right"/>
            </w:pPr>
            <w:r w:rsidRPr="0047058F">
              <w:t>621</w:t>
            </w:r>
          </w:p>
        </w:tc>
        <w:tc>
          <w:tcPr>
            <w:tcW w:w="392" w:type="pct"/>
            <w:tcBorders>
              <w:bottom w:val="single" w:sz="4" w:space="0" w:color="000000"/>
            </w:tcBorders>
          </w:tcPr>
          <w:p w14:paraId="558DA5D1" w14:textId="77777777" w:rsidR="00A340EE" w:rsidRPr="0047058F" w:rsidRDefault="00A340EE" w:rsidP="00BD64A6">
            <w:pPr>
              <w:pStyle w:val="TableText"/>
              <w:jc w:val="right"/>
            </w:pPr>
            <w:r w:rsidRPr="0047058F">
              <w:t>26.6</w:t>
            </w:r>
          </w:p>
        </w:tc>
        <w:tc>
          <w:tcPr>
            <w:tcW w:w="555" w:type="pct"/>
            <w:tcBorders>
              <w:bottom w:val="single" w:sz="4" w:space="0" w:color="000000"/>
            </w:tcBorders>
          </w:tcPr>
          <w:p w14:paraId="361F3199" w14:textId="77777777" w:rsidR="00A340EE" w:rsidRPr="0047058F" w:rsidRDefault="00A340EE" w:rsidP="00BD64A6">
            <w:pPr>
              <w:pStyle w:val="TableText"/>
              <w:jc w:val="right"/>
            </w:pPr>
            <w:r w:rsidRPr="0047058F">
              <w:rPr>
                <w:rFonts w:eastAsia="Times New Roman"/>
              </w:rPr>
              <w:t>37.5</w:t>
            </w:r>
          </w:p>
        </w:tc>
        <w:tc>
          <w:tcPr>
            <w:tcW w:w="399" w:type="pct"/>
            <w:tcBorders>
              <w:bottom w:val="single" w:sz="4" w:space="0" w:color="000000"/>
            </w:tcBorders>
          </w:tcPr>
          <w:p w14:paraId="65BE78EC" w14:textId="77777777" w:rsidR="00A340EE" w:rsidRPr="0047058F" w:rsidRDefault="00A340EE" w:rsidP="00BD64A6">
            <w:pPr>
              <w:pStyle w:val="TableText"/>
              <w:jc w:val="right"/>
            </w:pPr>
            <w:r w:rsidRPr="0047058F">
              <w:rPr>
                <w:rFonts w:eastAsia="Times New Roman" w:cs="Arial"/>
              </w:rPr>
              <w:t>4938</w:t>
            </w:r>
          </w:p>
        </w:tc>
        <w:tc>
          <w:tcPr>
            <w:tcW w:w="400" w:type="pct"/>
            <w:tcBorders>
              <w:bottom w:val="single" w:sz="4" w:space="0" w:color="000000"/>
            </w:tcBorders>
          </w:tcPr>
          <w:p w14:paraId="5731D45E" w14:textId="77777777" w:rsidR="00A340EE" w:rsidRPr="0047058F" w:rsidRDefault="00A340EE" w:rsidP="00BD64A6">
            <w:pPr>
              <w:pStyle w:val="TableText"/>
              <w:jc w:val="right"/>
            </w:pPr>
            <w:r w:rsidRPr="0047058F">
              <w:rPr>
                <w:rFonts w:eastAsia="Times New Roman" w:cs="Arial"/>
              </w:rPr>
              <w:t>34.9</w:t>
            </w:r>
          </w:p>
        </w:tc>
        <w:tc>
          <w:tcPr>
            <w:tcW w:w="399" w:type="pct"/>
            <w:tcBorders>
              <w:bottom w:val="single" w:sz="4" w:space="0" w:color="000000"/>
            </w:tcBorders>
          </w:tcPr>
          <w:p w14:paraId="2DAD03CC" w14:textId="77777777" w:rsidR="00A340EE" w:rsidRPr="0047058F" w:rsidRDefault="00A340EE" w:rsidP="00BD64A6">
            <w:pPr>
              <w:pStyle w:val="TableText"/>
              <w:jc w:val="right"/>
            </w:pPr>
            <w:r w:rsidRPr="0047058F">
              <w:t>2112</w:t>
            </w:r>
          </w:p>
        </w:tc>
        <w:tc>
          <w:tcPr>
            <w:tcW w:w="400" w:type="pct"/>
            <w:tcBorders>
              <w:bottom w:val="single" w:sz="4" w:space="0" w:color="000000"/>
            </w:tcBorders>
          </w:tcPr>
          <w:p w14:paraId="6177874B" w14:textId="77777777" w:rsidR="00A340EE" w:rsidRPr="0047058F" w:rsidRDefault="00A340EE" w:rsidP="00BD64A6">
            <w:pPr>
              <w:pStyle w:val="TableText"/>
              <w:jc w:val="right"/>
            </w:pPr>
            <w:r w:rsidRPr="0047058F">
              <w:rPr>
                <w:rFonts w:eastAsia="Times New Roman" w:cs="Arial"/>
              </w:rPr>
              <w:t>34.3</w:t>
            </w:r>
          </w:p>
        </w:tc>
        <w:tc>
          <w:tcPr>
            <w:tcW w:w="558" w:type="pct"/>
            <w:tcBorders>
              <w:bottom w:val="single" w:sz="4" w:space="0" w:color="000000"/>
            </w:tcBorders>
          </w:tcPr>
          <w:p w14:paraId="418E2E73" w14:textId="77777777" w:rsidR="00A340EE" w:rsidRPr="0047058F" w:rsidRDefault="00A340EE" w:rsidP="00BD64A6">
            <w:pPr>
              <w:pStyle w:val="TableText"/>
              <w:jc w:val="right"/>
              <w:rPr>
                <w:rFonts w:eastAsia="Times New Roman"/>
              </w:rPr>
            </w:pPr>
            <w:r w:rsidRPr="0047058F">
              <w:rPr>
                <w:rFonts w:eastAsia="Times New Roman"/>
              </w:rPr>
              <w:t>42.8</w:t>
            </w:r>
          </w:p>
        </w:tc>
      </w:tr>
      <w:tr w:rsidR="00055107" w:rsidRPr="0047058F" w14:paraId="78BB2F8E"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000000"/>
              <w:bottom w:val="nil"/>
            </w:tcBorders>
            <w:hideMark/>
          </w:tcPr>
          <w:p w14:paraId="2D63CE1C" w14:textId="77777777" w:rsidR="00A340EE" w:rsidRPr="0047058F" w:rsidRDefault="00A340EE" w:rsidP="00BD64A6">
            <w:pPr>
              <w:pStyle w:val="TableText"/>
              <w:rPr>
                <w:b/>
              </w:rPr>
            </w:pPr>
            <w:r w:rsidRPr="0047058F">
              <w:rPr>
                <w:b/>
              </w:rPr>
              <w:t>Sex</w:t>
            </w:r>
          </w:p>
        </w:tc>
        <w:tc>
          <w:tcPr>
            <w:tcW w:w="392" w:type="pct"/>
            <w:tcBorders>
              <w:top w:val="single" w:sz="4" w:space="0" w:color="000000"/>
              <w:bottom w:val="nil"/>
            </w:tcBorders>
          </w:tcPr>
          <w:p w14:paraId="68E6C77C" w14:textId="77777777" w:rsidR="00A340EE" w:rsidRPr="0047058F" w:rsidRDefault="00A340EE" w:rsidP="00BD64A6">
            <w:pPr>
              <w:pStyle w:val="TableText"/>
              <w:jc w:val="right"/>
            </w:pPr>
          </w:p>
        </w:tc>
        <w:tc>
          <w:tcPr>
            <w:tcW w:w="393" w:type="pct"/>
            <w:tcBorders>
              <w:top w:val="single" w:sz="4" w:space="0" w:color="000000"/>
              <w:bottom w:val="nil"/>
            </w:tcBorders>
          </w:tcPr>
          <w:p w14:paraId="787FCC8A" w14:textId="77777777" w:rsidR="00A340EE" w:rsidRPr="0047058F" w:rsidRDefault="00A340EE" w:rsidP="00BD64A6">
            <w:pPr>
              <w:pStyle w:val="TableText"/>
              <w:jc w:val="right"/>
            </w:pPr>
          </w:p>
        </w:tc>
        <w:tc>
          <w:tcPr>
            <w:tcW w:w="392" w:type="pct"/>
            <w:tcBorders>
              <w:top w:val="single" w:sz="4" w:space="0" w:color="000000"/>
              <w:bottom w:val="nil"/>
            </w:tcBorders>
          </w:tcPr>
          <w:p w14:paraId="59D6CAEF" w14:textId="77777777" w:rsidR="00A340EE" w:rsidRPr="0047058F" w:rsidRDefault="00A340EE" w:rsidP="00BD64A6">
            <w:pPr>
              <w:pStyle w:val="TableText"/>
              <w:jc w:val="right"/>
            </w:pPr>
          </w:p>
        </w:tc>
        <w:tc>
          <w:tcPr>
            <w:tcW w:w="392" w:type="pct"/>
            <w:tcBorders>
              <w:top w:val="single" w:sz="4" w:space="0" w:color="000000"/>
              <w:bottom w:val="nil"/>
            </w:tcBorders>
          </w:tcPr>
          <w:p w14:paraId="203415F5" w14:textId="77777777" w:rsidR="00A340EE" w:rsidRPr="0047058F" w:rsidRDefault="00A340EE" w:rsidP="00BD64A6">
            <w:pPr>
              <w:pStyle w:val="TableText"/>
              <w:jc w:val="right"/>
            </w:pPr>
          </w:p>
        </w:tc>
        <w:tc>
          <w:tcPr>
            <w:tcW w:w="555" w:type="pct"/>
            <w:tcBorders>
              <w:top w:val="single" w:sz="4" w:space="0" w:color="000000"/>
              <w:bottom w:val="nil"/>
            </w:tcBorders>
          </w:tcPr>
          <w:p w14:paraId="093B1766" w14:textId="77777777" w:rsidR="00A340EE" w:rsidRPr="0047058F" w:rsidRDefault="00A340EE" w:rsidP="00BD64A6">
            <w:pPr>
              <w:pStyle w:val="TableText"/>
              <w:jc w:val="right"/>
            </w:pPr>
          </w:p>
        </w:tc>
        <w:tc>
          <w:tcPr>
            <w:tcW w:w="399" w:type="pct"/>
            <w:tcBorders>
              <w:top w:val="single" w:sz="4" w:space="0" w:color="000000"/>
              <w:bottom w:val="nil"/>
            </w:tcBorders>
          </w:tcPr>
          <w:p w14:paraId="3AFD4ACB" w14:textId="77777777" w:rsidR="00A340EE" w:rsidRPr="0047058F" w:rsidRDefault="00A340EE" w:rsidP="00BD64A6">
            <w:pPr>
              <w:pStyle w:val="TableText"/>
              <w:jc w:val="right"/>
            </w:pPr>
          </w:p>
        </w:tc>
        <w:tc>
          <w:tcPr>
            <w:tcW w:w="400" w:type="pct"/>
            <w:tcBorders>
              <w:top w:val="single" w:sz="4" w:space="0" w:color="000000"/>
              <w:bottom w:val="nil"/>
            </w:tcBorders>
          </w:tcPr>
          <w:p w14:paraId="222B2411" w14:textId="77777777" w:rsidR="00A340EE" w:rsidRPr="0047058F" w:rsidRDefault="00A340EE" w:rsidP="00BD64A6">
            <w:pPr>
              <w:pStyle w:val="TableText"/>
              <w:jc w:val="right"/>
            </w:pPr>
          </w:p>
        </w:tc>
        <w:tc>
          <w:tcPr>
            <w:tcW w:w="399" w:type="pct"/>
            <w:tcBorders>
              <w:top w:val="single" w:sz="4" w:space="0" w:color="000000"/>
              <w:bottom w:val="nil"/>
            </w:tcBorders>
          </w:tcPr>
          <w:p w14:paraId="6C135D3D" w14:textId="77777777" w:rsidR="00A340EE" w:rsidRPr="0047058F" w:rsidRDefault="00A340EE" w:rsidP="00BD64A6">
            <w:pPr>
              <w:pStyle w:val="TableText"/>
              <w:jc w:val="right"/>
            </w:pPr>
          </w:p>
        </w:tc>
        <w:tc>
          <w:tcPr>
            <w:tcW w:w="400" w:type="pct"/>
            <w:tcBorders>
              <w:top w:val="single" w:sz="4" w:space="0" w:color="000000"/>
              <w:bottom w:val="nil"/>
            </w:tcBorders>
          </w:tcPr>
          <w:p w14:paraId="3DECEEC9" w14:textId="77777777" w:rsidR="00A340EE" w:rsidRPr="0047058F" w:rsidRDefault="00A340EE" w:rsidP="00BD64A6">
            <w:pPr>
              <w:pStyle w:val="TableText"/>
              <w:jc w:val="right"/>
            </w:pPr>
          </w:p>
        </w:tc>
        <w:tc>
          <w:tcPr>
            <w:tcW w:w="558" w:type="pct"/>
            <w:tcBorders>
              <w:top w:val="single" w:sz="4" w:space="0" w:color="000000"/>
              <w:bottom w:val="nil"/>
            </w:tcBorders>
          </w:tcPr>
          <w:p w14:paraId="45917826" w14:textId="77777777" w:rsidR="00A340EE" w:rsidRPr="0047058F" w:rsidRDefault="00A340EE" w:rsidP="00BD64A6">
            <w:pPr>
              <w:pStyle w:val="TableText"/>
              <w:jc w:val="right"/>
            </w:pPr>
          </w:p>
        </w:tc>
      </w:tr>
      <w:tr w:rsidR="00055107" w:rsidRPr="0047058F" w14:paraId="3129299E" w14:textId="77777777" w:rsidTr="00055107">
        <w:tc>
          <w:tcPr>
            <w:tcW w:w="720" w:type="pct"/>
            <w:tcBorders>
              <w:top w:val="nil"/>
            </w:tcBorders>
            <w:hideMark/>
          </w:tcPr>
          <w:p w14:paraId="401C4E0D" w14:textId="77777777" w:rsidR="00A340EE" w:rsidRPr="0047058F" w:rsidRDefault="00A340EE" w:rsidP="00BD64A6">
            <w:pPr>
              <w:pStyle w:val="TableText"/>
            </w:pPr>
            <w:r w:rsidRPr="0047058F">
              <w:t>Male</w:t>
            </w:r>
          </w:p>
        </w:tc>
        <w:tc>
          <w:tcPr>
            <w:tcW w:w="392" w:type="pct"/>
            <w:tcBorders>
              <w:top w:val="nil"/>
            </w:tcBorders>
          </w:tcPr>
          <w:p w14:paraId="18EB1F1E" w14:textId="77777777" w:rsidR="00A340EE" w:rsidRPr="0047058F" w:rsidRDefault="00A340EE" w:rsidP="00BD64A6">
            <w:pPr>
              <w:pStyle w:val="TableText"/>
              <w:jc w:val="right"/>
            </w:pPr>
            <w:r w:rsidRPr="0047058F">
              <w:rPr>
                <w:rFonts w:eastAsia="Times New Roman" w:cs="Arial"/>
              </w:rPr>
              <w:t>5759</w:t>
            </w:r>
          </w:p>
        </w:tc>
        <w:tc>
          <w:tcPr>
            <w:tcW w:w="393" w:type="pct"/>
            <w:tcBorders>
              <w:top w:val="nil"/>
            </w:tcBorders>
          </w:tcPr>
          <w:p w14:paraId="0F1585F0" w14:textId="77777777" w:rsidR="00A340EE" w:rsidRPr="0047058F" w:rsidRDefault="00A340EE" w:rsidP="00BD64A6">
            <w:pPr>
              <w:pStyle w:val="TableText"/>
              <w:jc w:val="right"/>
            </w:pPr>
            <w:r w:rsidRPr="0047058F">
              <w:rPr>
                <w:rFonts w:eastAsia="Times New Roman" w:cs="Arial"/>
              </w:rPr>
              <w:t>85.0</w:t>
            </w:r>
          </w:p>
        </w:tc>
        <w:tc>
          <w:tcPr>
            <w:tcW w:w="392" w:type="pct"/>
            <w:tcBorders>
              <w:top w:val="nil"/>
            </w:tcBorders>
          </w:tcPr>
          <w:p w14:paraId="47BFF8F7" w14:textId="77777777" w:rsidR="00A340EE" w:rsidRPr="0047058F" w:rsidRDefault="00A340EE" w:rsidP="00BD64A6">
            <w:pPr>
              <w:pStyle w:val="TableText"/>
              <w:jc w:val="right"/>
            </w:pPr>
            <w:r w:rsidRPr="0047058F">
              <w:t>1983</w:t>
            </w:r>
          </w:p>
        </w:tc>
        <w:tc>
          <w:tcPr>
            <w:tcW w:w="392" w:type="pct"/>
            <w:tcBorders>
              <w:top w:val="nil"/>
            </w:tcBorders>
          </w:tcPr>
          <w:p w14:paraId="2ABEFF16" w14:textId="77777777" w:rsidR="00A340EE" w:rsidRPr="0047058F" w:rsidRDefault="00A340EE" w:rsidP="00BD64A6">
            <w:pPr>
              <w:pStyle w:val="TableText"/>
              <w:jc w:val="right"/>
            </w:pPr>
            <w:r w:rsidRPr="0047058F">
              <w:rPr>
                <w:rFonts w:eastAsia="Times New Roman" w:cs="Arial"/>
              </w:rPr>
              <w:t>85.0</w:t>
            </w:r>
          </w:p>
        </w:tc>
        <w:tc>
          <w:tcPr>
            <w:tcW w:w="555" w:type="pct"/>
            <w:tcBorders>
              <w:top w:val="nil"/>
            </w:tcBorders>
          </w:tcPr>
          <w:p w14:paraId="7C4CC348" w14:textId="77777777" w:rsidR="00A340EE" w:rsidRPr="0047058F" w:rsidRDefault="00A340EE" w:rsidP="00BD64A6">
            <w:pPr>
              <w:pStyle w:val="TableText"/>
              <w:jc w:val="right"/>
            </w:pPr>
            <w:r w:rsidRPr="0047058F">
              <w:rPr>
                <w:rFonts w:eastAsia="Times New Roman"/>
              </w:rPr>
              <w:t>34.4</w:t>
            </w:r>
          </w:p>
        </w:tc>
        <w:tc>
          <w:tcPr>
            <w:tcW w:w="399" w:type="pct"/>
            <w:tcBorders>
              <w:top w:val="nil"/>
            </w:tcBorders>
          </w:tcPr>
          <w:p w14:paraId="27ECAE9F" w14:textId="77777777" w:rsidR="00A340EE" w:rsidRPr="0047058F" w:rsidRDefault="00A340EE" w:rsidP="00BD64A6">
            <w:pPr>
              <w:pStyle w:val="TableText"/>
              <w:jc w:val="right"/>
            </w:pPr>
            <w:r w:rsidRPr="0047058F">
              <w:rPr>
                <w:rFonts w:eastAsia="Times New Roman" w:cs="Arial"/>
              </w:rPr>
              <w:t>11,810</w:t>
            </w:r>
          </w:p>
        </w:tc>
        <w:tc>
          <w:tcPr>
            <w:tcW w:w="400" w:type="pct"/>
            <w:tcBorders>
              <w:top w:val="nil"/>
            </w:tcBorders>
          </w:tcPr>
          <w:p w14:paraId="3DF3E134" w14:textId="77777777" w:rsidR="00A340EE" w:rsidRPr="0047058F" w:rsidRDefault="00A340EE" w:rsidP="00BD64A6">
            <w:pPr>
              <w:pStyle w:val="TableText"/>
              <w:jc w:val="right"/>
            </w:pPr>
            <w:r w:rsidRPr="0047058F">
              <w:rPr>
                <w:rFonts w:eastAsia="Times New Roman" w:cs="Arial"/>
              </w:rPr>
              <w:t>83.6</w:t>
            </w:r>
          </w:p>
        </w:tc>
        <w:tc>
          <w:tcPr>
            <w:tcW w:w="399" w:type="pct"/>
            <w:tcBorders>
              <w:top w:val="nil"/>
            </w:tcBorders>
          </w:tcPr>
          <w:p w14:paraId="501360C1" w14:textId="77777777" w:rsidR="00A340EE" w:rsidRPr="0047058F" w:rsidRDefault="00A340EE" w:rsidP="00BD64A6">
            <w:pPr>
              <w:pStyle w:val="TableText"/>
              <w:jc w:val="right"/>
            </w:pPr>
            <w:r w:rsidRPr="0047058F">
              <w:t>5204</w:t>
            </w:r>
          </w:p>
        </w:tc>
        <w:tc>
          <w:tcPr>
            <w:tcW w:w="400" w:type="pct"/>
            <w:tcBorders>
              <w:top w:val="nil"/>
            </w:tcBorders>
          </w:tcPr>
          <w:p w14:paraId="1273B64A" w14:textId="77777777" w:rsidR="00A340EE" w:rsidRPr="0047058F" w:rsidRDefault="00A340EE" w:rsidP="00BD64A6">
            <w:pPr>
              <w:pStyle w:val="TableText"/>
              <w:jc w:val="right"/>
            </w:pPr>
            <w:r w:rsidRPr="0047058F">
              <w:rPr>
                <w:rFonts w:eastAsia="Times New Roman" w:cs="Arial"/>
              </w:rPr>
              <w:t>84.4</w:t>
            </w:r>
          </w:p>
        </w:tc>
        <w:tc>
          <w:tcPr>
            <w:tcW w:w="558" w:type="pct"/>
            <w:tcBorders>
              <w:top w:val="nil"/>
            </w:tcBorders>
          </w:tcPr>
          <w:p w14:paraId="7C24F71E" w14:textId="77777777" w:rsidR="00A340EE" w:rsidRPr="0047058F" w:rsidRDefault="00A340EE" w:rsidP="00BD64A6">
            <w:pPr>
              <w:pStyle w:val="TableText"/>
              <w:jc w:val="right"/>
              <w:rPr>
                <w:rFonts w:eastAsia="Times New Roman"/>
              </w:rPr>
            </w:pPr>
            <w:r w:rsidRPr="0047058F">
              <w:rPr>
                <w:rFonts w:eastAsia="Times New Roman"/>
              </w:rPr>
              <w:t>44.1</w:t>
            </w:r>
          </w:p>
        </w:tc>
      </w:tr>
      <w:tr w:rsidR="00055107" w:rsidRPr="0047058F" w14:paraId="0D12210C"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bottom w:val="single" w:sz="4" w:space="0" w:color="000000"/>
            </w:tcBorders>
            <w:hideMark/>
          </w:tcPr>
          <w:p w14:paraId="132E65A6" w14:textId="77777777" w:rsidR="00A340EE" w:rsidRPr="0047058F" w:rsidRDefault="00A340EE" w:rsidP="00BD64A6">
            <w:pPr>
              <w:pStyle w:val="TableText"/>
            </w:pPr>
            <w:r w:rsidRPr="0047058F">
              <w:t>Female</w:t>
            </w:r>
          </w:p>
        </w:tc>
        <w:tc>
          <w:tcPr>
            <w:tcW w:w="392" w:type="pct"/>
            <w:tcBorders>
              <w:bottom w:val="single" w:sz="4" w:space="0" w:color="000000"/>
            </w:tcBorders>
          </w:tcPr>
          <w:p w14:paraId="75FE3D36" w14:textId="77777777" w:rsidR="00A340EE" w:rsidRPr="0047058F" w:rsidRDefault="00A340EE" w:rsidP="00BD64A6">
            <w:pPr>
              <w:pStyle w:val="TableText"/>
              <w:jc w:val="right"/>
            </w:pPr>
            <w:r w:rsidRPr="0047058F">
              <w:rPr>
                <w:rFonts w:eastAsia="Times New Roman" w:cs="Arial"/>
              </w:rPr>
              <w:t>1018</w:t>
            </w:r>
          </w:p>
        </w:tc>
        <w:tc>
          <w:tcPr>
            <w:tcW w:w="393" w:type="pct"/>
            <w:tcBorders>
              <w:bottom w:val="single" w:sz="4" w:space="0" w:color="000000"/>
            </w:tcBorders>
          </w:tcPr>
          <w:p w14:paraId="357F2B64" w14:textId="77777777" w:rsidR="00A340EE" w:rsidRPr="0047058F" w:rsidRDefault="00A340EE" w:rsidP="00BD64A6">
            <w:pPr>
              <w:pStyle w:val="TableText"/>
              <w:jc w:val="right"/>
            </w:pPr>
            <w:r w:rsidRPr="0047058F">
              <w:rPr>
                <w:rFonts w:eastAsia="Times New Roman" w:cs="Arial"/>
              </w:rPr>
              <w:t>15.0</w:t>
            </w:r>
          </w:p>
        </w:tc>
        <w:tc>
          <w:tcPr>
            <w:tcW w:w="392" w:type="pct"/>
            <w:tcBorders>
              <w:bottom w:val="single" w:sz="4" w:space="0" w:color="000000"/>
            </w:tcBorders>
          </w:tcPr>
          <w:p w14:paraId="6AB06F05" w14:textId="77777777" w:rsidR="00A340EE" w:rsidRPr="0047058F" w:rsidRDefault="00A340EE" w:rsidP="00BD64A6">
            <w:pPr>
              <w:pStyle w:val="TableText"/>
              <w:jc w:val="right"/>
            </w:pPr>
            <w:r w:rsidRPr="0047058F">
              <w:t>351</w:t>
            </w:r>
          </w:p>
        </w:tc>
        <w:tc>
          <w:tcPr>
            <w:tcW w:w="392" w:type="pct"/>
            <w:tcBorders>
              <w:bottom w:val="single" w:sz="4" w:space="0" w:color="000000"/>
            </w:tcBorders>
          </w:tcPr>
          <w:p w14:paraId="0DA00EE7" w14:textId="77777777" w:rsidR="00A340EE" w:rsidRPr="0047058F" w:rsidRDefault="00A340EE" w:rsidP="00BD64A6">
            <w:pPr>
              <w:pStyle w:val="TableText"/>
              <w:jc w:val="right"/>
            </w:pPr>
            <w:r w:rsidRPr="0047058F">
              <w:rPr>
                <w:rFonts w:eastAsia="Times New Roman" w:cs="Arial"/>
              </w:rPr>
              <w:t>15.0</w:t>
            </w:r>
          </w:p>
        </w:tc>
        <w:tc>
          <w:tcPr>
            <w:tcW w:w="555" w:type="pct"/>
            <w:tcBorders>
              <w:bottom w:val="single" w:sz="4" w:space="0" w:color="000000"/>
            </w:tcBorders>
          </w:tcPr>
          <w:p w14:paraId="50685F9A" w14:textId="77777777" w:rsidR="00A340EE" w:rsidRPr="0047058F" w:rsidRDefault="00A340EE" w:rsidP="00BD64A6">
            <w:pPr>
              <w:pStyle w:val="TableText"/>
              <w:jc w:val="right"/>
            </w:pPr>
            <w:r w:rsidRPr="0047058F">
              <w:rPr>
                <w:rFonts w:eastAsia="Times New Roman"/>
              </w:rPr>
              <w:t>34.5</w:t>
            </w:r>
          </w:p>
        </w:tc>
        <w:tc>
          <w:tcPr>
            <w:tcW w:w="399" w:type="pct"/>
            <w:tcBorders>
              <w:bottom w:val="single" w:sz="4" w:space="0" w:color="000000"/>
            </w:tcBorders>
          </w:tcPr>
          <w:p w14:paraId="4F286CD0" w14:textId="77777777" w:rsidR="00A340EE" w:rsidRPr="0047058F" w:rsidRDefault="00A340EE" w:rsidP="00BD64A6">
            <w:pPr>
              <w:pStyle w:val="TableText"/>
              <w:jc w:val="right"/>
            </w:pPr>
            <w:r w:rsidRPr="0047058F">
              <w:rPr>
                <w:rFonts w:eastAsia="Times New Roman" w:cs="Arial"/>
              </w:rPr>
              <w:t>2321</w:t>
            </w:r>
          </w:p>
        </w:tc>
        <w:tc>
          <w:tcPr>
            <w:tcW w:w="400" w:type="pct"/>
            <w:tcBorders>
              <w:bottom w:val="single" w:sz="4" w:space="0" w:color="000000"/>
            </w:tcBorders>
          </w:tcPr>
          <w:p w14:paraId="5CE3478B" w14:textId="77777777" w:rsidR="00A340EE" w:rsidRPr="0047058F" w:rsidRDefault="00A340EE" w:rsidP="00BD64A6">
            <w:pPr>
              <w:pStyle w:val="TableText"/>
              <w:jc w:val="right"/>
            </w:pPr>
            <w:r w:rsidRPr="0047058F">
              <w:rPr>
                <w:rFonts w:eastAsia="Times New Roman" w:cs="Arial"/>
              </w:rPr>
              <w:t>16.4</w:t>
            </w:r>
          </w:p>
        </w:tc>
        <w:tc>
          <w:tcPr>
            <w:tcW w:w="399" w:type="pct"/>
            <w:tcBorders>
              <w:bottom w:val="single" w:sz="4" w:space="0" w:color="000000"/>
            </w:tcBorders>
          </w:tcPr>
          <w:p w14:paraId="163C937D" w14:textId="77777777" w:rsidR="00A340EE" w:rsidRPr="0047058F" w:rsidRDefault="00A340EE" w:rsidP="00BD64A6">
            <w:pPr>
              <w:pStyle w:val="TableText"/>
              <w:jc w:val="right"/>
            </w:pPr>
            <w:r w:rsidRPr="0047058F">
              <w:t>959</w:t>
            </w:r>
          </w:p>
        </w:tc>
        <w:tc>
          <w:tcPr>
            <w:tcW w:w="400" w:type="pct"/>
            <w:tcBorders>
              <w:bottom w:val="single" w:sz="4" w:space="0" w:color="000000"/>
            </w:tcBorders>
          </w:tcPr>
          <w:p w14:paraId="2CF2DCC8" w14:textId="77777777" w:rsidR="00A340EE" w:rsidRPr="0047058F" w:rsidRDefault="00A340EE" w:rsidP="00BD64A6">
            <w:pPr>
              <w:pStyle w:val="TableText"/>
              <w:jc w:val="right"/>
            </w:pPr>
            <w:r w:rsidRPr="0047058F">
              <w:rPr>
                <w:rFonts w:eastAsia="Times New Roman" w:cs="Arial"/>
              </w:rPr>
              <w:t>15.6</w:t>
            </w:r>
          </w:p>
        </w:tc>
        <w:tc>
          <w:tcPr>
            <w:tcW w:w="558" w:type="pct"/>
            <w:tcBorders>
              <w:bottom w:val="single" w:sz="4" w:space="0" w:color="000000"/>
            </w:tcBorders>
          </w:tcPr>
          <w:p w14:paraId="7C0CAB3C" w14:textId="77777777" w:rsidR="00A340EE" w:rsidRPr="0047058F" w:rsidRDefault="00A340EE" w:rsidP="00BD64A6">
            <w:pPr>
              <w:pStyle w:val="TableText"/>
              <w:jc w:val="right"/>
              <w:rPr>
                <w:rFonts w:eastAsia="Times New Roman"/>
              </w:rPr>
            </w:pPr>
            <w:r w:rsidRPr="0047058F">
              <w:rPr>
                <w:rFonts w:eastAsia="Times New Roman"/>
              </w:rPr>
              <w:t>41.3</w:t>
            </w:r>
          </w:p>
        </w:tc>
      </w:tr>
      <w:tr w:rsidR="00055107" w:rsidRPr="0047058F" w14:paraId="3EC99E76" w14:textId="77777777" w:rsidTr="00055107">
        <w:tc>
          <w:tcPr>
            <w:tcW w:w="720" w:type="pct"/>
            <w:tcBorders>
              <w:top w:val="single" w:sz="4" w:space="0" w:color="000000"/>
              <w:bottom w:val="nil"/>
            </w:tcBorders>
            <w:hideMark/>
          </w:tcPr>
          <w:p w14:paraId="0B8A93C4" w14:textId="77777777" w:rsidR="00A340EE" w:rsidRPr="0047058F" w:rsidRDefault="00A340EE" w:rsidP="00BD64A6">
            <w:pPr>
              <w:pStyle w:val="TableText"/>
              <w:rPr>
                <w:b/>
              </w:rPr>
            </w:pPr>
            <w:r w:rsidRPr="0047058F">
              <w:rPr>
                <w:b/>
              </w:rPr>
              <w:t>Rank</w:t>
            </w:r>
          </w:p>
        </w:tc>
        <w:tc>
          <w:tcPr>
            <w:tcW w:w="392" w:type="pct"/>
            <w:tcBorders>
              <w:top w:val="single" w:sz="4" w:space="0" w:color="000000"/>
              <w:bottom w:val="nil"/>
            </w:tcBorders>
          </w:tcPr>
          <w:p w14:paraId="5E5387D7" w14:textId="77777777" w:rsidR="00A340EE" w:rsidRPr="0047058F" w:rsidRDefault="00A340EE" w:rsidP="00BD64A6">
            <w:pPr>
              <w:pStyle w:val="TableText"/>
              <w:jc w:val="right"/>
            </w:pPr>
          </w:p>
        </w:tc>
        <w:tc>
          <w:tcPr>
            <w:tcW w:w="393" w:type="pct"/>
            <w:tcBorders>
              <w:top w:val="single" w:sz="4" w:space="0" w:color="000000"/>
              <w:bottom w:val="nil"/>
            </w:tcBorders>
          </w:tcPr>
          <w:p w14:paraId="458F2171" w14:textId="77777777" w:rsidR="00A340EE" w:rsidRPr="0047058F" w:rsidRDefault="00A340EE" w:rsidP="00BD64A6">
            <w:pPr>
              <w:pStyle w:val="TableText"/>
              <w:jc w:val="right"/>
            </w:pPr>
          </w:p>
        </w:tc>
        <w:tc>
          <w:tcPr>
            <w:tcW w:w="392" w:type="pct"/>
            <w:tcBorders>
              <w:top w:val="single" w:sz="4" w:space="0" w:color="000000"/>
              <w:bottom w:val="nil"/>
            </w:tcBorders>
          </w:tcPr>
          <w:p w14:paraId="1F02B9D4" w14:textId="77777777" w:rsidR="00A340EE" w:rsidRPr="0047058F" w:rsidRDefault="00A340EE" w:rsidP="00BD64A6">
            <w:pPr>
              <w:pStyle w:val="TableText"/>
              <w:jc w:val="right"/>
            </w:pPr>
          </w:p>
        </w:tc>
        <w:tc>
          <w:tcPr>
            <w:tcW w:w="392" w:type="pct"/>
            <w:tcBorders>
              <w:top w:val="single" w:sz="4" w:space="0" w:color="000000"/>
              <w:bottom w:val="nil"/>
            </w:tcBorders>
          </w:tcPr>
          <w:p w14:paraId="469FC252" w14:textId="77777777" w:rsidR="00A340EE" w:rsidRPr="0047058F" w:rsidRDefault="00A340EE" w:rsidP="00BD64A6">
            <w:pPr>
              <w:pStyle w:val="TableText"/>
              <w:jc w:val="right"/>
            </w:pPr>
          </w:p>
        </w:tc>
        <w:tc>
          <w:tcPr>
            <w:tcW w:w="555" w:type="pct"/>
            <w:tcBorders>
              <w:top w:val="single" w:sz="4" w:space="0" w:color="000000"/>
              <w:bottom w:val="nil"/>
            </w:tcBorders>
          </w:tcPr>
          <w:p w14:paraId="79EEA87D" w14:textId="77777777" w:rsidR="00A340EE" w:rsidRPr="0047058F" w:rsidRDefault="00A340EE" w:rsidP="00BD64A6">
            <w:pPr>
              <w:pStyle w:val="TableText"/>
              <w:jc w:val="right"/>
            </w:pPr>
          </w:p>
        </w:tc>
        <w:tc>
          <w:tcPr>
            <w:tcW w:w="399" w:type="pct"/>
            <w:tcBorders>
              <w:top w:val="single" w:sz="4" w:space="0" w:color="000000"/>
              <w:bottom w:val="nil"/>
            </w:tcBorders>
          </w:tcPr>
          <w:p w14:paraId="53C2C868" w14:textId="77777777" w:rsidR="00A340EE" w:rsidRPr="0047058F" w:rsidRDefault="00A340EE" w:rsidP="00BD64A6">
            <w:pPr>
              <w:pStyle w:val="TableText"/>
              <w:jc w:val="right"/>
            </w:pPr>
          </w:p>
        </w:tc>
        <w:tc>
          <w:tcPr>
            <w:tcW w:w="400" w:type="pct"/>
            <w:tcBorders>
              <w:top w:val="single" w:sz="4" w:space="0" w:color="000000"/>
              <w:bottom w:val="nil"/>
            </w:tcBorders>
          </w:tcPr>
          <w:p w14:paraId="728F2781" w14:textId="77777777" w:rsidR="00A340EE" w:rsidRPr="0047058F" w:rsidRDefault="00A340EE" w:rsidP="00BD64A6">
            <w:pPr>
              <w:pStyle w:val="TableText"/>
              <w:jc w:val="right"/>
            </w:pPr>
          </w:p>
        </w:tc>
        <w:tc>
          <w:tcPr>
            <w:tcW w:w="399" w:type="pct"/>
            <w:tcBorders>
              <w:top w:val="single" w:sz="4" w:space="0" w:color="000000"/>
              <w:bottom w:val="nil"/>
            </w:tcBorders>
          </w:tcPr>
          <w:p w14:paraId="78EB6503" w14:textId="77777777" w:rsidR="00A340EE" w:rsidRPr="0047058F" w:rsidRDefault="00A340EE" w:rsidP="00BD64A6">
            <w:pPr>
              <w:pStyle w:val="TableText"/>
              <w:jc w:val="right"/>
            </w:pPr>
          </w:p>
        </w:tc>
        <w:tc>
          <w:tcPr>
            <w:tcW w:w="400" w:type="pct"/>
            <w:tcBorders>
              <w:top w:val="single" w:sz="4" w:space="0" w:color="000000"/>
              <w:bottom w:val="nil"/>
            </w:tcBorders>
          </w:tcPr>
          <w:p w14:paraId="798F2CAE" w14:textId="77777777" w:rsidR="00A340EE" w:rsidRPr="0047058F" w:rsidRDefault="00A340EE" w:rsidP="00BD64A6">
            <w:pPr>
              <w:pStyle w:val="TableText"/>
              <w:jc w:val="right"/>
            </w:pPr>
          </w:p>
        </w:tc>
        <w:tc>
          <w:tcPr>
            <w:tcW w:w="558" w:type="pct"/>
            <w:tcBorders>
              <w:top w:val="single" w:sz="4" w:space="0" w:color="000000"/>
              <w:bottom w:val="nil"/>
            </w:tcBorders>
          </w:tcPr>
          <w:p w14:paraId="04B21483" w14:textId="77777777" w:rsidR="00A340EE" w:rsidRPr="0047058F" w:rsidRDefault="00A340EE" w:rsidP="00BD64A6">
            <w:pPr>
              <w:pStyle w:val="TableText"/>
              <w:jc w:val="right"/>
            </w:pPr>
          </w:p>
        </w:tc>
      </w:tr>
      <w:tr w:rsidR="00055107" w:rsidRPr="0047058F" w14:paraId="3D1BF0FA"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top w:val="nil"/>
            </w:tcBorders>
            <w:hideMark/>
          </w:tcPr>
          <w:p w14:paraId="57D0E989" w14:textId="23676971" w:rsidR="00A340EE" w:rsidRPr="0047058F" w:rsidRDefault="00A340EE" w:rsidP="00BD64A6">
            <w:pPr>
              <w:pStyle w:val="TableText"/>
            </w:pPr>
            <w:r w:rsidRPr="0047058F">
              <w:t>O</w:t>
            </w:r>
            <w:r w:rsidR="001C545D">
              <w:t>fficer</w:t>
            </w:r>
          </w:p>
        </w:tc>
        <w:tc>
          <w:tcPr>
            <w:tcW w:w="392" w:type="pct"/>
            <w:tcBorders>
              <w:top w:val="nil"/>
            </w:tcBorders>
          </w:tcPr>
          <w:p w14:paraId="049C105A" w14:textId="77777777" w:rsidR="00A340EE" w:rsidRPr="0047058F" w:rsidRDefault="00A340EE" w:rsidP="00BD64A6">
            <w:pPr>
              <w:pStyle w:val="TableText"/>
              <w:jc w:val="right"/>
            </w:pPr>
            <w:r w:rsidRPr="0047058F">
              <w:rPr>
                <w:rFonts w:eastAsia="Times New Roman" w:cs="Arial"/>
              </w:rPr>
              <w:t>1613</w:t>
            </w:r>
          </w:p>
        </w:tc>
        <w:tc>
          <w:tcPr>
            <w:tcW w:w="393" w:type="pct"/>
            <w:tcBorders>
              <w:top w:val="nil"/>
            </w:tcBorders>
          </w:tcPr>
          <w:p w14:paraId="722C0F87" w14:textId="77777777" w:rsidR="00A340EE" w:rsidRPr="0047058F" w:rsidRDefault="00A340EE" w:rsidP="00BD64A6">
            <w:pPr>
              <w:pStyle w:val="TableText"/>
              <w:jc w:val="right"/>
            </w:pPr>
            <w:r w:rsidRPr="0047058F">
              <w:rPr>
                <w:rFonts w:eastAsia="Times New Roman" w:cs="Arial"/>
              </w:rPr>
              <w:t>23.8</w:t>
            </w:r>
          </w:p>
        </w:tc>
        <w:tc>
          <w:tcPr>
            <w:tcW w:w="392" w:type="pct"/>
            <w:tcBorders>
              <w:top w:val="nil"/>
            </w:tcBorders>
          </w:tcPr>
          <w:p w14:paraId="1F5CAF26" w14:textId="77777777" w:rsidR="00A340EE" w:rsidRPr="0047058F" w:rsidRDefault="00A340EE" w:rsidP="00BD64A6">
            <w:pPr>
              <w:pStyle w:val="TableText"/>
              <w:jc w:val="right"/>
            </w:pPr>
            <w:r w:rsidRPr="0047058F">
              <w:t>775</w:t>
            </w:r>
          </w:p>
        </w:tc>
        <w:tc>
          <w:tcPr>
            <w:tcW w:w="392" w:type="pct"/>
            <w:tcBorders>
              <w:top w:val="nil"/>
            </w:tcBorders>
          </w:tcPr>
          <w:p w14:paraId="41B7F715" w14:textId="77777777" w:rsidR="00A340EE" w:rsidRPr="0047058F" w:rsidRDefault="00A340EE" w:rsidP="00BD64A6">
            <w:pPr>
              <w:pStyle w:val="TableText"/>
              <w:jc w:val="right"/>
            </w:pPr>
            <w:r w:rsidRPr="0047058F">
              <w:t>33.2</w:t>
            </w:r>
          </w:p>
        </w:tc>
        <w:tc>
          <w:tcPr>
            <w:tcW w:w="555" w:type="pct"/>
            <w:tcBorders>
              <w:top w:val="nil"/>
            </w:tcBorders>
          </w:tcPr>
          <w:p w14:paraId="498EB5E6" w14:textId="77777777" w:rsidR="00A340EE" w:rsidRPr="0047058F" w:rsidRDefault="00A340EE" w:rsidP="00BD64A6">
            <w:pPr>
              <w:pStyle w:val="TableText"/>
              <w:jc w:val="right"/>
            </w:pPr>
            <w:r w:rsidRPr="0047058F">
              <w:rPr>
                <w:rFonts w:eastAsia="Times New Roman"/>
              </w:rPr>
              <w:t>48.0</w:t>
            </w:r>
          </w:p>
        </w:tc>
        <w:tc>
          <w:tcPr>
            <w:tcW w:w="399" w:type="pct"/>
            <w:tcBorders>
              <w:top w:val="nil"/>
            </w:tcBorders>
          </w:tcPr>
          <w:p w14:paraId="02E50729" w14:textId="77777777" w:rsidR="00A340EE" w:rsidRPr="0047058F" w:rsidRDefault="00A340EE" w:rsidP="00BD64A6">
            <w:pPr>
              <w:pStyle w:val="TableText"/>
              <w:jc w:val="right"/>
            </w:pPr>
            <w:r w:rsidRPr="0047058F">
              <w:rPr>
                <w:rFonts w:eastAsia="Times New Roman" w:cs="Arial"/>
              </w:rPr>
              <w:t>5122</w:t>
            </w:r>
          </w:p>
        </w:tc>
        <w:tc>
          <w:tcPr>
            <w:tcW w:w="400" w:type="pct"/>
            <w:tcBorders>
              <w:top w:val="nil"/>
            </w:tcBorders>
          </w:tcPr>
          <w:p w14:paraId="275051C4" w14:textId="77777777" w:rsidR="00A340EE" w:rsidRPr="0047058F" w:rsidRDefault="00A340EE" w:rsidP="00BD64A6">
            <w:pPr>
              <w:pStyle w:val="TableText"/>
              <w:jc w:val="right"/>
            </w:pPr>
            <w:r w:rsidRPr="0047058F">
              <w:rPr>
                <w:rFonts w:eastAsia="Times New Roman" w:cs="Arial"/>
              </w:rPr>
              <w:t>36.2</w:t>
            </w:r>
          </w:p>
        </w:tc>
        <w:tc>
          <w:tcPr>
            <w:tcW w:w="399" w:type="pct"/>
            <w:tcBorders>
              <w:top w:val="nil"/>
            </w:tcBorders>
          </w:tcPr>
          <w:p w14:paraId="4F5D8394" w14:textId="77777777" w:rsidR="00A340EE" w:rsidRPr="0047058F" w:rsidRDefault="00A340EE" w:rsidP="00BD64A6">
            <w:pPr>
              <w:pStyle w:val="TableText"/>
              <w:jc w:val="right"/>
            </w:pPr>
            <w:r w:rsidRPr="0047058F">
              <w:t>2508</w:t>
            </w:r>
          </w:p>
        </w:tc>
        <w:tc>
          <w:tcPr>
            <w:tcW w:w="400" w:type="pct"/>
            <w:tcBorders>
              <w:top w:val="nil"/>
            </w:tcBorders>
          </w:tcPr>
          <w:p w14:paraId="518D9829" w14:textId="77777777" w:rsidR="00A340EE" w:rsidRPr="0047058F" w:rsidRDefault="00A340EE" w:rsidP="00BD64A6">
            <w:pPr>
              <w:pStyle w:val="TableText"/>
              <w:jc w:val="right"/>
            </w:pPr>
            <w:r w:rsidRPr="0047058F">
              <w:rPr>
                <w:rFonts w:eastAsia="Times New Roman" w:cs="Arial"/>
              </w:rPr>
              <w:t>40.7</w:t>
            </w:r>
          </w:p>
        </w:tc>
        <w:tc>
          <w:tcPr>
            <w:tcW w:w="558" w:type="pct"/>
            <w:tcBorders>
              <w:top w:val="nil"/>
            </w:tcBorders>
          </w:tcPr>
          <w:p w14:paraId="40133D1A" w14:textId="77777777" w:rsidR="00A340EE" w:rsidRPr="0047058F" w:rsidRDefault="00A340EE" w:rsidP="00BD64A6">
            <w:pPr>
              <w:pStyle w:val="TableText"/>
              <w:jc w:val="right"/>
              <w:rPr>
                <w:rFonts w:eastAsia="Times New Roman"/>
              </w:rPr>
            </w:pPr>
            <w:r w:rsidRPr="0047058F">
              <w:rPr>
                <w:rFonts w:eastAsia="Times New Roman"/>
              </w:rPr>
              <w:t>49.0</w:t>
            </w:r>
          </w:p>
        </w:tc>
      </w:tr>
      <w:tr w:rsidR="00055107" w:rsidRPr="0047058F" w14:paraId="26B79A77" w14:textId="77777777" w:rsidTr="00BD64A6">
        <w:tc>
          <w:tcPr>
            <w:tcW w:w="720" w:type="pct"/>
            <w:hideMark/>
          </w:tcPr>
          <w:p w14:paraId="73F87B30" w14:textId="77777777" w:rsidR="00A340EE" w:rsidRPr="0047058F" w:rsidRDefault="00A340EE" w:rsidP="00BD64A6">
            <w:pPr>
              <w:pStyle w:val="TableText"/>
            </w:pPr>
            <w:r w:rsidRPr="0047058F">
              <w:t>NCO</w:t>
            </w:r>
          </w:p>
        </w:tc>
        <w:tc>
          <w:tcPr>
            <w:tcW w:w="392" w:type="pct"/>
          </w:tcPr>
          <w:p w14:paraId="1E9ACE82" w14:textId="77777777" w:rsidR="00A340EE" w:rsidRPr="0047058F" w:rsidRDefault="00A340EE" w:rsidP="00BD64A6">
            <w:pPr>
              <w:pStyle w:val="TableText"/>
              <w:jc w:val="right"/>
            </w:pPr>
            <w:r w:rsidRPr="0047058F">
              <w:rPr>
                <w:rFonts w:eastAsia="Times New Roman" w:cs="Arial"/>
              </w:rPr>
              <w:t>3400</w:t>
            </w:r>
          </w:p>
        </w:tc>
        <w:tc>
          <w:tcPr>
            <w:tcW w:w="393" w:type="pct"/>
          </w:tcPr>
          <w:p w14:paraId="33F1249F" w14:textId="77777777" w:rsidR="00A340EE" w:rsidRPr="0047058F" w:rsidRDefault="00A340EE" w:rsidP="00BD64A6">
            <w:pPr>
              <w:pStyle w:val="TableText"/>
              <w:jc w:val="right"/>
            </w:pPr>
            <w:r w:rsidRPr="0047058F">
              <w:rPr>
                <w:rFonts w:eastAsia="Times New Roman" w:cs="Arial"/>
              </w:rPr>
              <w:t>50.2</w:t>
            </w:r>
          </w:p>
        </w:tc>
        <w:tc>
          <w:tcPr>
            <w:tcW w:w="392" w:type="pct"/>
          </w:tcPr>
          <w:p w14:paraId="4516C7F8" w14:textId="77777777" w:rsidR="00A340EE" w:rsidRPr="0047058F" w:rsidRDefault="00A340EE" w:rsidP="00BD64A6">
            <w:pPr>
              <w:pStyle w:val="TableText"/>
              <w:jc w:val="right"/>
            </w:pPr>
            <w:r w:rsidRPr="0047058F">
              <w:t>1274</w:t>
            </w:r>
          </w:p>
        </w:tc>
        <w:tc>
          <w:tcPr>
            <w:tcW w:w="392" w:type="pct"/>
          </w:tcPr>
          <w:p w14:paraId="160257A1" w14:textId="77777777" w:rsidR="00A340EE" w:rsidRPr="0047058F" w:rsidRDefault="00A340EE" w:rsidP="00BD64A6">
            <w:pPr>
              <w:pStyle w:val="TableText"/>
              <w:jc w:val="right"/>
            </w:pPr>
            <w:r w:rsidRPr="0047058F">
              <w:t>54.6</w:t>
            </w:r>
          </w:p>
        </w:tc>
        <w:tc>
          <w:tcPr>
            <w:tcW w:w="555" w:type="pct"/>
          </w:tcPr>
          <w:p w14:paraId="72E8697E" w14:textId="77777777" w:rsidR="00A340EE" w:rsidRPr="0047058F" w:rsidRDefault="00A340EE" w:rsidP="00BD64A6">
            <w:pPr>
              <w:pStyle w:val="TableText"/>
              <w:jc w:val="right"/>
            </w:pPr>
            <w:r w:rsidRPr="0047058F">
              <w:rPr>
                <w:rFonts w:eastAsia="Times New Roman"/>
              </w:rPr>
              <w:t>37.5</w:t>
            </w:r>
          </w:p>
        </w:tc>
        <w:tc>
          <w:tcPr>
            <w:tcW w:w="399" w:type="pct"/>
          </w:tcPr>
          <w:p w14:paraId="5923F4D8" w14:textId="77777777" w:rsidR="00A340EE" w:rsidRPr="0047058F" w:rsidRDefault="00A340EE" w:rsidP="00BD64A6">
            <w:pPr>
              <w:pStyle w:val="TableText"/>
              <w:jc w:val="right"/>
            </w:pPr>
            <w:r w:rsidRPr="0047058F">
              <w:rPr>
                <w:rFonts w:eastAsia="Times New Roman" w:cs="Arial"/>
              </w:rPr>
              <w:t>7780</w:t>
            </w:r>
          </w:p>
        </w:tc>
        <w:tc>
          <w:tcPr>
            <w:tcW w:w="400" w:type="pct"/>
          </w:tcPr>
          <w:p w14:paraId="5374D5DD" w14:textId="77777777" w:rsidR="00A340EE" w:rsidRPr="0047058F" w:rsidRDefault="00A340EE" w:rsidP="00BD64A6">
            <w:pPr>
              <w:pStyle w:val="TableText"/>
              <w:jc w:val="right"/>
            </w:pPr>
            <w:r w:rsidRPr="0047058F">
              <w:rPr>
                <w:rFonts w:eastAsia="Times New Roman" w:cs="Arial"/>
              </w:rPr>
              <w:t>55.1</w:t>
            </w:r>
          </w:p>
        </w:tc>
        <w:tc>
          <w:tcPr>
            <w:tcW w:w="399" w:type="pct"/>
          </w:tcPr>
          <w:p w14:paraId="443D5F7E" w14:textId="77777777" w:rsidR="00A340EE" w:rsidRPr="0047058F" w:rsidRDefault="00A340EE" w:rsidP="00BD64A6">
            <w:pPr>
              <w:pStyle w:val="TableText"/>
              <w:jc w:val="right"/>
            </w:pPr>
            <w:r w:rsidRPr="0047058F">
              <w:t>3364</w:t>
            </w:r>
          </w:p>
        </w:tc>
        <w:tc>
          <w:tcPr>
            <w:tcW w:w="400" w:type="pct"/>
          </w:tcPr>
          <w:p w14:paraId="0185474F" w14:textId="77777777" w:rsidR="00A340EE" w:rsidRPr="0047058F" w:rsidRDefault="00A340EE" w:rsidP="00BD64A6">
            <w:pPr>
              <w:pStyle w:val="TableText"/>
              <w:jc w:val="right"/>
            </w:pPr>
            <w:r w:rsidRPr="0047058F">
              <w:rPr>
                <w:rFonts w:eastAsia="Times New Roman" w:cs="Arial"/>
              </w:rPr>
              <w:t>54.6</w:t>
            </w:r>
          </w:p>
        </w:tc>
        <w:tc>
          <w:tcPr>
            <w:tcW w:w="558" w:type="pct"/>
          </w:tcPr>
          <w:p w14:paraId="710D4FB4" w14:textId="77777777" w:rsidR="00A340EE" w:rsidRPr="0047058F" w:rsidRDefault="00A340EE" w:rsidP="00BD64A6">
            <w:pPr>
              <w:pStyle w:val="TableText"/>
              <w:jc w:val="right"/>
              <w:rPr>
                <w:rFonts w:eastAsia="Times New Roman"/>
              </w:rPr>
            </w:pPr>
            <w:r w:rsidRPr="0047058F">
              <w:rPr>
                <w:rFonts w:eastAsia="Times New Roman"/>
              </w:rPr>
              <w:t>43.2</w:t>
            </w:r>
          </w:p>
        </w:tc>
      </w:tr>
      <w:tr w:rsidR="00055107" w:rsidRPr="0047058F" w14:paraId="6CD20BBE"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bottom w:val="single" w:sz="4" w:space="0" w:color="000000"/>
            </w:tcBorders>
            <w:hideMark/>
          </w:tcPr>
          <w:p w14:paraId="6CAD7FCD" w14:textId="77777777" w:rsidR="00A340EE" w:rsidRPr="0047058F" w:rsidRDefault="00A340EE" w:rsidP="00BD64A6">
            <w:pPr>
              <w:pStyle w:val="TableText"/>
            </w:pPr>
            <w:r w:rsidRPr="0047058F">
              <w:t>Other Ranks</w:t>
            </w:r>
          </w:p>
        </w:tc>
        <w:tc>
          <w:tcPr>
            <w:tcW w:w="392" w:type="pct"/>
            <w:tcBorders>
              <w:bottom w:val="single" w:sz="4" w:space="0" w:color="000000"/>
            </w:tcBorders>
          </w:tcPr>
          <w:p w14:paraId="570CBAA1" w14:textId="77777777" w:rsidR="00A340EE" w:rsidRPr="0047058F" w:rsidRDefault="00A340EE" w:rsidP="00BD64A6">
            <w:pPr>
              <w:pStyle w:val="TableText"/>
              <w:jc w:val="right"/>
            </w:pPr>
            <w:r w:rsidRPr="0047058F">
              <w:rPr>
                <w:rFonts w:eastAsia="Times New Roman" w:cs="Arial"/>
              </w:rPr>
              <w:t>1764</w:t>
            </w:r>
          </w:p>
        </w:tc>
        <w:tc>
          <w:tcPr>
            <w:tcW w:w="393" w:type="pct"/>
            <w:tcBorders>
              <w:bottom w:val="single" w:sz="4" w:space="0" w:color="000000"/>
            </w:tcBorders>
          </w:tcPr>
          <w:p w14:paraId="1E60A6B4" w14:textId="77777777" w:rsidR="00A340EE" w:rsidRPr="0047058F" w:rsidRDefault="00A340EE" w:rsidP="00BD64A6">
            <w:pPr>
              <w:pStyle w:val="TableText"/>
              <w:jc w:val="right"/>
            </w:pPr>
            <w:r w:rsidRPr="0047058F">
              <w:rPr>
                <w:rFonts w:eastAsia="Times New Roman" w:cs="Arial"/>
              </w:rPr>
              <w:t>26.0</w:t>
            </w:r>
          </w:p>
        </w:tc>
        <w:tc>
          <w:tcPr>
            <w:tcW w:w="392" w:type="pct"/>
            <w:tcBorders>
              <w:bottom w:val="single" w:sz="4" w:space="0" w:color="000000"/>
            </w:tcBorders>
          </w:tcPr>
          <w:p w14:paraId="7CE816A9" w14:textId="77777777" w:rsidR="00A340EE" w:rsidRPr="0047058F" w:rsidRDefault="00A340EE" w:rsidP="00BD64A6">
            <w:pPr>
              <w:pStyle w:val="TableText"/>
              <w:jc w:val="right"/>
            </w:pPr>
            <w:r w:rsidRPr="0047058F">
              <w:t>285</w:t>
            </w:r>
          </w:p>
        </w:tc>
        <w:tc>
          <w:tcPr>
            <w:tcW w:w="392" w:type="pct"/>
            <w:tcBorders>
              <w:bottom w:val="single" w:sz="4" w:space="0" w:color="000000"/>
            </w:tcBorders>
          </w:tcPr>
          <w:p w14:paraId="6EBA5856" w14:textId="77777777" w:rsidR="00A340EE" w:rsidRPr="0047058F" w:rsidRDefault="00A340EE" w:rsidP="00BD64A6">
            <w:pPr>
              <w:pStyle w:val="TableText"/>
              <w:jc w:val="right"/>
            </w:pPr>
            <w:r w:rsidRPr="0047058F">
              <w:t>12.2</w:t>
            </w:r>
          </w:p>
        </w:tc>
        <w:tc>
          <w:tcPr>
            <w:tcW w:w="555" w:type="pct"/>
            <w:tcBorders>
              <w:bottom w:val="single" w:sz="4" w:space="0" w:color="000000"/>
            </w:tcBorders>
          </w:tcPr>
          <w:p w14:paraId="7DDBE0B0" w14:textId="77777777" w:rsidR="00A340EE" w:rsidRPr="0047058F" w:rsidRDefault="00A340EE" w:rsidP="00BD64A6">
            <w:pPr>
              <w:pStyle w:val="TableText"/>
              <w:jc w:val="right"/>
            </w:pPr>
            <w:r w:rsidRPr="0047058F">
              <w:rPr>
                <w:rFonts w:eastAsia="Times New Roman"/>
              </w:rPr>
              <w:t>16.2</w:t>
            </w:r>
          </w:p>
        </w:tc>
        <w:tc>
          <w:tcPr>
            <w:tcW w:w="399" w:type="pct"/>
            <w:tcBorders>
              <w:bottom w:val="single" w:sz="4" w:space="0" w:color="000000"/>
            </w:tcBorders>
          </w:tcPr>
          <w:p w14:paraId="7747AD1B" w14:textId="77777777" w:rsidR="00A340EE" w:rsidRPr="0047058F" w:rsidRDefault="00A340EE" w:rsidP="00BD64A6">
            <w:pPr>
              <w:pStyle w:val="TableText"/>
              <w:jc w:val="right"/>
            </w:pPr>
            <w:r w:rsidRPr="0047058F">
              <w:rPr>
                <w:rFonts w:eastAsia="Times New Roman" w:cs="Arial"/>
              </w:rPr>
              <w:t>1229</w:t>
            </w:r>
          </w:p>
        </w:tc>
        <w:tc>
          <w:tcPr>
            <w:tcW w:w="400" w:type="pct"/>
            <w:tcBorders>
              <w:bottom w:val="single" w:sz="4" w:space="0" w:color="000000"/>
            </w:tcBorders>
          </w:tcPr>
          <w:p w14:paraId="13C8D7AD" w14:textId="77777777" w:rsidR="00A340EE" w:rsidRPr="0047058F" w:rsidRDefault="00A340EE" w:rsidP="00BD64A6">
            <w:pPr>
              <w:pStyle w:val="TableText"/>
              <w:jc w:val="right"/>
            </w:pPr>
            <w:r w:rsidRPr="0047058F">
              <w:rPr>
                <w:rFonts w:eastAsia="Times New Roman" w:cs="Arial"/>
              </w:rPr>
              <w:t>8.7</w:t>
            </w:r>
          </w:p>
        </w:tc>
        <w:tc>
          <w:tcPr>
            <w:tcW w:w="399" w:type="pct"/>
            <w:tcBorders>
              <w:bottom w:val="single" w:sz="4" w:space="0" w:color="000000"/>
            </w:tcBorders>
          </w:tcPr>
          <w:p w14:paraId="1B06CCDC" w14:textId="77777777" w:rsidR="00A340EE" w:rsidRPr="0047058F" w:rsidRDefault="00A340EE" w:rsidP="00BD64A6">
            <w:pPr>
              <w:pStyle w:val="TableText"/>
              <w:jc w:val="right"/>
            </w:pPr>
            <w:r w:rsidRPr="0047058F">
              <w:t>291</w:t>
            </w:r>
          </w:p>
        </w:tc>
        <w:tc>
          <w:tcPr>
            <w:tcW w:w="400" w:type="pct"/>
            <w:tcBorders>
              <w:bottom w:val="single" w:sz="4" w:space="0" w:color="000000"/>
            </w:tcBorders>
          </w:tcPr>
          <w:p w14:paraId="6EEDD28F" w14:textId="77777777" w:rsidR="00A340EE" w:rsidRPr="0047058F" w:rsidRDefault="00A340EE" w:rsidP="00BD64A6">
            <w:pPr>
              <w:pStyle w:val="TableText"/>
              <w:jc w:val="right"/>
            </w:pPr>
            <w:r w:rsidRPr="0047058F">
              <w:rPr>
                <w:rFonts w:eastAsia="Times New Roman" w:cs="Arial"/>
              </w:rPr>
              <w:t>4.7</w:t>
            </w:r>
          </w:p>
        </w:tc>
        <w:tc>
          <w:tcPr>
            <w:tcW w:w="558" w:type="pct"/>
            <w:tcBorders>
              <w:bottom w:val="single" w:sz="4" w:space="0" w:color="000000"/>
            </w:tcBorders>
          </w:tcPr>
          <w:p w14:paraId="34B3B275" w14:textId="77777777" w:rsidR="00A340EE" w:rsidRPr="0047058F" w:rsidRDefault="00A340EE" w:rsidP="00BD64A6">
            <w:pPr>
              <w:pStyle w:val="TableText"/>
              <w:jc w:val="right"/>
              <w:rPr>
                <w:rFonts w:eastAsia="Times New Roman"/>
              </w:rPr>
            </w:pPr>
            <w:r w:rsidRPr="0047058F">
              <w:rPr>
                <w:rFonts w:eastAsia="Times New Roman"/>
              </w:rPr>
              <w:t>23.7</w:t>
            </w:r>
          </w:p>
        </w:tc>
      </w:tr>
      <w:tr w:rsidR="00055107" w:rsidRPr="0047058F" w14:paraId="542A028E" w14:textId="77777777" w:rsidTr="00055107">
        <w:tc>
          <w:tcPr>
            <w:tcW w:w="720" w:type="pct"/>
            <w:tcBorders>
              <w:top w:val="single" w:sz="4" w:space="0" w:color="000000"/>
              <w:bottom w:val="nil"/>
            </w:tcBorders>
          </w:tcPr>
          <w:p w14:paraId="51195EAD" w14:textId="77777777" w:rsidR="00A340EE" w:rsidRPr="0047058F" w:rsidRDefault="00A340EE" w:rsidP="00BD64A6">
            <w:pPr>
              <w:pStyle w:val="TableText"/>
              <w:rPr>
                <w:b/>
              </w:rPr>
            </w:pPr>
            <w:r w:rsidRPr="0047058F">
              <w:rPr>
                <w:b/>
              </w:rPr>
              <w:t>Medical fitness</w:t>
            </w:r>
            <w:r w:rsidRPr="0047058F">
              <w:rPr>
                <w:b/>
                <w:vertAlign w:val="superscript"/>
              </w:rPr>
              <w:t>#</w:t>
            </w:r>
          </w:p>
        </w:tc>
        <w:tc>
          <w:tcPr>
            <w:tcW w:w="392" w:type="pct"/>
            <w:tcBorders>
              <w:top w:val="single" w:sz="4" w:space="0" w:color="000000"/>
              <w:bottom w:val="nil"/>
            </w:tcBorders>
          </w:tcPr>
          <w:p w14:paraId="5551E6FE" w14:textId="77777777" w:rsidR="00A340EE" w:rsidRPr="0047058F" w:rsidRDefault="00A340EE" w:rsidP="00BD64A6">
            <w:pPr>
              <w:pStyle w:val="TableText"/>
              <w:jc w:val="right"/>
            </w:pPr>
          </w:p>
        </w:tc>
        <w:tc>
          <w:tcPr>
            <w:tcW w:w="393" w:type="pct"/>
            <w:tcBorders>
              <w:top w:val="single" w:sz="4" w:space="0" w:color="000000"/>
              <w:bottom w:val="nil"/>
            </w:tcBorders>
          </w:tcPr>
          <w:p w14:paraId="42177770" w14:textId="77777777" w:rsidR="00A340EE" w:rsidRPr="0047058F" w:rsidRDefault="00A340EE" w:rsidP="00BD64A6">
            <w:pPr>
              <w:pStyle w:val="TableText"/>
              <w:jc w:val="right"/>
            </w:pPr>
          </w:p>
        </w:tc>
        <w:tc>
          <w:tcPr>
            <w:tcW w:w="392" w:type="pct"/>
            <w:tcBorders>
              <w:top w:val="single" w:sz="4" w:space="0" w:color="000000"/>
              <w:bottom w:val="nil"/>
            </w:tcBorders>
          </w:tcPr>
          <w:p w14:paraId="194DE360" w14:textId="77777777" w:rsidR="00A340EE" w:rsidRPr="0047058F" w:rsidRDefault="00A340EE" w:rsidP="00BD64A6">
            <w:pPr>
              <w:pStyle w:val="TableText"/>
              <w:jc w:val="right"/>
            </w:pPr>
          </w:p>
        </w:tc>
        <w:tc>
          <w:tcPr>
            <w:tcW w:w="392" w:type="pct"/>
            <w:tcBorders>
              <w:top w:val="single" w:sz="4" w:space="0" w:color="000000"/>
              <w:bottom w:val="nil"/>
            </w:tcBorders>
          </w:tcPr>
          <w:p w14:paraId="5C188BA0" w14:textId="77777777" w:rsidR="00A340EE" w:rsidRPr="0047058F" w:rsidRDefault="00A340EE" w:rsidP="00BD64A6">
            <w:pPr>
              <w:pStyle w:val="TableText"/>
              <w:jc w:val="right"/>
            </w:pPr>
          </w:p>
        </w:tc>
        <w:tc>
          <w:tcPr>
            <w:tcW w:w="555" w:type="pct"/>
            <w:tcBorders>
              <w:top w:val="single" w:sz="4" w:space="0" w:color="000000"/>
              <w:bottom w:val="nil"/>
            </w:tcBorders>
          </w:tcPr>
          <w:p w14:paraId="34B16A58" w14:textId="77777777" w:rsidR="00A340EE" w:rsidRPr="0047058F" w:rsidRDefault="00A340EE" w:rsidP="00BD64A6">
            <w:pPr>
              <w:pStyle w:val="TableText"/>
              <w:jc w:val="right"/>
            </w:pPr>
          </w:p>
        </w:tc>
        <w:tc>
          <w:tcPr>
            <w:tcW w:w="399" w:type="pct"/>
            <w:tcBorders>
              <w:top w:val="single" w:sz="4" w:space="0" w:color="000000"/>
              <w:bottom w:val="nil"/>
            </w:tcBorders>
          </w:tcPr>
          <w:p w14:paraId="1549770E" w14:textId="77777777" w:rsidR="00A340EE" w:rsidRPr="0047058F" w:rsidRDefault="00A340EE" w:rsidP="00BD64A6">
            <w:pPr>
              <w:pStyle w:val="TableText"/>
              <w:jc w:val="right"/>
            </w:pPr>
          </w:p>
        </w:tc>
        <w:tc>
          <w:tcPr>
            <w:tcW w:w="400" w:type="pct"/>
            <w:tcBorders>
              <w:top w:val="single" w:sz="4" w:space="0" w:color="000000"/>
              <w:bottom w:val="nil"/>
            </w:tcBorders>
          </w:tcPr>
          <w:p w14:paraId="3E6919B2" w14:textId="77777777" w:rsidR="00A340EE" w:rsidRPr="0047058F" w:rsidRDefault="00A340EE" w:rsidP="00BD64A6">
            <w:pPr>
              <w:pStyle w:val="TableText"/>
              <w:jc w:val="right"/>
            </w:pPr>
          </w:p>
        </w:tc>
        <w:tc>
          <w:tcPr>
            <w:tcW w:w="399" w:type="pct"/>
            <w:tcBorders>
              <w:top w:val="single" w:sz="4" w:space="0" w:color="000000"/>
              <w:bottom w:val="nil"/>
            </w:tcBorders>
          </w:tcPr>
          <w:p w14:paraId="610B91B0" w14:textId="77777777" w:rsidR="00A340EE" w:rsidRPr="0047058F" w:rsidRDefault="00A340EE" w:rsidP="00BD64A6">
            <w:pPr>
              <w:pStyle w:val="TableText"/>
              <w:jc w:val="right"/>
            </w:pPr>
          </w:p>
        </w:tc>
        <w:tc>
          <w:tcPr>
            <w:tcW w:w="400" w:type="pct"/>
            <w:tcBorders>
              <w:top w:val="single" w:sz="4" w:space="0" w:color="000000"/>
              <w:bottom w:val="nil"/>
            </w:tcBorders>
          </w:tcPr>
          <w:p w14:paraId="13E0E67B" w14:textId="77777777" w:rsidR="00A340EE" w:rsidRPr="0047058F" w:rsidRDefault="00A340EE" w:rsidP="00BD64A6">
            <w:pPr>
              <w:pStyle w:val="TableText"/>
              <w:jc w:val="right"/>
            </w:pPr>
          </w:p>
        </w:tc>
        <w:tc>
          <w:tcPr>
            <w:tcW w:w="558" w:type="pct"/>
            <w:tcBorders>
              <w:top w:val="single" w:sz="4" w:space="0" w:color="000000"/>
              <w:bottom w:val="nil"/>
            </w:tcBorders>
          </w:tcPr>
          <w:p w14:paraId="35F6B27C" w14:textId="77777777" w:rsidR="00A340EE" w:rsidRPr="0047058F" w:rsidRDefault="00A340EE" w:rsidP="00BD64A6">
            <w:pPr>
              <w:pStyle w:val="TableText"/>
              <w:jc w:val="right"/>
            </w:pPr>
          </w:p>
        </w:tc>
      </w:tr>
      <w:tr w:rsidR="00055107" w:rsidRPr="0047058F" w14:paraId="05795FEF"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top w:val="nil"/>
            </w:tcBorders>
            <w:hideMark/>
          </w:tcPr>
          <w:p w14:paraId="6AB0F4AC" w14:textId="77777777" w:rsidR="00A340EE" w:rsidRPr="0047058F" w:rsidRDefault="00A340EE" w:rsidP="00BD64A6">
            <w:pPr>
              <w:pStyle w:val="TableText"/>
            </w:pPr>
            <w:r w:rsidRPr="0047058F">
              <w:t>Fit</w:t>
            </w:r>
          </w:p>
        </w:tc>
        <w:tc>
          <w:tcPr>
            <w:tcW w:w="392" w:type="pct"/>
            <w:tcBorders>
              <w:top w:val="nil"/>
            </w:tcBorders>
          </w:tcPr>
          <w:p w14:paraId="21A76AB0" w14:textId="77777777" w:rsidR="00A340EE" w:rsidRPr="0047058F" w:rsidRDefault="00A340EE" w:rsidP="00BD64A6">
            <w:pPr>
              <w:pStyle w:val="TableText"/>
              <w:jc w:val="right"/>
            </w:pPr>
            <w:r w:rsidRPr="0047058F">
              <w:rPr>
                <w:rFonts w:eastAsia="Times New Roman" w:cs="Arial"/>
              </w:rPr>
              <w:t>4752</w:t>
            </w:r>
          </w:p>
        </w:tc>
        <w:tc>
          <w:tcPr>
            <w:tcW w:w="393" w:type="pct"/>
            <w:tcBorders>
              <w:top w:val="nil"/>
            </w:tcBorders>
          </w:tcPr>
          <w:p w14:paraId="2EB4B39C" w14:textId="77777777" w:rsidR="00A340EE" w:rsidRPr="0047058F" w:rsidRDefault="00A340EE" w:rsidP="00BD64A6">
            <w:pPr>
              <w:pStyle w:val="TableText"/>
              <w:jc w:val="right"/>
            </w:pPr>
            <w:r w:rsidRPr="0047058F">
              <w:rPr>
                <w:rFonts w:eastAsia="Times New Roman" w:cs="Arial"/>
              </w:rPr>
              <w:t>70.1</w:t>
            </w:r>
          </w:p>
        </w:tc>
        <w:tc>
          <w:tcPr>
            <w:tcW w:w="392" w:type="pct"/>
            <w:tcBorders>
              <w:top w:val="nil"/>
            </w:tcBorders>
          </w:tcPr>
          <w:p w14:paraId="655B410F" w14:textId="77777777" w:rsidR="00A340EE" w:rsidRPr="0047058F" w:rsidRDefault="00A340EE" w:rsidP="00BD64A6">
            <w:pPr>
              <w:pStyle w:val="TableText"/>
              <w:jc w:val="right"/>
            </w:pPr>
            <w:r w:rsidRPr="0047058F">
              <w:t>1638</w:t>
            </w:r>
          </w:p>
        </w:tc>
        <w:tc>
          <w:tcPr>
            <w:tcW w:w="392" w:type="pct"/>
            <w:tcBorders>
              <w:top w:val="nil"/>
            </w:tcBorders>
          </w:tcPr>
          <w:p w14:paraId="78DBD109" w14:textId="77777777" w:rsidR="00A340EE" w:rsidRPr="0047058F" w:rsidRDefault="00A340EE" w:rsidP="00BD64A6">
            <w:pPr>
              <w:pStyle w:val="TableText"/>
              <w:jc w:val="right"/>
            </w:pPr>
            <w:r w:rsidRPr="0047058F">
              <w:t>70.2</w:t>
            </w:r>
          </w:p>
        </w:tc>
        <w:tc>
          <w:tcPr>
            <w:tcW w:w="555" w:type="pct"/>
            <w:tcBorders>
              <w:top w:val="nil"/>
            </w:tcBorders>
          </w:tcPr>
          <w:p w14:paraId="23EF3863" w14:textId="77777777" w:rsidR="00A340EE" w:rsidRPr="0047058F" w:rsidRDefault="00A340EE" w:rsidP="00BD64A6">
            <w:pPr>
              <w:pStyle w:val="TableText"/>
              <w:jc w:val="right"/>
            </w:pPr>
            <w:r w:rsidRPr="0047058F">
              <w:rPr>
                <w:rFonts w:eastAsia="Times New Roman"/>
              </w:rPr>
              <w:t>34.5</w:t>
            </w:r>
          </w:p>
        </w:tc>
        <w:tc>
          <w:tcPr>
            <w:tcW w:w="399" w:type="pct"/>
            <w:tcBorders>
              <w:top w:val="nil"/>
            </w:tcBorders>
          </w:tcPr>
          <w:p w14:paraId="2B52FA05" w14:textId="77777777" w:rsidR="00A340EE" w:rsidRPr="0047058F" w:rsidRDefault="00A340EE" w:rsidP="00BD64A6">
            <w:pPr>
              <w:pStyle w:val="TableText"/>
              <w:jc w:val="right"/>
            </w:pPr>
            <w:r w:rsidRPr="0047058F">
              <w:rPr>
                <w:rFonts w:eastAsia="Times New Roman" w:cs="Arial"/>
              </w:rPr>
              <w:t>12,012</w:t>
            </w:r>
          </w:p>
        </w:tc>
        <w:tc>
          <w:tcPr>
            <w:tcW w:w="400" w:type="pct"/>
            <w:tcBorders>
              <w:top w:val="nil"/>
            </w:tcBorders>
          </w:tcPr>
          <w:p w14:paraId="294E534E" w14:textId="47AEF379" w:rsidR="00A340EE" w:rsidRPr="0047058F" w:rsidRDefault="00A340EE" w:rsidP="00BD64A6">
            <w:pPr>
              <w:pStyle w:val="TableText"/>
              <w:jc w:val="right"/>
            </w:pPr>
            <w:r w:rsidRPr="0047058F">
              <w:rPr>
                <w:rFonts w:eastAsia="Times New Roman" w:cs="Arial"/>
              </w:rPr>
              <w:t>85</w:t>
            </w:r>
            <w:r w:rsidR="00D814D9">
              <w:rPr>
                <w:rFonts w:eastAsia="Times New Roman" w:cs="Arial"/>
              </w:rPr>
              <w:t>.0</w:t>
            </w:r>
          </w:p>
        </w:tc>
        <w:tc>
          <w:tcPr>
            <w:tcW w:w="399" w:type="pct"/>
            <w:tcBorders>
              <w:top w:val="nil"/>
            </w:tcBorders>
          </w:tcPr>
          <w:p w14:paraId="3CDEA7BC" w14:textId="77777777" w:rsidR="00A340EE" w:rsidRPr="0047058F" w:rsidRDefault="00A340EE" w:rsidP="00BD64A6">
            <w:pPr>
              <w:pStyle w:val="TableText"/>
              <w:jc w:val="right"/>
            </w:pPr>
            <w:r w:rsidRPr="0047058F">
              <w:t>5188</w:t>
            </w:r>
          </w:p>
        </w:tc>
        <w:tc>
          <w:tcPr>
            <w:tcW w:w="400" w:type="pct"/>
            <w:tcBorders>
              <w:top w:val="nil"/>
            </w:tcBorders>
          </w:tcPr>
          <w:p w14:paraId="44D5AD51" w14:textId="77777777" w:rsidR="00A340EE" w:rsidRPr="0047058F" w:rsidRDefault="00A340EE" w:rsidP="00BD64A6">
            <w:pPr>
              <w:pStyle w:val="TableText"/>
              <w:jc w:val="right"/>
            </w:pPr>
            <w:r w:rsidRPr="0047058F">
              <w:rPr>
                <w:rFonts w:eastAsia="Times New Roman" w:cs="Arial"/>
              </w:rPr>
              <w:t>84.2</w:t>
            </w:r>
          </w:p>
        </w:tc>
        <w:tc>
          <w:tcPr>
            <w:tcW w:w="558" w:type="pct"/>
            <w:tcBorders>
              <w:top w:val="nil"/>
            </w:tcBorders>
          </w:tcPr>
          <w:p w14:paraId="5466C3FB" w14:textId="77777777" w:rsidR="00A340EE" w:rsidRPr="0047058F" w:rsidRDefault="00A340EE" w:rsidP="00BD64A6">
            <w:pPr>
              <w:pStyle w:val="TableText"/>
              <w:jc w:val="right"/>
              <w:rPr>
                <w:rFonts w:eastAsia="Times New Roman"/>
              </w:rPr>
            </w:pPr>
            <w:r w:rsidRPr="0047058F">
              <w:rPr>
                <w:rFonts w:eastAsia="Times New Roman"/>
              </w:rPr>
              <w:t>43.2</w:t>
            </w:r>
          </w:p>
        </w:tc>
      </w:tr>
      <w:tr w:rsidR="00055107" w:rsidRPr="0047058F" w14:paraId="19EA94A4" w14:textId="77777777" w:rsidTr="00055107">
        <w:tc>
          <w:tcPr>
            <w:tcW w:w="720" w:type="pct"/>
            <w:tcBorders>
              <w:bottom w:val="single" w:sz="4" w:space="0" w:color="000000"/>
            </w:tcBorders>
            <w:hideMark/>
          </w:tcPr>
          <w:p w14:paraId="1C620EF2" w14:textId="77777777" w:rsidR="00A340EE" w:rsidRPr="0047058F" w:rsidRDefault="00A340EE" w:rsidP="00BD64A6">
            <w:pPr>
              <w:pStyle w:val="TableText"/>
            </w:pPr>
            <w:r w:rsidRPr="0047058F">
              <w:t>Unfit</w:t>
            </w:r>
          </w:p>
        </w:tc>
        <w:tc>
          <w:tcPr>
            <w:tcW w:w="392" w:type="pct"/>
            <w:tcBorders>
              <w:bottom w:val="single" w:sz="4" w:space="0" w:color="000000"/>
            </w:tcBorders>
          </w:tcPr>
          <w:p w14:paraId="78E41973" w14:textId="77777777" w:rsidR="00A340EE" w:rsidRPr="0047058F" w:rsidRDefault="00A340EE" w:rsidP="00BD64A6">
            <w:pPr>
              <w:pStyle w:val="TableText"/>
              <w:jc w:val="right"/>
            </w:pPr>
            <w:r w:rsidRPr="0047058F">
              <w:rPr>
                <w:rFonts w:eastAsia="Times New Roman" w:cs="Arial"/>
              </w:rPr>
              <w:t>2025</w:t>
            </w:r>
          </w:p>
        </w:tc>
        <w:tc>
          <w:tcPr>
            <w:tcW w:w="393" w:type="pct"/>
            <w:tcBorders>
              <w:bottom w:val="single" w:sz="4" w:space="0" w:color="000000"/>
            </w:tcBorders>
          </w:tcPr>
          <w:p w14:paraId="61B1522D" w14:textId="77777777" w:rsidR="00A340EE" w:rsidRPr="0047058F" w:rsidRDefault="00A340EE" w:rsidP="00BD64A6">
            <w:pPr>
              <w:pStyle w:val="TableText"/>
              <w:jc w:val="right"/>
            </w:pPr>
            <w:r w:rsidRPr="0047058F">
              <w:rPr>
                <w:rFonts w:eastAsia="Times New Roman" w:cs="Arial"/>
              </w:rPr>
              <w:t>29.9</w:t>
            </w:r>
          </w:p>
        </w:tc>
        <w:tc>
          <w:tcPr>
            <w:tcW w:w="392" w:type="pct"/>
            <w:tcBorders>
              <w:bottom w:val="single" w:sz="4" w:space="0" w:color="000000"/>
            </w:tcBorders>
          </w:tcPr>
          <w:p w14:paraId="6AAA7CDC" w14:textId="77777777" w:rsidR="00A340EE" w:rsidRPr="0047058F" w:rsidRDefault="00A340EE" w:rsidP="00BD64A6">
            <w:pPr>
              <w:pStyle w:val="TableText"/>
              <w:jc w:val="right"/>
            </w:pPr>
            <w:r w:rsidRPr="0047058F">
              <w:t>696</w:t>
            </w:r>
          </w:p>
        </w:tc>
        <w:tc>
          <w:tcPr>
            <w:tcW w:w="392" w:type="pct"/>
            <w:tcBorders>
              <w:bottom w:val="single" w:sz="4" w:space="0" w:color="000000"/>
            </w:tcBorders>
          </w:tcPr>
          <w:p w14:paraId="2984EF12" w14:textId="77777777" w:rsidR="00A340EE" w:rsidRPr="0047058F" w:rsidRDefault="00A340EE" w:rsidP="00BD64A6">
            <w:pPr>
              <w:pStyle w:val="TableText"/>
              <w:jc w:val="right"/>
            </w:pPr>
            <w:r w:rsidRPr="0047058F">
              <w:t>29.8</w:t>
            </w:r>
          </w:p>
        </w:tc>
        <w:tc>
          <w:tcPr>
            <w:tcW w:w="555" w:type="pct"/>
            <w:tcBorders>
              <w:bottom w:val="single" w:sz="4" w:space="0" w:color="000000"/>
            </w:tcBorders>
          </w:tcPr>
          <w:p w14:paraId="6BD455A3" w14:textId="77777777" w:rsidR="00A340EE" w:rsidRPr="0047058F" w:rsidRDefault="00A340EE" w:rsidP="00BD64A6">
            <w:pPr>
              <w:pStyle w:val="TableText"/>
              <w:jc w:val="right"/>
            </w:pPr>
            <w:r w:rsidRPr="0047058F">
              <w:rPr>
                <w:rFonts w:eastAsia="Times New Roman"/>
              </w:rPr>
              <w:t>34.4</w:t>
            </w:r>
          </w:p>
        </w:tc>
        <w:tc>
          <w:tcPr>
            <w:tcW w:w="399" w:type="pct"/>
            <w:tcBorders>
              <w:bottom w:val="single" w:sz="4" w:space="0" w:color="000000"/>
            </w:tcBorders>
          </w:tcPr>
          <w:p w14:paraId="4BE62EB9" w14:textId="77777777" w:rsidR="00A340EE" w:rsidRPr="0047058F" w:rsidRDefault="00A340EE" w:rsidP="00BD64A6">
            <w:pPr>
              <w:pStyle w:val="TableText"/>
              <w:jc w:val="right"/>
            </w:pPr>
            <w:r w:rsidRPr="0047058F">
              <w:rPr>
                <w:rFonts w:eastAsia="Times New Roman" w:cs="Arial"/>
              </w:rPr>
              <w:t>2119</w:t>
            </w:r>
          </w:p>
        </w:tc>
        <w:tc>
          <w:tcPr>
            <w:tcW w:w="400" w:type="pct"/>
            <w:tcBorders>
              <w:bottom w:val="single" w:sz="4" w:space="0" w:color="000000"/>
            </w:tcBorders>
          </w:tcPr>
          <w:p w14:paraId="589B473F" w14:textId="4B1F588D" w:rsidR="00A340EE" w:rsidRPr="0047058F" w:rsidRDefault="00A340EE" w:rsidP="00BD64A6">
            <w:pPr>
              <w:pStyle w:val="TableText"/>
              <w:jc w:val="right"/>
            </w:pPr>
            <w:r w:rsidRPr="0047058F">
              <w:rPr>
                <w:rFonts w:eastAsia="Times New Roman" w:cs="Arial"/>
              </w:rPr>
              <w:t>15</w:t>
            </w:r>
            <w:r w:rsidR="00D814D9">
              <w:rPr>
                <w:rFonts w:eastAsia="Times New Roman" w:cs="Arial"/>
              </w:rPr>
              <w:t>.0</w:t>
            </w:r>
          </w:p>
        </w:tc>
        <w:tc>
          <w:tcPr>
            <w:tcW w:w="399" w:type="pct"/>
            <w:tcBorders>
              <w:bottom w:val="single" w:sz="4" w:space="0" w:color="000000"/>
            </w:tcBorders>
          </w:tcPr>
          <w:p w14:paraId="58092622" w14:textId="77777777" w:rsidR="00A340EE" w:rsidRPr="0047058F" w:rsidRDefault="00A340EE" w:rsidP="00BD64A6">
            <w:pPr>
              <w:pStyle w:val="TableText"/>
              <w:jc w:val="right"/>
            </w:pPr>
            <w:r w:rsidRPr="0047058F">
              <w:t>975</w:t>
            </w:r>
          </w:p>
        </w:tc>
        <w:tc>
          <w:tcPr>
            <w:tcW w:w="400" w:type="pct"/>
            <w:tcBorders>
              <w:bottom w:val="single" w:sz="4" w:space="0" w:color="000000"/>
            </w:tcBorders>
          </w:tcPr>
          <w:p w14:paraId="7208D5EB" w14:textId="77777777" w:rsidR="00A340EE" w:rsidRPr="0047058F" w:rsidRDefault="00A340EE" w:rsidP="00BD64A6">
            <w:pPr>
              <w:pStyle w:val="TableText"/>
              <w:jc w:val="right"/>
            </w:pPr>
            <w:r w:rsidRPr="0047058F">
              <w:rPr>
                <w:rFonts w:eastAsia="Times New Roman" w:cs="Arial"/>
              </w:rPr>
              <w:t>15.8</w:t>
            </w:r>
          </w:p>
        </w:tc>
        <w:tc>
          <w:tcPr>
            <w:tcW w:w="558" w:type="pct"/>
            <w:tcBorders>
              <w:bottom w:val="single" w:sz="4" w:space="0" w:color="000000"/>
            </w:tcBorders>
          </w:tcPr>
          <w:p w14:paraId="580383F8" w14:textId="77777777" w:rsidR="00A340EE" w:rsidRPr="0047058F" w:rsidRDefault="00A340EE" w:rsidP="00BD64A6">
            <w:pPr>
              <w:pStyle w:val="TableText"/>
              <w:jc w:val="right"/>
              <w:rPr>
                <w:rFonts w:eastAsia="Times New Roman"/>
              </w:rPr>
            </w:pPr>
            <w:r w:rsidRPr="0047058F">
              <w:rPr>
                <w:rFonts w:eastAsia="Times New Roman"/>
              </w:rPr>
              <w:t>46.0</w:t>
            </w:r>
          </w:p>
        </w:tc>
      </w:tr>
      <w:tr w:rsidR="00055107" w:rsidRPr="0047058F" w14:paraId="7D66FF85" w14:textId="77777777" w:rsidTr="00055107">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000000"/>
              <w:bottom w:val="single" w:sz="4" w:space="0" w:color="000000"/>
            </w:tcBorders>
            <w:hideMark/>
          </w:tcPr>
          <w:p w14:paraId="57551F5C" w14:textId="77777777" w:rsidR="00A340EE" w:rsidRPr="0047058F" w:rsidRDefault="00A340EE" w:rsidP="00BD64A6">
            <w:pPr>
              <w:pStyle w:val="TableText"/>
              <w:rPr>
                <w:b/>
              </w:rPr>
            </w:pPr>
            <w:r w:rsidRPr="0047058F">
              <w:rPr>
                <w:b/>
              </w:rPr>
              <w:t>Total</w:t>
            </w:r>
          </w:p>
        </w:tc>
        <w:tc>
          <w:tcPr>
            <w:tcW w:w="392" w:type="pct"/>
            <w:tcBorders>
              <w:top w:val="single" w:sz="4" w:space="0" w:color="000000"/>
              <w:bottom w:val="single" w:sz="4" w:space="0" w:color="000000"/>
            </w:tcBorders>
          </w:tcPr>
          <w:p w14:paraId="77A0E6B5" w14:textId="77777777" w:rsidR="00A340EE" w:rsidRPr="0047058F" w:rsidRDefault="00A340EE" w:rsidP="00BD64A6">
            <w:pPr>
              <w:pStyle w:val="TableText"/>
              <w:jc w:val="right"/>
              <w:rPr>
                <w:b/>
              </w:rPr>
            </w:pPr>
            <w:r w:rsidRPr="0047058F">
              <w:rPr>
                <w:b/>
              </w:rPr>
              <w:t>6777</w:t>
            </w:r>
          </w:p>
        </w:tc>
        <w:tc>
          <w:tcPr>
            <w:tcW w:w="393" w:type="pct"/>
            <w:tcBorders>
              <w:top w:val="single" w:sz="4" w:space="0" w:color="000000"/>
              <w:bottom w:val="single" w:sz="4" w:space="0" w:color="000000"/>
            </w:tcBorders>
          </w:tcPr>
          <w:p w14:paraId="72BFA93C" w14:textId="77777777" w:rsidR="00A340EE" w:rsidRPr="0047058F" w:rsidRDefault="00A340EE" w:rsidP="00BD64A6">
            <w:pPr>
              <w:pStyle w:val="TableText"/>
              <w:jc w:val="right"/>
              <w:rPr>
                <w:b/>
              </w:rPr>
            </w:pPr>
            <w:r w:rsidRPr="0047058F">
              <w:rPr>
                <w:b/>
              </w:rPr>
              <w:t>100.0</w:t>
            </w:r>
          </w:p>
        </w:tc>
        <w:tc>
          <w:tcPr>
            <w:tcW w:w="392" w:type="pct"/>
            <w:tcBorders>
              <w:top w:val="single" w:sz="4" w:space="0" w:color="000000"/>
              <w:bottom w:val="single" w:sz="4" w:space="0" w:color="000000"/>
            </w:tcBorders>
          </w:tcPr>
          <w:p w14:paraId="3DCC49D3" w14:textId="77777777" w:rsidR="00A340EE" w:rsidRPr="0047058F" w:rsidRDefault="00A340EE" w:rsidP="00BD64A6">
            <w:pPr>
              <w:pStyle w:val="TableText"/>
              <w:jc w:val="right"/>
              <w:rPr>
                <w:b/>
              </w:rPr>
            </w:pPr>
            <w:r w:rsidRPr="0047058F">
              <w:rPr>
                <w:b/>
              </w:rPr>
              <w:t>2334</w:t>
            </w:r>
          </w:p>
        </w:tc>
        <w:tc>
          <w:tcPr>
            <w:tcW w:w="392" w:type="pct"/>
            <w:tcBorders>
              <w:top w:val="single" w:sz="4" w:space="0" w:color="000000"/>
              <w:bottom w:val="single" w:sz="4" w:space="0" w:color="000000"/>
            </w:tcBorders>
          </w:tcPr>
          <w:p w14:paraId="6138F433" w14:textId="77777777" w:rsidR="00A340EE" w:rsidRPr="0047058F" w:rsidRDefault="00A340EE" w:rsidP="00BD64A6">
            <w:pPr>
              <w:pStyle w:val="TableText"/>
              <w:jc w:val="right"/>
              <w:rPr>
                <w:b/>
              </w:rPr>
            </w:pPr>
            <w:r w:rsidRPr="0047058F">
              <w:rPr>
                <w:b/>
              </w:rPr>
              <w:t>100.0</w:t>
            </w:r>
          </w:p>
        </w:tc>
        <w:tc>
          <w:tcPr>
            <w:tcW w:w="555" w:type="pct"/>
            <w:tcBorders>
              <w:top w:val="single" w:sz="4" w:space="0" w:color="000000"/>
              <w:bottom w:val="single" w:sz="4" w:space="0" w:color="000000"/>
            </w:tcBorders>
          </w:tcPr>
          <w:p w14:paraId="60FD2C7B" w14:textId="77777777" w:rsidR="00A340EE" w:rsidRPr="0047058F" w:rsidRDefault="00A340EE" w:rsidP="00BD64A6">
            <w:pPr>
              <w:pStyle w:val="TableText"/>
              <w:jc w:val="right"/>
              <w:rPr>
                <w:b/>
              </w:rPr>
            </w:pPr>
            <w:r w:rsidRPr="0047058F">
              <w:rPr>
                <w:rFonts w:eastAsia="Times New Roman"/>
                <w:b/>
              </w:rPr>
              <w:t>34.4</w:t>
            </w:r>
          </w:p>
        </w:tc>
        <w:tc>
          <w:tcPr>
            <w:tcW w:w="399" w:type="pct"/>
            <w:tcBorders>
              <w:top w:val="single" w:sz="4" w:space="0" w:color="000000"/>
              <w:bottom w:val="single" w:sz="4" w:space="0" w:color="000000"/>
            </w:tcBorders>
          </w:tcPr>
          <w:p w14:paraId="6BA0505C" w14:textId="26D07FED" w:rsidR="00A340EE" w:rsidRPr="0047058F" w:rsidRDefault="00A340EE" w:rsidP="003876A3">
            <w:pPr>
              <w:pStyle w:val="TableText"/>
              <w:jc w:val="right"/>
              <w:rPr>
                <w:b/>
              </w:rPr>
            </w:pPr>
            <w:r w:rsidRPr="0047058F">
              <w:rPr>
                <w:b/>
              </w:rPr>
              <w:t>14,131</w:t>
            </w:r>
          </w:p>
        </w:tc>
        <w:tc>
          <w:tcPr>
            <w:tcW w:w="400" w:type="pct"/>
            <w:tcBorders>
              <w:top w:val="single" w:sz="4" w:space="0" w:color="000000"/>
              <w:bottom w:val="single" w:sz="4" w:space="0" w:color="000000"/>
            </w:tcBorders>
          </w:tcPr>
          <w:p w14:paraId="0037C5EC" w14:textId="77777777" w:rsidR="00A340EE" w:rsidRPr="0047058F" w:rsidRDefault="00A340EE" w:rsidP="00BD64A6">
            <w:pPr>
              <w:pStyle w:val="TableText"/>
              <w:jc w:val="right"/>
              <w:rPr>
                <w:b/>
              </w:rPr>
            </w:pPr>
            <w:r w:rsidRPr="0047058F">
              <w:rPr>
                <w:b/>
              </w:rPr>
              <w:t>100.0</w:t>
            </w:r>
          </w:p>
        </w:tc>
        <w:tc>
          <w:tcPr>
            <w:tcW w:w="399" w:type="pct"/>
            <w:tcBorders>
              <w:top w:val="single" w:sz="4" w:space="0" w:color="000000"/>
              <w:bottom w:val="single" w:sz="4" w:space="0" w:color="000000"/>
            </w:tcBorders>
          </w:tcPr>
          <w:p w14:paraId="76B0A2CE" w14:textId="77777777" w:rsidR="00A340EE" w:rsidRPr="0047058F" w:rsidRDefault="00A340EE" w:rsidP="00BD64A6">
            <w:pPr>
              <w:pStyle w:val="TableText"/>
              <w:jc w:val="right"/>
              <w:rPr>
                <w:b/>
              </w:rPr>
            </w:pPr>
            <w:r w:rsidRPr="0047058F">
              <w:rPr>
                <w:b/>
              </w:rPr>
              <w:t>6163</w:t>
            </w:r>
          </w:p>
        </w:tc>
        <w:tc>
          <w:tcPr>
            <w:tcW w:w="400" w:type="pct"/>
            <w:tcBorders>
              <w:top w:val="single" w:sz="4" w:space="0" w:color="000000"/>
              <w:bottom w:val="single" w:sz="4" w:space="0" w:color="000000"/>
            </w:tcBorders>
          </w:tcPr>
          <w:p w14:paraId="7162C241" w14:textId="77777777" w:rsidR="00A340EE" w:rsidRPr="0047058F" w:rsidRDefault="00A340EE" w:rsidP="00BD64A6">
            <w:pPr>
              <w:pStyle w:val="TableText"/>
              <w:jc w:val="right"/>
              <w:rPr>
                <w:b/>
              </w:rPr>
            </w:pPr>
            <w:r w:rsidRPr="0047058F">
              <w:rPr>
                <w:b/>
              </w:rPr>
              <w:t>100.0</w:t>
            </w:r>
          </w:p>
        </w:tc>
        <w:tc>
          <w:tcPr>
            <w:tcW w:w="558" w:type="pct"/>
            <w:tcBorders>
              <w:top w:val="single" w:sz="4" w:space="0" w:color="000000"/>
              <w:bottom w:val="single" w:sz="4" w:space="0" w:color="000000"/>
            </w:tcBorders>
          </w:tcPr>
          <w:p w14:paraId="74C324C8" w14:textId="77777777" w:rsidR="00A340EE" w:rsidRPr="0047058F" w:rsidRDefault="00A340EE" w:rsidP="00BD64A6">
            <w:pPr>
              <w:pStyle w:val="TableText"/>
              <w:jc w:val="right"/>
              <w:rPr>
                <w:rFonts w:eastAsia="Times New Roman"/>
                <w:b/>
              </w:rPr>
            </w:pPr>
            <w:r w:rsidRPr="0047058F">
              <w:rPr>
                <w:rFonts w:eastAsia="Times New Roman"/>
                <w:b/>
              </w:rPr>
              <w:t>43.6</w:t>
            </w:r>
          </w:p>
        </w:tc>
      </w:tr>
    </w:tbl>
    <w:p w14:paraId="73657CB0" w14:textId="77777777" w:rsidR="00A340EE" w:rsidRPr="0047058F" w:rsidRDefault="00A340EE" w:rsidP="00A340EE">
      <w:pPr>
        <w:pStyle w:val="TableNotes"/>
      </w:pPr>
      <w:r w:rsidRPr="0047058F">
        <w:t>NCO = Non-Commissioned Officer</w:t>
      </w:r>
    </w:p>
    <w:p w14:paraId="57C9E1A4" w14:textId="77777777" w:rsidR="00A340EE" w:rsidRPr="0047058F" w:rsidRDefault="00A340EE" w:rsidP="00A340EE">
      <w:pPr>
        <w:pStyle w:val="TableNotes"/>
      </w:pPr>
      <w:r w:rsidRPr="0047058F">
        <w:t># Refer to glossary for a definition of ‘medical fitness’.</w:t>
      </w:r>
    </w:p>
    <w:p w14:paraId="76E22C96" w14:textId="77777777" w:rsidR="00A340EE" w:rsidRPr="0047058F" w:rsidRDefault="00A340EE" w:rsidP="00A340EE">
      <w:pPr>
        <w:pStyle w:val="TableNotes"/>
        <w:rPr>
          <w:b/>
        </w:rPr>
      </w:pPr>
      <w:r w:rsidRPr="0047058F">
        <w:rPr>
          <w:b/>
        </w:rPr>
        <w:t>Notes</w:t>
      </w:r>
    </w:p>
    <w:p w14:paraId="5DD578CA" w14:textId="77777777" w:rsidR="00A340EE" w:rsidRPr="0047058F" w:rsidRDefault="00A340EE" w:rsidP="00A340EE">
      <w:pPr>
        <w:pStyle w:val="TableNotes"/>
        <w:rPr>
          <w:bCs/>
        </w:rPr>
      </w:pPr>
      <w:r w:rsidRPr="0047058F">
        <w:t>Unweighted data.</w:t>
      </w:r>
    </w:p>
    <w:p w14:paraId="6187D8CA" w14:textId="77777777" w:rsidR="00A340EE" w:rsidRPr="0047058F" w:rsidRDefault="00A340EE" w:rsidP="00A340EE">
      <w:pPr>
        <w:pStyle w:val="TableNotes"/>
        <w:rPr>
          <w:bCs/>
        </w:rPr>
      </w:pPr>
      <w:r w:rsidRPr="0047058F">
        <w:rPr>
          <w:bCs/>
        </w:rPr>
        <w:t>Response rates are calculated as the proportion of those invited to participate in the study.</w:t>
      </w:r>
    </w:p>
    <w:p w14:paraId="33949D71" w14:textId="77777777" w:rsidR="00A340EE" w:rsidRPr="0047058F" w:rsidRDefault="00A340EE" w:rsidP="00A340EE">
      <w:pPr>
        <w:pStyle w:val="TableNotes"/>
        <w:tabs>
          <w:tab w:val="left" w:pos="540"/>
        </w:tabs>
        <w:rPr>
          <w:rFonts w:cs="Arial"/>
          <w:color w:val="000000" w:themeColor="text1"/>
        </w:rPr>
      </w:pPr>
      <w:r w:rsidRPr="0047058F">
        <w:rPr>
          <w:rFonts w:cs="Arial"/>
          <w:color w:val="000000" w:themeColor="text1"/>
        </w:rPr>
        <w:t>Missing:</w:t>
      </w:r>
      <w:r w:rsidR="00860F45" w:rsidRPr="0047058F">
        <w:rPr>
          <w:rFonts w:cs="Arial"/>
          <w:color w:val="000000" w:themeColor="text1"/>
        </w:rPr>
        <w:t xml:space="preserve"> </w:t>
      </w:r>
      <w:r w:rsidRPr="0047058F">
        <w:rPr>
          <w:rFonts w:cs="Arial"/>
          <w:color w:val="000000" w:themeColor="text1"/>
        </w:rPr>
        <w:t>2015 Regular ADF: Invited age group – 111 (0.8%).</w:t>
      </w:r>
      <w:r w:rsidR="00860F45" w:rsidRPr="0047058F">
        <w:rPr>
          <w:rFonts w:cs="Arial"/>
          <w:color w:val="000000" w:themeColor="text1"/>
        </w:rPr>
        <w:t xml:space="preserve"> </w:t>
      </w:r>
      <w:r w:rsidRPr="0047058F">
        <w:rPr>
          <w:rFonts w:cs="Arial"/>
          <w:color w:val="000000" w:themeColor="text1"/>
        </w:rPr>
        <w:t>Transitioned ADF: Invited age group – 27 (0.4%).</w:t>
      </w:r>
    </w:p>
    <w:p w14:paraId="6768CCA5" w14:textId="77777777" w:rsidR="00A340EE" w:rsidRPr="0047058F" w:rsidRDefault="00A340EE" w:rsidP="00860F45">
      <w:r w:rsidRPr="0047058F">
        <w:t>The characteristics of survey respondents were as follows:</w:t>
      </w:r>
    </w:p>
    <w:p w14:paraId="3A7FB28E" w14:textId="77777777" w:rsidR="00A340EE" w:rsidRPr="0047058F" w:rsidRDefault="00A340EE" w:rsidP="003876A3">
      <w:pPr>
        <w:rPr>
          <w:sz w:val="18"/>
          <w:szCs w:val="18"/>
        </w:rPr>
      </w:pPr>
      <w:r w:rsidRPr="0047058F">
        <w:rPr>
          <w:b/>
          <w:bCs/>
        </w:rPr>
        <w:t>Age</w:t>
      </w:r>
      <w:r w:rsidRPr="0047058F">
        <w:t xml:space="preserve"> – In general, response rates increased with age, with older age groups more likely to respond than the younger age groups for both Transitioned ADF and 2015 Regular ADF. When comparing Transitioned ADF and 2015 Regular ADF, more Transitioned ADF fell into the 58+ age group (18.0% vs 2.7%) and more 2015 Regular ADF fell into the 38 to 47 age group (38.1% vs 27.8%). The other age groups were similar.</w:t>
      </w:r>
    </w:p>
    <w:p w14:paraId="4FF1B88B" w14:textId="588A41FD" w:rsidR="00A340EE" w:rsidRPr="0047058F" w:rsidRDefault="00A340EE" w:rsidP="003876A3">
      <w:r w:rsidRPr="0047058F">
        <w:rPr>
          <w:b/>
        </w:rPr>
        <w:t>Service</w:t>
      </w:r>
      <w:r w:rsidRPr="0047058F">
        <w:t xml:space="preserve"> – In the Transitioned ADF, 19.9% of survey responders were Navy, 53.5% were Army and 26.6% were Air Force. For the 2015 Regular ADF, 23.6% of survey responders were Navy, 42.2% were Army and 34.3% were Air Force. When response rates in the different Services were compared, Transitioned Air Force members were most likely to </w:t>
      </w:r>
      <w:r w:rsidRPr="0047058F">
        <w:lastRenderedPageBreak/>
        <w:t xml:space="preserve">respond (37.5%), followed by Army (34.4%) and Navy members (31.0%). In the 2015 Regular ADF, all </w:t>
      </w:r>
      <w:r w:rsidR="00DE1267">
        <w:t>S</w:t>
      </w:r>
      <w:r w:rsidRPr="0047058F">
        <w:t>ervices had similar response rates. Responders very closely reflected the invited population.</w:t>
      </w:r>
    </w:p>
    <w:p w14:paraId="074186DD" w14:textId="77777777" w:rsidR="00A340EE" w:rsidRPr="0047058F" w:rsidRDefault="00A340EE" w:rsidP="003876A3">
      <w:r w:rsidRPr="0047058F">
        <w:rPr>
          <w:b/>
          <w:bCs/>
        </w:rPr>
        <w:t>Sex</w:t>
      </w:r>
      <w:r w:rsidRPr="0047058F">
        <w:t xml:space="preserve"> – Consistent with the invited populations, the responder samples were predominantly male. Response rates were similar for Transitioned ADF males (34.4%) and females (34.5%), and 2015 Regular ADF males (44.1%) were slightly more likely to respond than females (41.3%).</w:t>
      </w:r>
    </w:p>
    <w:p w14:paraId="77DF8201" w14:textId="77777777" w:rsidR="00A340EE" w:rsidRPr="0047058F" w:rsidRDefault="00A340EE" w:rsidP="003876A3">
      <w:r w:rsidRPr="0047058F">
        <w:rPr>
          <w:b/>
          <w:bCs/>
        </w:rPr>
        <w:t>Rank</w:t>
      </w:r>
      <w:r w:rsidRPr="0047058F">
        <w:t xml:space="preserve"> – Survey responders from the Transitioned ADF comprised 33.2% Officers, 54.6% Non-Commissioned Officers and 12.2% Other Ranks. In the 2015 Regular ADF, there was a similar distribution with 40.7% Officers, 54.6% Non-Commissioned Officers and 4.7% Other Ranks. The Transitioned ADF and 2015 Regular ADF had similar response rates for Officers, but the Transitioned ADF had lower response rates for Non-Commissioned Officers and Other Ranks. In both groups, the lower ranks were the poorest responders and were underrepresented in responders compared to the invited population.</w:t>
      </w:r>
    </w:p>
    <w:p w14:paraId="548B69A2" w14:textId="77777777" w:rsidR="00A340EE" w:rsidRPr="0047058F" w:rsidRDefault="00A340EE" w:rsidP="003876A3">
      <w:r w:rsidRPr="0047058F">
        <w:rPr>
          <w:b/>
          <w:bCs/>
        </w:rPr>
        <w:t>Medical fitness</w:t>
      </w:r>
      <w:r w:rsidRPr="0047058F">
        <w:rPr>
          <w:bCs/>
        </w:rPr>
        <w:t xml:space="preserve"> </w:t>
      </w:r>
      <w:r w:rsidRPr="0047058F">
        <w:t>– Not surprisingly, Transitioned ADF were more likely to be unfit on transition from Regular ADF (29.8%) compared to the 2015 Regular ADF population (15.8%). Transitioned ADF who were unfit had a response rate of 34.4% compared to 46.0% in the 2015 Regular ADF. Responders very closely reflected the invited population.</w:t>
      </w:r>
    </w:p>
    <w:p w14:paraId="03603CB4" w14:textId="77777777" w:rsidR="00A340EE" w:rsidRPr="0047058F" w:rsidRDefault="00A340EE" w:rsidP="00860F45">
      <w:pPr>
        <w:pStyle w:val="Heading3"/>
      </w:pPr>
      <w:bookmarkStart w:id="106" w:name="_Toc532474358"/>
      <w:r w:rsidRPr="0047058F">
        <w:t>CIDI responders</w:t>
      </w:r>
      <w:bookmarkEnd w:id="106"/>
    </w:p>
    <w:p w14:paraId="1E05787E" w14:textId="1AC03B4E" w:rsidR="00A340EE" w:rsidRPr="0047058F" w:rsidRDefault="00DE1267" w:rsidP="00A340EE">
      <w:pPr>
        <w:rPr>
          <w:rFonts w:cs="Calibri"/>
        </w:rPr>
      </w:pPr>
      <w:r>
        <w:t>Figure</w:t>
      </w:r>
      <w:r w:rsidR="00A340EE" w:rsidRPr="0047058F">
        <w:t xml:space="preserve"> 2.2</w:t>
      </w:r>
      <w:r w:rsidR="00A340EE" w:rsidRPr="0047058F">
        <w:rPr>
          <w:rFonts w:cs="Calibri"/>
        </w:rPr>
        <w:t xml:space="preserve"> and </w:t>
      </w:r>
      <w:r>
        <w:t>Table</w:t>
      </w:r>
      <w:r w:rsidR="00A340EE" w:rsidRPr="0047058F">
        <w:t xml:space="preserve"> 2.2</w:t>
      </w:r>
      <w:r w:rsidR="00A340EE" w:rsidRPr="0047058F">
        <w:rPr>
          <w:rFonts w:cs="Calibri"/>
        </w:rPr>
        <w:t xml:space="preserve"> show the total populations for the Transitioned ADF and the 2015 Regular ADF, the number from each population who were invited to participate in a CIDI, and the proportion of those invited who responded.</w:t>
      </w:r>
    </w:p>
    <w:p w14:paraId="52EC4EF7" w14:textId="475EE0F7" w:rsidR="00A340EE" w:rsidRPr="0047058F" w:rsidRDefault="00A340EE" w:rsidP="00A340EE">
      <w:r w:rsidRPr="0047058F">
        <w:t>The sample selected for a</w:t>
      </w:r>
      <w:r w:rsidR="00DE1267">
        <w:t>n</w:t>
      </w:r>
      <w:r w:rsidRPr="0047058F">
        <w:t xml:space="preserve"> MHPWS CIDI consisted of 4,565 participants, of which 2,684 (58.8%) completed a CIDI. Of these responders, 1,085 (40.4%) were selected to participate in a Transition and Wellbeing Research Programme CIDI. This comprised 368 (33.9%) Transitioned ADF and 717 (66.1%) Regular ADF. Of those selected, 266 (72.3%) of Transitioned ADF and 567 (79.1%) of Regular ADF completed a Transition and Wellbeing Research Programme CIDI. The final sample comprised 820 (75.6% of CIDI selected) responders – 261 (70.9%) Transitioned ADF and 559 (70.8%) Regular ADF – who responded at both time points and provided consent to link their data.</w:t>
      </w:r>
    </w:p>
    <w:p w14:paraId="4E9E47BA" w14:textId="77777777" w:rsidR="00A340EE" w:rsidRPr="0047058F" w:rsidRDefault="00A340EE" w:rsidP="003876A3">
      <w:r w:rsidRPr="0047058F">
        <w:t>Table 2.2 also presents the unweighted demographic characteristics of Transitioned ADF and 2015 Regular ADF CIDI responders.</w:t>
      </w:r>
    </w:p>
    <w:p w14:paraId="293276ED" w14:textId="77777777" w:rsidR="00A340EE" w:rsidRPr="0047058F" w:rsidRDefault="00A340EE" w:rsidP="00A340EE">
      <w:pPr>
        <w:pStyle w:val="FigureName"/>
      </w:pPr>
      <w:bookmarkStart w:id="107" w:name="_Ref384551683"/>
      <w:bookmarkStart w:id="108" w:name="_Toc529117560"/>
      <w:bookmarkStart w:id="109" w:name="_Toc532473633"/>
      <w:r w:rsidRPr="0047058F">
        <w:lastRenderedPageBreak/>
        <w:t>Figure 2.2</w:t>
      </w:r>
      <w:bookmarkEnd w:id="107"/>
      <w:r w:rsidRPr="0047058F">
        <w:tab/>
        <w:t>CIDI response rates for Transitioned ADF and 2015 Regular ADF</w:t>
      </w:r>
      <w:bookmarkEnd w:id="108"/>
      <w:bookmarkEnd w:id="1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329"/>
      </w:tblGrid>
      <w:tr w:rsidR="00A340EE" w:rsidRPr="0047058F" w14:paraId="481493FF" w14:textId="77777777" w:rsidTr="001A5E46">
        <w:trPr>
          <w:trHeight w:val="9639"/>
        </w:trPr>
        <w:tc>
          <w:tcPr>
            <w:tcW w:w="7329" w:type="dxa"/>
          </w:tcPr>
          <w:p w14:paraId="10091919" w14:textId="77777777" w:rsidR="00A340EE" w:rsidRPr="0047058F" w:rsidRDefault="001A5E46" w:rsidP="004F7DC6">
            <w:r>
              <w:rPr>
                <w:noProof/>
                <w:lang w:eastAsia="en-AU"/>
              </w:rPr>
              <mc:AlternateContent>
                <mc:Choice Requires="wpg">
                  <w:drawing>
                    <wp:anchor distT="0" distB="0" distL="114300" distR="114300" simplePos="0" relativeHeight="251668480" behindDoc="0" locked="0" layoutInCell="1" allowOverlap="1" wp14:anchorId="500BF97F" wp14:editId="0E9622EA">
                      <wp:simplePos x="0" y="0"/>
                      <wp:positionH relativeFrom="column">
                        <wp:posOffset>6562</wp:posOffset>
                      </wp:positionH>
                      <wp:positionV relativeFrom="paragraph">
                        <wp:posOffset>110067</wp:posOffset>
                      </wp:positionV>
                      <wp:extent cx="4318000" cy="5900322"/>
                      <wp:effectExtent l="57150" t="38100" r="82550" b="100965"/>
                      <wp:wrapNone/>
                      <wp:docPr id="510" name="Group 510" descr="Figure 2.2 CIDI response rates for Transitioned ADF and 2015 Regular ADF"/>
                      <wp:cNvGraphicFramePr/>
                      <a:graphic xmlns:a="http://schemas.openxmlformats.org/drawingml/2006/main">
                        <a:graphicData uri="http://schemas.microsoft.com/office/word/2010/wordprocessingGroup">
                          <wpg:wgp>
                            <wpg:cNvGrpSpPr/>
                            <wpg:grpSpPr>
                              <a:xfrm>
                                <a:off x="0" y="0"/>
                                <a:ext cx="4318000" cy="5900322"/>
                                <a:chOff x="0" y="0"/>
                                <a:chExt cx="4318000" cy="5900322"/>
                              </a:xfrm>
                            </wpg:grpSpPr>
                            <wps:wsp>
                              <wps:cNvPr id="455" name="Rectangle 455"/>
                              <wps:cNvSpPr/>
                              <wps:spPr>
                                <a:xfrm>
                                  <a:off x="593969" y="586154"/>
                                  <a:ext cx="3131128" cy="1038594"/>
                                </a:xfrm>
                                <a:prstGeom prst="rect">
                                  <a:avLst/>
                                </a:prstGeom>
                                <a:solidFill>
                                  <a:schemeClr val="bg1"/>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7816" y="3696677"/>
                                  <a:ext cx="2423160" cy="976630"/>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7816" y="2461846"/>
                                  <a:ext cx="2423367" cy="976794"/>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wps:spPr>
                                <a:xfrm>
                                  <a:off x="0" y="1875692"/>
                                  <a:ext cx="4318000" cy="338368"/>
                                </a:xfrm>
                                <a:prstGeom prst="rect">
                                  <a:avLst/>
                                </a:prstGeom>
                                <a:solidFill>
                                  <a:srgbClr val="001E60"/>
                                </a:solidFill>
                                <a:ln>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6"/>
                                </a:lnRef>
                                <a:fillRef idx="2">
                                  <a:schemeClr val="accent6"/>
                                </a:fillRef>
                                <a:effectRef idx="1">
                                  <a:schemeClr val="accent6"/>
                                </a:effectRef>
                                <a:fontRef idx="minor">
                                  <a:schemeClr val="dk1"/>
                                </a:fontRef>
                              </wps:style>
                              <wps:txbx>
                                <w:txbxContent>
                                  <w:p w14:paraId="5E84994B" w14:textId="77777777" w:rsidR="001A1792" w:rsidRPr="0074572A" w:rsidRDefault="001A1792" w:rsidP="009775E2">
                                    <w:pPr>
                                      <w:pStyle w:val="FigureTextwhite"/>
                                      <w:spacing w:before="60"/>
                                    </w:pPr>
                                    <w:r w:rsidRPr="0074572A">
                                      <w:t>Transition and Wellbeing Research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2993293" y="2461846"/>
                                  <a:ext cx="1292463" cy="326804"/>
                                </a:xfrm>
                                <a:prstGeom prst="rect">
                                  <a:avLst/>
                                </a:prstGeom>
                                <a:solidFill>
                                  <a:schemeClr val="bg1"/>
                                </a:solidFill>
                                <a:ln>
                                  <a:solidFill>
                                    <a:schemeClr val="tx1"/>
                                  </a:solidFill>
                                  <a:prstDash val="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6"/>
                                </a:lnRef>
                                <a:fillRef idx="2">
                                  <a:schemeClr val="accent6"/>
                                </a:fillRef>
                                <a:effectRef idx="1">
                                  <a:schemeClr val="accent6"/>
                                </a:effectRef>
                                <a:fontRef idx="minor">
                                  <a:schemeClr val="dk1"/>
                                </a:fontRef>
                              </wps:style>
                              <wps:txbx>
                                <w:txbxContent>
                                  <w:p w14:paraId="4B455764" w14:textId="77777777" w:rsidR="001A1792" w:rsidRPr="00BE01FB" w:rsidRDefault="001A1792" w:rsidP="00BE01FB">
                                    <w:pPr>
                                      <w:pStyle w:val="FigureText"/>
                                      <w:spacing w:before="30"/>
                                      <w:rPr>
                                        <w:b w:val="0"/>
                                      </w:rPr>
                                    </w:pPr>
                                    <w:r w:rsidRPr="0074572A">
                                      <w:t>Not invited</w:t>
                                    </w:r>
                                    <w:r>
                                      <w:br/>
                                    </w:r>
                                    <w:r w:rsidRPr="00BE01FB">
                                      <w:rPr>
                                        <w:b w:val="0"/>
                                      </w:rPr>
                                      <w:t>n = 1601 (59.6%)</w:t>
                                    </w:r>
                                  </w:p>
                                  <w:p w14:paraId="3E36852C"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578339" y="2563446"/>
                                  <a:ext cx="1292463" cy="326804"/>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9A59772" w14:textId="77777777" w:rsidR="001A1792" w:rsidRPr="00BE01FB" w:rsidRDefault="001A1792" w:rsidP="00BE01FB">
                                    <w:pPr>
                                      <w:pStyle w:val="FigureText"/>
                                      <w:spacing w:before="30"/>
                                      <w:rPr>
                                        <w:b w:val="0"/>
                                      </w:rPr>
                                    </w:pPr>
                                    <w:r w:rsidRPr="0074572A">
                                      <w:t>CIDI selected population</w:t>
                                    </w:r>
                                    <w:r>
                                      <w:br/>
                                    </w:r>
                                    <w:r w:rsidRPr="00BE01FB">
                                      <w:rPr>
                                        <w:b w:val="0"/>
                                      </w:rPr>
                                      <w:t>n = 1085 (40.4%)</w:t>
                                    </w:r>
                                  </w:p>
                                  <w:p w14:paraId="50AFAF94" w14:textId="77777777" w:rsidR="001A1792" w:rsidRPr="0074572A" w:rsidRDefault="001A1792" w:rsidP="00A340EE">
                                    <w:pPr>
                                      <w:spacing w:after="0"/>
                                      <w:jc w:val="center"/>
                                      <w:rPr>
                                        <w:rFonts w:ascii="Arial Narrow" w:hAnsi="Arial Narrow"/>
                                        <w:color w:val="000000" w:themeColor="text1"/>
                                        <w:sz w:val="16"/>
                                        <w:szCs w:val="16"/>
                                      </w:rPr>
                                    </w:pPr>
                                  </w:p>
                                  <w:p w14:paraId="7EEF9F52" w14:textId="77777777" w:rsidR="001A1792" w:rsidRPr="0074572A" w:rsidRDefault="001A1792" w:rsidP="00A340EE">
                                    <w:pPr>
                                      <w:spacing w:after="0"/>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148493" y="3001108"/>
                                  <a:ext cx="915035" cy="326390"/>
                                </a:xfrm>
                                <a:prstGeom prst="rect">
                                  <a:avLst/>
                                </a:prstGeom>
                                <a:solidFill>
                                  <a:srgbClr val="782F4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126EC2" w14:textId="77777777" w:rsidR="001A1792" w:rsidRPr="00BE01FB" w:rsidRDefault="001A1792" w:rsidP="00BE01FB">
                                    <w:pPr>
                                      <w:pStyle w:val="FigureTextwhite"/>
                                      <w:spacing w:before="30"/>
                                      <w:rPr>
                                        <w:b w:val="0"/>
                                      </w:rPr>
                                    </w:pPr>
                                    <w:r w:rsidRPr="0074572A">
                                      <w:t>Transitioned ADF</w:t>
                                    </w:r>
                                    <w:r>
                                      <w:br/>
                                    </w:r>
                                    <w:r w:rsidRPr="00BE01FB">
                                      <w:rPr>
                                        <w:b w:val="0"/>
                                      </w:rPr>
                                      <w:t>n = 368 (33.9%)</w:t>
                                    </w:r>
                                  </w:p>
                                  <w:p w14:paraId="032FF547"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463"/>
                              <wps:cNvSpPr txBox="1"/>
                              <wps:spPr>
                                <a:xfrm>
                                  <a:off x="1391139" y="3001108"/>
                                  <a:ext cx="915035" cy="32512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B88B1D0" w14:textId="77777777" w:rsidR="001A1792" w:rsidRPr="00BE01FB" w:rsidRDefault="001A1792" w:rsidP="00BE01FB">
                                    <w:pPr>
                                      <w:pStyle w:val="FigureTextwhite"/>
                                      <w:spacing w:before="30"/>
                                      <w:rPr>
                                        <w:b w:val="0"/>
                                      </w:rPr>
                                    </w:pPr>
                                    <w:r w:rsidRPr="0074572A">
                                      <w:t>Regular ADF</w:t>
                                    </w:r>
                                    <w:r>
                                      <w:br/>
                                    </w:r>
                                    <w:r w:rsidRPr="00BE01FB">
                                      <w:rPr>
                                        <w:b w:val="0"/>
                                      </w:rPr>
                                      <w:t>n = 717 (66.1%)</w:t>
                                    </w:r>
                                  </w:p>
                                  <w:p w14:paraId="661A497C"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148493" y="4243754"/>
                                  <a:ext cx="915035" cy="326390"/>
                                </a:xfrm>
                                <a:prstGeom prst="rect">
                                  <a:avLst/>
                                </a:prstGeom>
                                <a:solidFill>
                                  <a:srgbClr val="782F4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A7311C2" w14:textId="77777777" w:rsidR="001A1792" w:rsidRPr="00BE01FB" w:rsidRDefault="001A1792" w:rsidP="00BE01FB">
                                    <w:pPr>
                                      <w:pStyle w:val="FigureTextwhite"/>
                                      <w:spacing w:before="30"/>
                                      <w:rPr>
                                        <w:b w:val="0"/>
                                      </w:rPr>
                                    </w:pPr>
                                    <w:r w:rsidRPr="0074572A">
                                      <w:t>Transitioned ADF</w:t>
                                    </w:r>
                                    <w:r>
                                      <w:br/>
                                    </w:r>
                                    <w:r w:rsidRPr="00BE01FB">
                                      <w:rPr>
                                        <w:b w:val="0"/>
                                      </w:rPr>
                                      <w:t>n = 266 (72.3%)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1391139" y="4243754"/>
                                  <a:ext cx="915035" cy="32639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694E8E1" w14:textId="77777777" w:rsidR="001A1792" w:rsidRPr="00BE01FB" w:rsidRDefault="001A1792" w:rsidP="00BE01FB">
                                    <w:pPr>
                                      <w:pStyle w:val="FigureTextwhite"/>
                                      <w:spacing w:before="30"/>
                                      <w:rPr>
                                        <w:b w:val="0"/>
                                      </w:rPr>
                                    </w:pPr>
                                    <w:r w:rsidRPr="0074572A">
                                      <w:t>Regular ADF</w:t>
                                    </w:r>
                                    <w:r>
                                      <w:br/>
                                    </w:r>
                                    <w:r w:rsidRPr="00BE01FB">
                                      <w:rPr>
                                        <w:b w:val="0"/>
                                      </w:rPr>
                                      <w:t>n = 567 (79.1%)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578339" y="3806092"/>
                                  <a:ext cx="1292225" cy="32639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43671ED" w14:textId="77777777" w:rsidR="001A1792" w:rsidRPr="00BE01FB" w:rsidRDefault="001A1792" w:rsidP="00BE01FB">
                                    <w:pPr>
                                      <w:pStyle w:val="FigureText"/>
                                      <w:spacing w:before="30"/>
                                      <w:rPr>
                                        <w:b w:val="0"/>
                                      </w:rPr>
                                    </w:pPr>
                                    <w:r w:rsidRPr="0074572A">
                                      <w:t>CIDI responders</w:t>
                                    </w:r>
                                    <w:r>
                                      <w:br/>
                                    </w:r>
                                    <w:r w:rsidRPr="00BE01FB">
                                      <w:rPr>
                                        <w:b w:val="0"/>
                                      </w:rPr>
                                      <w:t>n = 833 (76.8%)</w:t>
                                    </w:r>
                                  </w:p>
                                  <w:p w14:paraId="27BD5702" w14:textId="77777777" w:rsidR="001A1792" w:rsidRPr="0074572A" w:rsidRDefault="001A1792" w:rsidP="00A340EE">
                                    <w:pPr>
                                      <w:spacing w:after="0" w:line="240" w:lineRule="auto"/>
                                      <w:jc w:val="center"/>
                                      <w:rPr>
                                        <w:rFonts w:ascii="Arial Narrow" w:hAnsi="Arial Narrow"/>
                                        <w:color w:val="000000" w:themeColor="text1"/>
                                        <w:sz w:val="16"/>
                                        <w:szCs w:val="16"/>
                                      </w:rPr>
                                    </w:pPr>
                                  </w:p>
                                  <w:p w14:paraId="25BFAD43" w14:textId="77777777" w:rsidR="001A1792" w:rsidRPr="0074572A" w:rsidRDefault="001A1792" w:rsidP="00A340EE">
                                    <w:pPr>
                                      <w:spacing w:after="0" w:line="240" w:lineRule="auto"/>
                                      <w:jc w:val="center"/>
                                      <w:rPr>
                                        <w:rFonts w:ascii="Arial Narrow" w:hAnsi="Arial Narrow"/>
                                        <w:color w:val="000000" w:themeColor="text1"/>
                                        <w:sz w:val="16"/>
                                        <w:szCs w:val="16"/>
                                      </w:rPr>
                                    </w:pPr>
                                  </w:p>
                                  <w:p w14:paraId="4566AC65" w14:textId="77777777" w:rsidR="001A1792" w:rsidRPr="0074572A" w:rsidRDefault="001A1792" w:rsidP="00A340EE">
                                    <w:pPr>
                                      <w:spacing w:after="0" w:line="240" w:lineRule="auto"/>
                                      <w:jc w:val="center"/>
                                      <w:rPr>
                                        <w:rFonts w:ascii="Arial Narrow" w:hAnsi="Arial Narrow"/>
                                        <w:color w:val="000000" w:themeColor="text1"/>
                                        <w:sz w:val="16"/>
                                        <w:szCs w:val="16"/>
                                      </w:rPr>
                                    </w:pPr>
                                    <w:r w:rsidRPr="0074572A">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Rectangle 467"/>
                              <wps:cNvSpPr/>
                              <wps:spPr>
                                <a:xfrm>
                                  <a:off x="7816" y="4923692"/>
                                  <a:ext cx="2423160" cy="976630"/>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48493" y="5462954"/>
                                  <a:ext cx="915035" cy="325120"/>
                                </a:xfrm>
                                <a:prstGeom prst="rect">
                                  <a:avLst/>
                                </a:prstGeom>
                                <a:solidFill>
                                  <a:srgbClr val="782F4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ADF647C" w14:textId="77777777" w:rsidR="001A1792" w:rsidRPr="00BE01FB" w:rsidRDefault="001A1792" w:rsidP="00BE01FB">
                                    <w:pPr>
                                      <w:pStyle w:val="FigureTextwhite"/>
                                      <w:spacing w:before="30"/>
                                      <w:rPr>
                                        <w:b w:val="0"/>
                                      </w:rPr>
                                    </w:pPr>
                                    <w:r w:rsidRPr="0074572A">
                                      <w:t>Transitioned ADF</w:t>
                                    </w:r>
                                    <w:r>
                                      <w:br/>
                                    </w:r>
                                    <w:r w:rsidRPr="00BE01FB">
                                      <w:rPr>
                                        <w:b w:val="0"/>
                                      </w:rPr>
                                      <w:t>n = 261 (70.9%)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1391139" y="5462954"/>
                                  <a:ext cx="915035" cy="325120"/>
                                </a:xfrm>
                                <a:prstGeom prst="rect">
                                  <a:avLst/>
                                </a:prstGeom>
                                <a:solidFill>
                                  <a:srgbClr val="00A9E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F55D099" w14:textId="77777777" w:rsidR="001A1792" w:rsidRPr="00BE01FB" w:rsidRDefault="001A1792" w:rsidP="00BE01FB">
                                    <w:pPr>
                                      <w:pStyle w:val="FigureTextwhite"/>
                                      <w:spacing w:before="30"/>
                                      <w:rPr>
                                        <w:b w:val="0"/>
                                      </w:rPr>
                                    </w:pPr>
                                    <w:r w:rsidRPr="0074572A">
                                      <w:t>Regular ADF</w:t>
                                    </w:r>
                                    <w:r>
                                      <w:br/>
                                    </w:r>
                                    <w:r w:rsidRPr="00BE01FB">
                                      <w:rPr>
                                        <w:b w:val="0"/>
                                      </w:rPr>
                                      <w:t>n = 559 (78.0%)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578339" y="5033108"/>
                                  <a:ext cx="1292225" cy="32512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B4EBF24" w14:textId="77777777" w:rsidR="001A1792" w:rsidRPr="00BE01FB" w:rsidRDefault="001A1792" w:rsidP="00BE01FB">
                                    <w:pPr>
                                      <w:pStyle w:val="FigureText"/>
                                      <w:spacing w:before="30"/>
                                      <w:rPr>
                                        <w:b w:val="0"/>
                                      </w:rPr>
                                    </w:pPr>
                                    <w:r w:rsidRPr="0074572A">
                                      <w:t>Consented to linkage</w:t>
                                    </w:r>
                                    <w:r>
                                      <w:br/>
                                    </w:r>
                                    <w:r w:rsidRPr="00BE01FB">
                                      <w:rPr>
                                        <w:b w:val="0"/>
                                      </w:rPr>
                                      <w:t>n = 820 (75.6%)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1524000" y="703385"/>
                                  <a:ext cx="1292225" cy="33401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8FE5B83" w14:textId="77777777" w:rsidR="001A1792" w:rsidRPr="00BE01FB" w:rsidRDefault="001A1792" w:rsidP="00BE01FB">
                                    <w:pPr>
                                      <w:pStyle w:val="FigureText"/>
                                      <w:spacing w:before="30"/>
                                      <w:rPr>
                                        <w:b w:val="0"/>
                                      </w:rPr>
                                    </w:pPr>
                                    <w:r w:rsidRPr="0074572A">
                                      <w:t>M</w:t>
                                    </w:r>
                                    <w:r>
                                      <w:t>HPWS</w:t>
                                    </w:r>
                                    <w:r w:rsidRPr="0074572A">
                                      <w:t xml:space="preserve"> CIDI responders</w:t>
                                    </w:r>
                                    <w:r>
                                      <w:br/>
                                    </w:r>
                                    <w:r w:rsidRPr="00BE01FB">
                                      <w:rPr>
                                        <w:b w:val="0"/>
                                      </w:rPr>
                                      <w:t>n = 2684 (58.8%)</w:t>
                                    </w:r>
                                  </w:p>
                                  <w:p w14:paraId="61098389" w14:textId="77777777" w:rsidR="001A1792" w:rsidRPr="00DD2C8B" w:rsidRDefault="001A1792" w:rsidP="00A340EE">
                                    <w:pPr>
                                      <w:spacing w:after="0" w:line="240" w:lineRule="auto"/>
                                      <w:jc w:val="center"/>
                                      <w:rPr>
                                        <w:color w:val="FFFFFF" w:themeColor="background1"/>
                                      </w:rPr>
                                    </w:pPr>
                                  </w:p>
                                  <w:p w14:paraId="4507FB88" w14:textId="77777777" w:rsidR="001A1792" w:rsidRPr="00DD2C8B" w:rsidRDefault="001A1792" w:rsidP="00A340EE">
                                    <w:pPr>
                                      <w:spacing w:after="0" w:line="240" w:lineRule="auto"/>
                                      <w:jc w:val="center"/>
                                      <w:rPr>
                                        <w:color w:val="FFFFFF" w:themeColor="background1"/>
                                      </w:rPr>
                                    </w:pPr>
                                  </w:p>
                                  <w:p w14:paraId="5E49654C" w14:textId="77777777" w:rsidR="001A1792" w:rsidRPr="00DD2C8B" w:rsidRDefault="001A1792" w:rsidP="00A340EE">
                                    <w:pPr>
                                      <w:spacing w:after="0" w:line="240" w:lineRule="auto"/>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789354" y="1187939"/>
                                  <a:ext cx="1232535" cy="336550"/>
                                </a:xfrm>
                                <a:prstGeom prst="rect">
                                  <a:avLst/>
                                </a:prstGeom>
                                <a:solidFill>
                                  <a:srgbClr val="009A44"/>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2C32E8F" w14:textId="77777777" w:rsidR="001A1792" w:rsidRPr="00BE01FB" w:rsidRDefault="001A1792" w:rsidP="00BE01FB">
                                    <w:pPr>
                                      <w:pStyle w:val="FigureTextwhite"/>
                                      <w:spacing w:before="30"/>
                                      <w:rPr>
                                        <w:b w:val="0"/>
                                      </w:rPr>
                                    </w:pPr>
                                    <w:r w:rsidRPr="0074572A">
                                      <w:t>M</w:t>
                                    </w:r>
                                    <w:r>
                                      <w:t>HPWS stratified (</w:t>
                                    </w:r>
                                    <w:r w:rsidRPr="0074572A">
                                      <w:t>report</w:t>
                                    </w:r>
                                    <w:r>
                                      <w:t>)</w:t>
                                    </w:r>
                                    <w:r>
                                      <w:br/>
                                    </w:r>
                                    <w:r w:rsidRPr="00BE01FB">
                                      <w:rPr>
                                        <w:b w:val="0"/>
                                      </w:rPr>
                                      <w:t>n = 1798 (67.0%)</w:t>
                                    </w:r>
                                  </w:p>
                                  <w:p w14:paraId="34DDD973" w14:textId="77777777" w:rsidR="001A1792" w:rsidRPr="0074572A" w:rsidRDefault="001A1792" w:rsidP="00A340EE">
                                    <w:pPr>
                                      <w:spacing w:after="0" w:line="240" w:lineRule="auto"/>
                                      <w:jc w:val="cente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2305539" y="1187939"/>
                                  <a:ext cx="1209040" cy="334010"/>
                                </a:xfrm>
                                <a:prstGeom prst="rect">
                                  <a:avLst/>
                                </a:prstGeom>
                                <a:solidFill>
                                  <a:srgbClr val="009A44"/>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CE5582" w14:textId="77777777" w:rsidR="001A1792" w:rsidRPr="00BE01FB" w:rsidRDefault="001A1792" w:rsidP="00BE01FB">
                                    <w:pPr>
                                      <w:pStyle w:val="FigureTextwhite"/>
                                      <w:spacing w:before="30"/>
                                      <w:rPr>
                                        <w:b w:val="0"/>
                                      </w:rPr>
                                    </w:pPr>
                                    <w:r w:rsidRPr="0074572A">
                                      <w:t>Duty of care</w:t>
                                    </w:r>
                                    <w:r>
                                      <w:br/>
                                    </w:r>
                                    <w:r w:rsidRPr="00BE01FB">
                                      <w:rPr>
                                        <w:b w:val="0"/>
                                      </w:rPr>
                                      <w:t>n = 886 (33.0%)</w:t>
                                    </w:r>
                                  </w:p>
                                  <w:p w14:paraId="32B30E34" w14:textId="77777777" w:rsidR="001A1792" w:rsidRPr="0074572A" w:rsidRDefault="001A1792" w:rsidP="00A340EE">
                                    <w:pPr>
                                      <w:spacing w:after="0" w:line="240" w:lineRule="auto"/>
                                      <w:jc w:val="cente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1516185" y="0"/>
                                  <a:ext cx="1292225" cy="334433"/>
                                </a:xfrm>
                                <a:prstGeom prst="rect">
                                  <a:avLst/>
                                </a:prstGeom>
                                <a:solidFill>
                                  <a:schemeClr val="bg1"/>
                                </a:solidFill>
                                <a:ln>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74CF7F63" w14:textId="77777777" w:rsidR="001A1792" w:rsidRPr="00BE01FB" w:rsidRDefault="001A1792" w:rsidP="00BE01FB">
                                    <w:pPr>
                                      <w:pStyle w:val="FigureText"/>
                                      <w:spacing w:before="30"/>
                                      <w:rPr>
                                        <w:b w:val="0"/>
                                      </w:rPr>
                                    </w:pPr>
                                    <w:r w:rsidRPr="0074572A">
                                      <w:t>M</w:t>
                                    </w:r>
                                    <w:r>
                                      <w:t xml:space="preserve">HPWS </w:t>
                                    </w:r>
                                    <w:r w:rsidRPr="0074572A">
                                      <w:t>CIDI selected</w:t>
                                    </w:r>
                                    <w:r>
                                      <w:br/>
                                    </w:r>
                                    <w:r w:rsidRPr="00BE01FB">
                                      <w:rPr>
                                        <w:b w:val="0"/>
                                      </w:rPr>
                                      <w:t>n = 4565</w:t>
                                    </w:r>
                                  </w:p>
                                  <w:p w14:paraId="5756E60F" w14:textId="77777777" w:rsidR="001A1792" w:rsidRDefault="001A1792" w:rsidP="00A340EE">
                                    <w:pPr>
                                      <w:spacing w:after="0" w:line="240" w:lineRule="auto"/>
                                      <w:jc w:val="center"/>
                                    </w:pPr>
                                  </w:p>
                                  <w:p w14:paraId="3BC4B946" w14:textId="77777777" w:rsidR="001A1792" w:rsidRDefault="001A1792" w:rsidP="00A340EE">
                                    <w:pPr>
                                      <w:spacing w:after="0" w:line="240" w:lineRule="auto"/>
                                      <w:jc w:val="center"/>
                                    </w:pPr>
                                  </w:p>
                                  <w:p w14:paraId="05047485" w14:textId="77777777" w:rsidR="001A1792" w:rsidRDefault="001A1792" w:rsidP="00A340E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flipH="1">
                                  <a:off x="2164862" y="328246"/>
                                  <a:ext cx="0" cy="24688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 name="Straight Connector 1"/>
                              <wps:cNvCnPr/>
                              <wps:spPr>
                                <a:xfrm flipH="1">
                                  <a:off x="2164862" y="1633416"/>
                                  <a:ext cx="0" cy="246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3641969" y="2196123"/>
                                  <a:ext cx="0" cy="246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1219200" y="3438769"/>
                                  <a:ext cx="0" cy="246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1219200" y="2211754"/>
                                  <a:ext cx="0" cy="246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1219200" y="4673600"/>
                                  <a:ext cx="0" cy="246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0BF97F" id="Group 510" o:spid="_x0000_s1049" alt="Figure 2.2 CIDI response rates for Transitioned ADF and 2015 Regular ADF" style="position:absolute;margin-left:.5pt;margin-top:8.65pt;width:340pt;height:464.6pt;z-index:251668480" coordsize="43180,59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">
                      <v:rect id="Rectangle 455" o:spid="_x0000_s1050" style="position:absolute;left:5939;top:5861;width:31311;height:10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bMYA&#10;AADcAAAADwAAAGRycy9kb3ducmV2LnhtbESPQWvCQBSE74X+h+UVems2rY1IdBWRCqGXkqRVvD2y&#10;r0kw+zZktxr/fVcQPA4z8w2zWI2mEycaXGtZwWsUgyCurG65VvBdbl9mIJxH1thZJgUXcrBaPj4s&#10;MNX2zDmdCl+LAGGXooLG+z6V0lUNGXSR7YmD92sHgz7IoZZ6wHOAm06+xfFUGmw5LDTY06ah6lj8&#10;GQWTyaXa/Xzts8/9Ni6P7SH/YM6Ven4a13MQnkZ/D9/amVbwniR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nVbMYAAADcAAAADwAAAAAAAAAAAAAAAACYAgAAZHJz&#10;L2Rvd25yZXYueG1sUEsFBgAAAAAEAAQA9QAAAIsDAAAAAA==&#10;" fillcolor="white [3212]" strokecolor="black [3213]">
                        <v:shadow on="t" color="black" opacity="24903f" origin=",.5" offset="0,.55556mm"/>
                      </v:rect>
                      <v:rect id="Rectangle 456" o:spid="_x0000_s1051" style="position:absolute;left:78;top:36966;width:24231;height:9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LG8YA&#10;AADcAAAADwAAAGRycy9kb3ducmV2LnhtbESPQWvCQBSE70L/w/IKvemmWkWiGxFRkF5KtFW8PbKv&#10;yZLs25Ddavz3XaHQ4zAz3zDLVW8bcaXOG8cKXkcJCOLCacOlgs/jbjgH4QOyxsYxKbiTh1X2NFhi&#10;qt2Nc7oeQikihH2KCqoQ2lRKX1Rk0Y9cSxy9b9dZDFF2pdQd3iLcNnKcJDNp0XBcqLClTUVFffix&#10;CiaTe3H6+jjv38+75FibS75lzpV6ee7XCxCB+vAf/mvvtYK36Qwe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tLG8YAAADcAAAADwAAAAAAAAAAAAAAAACYAgAAZHJz&#10;L2Rvd25yZXYueG1sUEsFBgAAAAAEAAQA9QAAAIsDAAAAAA==&#10;" fillcolor="white [3212]" strokecolor="black [3213]">
                        <v:shadow on="t" color="black" opacity="24903f" origin=",.5" offset="0,.55556mm"/>
                      </v:rect>
                      <v:rect id="Rectangle 457" o:spid="_x0000_s1052" style="position:absolute;left:78;top:24618;width:24233;height:9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ugMYA&#10;AADcAAAADwAAAGRycy9kb3ducmV2LnhtbESPzWrDMBCE74W+g9hCb43cOk2CE8WUEEPIpTi/5LZY&#10;W9vYWhlLTZy3rwqFHoeZ+YZZpINpxZV6V1tW8DqKQBAXVtdcKjjss5cZCOeRNbaWScGdHKTLx4cF&#10;JtreOKfrzpciQNglqKDyvkukdEVFBt3IdsTB+7K9QR9kX0rd4y3ATSvfomgiDdYcFirsaFVR0ey+&#10;jYI4vhen4+d5sz1n0b6pL/maOVfq+Wn4mIPwNPj/8F97oxWM36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fugMYAAADcAAAADwAAAAAAAAAAAAAAAACYAgAAZHJz&#10;L2Rvd25yZXYueG1sUEsFBgAAAAAEAAQA9QAAAIsDAAAAAA==&#10;" fillcolor="white [3212]" strokecolor="black [3213]">
                        <v:shadow on="t" color="black" opacity="24903f" origin=",.5" offset="0,.55556mm"/>
                      </v:rect>
                      <v:shape id="Text Box 458" o:spid="_x0000_s1053" type="#_x0000_t202" style="position:absolute;top:18756;width:43180;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1sEA&#10;AADcAAAADwAAAGRycy9kb3ducmV2LnhtbERPy2rCQBTdC/2H4Rbc6cRnJXUUEaRdFDGx3V8y1ySa&#10;uRNmpib9+85CcHk47/W2N424k/O1ZQWTcQKCuLC65lLB9/kwWoHwAVljY5kU/JGH7eZlsMZU244z&#10;uuehFDGEfYoKqhDaVEpfVGTQj21LHLmLdQZDhK6U2mEXw00jp0mylAZrjg0VtrSvqLjlv0ZBdnT2&#10;a6Wvs32YZdOP7m33M29OSg1f+907iEB9eIof7k+tYL6Ia+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9bBAAAA3AAAAA8AAAAAAAAAAAAAAAAAmAIAAGRycy9kb3du&#10;cmV2LnhtbFBLBQYAAAAABAAEAPUAAACGAwAAAAA=&#10;" fillcolor="#001e60" strokecolor="black [3213]">
                        <v:shadow on="t" color="black" opacity="24903f" origin=",.5" offset="0,.55556mm"/>
                        <v:textbox>
                          <w:txbxContent>
                            <w:p w14:paraId="5E84994B" w14:textId="77777777" w:rsidR="001A1792" w:rsidRPr="0074572A" w:rsidRDefault="001A1792" w:rsidP="009775E2">
                              <w:pPr>
                                <w:pStyle w:val="FigureTextwhite"/>
                                <w:spacing w:before="60"/>
                              </w:pPr>
                              <w:r w:rsidRPr="0074572A">
                                <w:t>Transition and Wellbeing Research Programme</w:t>
                              </w:r>
                            </w:p>
                          </w:txbxContent>
                        </v:textbox>
                      </v:shape>
                      <v:shape id="Text Box 460" o:spid="_x0000_s1054" type="#_x0000_t202" style="position:absolute;left:29932;top:24618;width:12925;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FnsAA&#10;AADcAAAADwAAAGRycy9kb3ducmV2LnhtbERPy4rCMBTdD/gP4QqzG1OHWqQaRZQBZ0DB6gdcmmsf&#10;Njelidr+/WQhuDyc93Ldm0Y8qHOVZQXTSQSCOLe64kLB5fzzNQfhPLLGxjIpGMjBejX6WGKq7ZNP&#10;9Mh8IUIIuxQVlN63qZQuL8mgm9iWOHBX2xn0AXaF1B0+Q7hp5HcUJdJgxaGhxJa2JeW37G4UbOLZ&#10;zh6K5Ld2h+Nf3OYD1/Wg1Oe43yxAeOr9W/xy77WCOAnz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PFnsAAAADcAAAADwAAAAAAAAAAAAAAAACYAgAAZHJzL2Rvd25y&#10;ZXYueG1sUEsFBgAAAAAEAAQA9QAAAIUDAAAAAA==&#10;" fillcolor="white [3212]" strokecolor="black [3213]">
                        <v:stroke dashstyle="dash"/>
                        <v:shadow on="t" color="black" opacity="24903f" origin=",.5" offset="0,.55556mm"/>
                        <v:textbox>
                          <w:txbxContent>
                            <w:p w14:paraId="4B455764" w14:textId="77777777" w:rsidR="001A1792" w:rsidRPr="00BE01FB" w:rsidRDefault="001A1792" w:rsidP="00BE01FB">
                              <w:pPr>
                                <w:pStyle w:val="FigureText"/>
                                <w:spacing w:before="30"/>
                                <w:rPr>
                                  <w:b w:val="0"/>
                                </w:rPr>
                              </w:pPr>
                              <w:r w:rsidRPr="0074572A">
                                <w:t>Not invited</w:t>
                              </w:r>
                              <w:r>
                                <w:br/>
                              </w:r>
                              <w:r w:rsidRPr="00BE01FB">
                                <w:rPr>
                                  <w:b w:val="0"/>
                                </w:rPr>
                                <w:t>n = 1601 (59.6%)</w:t>
                              </w:r>
                            </w:p>
                            <w:p w14:paraId="3E36852C"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v:textbox>
                      </v:shape>
                      <v:shape id="Text Box 461" o:spid="_x0000_s1055" type="#_x0000_t202" style="position:absolute;left:5783;top:25634;width:12925;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suMIA&#10;AADcAAAADwAAAGRycy9kb3ducmV2LnhtbESPQYvCMBSE7wv+h/AEb2vqKlKqaRFB8CTorlBvj+bZ&#10;FpuX0mRt+++NsLDHYWa+YbbZYBrxpM7VlhUs5hEI4sLqmksFP9+HzxiE88gaG8ukYCQHWTr52GKi&#10;bc9nel58KQKEXYIKKu/bREpXVGTQzW1LHLy77Qz6ILtS6g77ADeN/IqitTRYc1iosKV9RcXj8msU&#10;nMbxsbv1eZ5f0RuNS2duFCs1mw67DQhPg/8P/7WPWsFqvYD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my4wgAAANwAAAAPAAAAAAAAAAAAAAAAAJgCAABkcnMvZG93&#10;bnJldi54bWxQSwUGAAAAAAQABAD1AAAAhwMAAAAA&#10;" fillcolor="white [3212]" strokecolor="black [3213]">
                        <v:textbox>
                          <w:txbxContent>
                            <w:p w14:paraId="29A59772" w14:textId="77777777" w:rsidR="001A1792" w:rsidRPr="00BE01FB" w:rsidRDefault="001A1792" w:rsidP="00BE01FB">
                              <w:pPr>
                                <w:pStyle w:val="FigureText"/>
                                <w:spacing w:before="30"/>
                                <w:rPr>
                                  <w:b w:val="0"/>
                                </w:rPr>
                              </w:pPr>
                              <w:r w:rsidRPr="0074572A">
                                <w:t>CIDI selected population</w:t>
                              </w:r>
                              <w:r>
                                <w:br/>
                              </w:r>
                              <w:r w:rsidRPr="00BE01FB">
                                <w:rPr>
                                  <w:b w:val="0"/>
                                </w:rPr>
                                <w:t>n = 1085 (40.4%)</w:t>
                              </w:r>
                            </w:p>
                            <w:p w14:paraId="50AFAF94" w14:textId="77777777" w:rsidR="001A1792" w:rsidRPr="0074572A" w:rsidRDefault="001A1792" w:rsidP="00A340EE">
                              <w:pPr>
                                <w:spacing w:after="0"/>
                                <w:jc w:val="center"/>
                                <w:rPr>
                                  <w:rFonts w:ascii="Arial Narrow" w:hAnsi="Arial Narrow"/>
                                  <w:color w:val="000000" w:themeColor="text1"/>
                                  <w:sz w:val="16"/>
                                  <w:szCs w:val="16"/>
                                </w:rPr>
                              </w:pPr>
                            </w:p>
                            <w:p w14:paraId="7EEF9F52" w14:textId="77777777" w:rsidR="001A1792" w:rsidRPr="0074572A" w:rsidRDefault="001A1792" w:rsidP="00A340EE">
                              <w:pPr>
                                <w:spacing w:after="0"/>
                                <w:jc w:val="center"/>
                                <w:rPr>
                                  <w:rFonts w:ascii="Arial Narrow" w:hAnsi="Arial Narrow"/>
                                  <w:color w:val="000000" w:themeColor="text1"/>
                                  <w:sz w:val="16"/>
                                  <w:szCs w:val="16"/>
                                </w:rPr>
                              </w:pPr>
                            </w:p>
                          </w:txbxContent>
                        </v:textbox>
                      </v:shape>
                      <v:shape id="Text Box 462" o:spid="_x0000_s1056" type="#_x0000_t202" style="position:absolute;left:1484;top:30011;width:9151;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MBMQA&#10;AADcAAAADwAAAGRycy9kb3ducmV2LnhtbESPQWvCQBSE7wX/w/IEb3Wj2FCiq4ggVHupqQePz+xz&#10;E8y+DdltTP69Wyj0OMzMN8xq09tadNT6yrGC2TQBQVw4XbFRcP7ev76D8AFZY+2YFAzkYbMevaww&#10;0+7BJ+ryYESEsM9QQRlCk0npi5Is+qlriKN3c63FEGVrpG7xEeG2lvMkSaXFiuNCiQ3tSiru+Y9V&#10;8LY4mUtafx6GY369u8GbtJt9KTUZ99sliEB9+A//tT+0gkU6h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zATEAAAA3AAAAA8AAAAAAAAAAAAAAAAAmAIAAGRycy9k&#10;b3ducmV2LnhtbFBLBQYAAAAABAAEAPUAAACJAwAAAAA=&#10;" fillcolor="#782f40" strokecolor="black [3213]">
                        <v:textbox>
                          <w:txbxContent>
                            <w:p w14:paraId="69126EC2" w14:textId="77777777" w:rsidR="001A1792" w:rsidRPr="00BE01FB" w:rsidRDefault="001A1792" w:rsidP="00BE01FB">
                              <w:pPr>
                                <w:pStyle w:val="FigureTextwhite"/>
                                <w:spacing w:before="30"/>
                                <w:rPr>
                                  <w:b w:val="0"/>
                                </w:rPr>
                              </w:pPr>
                              <w:r w:rsidRPr="0074572A">
                                <w:t>Transitioned ADF</w:t>
                              </w:r>
                              <w:r>
                                <w:br/>
                              </w:r>
                              <w:r w:rsidRPr="00BE01FB">
                                <w:rPr>
                                  <w:b w:val="0"/>
                                </w:rPr>
                                <w:t>n = 368 (33.9%)</w:t>
                              </w:r>
                            </w:p>
                            <w:p w14:paraId="032FF547"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v:textbox>
                      </v:shape>
                      <v:shape id="Text Box 463" o:spid="_x0000_s1057" type="#_x0000_t202" style="position:absolute;left:13911;top:30011;width:915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1D8YA&#10;AADcAAAADwAAAGRycy9kb3ducmV2LnhtbESPT2vCQBTE7wW/w/IEb83GWkVSV7FKpLfS1EOOj+xr&#10;Ept9G7Jr/nz7bqHQ4zAzv2F2h9E0oqfO1ZYVLKMYBHFhdc2lgutn+rgF4TyyxsYyKZjIwWE/e9hh&#10;ou3AH9RnvhQBwi5BBZX3bSKlKyoy6CLbEgfvy3YGfZBdKXWHQ4CbRj7F8UYarDksVNjSqaLiO7sb&#10;Bdl9yNeXXr+a99M6Ha63cz5tb0ot5uPxBYSn0f+H/9pvWsHzZgW/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p1D8YAAADcAAAADwAAAAAAAAAAAAAAAACYAgAAZHJz&#10;L2Rvd25yZXYueG1sUEsFBgAAAAAEAAQA9QAAAIsDAAAAAA==&#10;" fillcolor="#00a9e0" strokecolor="black [3213]">
                        <v:textbox>
                          <w:txbxContent>
                            <w:p w14:paraId="1B88B1D0" w14:textId="77777777" w:rsidR="001A1792" w:rsidRPr="00BE01FB" w:rsidRDefault="001A1792" w:rsidP="00BE01FB">
                              <w:pPr>
                                <w:pStyle w:val="FigureTextwhite"/>
                                <w:spacing w:before="30"/>
                                <w:rPr>
                                  <w:b w:val="0"/>
                                </w:rPr>
                              </w:pPr>
                              <w:r w:rsidRPr="0074572A">
                                <w:t>Regular ADF</w:t>
                              </w:r>
                              <w:r>
                                <w:br/>
                              </w:r>
                              <w:r w:rsidRPr="00BE01FB">
                                <w:rPr>
                                  <w:b w:val="0"/>
                                </w:rPr>
                                <w:t>n = 717 (66.1%)</w:t>
                              </w:r>
                            </w:p>
                            <w:p w14:paraId="661A497C" w14:textId="77777777" w:rsidR="001A1792" w:rsidRPr="00DD2C8B" w:rsidRDefault="001A1792" w:rsidP="00A340EE">
                              <w:pPr>
                                <w:spacing w:after="0" w:line="240" w:lineRule="auto"/>
                                <w:jc w:val="center"/>
                                <w:rPr>
                                  <w:rFonts w:ascii="Arial Narrow" w:hAnsi="Arial Narrow"/>
                                  <w:color w:val="FFFFFF" w:themeColor="background1"/>
                                  <w:sz w:val="16"/>
                                  <w:szCs w:val="16"/>
                                </w:rPr>
                              </w:pPr>
                            </w:p>
                          </w:txbxContent>
                        </v:textbox>
                      </v:shape>
                      <v:shape id="Text Box 464" o:spid="_x0000_s1058" type="#_x0000_t202" style="position:absolute;left:1484;top:42437;width:915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x68UA&#10;AADcAAAADwAAAGRycy9kb3ducmV2LnhtbESPQWvCQBSE7wX/w/IEb3VjSYOkriJCobYXjR56fM2+&#10;boLZtyG7jcm/7wqCx2FmvmFWm8E2oqfO144VLOYJCOLS6ZqNgvPp/XkJwgdkjY1jUjCSh8168rTC&#10;XLsrH6kvghERwj5HBVUIbS6lLyuy6OeuJY7er+sshig7I3WH1wi3jXxJkkxarDkuVNjSrqLyUvxZ&#10;Ba/p0Xxnzdd+/Cx+Lm70JusXB6Vm02H7BiLQEB7he/tDK0izF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fHrxQAAANwAAAAPAAAAAAAAAAAAAAAAAJgCAABkcnMv&#10;ZG93bnJldi54bWxQSwUGAAAAAAQABAD1AAAAigMAAAAA&#10;" fillcolor="#782f40" strokecolor="black [3213]">
                        <v:textbox>
                          <w:txbxContent>
                            <w:p w14:paraId="2A7311C2" w14:textId="77777777" w:rsidR="001A1792" w:rsidRPr="00BE01FB" w:rsidRDefault="001A1792" w:rsidP="00BE01FB">
                              <w:pPr>
                                <w:pStyle w:val="FigureTextwhite"/>
                                <w:spacing w:before="30"/>
                                <w:rPr>
                                  <w:b w:val="0"/>
                                </w:rPr>
                              </w:pPr>
                              <w:r w:rsidRPr="0074572A">
                                <w:t>Transitioned ADF</w:t>
                              </w:r>
                              <w:r>
                                <w:br/>
                              </w:r>
                              <w:r w:rsidRPr="00BE01FB">
                                <w:rPr>
                                  <w:b w:val="0"/>
                                </w:rPr>
                                <w:t>n = 266 (72.3%)</w:t>
                              </w:r>
                            </w:p>
                          </w:txbxContent>
                        </v:textbox>
                      </v:shape>
                      <v:shape id="Text Box 465" o:spid="_x0000_s1059" type="#_x0000_t202" style="position:absolute;left:13911;top:42437;width:915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4MQA&#10;AADcAAAADwAAAGRycy9kb3ducmV2LnhtbESPT4vCMBTE74LfITzBm6aKFalG8Q8ue1u2evD4aJ5t&#10;tXkpTWzrt98sLOxxmJnfMJtdbyrRUuNKywpm0wgEcWZ1ybmC6+U8WYFwHlljZZkUvMnBbjscbDDR&#10;tuNvalOfiwBhl6CCwvs6kdJlBRl0U1sTB+9uG4M+yCaXusEuwE0l51G0lAZLDgsF1nQsKHumL6Mg&#10;fXW3+KPVB/N1jM/d9XG6vVcPpcajfr8G4an3/+G/9qdWsFjG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ODEAAAA3AAAAA8AAAAAAAAAAAAAAAAAmAIAAGRycy9k&#10;b3ducmV2LnhtbFBLBQYAAAAABAAEAPUAAACJAwAAAAA=&#10;" fillcolor="#00a9e0" strokecolor="black [3213]">
                        <v:textbox>
                          <w:txbxContent>
                            <w:p w14:paraId="2694E8E1" w14:textId="77777777" w:rsidR="001A1792" w:rsidRPr="00BE01FB" w:rsidRDefault="001A1792" w:rsidP="00BE01FB">
                              <w:pPr>
                                <w:pStyle w:val="FigureTextwhite"/>
                                <w:spacing w:before="30"/>
                                <w:rPr>
                                  <w:b w:val="0"/>
                                </w:rPr>
                              </w:pPr>
                              <w:r w:rsidRPr="0074572A">
                                <w:t>Regular ADF</w:t>
                              </w:r>
                              <w:r>
                                <w:br/>
                              </w:r>
                              <w:r w:rsidRPr="00BE01FB">
                                <w:rPr>
                                  <w:b w:val="0"/>
                                </w:rPr>
                                <w:t>n = 567 (79.1%)</w:t>
                              </w:r>
                            </w:p>
                          </w:txbxContent>
                        </v:textbox>
                      </v:shape>
                      <v:shape id="Text Box 466" o:spid="_x0000_s1060" type="#_x0000_t202" style="position:absolute;left:5783;top:38060;width:1292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0zMMA&#10;AADcAAAADwAAAGRycy9kb3ducmV2LnhtbESPT4vCMBTE7wt+h/AEb2uqLkW6piKC4Enwz0K9PZpn&#10;W9q8lCba9tubhYU9DjPzG2azHUwjXtS5yrKCxTwCQZxbXXGh4HY9fK5BOI+ssbFMCkZysE0nHxtM&#10;tO35TK+LL0SAsEtQQel9m0jp8pIMurltiYP3sJ1BH2RXSN1hH+CmkcsoiqXBisNCiS3tS8rry9Mo&#10;OI1jvbv3WZb9oDcaV87caa3UbDrsvkF4Gvx/+K991Aq+4hh+z4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0zMMAAADcAAAADwAAAAAAAAAAAAAAAACYAgAAZHJzL2Rv&#10;d25yZXYueG1sUEsFBgAAAAAEAAQA9QAAAIgDAAAAAA==&#10;" fillcolor="white [3212]" strokecolor="black [3213]">
                        <v:textbox>
                          <w:txbxContent>
                            <w:p w14:paraId="343671ED" w14:textId="77777777" w:rsidR="001A1792" w:rsidRPr="00BE01FB" w:rsidRDefault="001A1792" w:rsidP="00BE01FB">
                              <w:pPr>
                                <w:pStyle w:val="FigureText"/>
                                <w:spacing w:before="30"/>
                                <w:rPr>
                                  <w:b w:val="0"/>
                                </w:rPr>
                              </w:pPr>
                              <w:r w:rsidRPr="0074572A">
                                <w:t>CIDI responders</w:t>
                              </w:r>
                              <w:r>
                                <w:br/>
                              </w:r>
                              <w:r w:rsidRPr="00BE01FB">
                                <w:rPr>
                                  <w:b w:val="0"/>
                                </w:rPr>
                                <w:t>n = 833 (76.8%)</w:t>
                              </w:r>
                            </w:p>
                            <w:p w14:paraId="27BD5702" w14:textId="77777777" w:rsidR="001A1792" w:rsidRPr="0074572A" w:rsidRDefault="001A1792" w:rsidP="00A340EE">
                              <w:pPr>
                                <w:spacing w:after="0" w:line="240" w:lineRule="auto"/>
                                <w:jc w:val="center"/>
                                <w:rPr>
                                  <w:rFonts w:ascii="Arial Narrow" w:hAnsi="Arial Narrow"/>
                                  <w:color w:val="000000" w:themeColor="text1"/>
                                  <w:sz w:val="16"/>
                                  <w:szCs w:val="16"/>
                                </w:rPr>
                              </w:pPr>
                            </w:p>
                            <w:p w14:paraId="25BFAD43" w14:textId="77777777" w:rsidR="001A1792" w:rsidRPr="0074572A" w:rsidRDefault="001A1792" w:rsidP="00A340EE">
                              <w:pPr>
                                <w:spacing w:after="0" w:line="240" w:lineRule="auto"/>
                                <w:jc w:val="center"/>
                                <w:rPr>
                                  <w:rFonts w:ascii="Arial Narrow" w:hAnsi="Arial Narrow"/>
                                  <w:color w:val="000000" w:themeColor="text1"/>
                                  <w:sz w:val="16"/>
                                  <w:szCs w:val="16"/>
                                </w:rPr>
                              </w:pPr>
                            </w:p>
                            <w:p w14:paraId="4566AC65" w14:textId="77777777" w:rsidR="001A1792" w:rsidRPr="0074572A" w:rsidRDefault="001A1792" w:rsidP="00A340EE">
                              <w:pPr>
                                <w:spacing w:after="0" w:line="240" w:lineRule="auto"/>
                                <w:jc w:val="center"/>
                                <w:rPr>
                                  <w:rFonts w:ascii="Arial Narrow" w:hAnsi="Arial Narrow"/>
                                  <w:color w:val="000000" w:themeColor="text1"/>
                                  <w:sz w:val="16"/>
                                  <w:szCs w:val="16"/>
                                </w:rPr>
                              </w:pPr>
                              <w:r w:rsidRPr="0074572A">
                                <w:rPr>
                                  <w:rFonts w:ascii="Arial Narrow" w:hAnsi="Arial Narrow"/>
                                  <w:color w:val="000000" w:themeColor="text1"/>
                                  <w:sz w:val="16"/>
                                  <w:szCs w:val="16"/>
                                </w:rPr>
                                <w:t>%)</w:t>
                              </w:r>
                            </w:p>
                          </w:txbxContent>
                        </v:textbox>
                      </v:shape>
                      <v:rect id="Rectangle 467" o:spid="_x0000_s1061" style="position:absolute;left:78;top:49236;width:24231;height:9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kPcYA&#10;AADcAAAADwAAAGRycy9kb3ducmV2LnhtbESPQWvCQBSE74X+h+UVems2rSVKdBWRCqGXkqRVvD2y&#10;r0kw+zZktxr/fVcQPA4z8w2zWI2mEycaXGtZwWsUgyCurG65VvBdbl9mIJxH1thZJgUXcrBaPj4s&#10;MNX2zDmdCl+LAGGXooLG+z6V0lUNGXSR7YmD92sHgz7IoZZ6wHOAm06+xXEiDbYcFhrsadNQdSz+&#10;jILJ5FLtfr722ed+G5fH9pB/MOdKPT+N6zkIT6O/h2/tTCt4T6Z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skPcYAAADcAAAADwAAAAAAAAAAAAAAAACYAgAAZHJz&#10;L2Rvd25yZXYueG1sUEsFBgAAAAAEAAQA9QAAAIsDAAAAAA==&#10;" fillcolor="white [3212]" strokecolor="black [3213]">
                        <v:shadow on="t" color="black" opacity="24903f" origin=",.5" offset="0,.55556mm"/>
                      </v:rect>
                      <v:shape id="Text Box 468" o:spid="_x0000_s1062" type="#_x0000_t202" style="position:absolute;left:1484;top:54629;width:915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77sEA&#10;AADcAAAADwAAAGRycy9kb3ducmV2LnhtbERPz2vCMBS+C/4P4Qm7aapoGZ1RhiC4edHOg8e35i0t&#10;Ni+lyWr735uD4PHj+73e9rYWHbW+cqxgPktAEBdOV2wUXH7203cQPiBrrB2TgoE8bDfj0Roz7e58&#10;pi4PRsQQ9hkqKENoMil9UZJFP3MNceT+XGsxRNgaqVu8x3Bby0WSpNJixbGhxIZ2JRW3/N8qWC3P&#10;5prWx6/hO/+9ucGbtJuflHqb9J8fIAL14SV+ug9awTKN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7BAAAA3AAAAA8AAAAAAAAAAAAAAAAAmAIAAGRycy9kb3du&#10;cmV2LnhtbFBLBQYAAAAABAAEAPUAAACGAwAAAAA=&#10;" fillcolor="#782f40" strokecolor="black [3213]">
                        <v:textbox>
                          <w:txbxContent>
                            <w:p w14:paraId="3ADF647C" w14:textId="77777777" w:rsidR="001A1792" w:rsidRPr="00BE01FB" w:rsidRDefault="001A1792" w:rsidP="00BE01FB">
                              <w:pPr>
                                <w:pStyle w:val="FigureTextwhite"/>
                                <w:spacing w:before="30"/>
                                <w:rPr>
                                  <w:b w:val="0"/>
                                </w:rPr>
                              </w:pPr>
                              <w:r w:rsidRPr="0074572A">
                                <w:t>Transitioned ADF</w:t>
                              </w:r>
                              <w:r>
                                <w:br/>
                              </w:r>
                              <w:r w:rsidRPr="00BE01FB">
                                <w:rPr>
                                  <w:b w:val="0"/>
                                </w:rPr>
                                <w:t>n = 261 (70.9%)</w:t>
                              </w:r>
                            </w:p>
                          </w:txbxContent>
                        </v:textbox>
                      </v:shape>
                      <v:shape id="Text Box 469" o:spid="_x0000_s1063" type="#_x0000_t202" style="position:absolute;left:13911;top:54629;width:915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C5cQA&#10;AADcAAAADwAAAGRycy9kb3ducmV2LnhtbESPQYvCMBSE78L+h/AW9qapsopbjbKrKN7ErgePj+bZ&#10;VpuX0sS2/nsjCB6HmfmGmS87U4qGaldYVjAcRCCIU6sLzhQc/zf9KQjnkTWWlknBnRwsFx+9Ocba&#10;tnygJvGZCBB2MSrIva9iKV2ak0E3sBVx8M62NuiDrDOpa2wD3JRyFEUTabDgsJBjRauc0mtyMwqS&#10;W3sabxv9Z/ar8aY9Xtan+/Si1Ndn9zsD4anz7/CrvdMKvic/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QuXEAAAA3AAAAA8AAAAAAAAAAAAAAAAAmAIAAGRycy9k&#10;b3ducmV2LnhtbFBLBQYAAAAABAAEAPUAAACJAwAAAAA=&#10;" fillcolor="#00a9e0" strokecolor="black [3213]">
                        <v:textbox>
                          <w:txbxContent>
                            <w:p w14:paraId="5F55D099" w14:textId="77777777" w:rsidR="001A1792" w:rsidRPr="00BE01FB" w:rsidRDefault="001A1792" w:rsidP="00BE01FB">
                              <w:pPr>
                                <w:pStyle w:val="FigureTextwhite"/>
                                <w:spacing w:before="30"/>
                                <w:rPr>
                                  <w:b w:val="0"/>
                                </w:rPr>
                              </w:pPr>
                              <w:r w:rsidRPr="0074572A">
                                <w:t>Regular ADF</w:t>
                              </w:r>
                              <w:r>
                                <w:br/>
                              </w:r>
                              <w:r w:rsidRPr="00BE01FB">
                                <w:rPr>
                                  <w:b w:val="0"/>
                                </w:rPr>
                                <w:t>n = 559 (78.0%)</w:t>
                              </w:r>
                            </w:p>
                          </w:txbxContent>
                        </v:textbox>
                      </v:shape>
                      <v:shape id="Text Box 470" o:spid="_x0000_s1064" type="#_x0000_t202" style="position:absolute;left:5783;top:50331;width:1292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f/r8A&#10;AADcAAAADwAAAGRycy9kb3ducmV2LnhtbERPy4rCMBTdC/5DuII7TR1llGqUIgiuBB2Furs017bY&#10;3JQm08ffm8XALA/nvTv0phItNa60rGAxj0AQZ1aXnCu4/5xmGxDOI2usLJOCgRwc9uPRDmNtO75S&#10;e/O5CCHsYlRQeF/HUrqsIINubmviwL1sY9AH2ORSN9iFcFPJryj6lgZLDg0F1nQsKHvffo2CyzC8&#10;k2eXpukDvdG4dOZJG6Wmkz7ZgvDU+3/xn/usFazWYX44E46A3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i1/+vwAAANwAAAAPAAAAAAAAAAAAAAAAAJgCAABkcnMvZG93bnJl&#10;di54bWxQSwUGAAAAAAQABAD1AAAAhAMAAAAA&#10;" fillcolor="white [3212]" strokecolor="black [3213]">
                        <v:textbox>
                          <w:txbxContent>
                            <w:p w14:paraId="2B4EBF24" w14:textId="77777777" w:rsidR="001A1792" w:rsidRPr="00BE01FB" w:rsidRDefault="001A1792" w:rsidP="00BE01FB">
                              <w:pPr>
                                <w:pStyle w:val="FigureText"/>
                                <w:spacing w:before="30"/>
                                <w:rPr>
                                  <w:b w:val="0"/>
                                </w:rPr>
                              </w:pPr>
                              <w:r w:rsidRPr="0074572A">
                                <w:t>Consented to linkage</w:t>
                              </w:r>
                              <w:r>
                                <w:br/>
                              </w:r>
                              <w:r w:rsidRPr="00BE01FB">
                                <w:rPr>
                                  <w:b w:val="0"/>
                                </w:rPr>
                                <w:t>n = 820 (75.6%)</w:t>
                              </w:r>
                            </w:p>
                          </w:txbxContent>
                        </v:textbox>
                      </v:shape>
                      <v:shape id="Text Box 475" o:spid="_x0000_s1065" type="#_x0000_t202" style="position:absolute;left:15240;top:7033;width:1292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ZsIA&#10;AADcAAAADwAAAGRycy9kb3ducmV2LnhtbESPS4vCQBCE74L/YWhhbzrxLdFRZEHY04IviLcm0ybB&#10;TE/IzJrk3+8Igseiqr6iNrvWlOJJtSssKxiPIhDEqdUFZwou58NwBcJ5ZI2lZVLQkYPdtt/bYKxt&#10;w0d6nnwmAoRdjApy76tYSpfmZNCNbEUcvLutDfog60zqGpsAN6WcRNFCGiw4LORY0XdO6eP0ZxT8&#10;dt1jf2uSJLmiNxqnztxopdTXoN2vQXhq/Sf8bv9oBbPlHF5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xmwgAAANwAAAAPAAAAAAAAAAAAAAAAAJgCAABkcnMvZG93&#10;bnJldi54bWxQSwUGAAAAAAQABAD1AAAAhwMAAAAA&#10;" fillcolor="white [3212]" strokecolor="black [3213]">
                        <v:textbox>
                          <w:txbxContent>
                            <w:p w14:paraId="48FE5B83" w14:textId="77777777" w:rsidR="001A1792" w:rsidRPr="00BE01FB" w:rsidRDefault="001A1792" w:rsidP="00BE01FB">
                              <w:pPr>
                                <w:pStyle w:val="FigureText"/>
                                <w:spacing w:before="30"/>
                                <w:rPr>
                                  <w:b w:val="0"/>
                                </w:rPr>
                              </w:pPr>
                              <w:r w:rsidRPr="0074572A">
                                <w:t>M</w:t>
                              </w:r>
                              <w:r>
                                <w:t>HPWS</w:t>
                              </w:r>
                              <w:r w:rsidRPr="0074572A">
                                <w:t xml:space="preserve"> CIDI responders</w:t>
                              </w:r>
                              <w:r>
                                <w:br/>
                              </w:r>
                              <w:r w:rsidRPr="00BE01FB">
                                <w:rPr>
                                  <w:b w:val="0"/>
                                </w:rPr>
                                <w:t>n = 2684 (58.8%)</w:t>
                              </w:r>
                            </w:p>
                            <w:p w14:paraId="61098389" w14:textId="77777777" w:rsidR="001A1792" w:rsidRPr="00DD2C8B" w:rsidRDefault="001A1792" w:rsidP="00A340EE">
                              <w:pPr>
                                <w:spacing w:after="0" w:line="240" w:lineRule="auto"/>
                                <w:jc w:val="center"/>
                                <w:rPr>
                                  <w:color w:val="FFFFFF" w:themeColor="background1"/>
                                </w:rPr>
                              </w:pPr>
                            </w:p>
                            <w:p w14:paraId="4507FB88" w14:textId="77777777" w:rsidR="001A1792" w:rsidRPr="00DD2C8B" w:rsidRDefault="001A1792" w:rsidP="00A340EE">
                              <w:pPr>
                                <w:spacing w:after="0" w:line="240" w:lineRule="auto"/>
                                <w:jc w:val="center"/>
                                <w:rPr>
                                  <w:color w:val="FFFFFF" w:themeColor="background1"/>
                                </w:rPr>
                              </w:pPr>
                            </w:p>
                            <w:p w14:paraId="5E49654C" w14:textId="77777777" w:rsidR="001A1792" w:rsidRPr="00DD2C8B" w:rsidRDefault="001A1792" w:rsidP="00A340EE">
                              <w:pPr>
                                <w:spacing w:after="0" w:line="240" w:lineRule="auto"/>
                                <w:jc w:val="center"/>
                                <w:rPr>
                                  <w:color w:val="FFFFFF" w:themeColor="background1"/>
                                </w:rPr>
                              </w:pPr>
                            </w:p>
                          </w:txbxContent>
                        </v:textbox>
                      </v:shape>
                      <v:shape id="Text Box 476" o:spid="_x0000_s1066" type="#_x0000_t202" style="position:absolute;left:7893;top:11879;width:12325;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Cd8UA&#10;AADcAAAADwAAAGRycy9kb3ducmV2LnhtbESPQWsCMRSE74L/ITzBm2a3iMrWKCK0WsSD2h68PTav&#10;u4ublyVJNf33TUHwOMzMN8xiFU0rbuR8Y1lBPs5AEJdWN1wp+Dy/jeYgfEDW2FomBb/kYbXs9xZY&#10;aHvnI91OoRIJwr5ABXUIXSGlL2sy6Me2I07et3UGQ5KuktrhPcFNK1+ybCoNNpwWauxoU1N5Pf0Y&#10;BfvD+97K3dblX3m0cTa5HK6XD6WGg7h+BREohmf40d5pBZPZF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YJ3xQAAANwAAAAPAAAAAAAAAAAAAAAAAJgCAABkcnMv&#10;ZG93bnJldi54bWxQSwUGAAAAAAQABAD1AAAAigMAAAAA&#10;" fillcolor="#009a44" strokecolor="black [3213]">
                        <v:textbox>
                          <w:txbxContent>
                            <w:p w14:paraId="22C32E8F" w14:textId="77777777" w:rsidR="001A1792" w:rsidRPr="00BE01FB" w:rsidRDefault="001A1792" w:rsidP="00BE01FB">
                              <w:pPr>
                                <w:pStyle w:val="FigureTextwhite"/>
                                <w:spacing w:before="30"/>
                                <w:rPr>
                                  <w:b w:val="0"/>
                                </w:rPr>
                              </w:pPr>
                              <w:r w:rsidRPr="0074572A">
                                <w:t>M</w:t>
                              </w:r>
                              <w:r>
                                <w:t>HPWS stratified (</w:t>
                              </w:r>
                              <w:r w:rsidRPr="0074572A">
                                <w:t>report</w:t>
                              </w:r>
                              <w:r>
                                <w:t>)</w:t>
                              </w:r>
                              <w:r>
                                <w:br/>
                              </w:r>
                              <w:r w:rsidRPr="00BE01FB">
                                <w:rPr>
                                  <w:b w:val="0"/>
                                </w:rPr>
                                <w:t>n = 1798 (67.0%)</w:t>
                              </w:r>
                            </w:p>
                            <w:p w14:paraId="34DDD973" w14:textId="77777777" w:rsidR="001A1792" w:rsidRPr="0074572A" w:rsidRDefault="001A1792" w:rsidP="00A340EE">
                              <w:pPr>
                                <w:spacing w:after="0" w:line="240" w:lineRule="auto"/>
                                <w:jc w:val="center"/>
                                <w:rPr>
                                  <w:rFonts w:ascii="Arial Narrow" w:hAnsi="Arial Narrow"/>
                                  <w:color w:val="FFFFFF" w:themeColor="background1"/>
                                  <w:sz w:val="16"/>
                                  <w:szCs w:val="16"/>
                                </w:rPr>
                              </w:pPr>
                            </w:p>
                          </w:txbxContent>
                        </v:textbox>
                      </v:shape>
                      <v:shape id="Text Box 477" o:spid="_x0000_s1067" type="#_x0000_t202" style="position:absolute;left:23055;top:11879;width:1209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n7MUA&#10;AADcAAAADwAAAGRycy9kb3ducmV2LnhtbESPQWsCMRSE74L/ITyhN82uSFe2RimC1iIetO3B22Pz&#10;uru4eVmSVNN/3xQEj8PMfMMsVtF04krOt5YV5JMMBHFldcu1gs+PzXgOwgdkjZ1lUvBLHlbL4WCB&#10;pbY3PtL1FGqRIOxLVNCE0JdS+qohg35ie+LkfVtnMCTpaqkd3hLcdHKaZc/SYMtpocGe1g1Vl9OP&#10;UbA/bPdW7t5c/pVHG4vZ+XA5vyv1NIqvLyACxfAI39s7rWBWFP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SfsxQAAANwAAAAPAAAAAAAAAAAAAAAAAJgCAABkcnMv&#10;ZG93bnJldi54bWxQSwUGAAAAAAQABAD1AAAAigMAAAAA&#10;" fillcolor="#009a44" strokecolor="black [3213]">
                        <v:textbox>
                          <w:txbxContent>
                            <w:p w14:paraId="1CCE5582" w14:textId="77777777" w:rsidR="001A1792" w:rsidRPr="00BE01FB" w:rsidRDefault="001A1792" w:rsidP="00BE01FB">
                              <w:pPr>
                                <w:pStyle w:val="FigureTextwhite"/>
                                <w:spacing w:before="30"/>
                                <w:rPr>
                                  <w:b w:val="0"/>
                                </w:rPr>
                              </w:pPr>
                              <w:r w:rsidRPr="0074572A">
                                <w:t>Duty of care</w:t>
                              </w:r>
                              <w:r>
                                <w:br/>
                              </w:r>
                              <w:r w:rsidRPr="00BE01FB">
                                <w:rPr>
                                  <w:b w:val="0"/>
                                </w:rPr>
                                <w:t>n = 886 (33.0%)</w:t>
                              </w:r>
                            </w:p>
                            <w:p w14:paraId="32B30E34" w14:textId="77777777" w:rsidR="001A1792" w:rsidRPr="0074572A" w:rsidRDefault="001A1792" w:rsidP="00A340EE">
                              <w:pPr>
                                <w:spacing w:after="0" w:line="240" w:lineRule="auto"/>
                                <w:jc w:val="center"/>
                                <w:rPr>
                                  <w:rFonts w:ascii="Arial Narrow" w:hAnsi="Arial Narrow"/>
                                  <w:color w:val="FFFFFF" w:themeColor="background1"/>
                                  <w:sz w:val="16"/>
                                  <w:szCs w:val="16"/>
                                </w:rPr>
                              </w:pPr>
                            </w:p>
                          </w:txbxContent>
                        </v:textbox>
                      </v:shape>
                      <v:shape id="Text Box 478" o:spid="_x0000_s1068" type="#_x0000_t202" style="position:absolute;left:15161;width:12923;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o7cIA&#10;AADcAAAADwAAAGRycy9kb3ducmV2LnhtbERPTWvCQBC9F/wPywi9mY222JJmlVTR9mhTQXobsmMS&#10;m50N2dUk/757EHp8vO90PZhG3KhztWUF8ygGQVxYXXOp4Pi9m72CcB5ZY2OZFIzkYL2aPKSYaNvz&#10;F91yX4oQwi5BBZX3bSKlKyoy6CLbEgfubDuDPsCulLrDPoSbRi7ieCkN1hwaKmxpU1Hxm1+Ngu34&#10;dM2Wh3f+wMXlzPrU7jn7UepxOmRvIDwN/l98d39qBc8vYW0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SjtwgAAANwAAAAPAAAAAAAAAAAAAAAAAJgCAABkcnMvZG93&#10;bnJldi54bWxQSwUGAAAAAAQABAD1AAAAhwMAAAAA&#10;" fillcolor="white [3212]" strokecolor="black [3213]">
                        <v:shadow on="t" color="black" opacity="24903f" origin=",.5" offset="0,.55556mm"/>
                        <v:textbox>
                          <w:txbxContent>
                            <w:p w14:paraId="74CF7F63" w14:textId="77777777" w:rsidR="001A1792" w:rsidRPr="00BE01FB" w:rsidRDefault="001A1792" w:rsidP="00BE01FB">
                              <w:pPr>
                                <w:pStyle w:val="FigureText"/>
                                <w:spacing w:before="30"/>
                                <w:rPr>
                                  <w:b w:val="0"/>
                                </w:rPr>
                              </w:pPr>
                              <w:r w:rsidRPr="0074572A">
                                <w:t>M</w:t>
                              </w:r>
                              <w:r>
                                <w:t xml:space="preserve">HPWS </w:t>
                              </w:r>
                              <w:r w:rsidRPr="0074572A">
                                <w:t>CIDI selected</w:t>
                              </w:r>
                              <w:r>
                                <w:br/>
                              </w:r>
                              <w:r w:rsidRPr="00BE01FB">
                                <w:rPr>
                                  <w:b w:val="0"/>
                                </w:rPr>
                                <w:t>n = 4565</w:t>
                              </w:r>
                            </w:p>
                            <w:p w14:paraId="5756E60F" w14:textId="77777777" w:rsidR="001A1792" w:rsidRDefault="001A1792" w:rsidP="00A340EE">
                              <w:pPr>
                                <w:spacing w:after="0" w:line="240" w:lineRule="auto"/>
                                <w:jc w:val="center"/>
                              </w:pPr>
                            </w:p>
                            <w:p w14:paraId="3BC4B946" w14:textId="77777777" w:rsidR="001A1792" w:rsidRDefault="001A1792" w:rsidP="00A340EE">
                              <w:pPr>
                                <w:spacing w:after="0" w:line="240" w:lineRule="auto"/>
                                <w:jc w:val="center"/>
                              </w:pPr>
                            </w:p>
                            <w:p w14:paraId="05047485" w14:textId="77777777" w:rsidR="001A1792" w:rsidRDefault="001A1792" w:rsidP="00A340EE">
                              <w:pPr>
                                <w:spacing w:after="0" w:line="240" w:lineRule="auto"/>
                                <w:jc w:val="center"/>
                              </w:pPr>
                            </w:p>
                          </w:txbxContent>
                        </v:textbox>
                      </v:shape>
                      <v:line id="Straight Connector 31" o:spid="_x0000_s1069" style="position:absolute;flip:x;visibility:visible;mso-wrap-style:square" from="21648,3282" to="21648,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VjMYAAADbAAAADwAAAGRycy9kb3ducmV2LnhtbESPT2vCQBTE7wW/w/IK3upGA0VTV9FC&#10;pcVD/VNIj4/sMwlm34bsNon59F2h0OMwM79hluveVKKlxpWWFUwnEQjizOqScwVf57enOQjnkTVW&#10;lknBjRysV6OHJSbadnyk9uRzESDsElRQeF8nUrqsIINuYmvi4F1sY9AH2eRSN9gFuKnkLIqepcGS&#10;w0KBNb0WlF1PP0bBcJ35Q/rxuZPbTbkf0kV8+a5TpcaP/eYFhKfe/4f/2u9aQTyF+5fwA+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VYzGAAAA2wAAAA8AAAAAAAAA&#10;AAAAAAAAoQIAAGRycy9kb3ducmV2LnhtbFBLBQYAAAAABAAEAPkAAACUAwAAAAA=&#10;" strokecolor="black [3213]" strokeweight=".5pt"/>
                      <v:line id="Straight Connector 1" o:spid="_x0000_s1070" style="position:absolute;flip:x;visibility:visible;mso-wrap-style:square" from="21648,16334" to="21648,1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NmMMAAADaAAAADwAAAGRycy9kb3ducmV2LnhtbERPTWvCQBC9F/wPywi96cYIpaauEguV&#10;Fg9VW0iPQ3ZMQrKzIbuNqb/eFYSehsf7nOV6MI3oqXOVZQWzaQSCOLe64kLB99fb5BmE88gaG8uk&#10;4I8crFejhyUm2p75QP3RFyKEsEtQQel9m0jp8pIMuqltiQN3sp1BH2BXSN3hOYSbRsZR9CQNVhwa&#10;SmzptaS8Pv4aBZc69vvs43MrN2m1u2SL+emnzZR6HA/pCwhPg/8X393vOsyH2yu3K1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zZjDAAAA2gAAAA8AAAAAAAAAAAAA&#10;AAAAoQIAAGRycy9kb3ducmV2LnhtbFBLBQYAAAAABAAEAPkAAACRAwAAAAA=&#10;" strokecolor="black [3213]" strokeweight=".5pt"/>
                      <v:line id="Straight Connector 22" o:spid="_x0000_s1071" style="position:absolute;flip:x;visibility:visible;mso-wrap-style:square" from="36419,21961" to="36419,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NdJsYAAADbAAAADwAAAGRycy9kb3ducmV2LnhtbESPT2vCQBTE74V+h+UVvOnGCNJGN6JC&#10;i9JD21SIx0f25Q9m34bsqqmfvlsQehxm5jfMcjWYVlyod41lBdNJBIK4sLrhSsHh+3X8DMJ5ZI2t&#10;ZVLwQw5W6ePDEhNtr/xFl8xXIkDYJaig9r5LpHRFTQbdxHbEwSttb9AH2VdS93gNcNPKOIrm0mDD&#10;YaHGjrY1FafsbBTcTrH/zPcfb3Kzbt5v+cusPHa5UqOnYb0A4Wnw/+F7e6cVxDH8fQ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XSbGAAAA2wAAAA8AAAAAAAAA&#10;AAAAAAAAoQIAAGRycy9kb3ducmV2LnhtbFBLBQYAAAAABAAEAPkAAACUAwAAAAA=&#10;" strokecolor="black [3213]" strokeweight=".5pt"/>
                      <v:line id="Straight Connector 20" o:spid="_x0000_s1072" style="position:absolute;flip:x;visibility:visible;mso-wrap-style:square" from="12192,34387" to="12192,3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mysEAAADbAAAADwAAAGRycy9kb3ducmV2LnhtbERPy4rCMBTdD/gP4QqzG1MriFaj6MCI&#10;4sIn1OWlubbF5qY0Ga1+vVkMzPJw3tN5aypxp8aVlhX0exEI4szqknMF59PP1wiE88gaK8uk4EkO&#10;5rPOxxQTbR98oPvR5yKEsEtQQeF9nUjpsoIMup6tiQN3tY1BH2CTS93gI4SbSsZRNJQGSw4NBdb0&#10;XVB2O/4aBa9b7PfpZreSy0W5faXjwfVSp0p9dtvFBISn1v+L/9xrrSAO6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bKwQAAANsAAAAPAAAAAAAAAAAAAAAA&#10;AKECAABkcnMvZG93bnJldi54bWxQSwUGAAAAAAQABAD5AAAAjwMAAAAA&#10;" strokecolor="black [3213]" strokeweight=".5pt"/>
                      <v:line id="Straight Connector 21" o:spid="_x0000_s1073" style="position:absolute;flip:x;visibility:visible;mso-wrap-style:square" from="12192,22117" to="12192,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DUcUAAADbAAAADwAAAGRycy9kb3ducmV2LnhtbESPQWvCQBSE74X+h+UVvOnGCNJGV7EF&#10;RfGgTQvx+Mg+k2D2bciuGv31bkHocZiZb5jpvDO1uFDrKssKhoMIBHFudcWFgt+fZf8dhPPIGmvL&#10;pOBGDuaz15cpJtpe+ZsuqS9EgLBLUEHpfZNI6fKSDLqBbYiDd7StQR9kW0jd4jXATS3jKBpLgxWH&#10;hRIb+iopP6Vno+B+iv0+2+xW8nNRbe/Zx+h4aDKlem/dYgLCU+f/w8/2WiuIh/D3JfwA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HDUcUAAADbAAAADwAAAAAAAAAA&#10;AAAAAAChAgAAZHJzL2Rvd25yZXYueG1sUEsFBgAAAAAEAAQA+QAAAJMDAAAAAA==&#10;" strokecolor="black [3213]" strokeweight=".5pt"/>
                      <v:line id="Straight Connector 19" o:spid="_x0000_s1074" style="position:absolute;flip:x;visibility:visible;mso-wrap-style:square" from="12192,46736" to="12192,4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F6sIAAADbAAAADwAAAGRycy9kb3ducmV2LnhtbERPS4vCMBC+L/gfwix4W9N1QbQaRQUX&#10;ZQ8+oR6HZmyLzaQ0Uau/fiMI3ubje85o0phSXKl2hWUF350IBHFqdcGZgsN+8dUH4TyyxtIyKbiT&#10;g8m49THCWNsbb+m685kIIexiVJB7X8VSujQng65jK+LAnWxt0AdYZ1LXeAvhppTdKOpJgwWHhhwr&#10;mueUnncXo+Bx7vpNslr/ytm0+Hskg5/TsUqUan820yEIT41/i1/upQ7zB/D8JRwg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F6sIAAADbAAAADwAAAAAAAAAAAAAA&#10;AAChAgAAZHJzL2Rvd25yZXYueG1sUEsFBgAAAAAEAAQA+QAAAJADAAAAAA==&#10;" strokecolor="black [3213]" strokeweight=".5pt"/>
                    </v:group>
                  </w:pict>
                </mc:Fallback>
              </mc:AlternateContent>
            </w:r>
          </w:p>
        </w:tc>
      </w:tr>
    </w:tbl>
    <w:p w14:paraId="587E7527" w14:textId="77777777" w:rsidR="00A340EE" w:rsidRPr="0047058F" w:rsidRDefault="00A340EE" w:rsidP="00A340EE">
      <w:pPr>
        <w:pStyle w:val="TableName"/>
      </w:pPr>
      <w:bookmarkStart w:id="110" w:name="_Toc532473572"/>
      <w:bookmarkStart w:id="111" w:name="_Ref384551700"/>
      <w:bookmarkStart w:id="112" w:name="_Toc529117502"/>
      <w:r w:rsidRPr="0047058F">
        <w:lastRenderedPageBreak/>
        <w:t>Table 2.2</w:t>
      </w:r>
      <w:r w:rsidRPr="0047058F">
        <w:tab/>
        <w:t>Unweighted demographic characteristics and CIDI response rates for Transitioned ADF and 2015 Regular ADF</w:t>
      </w:r>
      <w:bookmarkEnd w:id="110"/>
    </w:p>
    <w:tbl>
      <w:tblPr>
        <w:tblStyle w:val="TWRPTable"/>
        <w:tblW w:w="5014" w:type="pct"/>
        <w:tblLayout w:type="fixed"/>
        <w:tblLook w:val="04A0" w:firstRow="1" w:lastRow="0" w:firstColumn="1" w:lastColumn="0" w:noHBand="0" w:noVBand="1"/>
        <w:tblDescription w:val="Table 2.2 Unweighted demographic characteristics and CIDI response rates for Transitioned ADF and 2015 Regular ADF"/>
      </w:tblPr>
      <w:tblGrid>
        <w:gridCol w:w="1623"/>
        <w:gridCol w:w="454"/>
        <w:gridCol w:w="544"/>
        <w:gridCol w:w="453"/>
        <w:gridCol w:w="544"/>
        <w:gridCol w:w="816"/>
        <w:gridCol w:w="521"/>
        <w:gridCol w:w="522"/>
        <w:gridCol w:w="521"/>
        <w:gridCol w:w="522"/>
        <w:gridCol w:w="815"/>
      </w:tblGrid>
      <w:tr w:rsidR="00BD64A6" w:rsidRPr="0047058F" w14:paraId="106BDADD" w14:textId="77777777" w:rsidTr="00BD64A6">
        <w:trPr>
          <w:cnfStyle w:val="100000000000" w:firstRow="1" w:lastRow="0" w:firstColumn="0" w:lastColumn="0" w:oddVBand="0" w:evenVBand="0" w:oddHBand="0" w:evenHBand="0" w:firstRowFirstColumn="0" w:firstRowLastColumn="0" w:lastRowFirstColumn="0" w:lastRowLastColumn="0"/>
          <w:trHeight w:val="20"/>
          <w:tblHeader/>
        </w:trPr>
        <w:tc>
          <w:tcPr>
            <w:tcW w:w="1623" w:type="dxa"/>
            <w:vMerge w:val="restart"/>
            <w:tcBorders>
              <w:top w:val="single" w:sz="4" w:space="0" w:color="000000"/>
            </w:tcBorders>
          </w:tcPr>
          <w:bookmarkEnd w:id="111"/>
          <w:bookmarkEnd w:id="112"/>
          <w:p w14:paraId="06613901" w14:textId="77777777" w:rsidR="00BD64A6" w:rsidRPr="0047058F" w:rsidRDefault="00BD64A6" w:rsidP="00BD64A6">
            <w:pPr>
              <w:pStyle w:val="TableText"/>
            </w:pPr>
            <w:r w:rsidRPr="0047058F">
              <w:t>Demographic characteristics</w:t>
            </w:r>
          </w:p>
        </w:tc>
        <w:tc>
          <w:tcPr>
            <w:tcW w:w="2811" w:type="dxa"/>
            <w:gridSpan w:val="5"/>
          </w:tcPr>
          <w:p w14:paraId="5AD49B0D" w14:textId="77777777" w:rsidR="00BD64A6" w:rsidRPr="0047058F" w:rsidRDefault="00BD64A6" w:rsidP="00BD64A6">
            <w:pPr>
              <w:pStyle w:val="TableText"/>
              <w:jc w:val="center"/>
            </w:pPr>
            <w:r w:rsidRPr="0047058F">
              <w:t>Transitioned ADF</w:t>
            </w:r>
            <w:r w:rsidRPr="0047058F">
              <w:br/>
              <w:t>n = 368</w:t>
            </w:r>
          </w:p>
        </w:tc>
        <w:tc>
          <w:tcPr>
            <w:tcW w:w="2901" w:type="dxa"/>
            <w:gridSpan w:val="5"/>
            <w:hideMark/>
          </w:tcPr>
          <w:p w14:paraId="294D2AB3" w14:textId="77777777" w:rsidR="00BD64A6" w:rsidRPr="0047058F" w:rsidRDefault="00BD64A6" w:rsidP="00BD64A6">
            <w:pPr>
              <w:pStyle w:val="TableText"/>
              <w:jc w:val="center"/>
            </w:pPr>
            <w:r w:rsidRPr="0047058F">
              <w:t>2015 Regular ADF</w:t>
            </w:r>
            <w:r w:rsidRPr="0047058F">
              <w:br/>
              <w:t>n = 717</w:t>
            </w:r>
          </w:p>
        </w:tc>
      </w:tr>
      <w:tr w:rsidR="00BD64A6" w:rsidRPr="0047058F" w14:paraId="5E627964" w14:textId="77777777" w:rsidTr="00BD64A6">
        <w:trPr>
          <w:cnfStyle w:val="100000000000" w:firstRow="1" w:lastRow="0" w:firstColumn="0" w:lastColumn="0" w:oddVBand="0" w:evenVBand="0" w:oddHBand="0" w:evenHBand="0" w:firstRowFirstColumn="0" w:firstRowLastColumn="0" w:lastRowFirstColumn="0" w:lastRowLastColumn="0"/>
          <w:trHeight w:val="20"/>
          <w:tblHeader/>
        </w:trPr>
        <w:tc>
          <w:tcPr>
            <w:tcW w:w="1623" w:type="dxa"/>
            <w:vMerge/>
          </w:tcPr>
          <w:p w14:paraId="14B80EDA" w14:textId="77777777" w:rsidR="00BD64A6" w:rsidRPr="0047058F" w:rsidRDefault="00BD64A6" w:rsidP="00BD64A6">
            <w:pPr>
              <w:pStyle w:val="TableText"/>
            </w:pPr>
          </w:p>
        </w:tc>
        <w:tc>
          <w:tcPr>
            <w:tcW w:w="998" w:type="dxa"/>
            <w:gridSpan w:val="2"/>
            <w:hideMark/>
          </w:tcPr>
          <w:p w14:paraId="741E8E5E" w14:textId="77777777" w:rsidR="00BD64A6" w:rsidRPr="0047058F" w:rsidRDefault="00BD64A6" w:rsidP="00BD64A6">
            <w:pPr>
              <w:pStyle w:val="TableText"/>
              <w:jc w:val="center"/>
            </w:pPr>
            <w:r w:rsidRPr="0047058F">
              <w:t>Invited</w:t>
            </w:r>
          </w:p>
        </w:tc>
        <w:tc>
          <w:tcPr>
            <w:tcW w:w="997" w:type="dxa"/>
            <w:gridSpan w:val="2"/>
          </w:tcPr>
          <w:p w14:paraId="5348AFCC" w14:textId="77777777" w:rsidR="00BD64A6" w:rsidRPr="0047058F" w:rsidRDefault="00BD64A6" w:rsidP="00BD64A6">
            <w:pPr>
              <w:pStyle w:val="TableText"/>
              <w:jc w:val="center"/>
            </w:pPr>
            <w:r w:rsidRPr="0047058F">
              <w:t>Responders</w:t>
            </w:r>
          </w:p>
        </w:tc>
        <w:tc>
          <w:tcPr>
            <w:tcW w:w="816" w:type="dxa"/>
            <w:hideMark/>
          </w:tcPr>
          <w:p w14:paraId="268D047F" w14:textId="77777777" w:rsidR="00BD64A6" w:rsidRPr="0047058F" w:rsidRDefault="00BD64A6" w:rsidP="00BD64A6">
            <w:pPr>
              <w:pStyle w:val="TableText"/>
              <w:jc w:val="center"/>
            </w:pPr>
            <w:r w:rsidRPr="0047058F">
              <w:t>Response rate</w:t>
            </w:r>
          </w:p>
        </w:tc>
        <w:tc>
          <w:tcPr>
            <w:tcW w:w="1043" w:type="dxa"/>
            <w:gridSpan w:val="2"/>
            <w:hideMark/>
          </w:tcPr>
          <w:p w14:paraId="0AF23862" w14:textId="77777777" w:rsidR="00BD64A6" w:rsidRPr="0047058F" w:rsidRDefault="00BD64A6" w:rsidP="00BD64A6">
            <w:pPr>
              <w:pStyle w:val="TableText"/>
              <w:jc w:val="center"/>
            </w:pPr>
            <w:r w:rsidRPr="0047058F">
              <w:t>Invited</w:t>
            </w:r>
          </w:p>
        </w:tc>
        <w:tc>
          <w:tcPr>
            <w:tcW w:w="1043" w:type="dxa"/>
            <w:gridSpan w:val="2"/>
            <w:hideMark/>
          </w:tcPr>
          <w:p w14:paraId="0969BC94" w14:textId="77777777" w:rsidR="00BD64A6" w:rsidRPr="0047058F" w:rsidRDefault="00BD64A6" w:rsidP="00BD64A6">
            <w:pPr>
              <w:pStyle w:val="TableText"/>
              <w:jc w:val="center"/>
            </w:pPr>
            <w:r w:rsidRPr="0047058F">
              <w:t>Responders</w:t>
            </w:r>
          </w:p>
        </w:tc>
        <w:tc>
          <w:tcPr>
            <w:tcW w:w="815" w:type="dxa"/>
          </w:tcPr>
          <w:p w14:paraId="38743D5A" w14:textId="77777777" w:rsidR="00BD64A6" w:rsidRPr="0047058F" w:rsidRDefault="00BD64A6" w:rsidP="00BD64A6">
            <w:pPr>
              <w:pStyle w:val="TableText"/>
              <w:jc w:val="center"/>
            </w:pPr>
            <w:r w:rsidRPr="0047058F">
              <w:t>Response rate</w:t>
            </w:r>
          </w:p>
        </w:tc>
      </w:tr>
      <w:tr w:rsidR="00BD64A6" w:rsidRPr="0047058F" w14:paraId="080676F2" w14:textId="77777777" w:rsidTr="00BD64A6">
        <w:trPr>
          <w:cnfStyle w:val="100000000000" w:firstRow="1" w:lastRow="0" w:firstColumn="0" w:lastColumn="0" w:oddVBand="0" w:evenVBand="0" w:oddHBand="0" w:evenHBand="0" w:firstRowFirstColumn="0" w:firstRowLastColumn="0" w:lastRowFirstColumn="0" w:lastRowLastColumn="0"/>
          <w:trHeight w:val="20"/>
          <w:tblHeader/>
        </w:trPr>
        <w:tc>
          <w:tcPr>
            <w:tcW w:w="1623" w:type="dxa"/>
            <w:vMerge/>
          </w:tcPr>
          <w:p w14:paraId="02D7C70D" w14:textId="77777777" w:rsidR="00BD64A6" w:rsidRPr="0047058F" w:rsidRDefault="00BD64A6" w:rsidP="00BD64A6">
            <w:pPr>
              <w:pStyle w:val="TableText"/>
            </w:pPr>
          </w:p>
        </w:tc>
        <w:tc>
          <w:tcPr>
            <w:tcW w:w="454" w:type="dxa"/>
          </w:tcPr>
          <w:p w14:paraId="2AFBE968" w14:textId="77777777" w:rsidR="00BD64A6" w:rsidRPr="0047058F" w:rsidRDefault="00BD64A6" w:rsidP="00BD64A6">
            <w:pPr>
              <w:pStyle w:val="TableText"/>
              <w:jc w:val="right"/>
            </w:pPr>
            <w:r w:rsidRPr="0047058F">
              <w:t>n</w:t>
            </w:r>
          </w:p>
        </w:tc>
        <w:tc>
          <w:tcPr>
            <w:tcW w:w="544" w:type="dxa"/>
          </w:tcPr>
          <w:p w14:paraId="1D3610A7" w14:textId="77777777" w:rsidR="00BD64A6" w:rsidRPr="0047058F" w:rsidRDefault="00BD64A6" w:rsidP="00BD64A6">
            <w:pPr>
              <w:pStyle w:val="TableText"/>
              <w:jc w:val="right"/>
            </w:pPr>
            <w:r w:rsidRPr="0047058F">
              <w:t>%</w:t>
            </w:r>
          </w:p>
        </w:tc>
        <w:tc>
          <w:tcPr>
            <w:tcW w:w="453" w:type="dxa"/>
          </w:tcPr>
          <w:p w14:paraId="3E29A74B" w14:textId="77777777" w:rsidR="00BD64A6" w:rsidRPr="0047058F" w:rsidRDefault="00BD64A6" w:rsidP="00BD64A6">
            <w:pPr>
              <w:pStyle w:val="TableText"/>
              <w:jc w:val="right"/>
            </w:pPr>
            <w:r w:rsidRPr="0047058F">
              <w:t>n</w:t>
            </w:r>
          </w:p>
        </w:tc>
        <w:tc>
          <w:tcPr>
            <w:tcW w:w="544" w:type="dxa"/>
          </w:tcPr>
          <w:p w14:paraId="5F03ACCE" w14:textId="77777777" w:rsidR="00BD64A6" w:rsidRPr="0047058F" w:rsidRDefault="00BD64A6" w:rsidP="00BD64A6">
            <w:pPr>
              <w:pStyle w:val="TableText"/>
              <w:jc w:val="right"/>
            </w:pPr>
            <w:r w:rsidRPr="0047058F">
              <w:t>%</w:t>
            </w:r>
          </w:p>
        </w:tc>
        <w:tc>
          <w:tcPr>
            <w:tcW w:w="816" w:type="dxa"/>
          </w:tcPr>
          <w:p w14:paraId="2B093C65" w14:textId="77777777" w:rsidR="00BD64A6" w:rsidRPr="0047058F" w:rsidRDefault="00BD64A6" w:rsidP="00BD64A6">
            <w:pPr>
              <w:pStyle w:val="TableText"/>
              <w:jc w:val="right"/>
            </w:pPr>
            <w:r w:rsidRPr="0047058F">
              <w:t>%</w:t>
            </w:r>
          </w:p>
        </w:tc>
        <w:tc>
          <w:tcPr>
            <w:tcW w:w="521" w:type="dxa"/>
          </w:tcPr>
          <w:p w14:paraId="1C5EB534" w14:textId="77777777" w:rsidR="00BD64A6" w:rsidRPr="0047058F" w:rsidRDefault="00BD64A6" w:rsidP="00BD64A6">
            <w:pPr>
              <w:pStyle w:val="TableText"/>
              <w:jc w:val="right"/>
            </w:pPr>
            <w:r w:rsidRPr="0047058F">
              <w:t>n</w:t>
            </w:r>
          </w:p>
        </w:tc>
        <w:tc>
          <w:tcPr>
            <w:tcW w:w="522" w:type="dxa"/>
          </w:tcPr>
          <w:p w14:paraId="785A3C71" w14:textId="77777777" w:rsidR="00BD64A6" w:rsidRPr="0047058F" w:rsidRDefault="00BD64A6" w:rsidP="00BD64A6">
            <w:pPr>
              <w:pStyle w:val="TableText"/>
              <w:jc w:val="right"/>
            </w:pPr>
            <w:r w:rsidRPr="0047058F">
              <w:t>%</w:t>
            </w:r>
          </w:p>
        </w:tc>
        <w:tc>
          <w:tcPr>
            <w:tcW w:w="521" w:type="dxa"/>
          </w:tcPr>
          <w:p w14:paraId="38CDAFDD" w14:textId="77777777" w:rsidR="00BD64A6" w:rsidRPr="0047058F" w:rsidRDefault="00BD64A6" w:rsidP="00BD64A6">
            <w:pPr>
              <w:pStyle w:val="TableText"/>
              <w:jc w:val="right"/>
            </w:pPr>
            <w:r w:rsidRPr="0047058F">
              <w:t>n</w:t>
            </w:r>
          </w:p>
        </w:tc>
        <w:tc>
          <w:tcPr>
            <w:tcW w:w="522" w:type="dxa"/>
          </w:tcPr>
          <w:p w14:paraId="45E09204" w14:textId="77777777" w:rsidR="00BD64A6" w:rsidRPr="0047058F" w:rsidRDefault="00BD64A6" w:rsidP="00BD64A6">
            <w:pPr>
              <w:pStyle w:val="TableText"/>
              <w:jc w:val="right"/>
            </w:pPr>
            <w:r w:rsidRPr="0047058F">
              <w:t>%</w:t>
            </w:r>
          </w:p>
        </w:tc>
        <w:tc>
          <w:tcPr>
            <w:tcW w:w="815" w:type="dxa"/>
          </w:tcPr>
          <w:p w14:paraId="534E9066" w14:textId="77777777" w:rsidR="00BD64A6" w:rsidRPr="0047058F" w:rsidRDefault="00BD64A6" w:rsidP="00BD64A6">
            <w:pPr>
              <w:pStyle w:val="TableText"/>
              <w:jc w:val="right"/>
            </w:pPr>
            <w:r w:rsidRPr="0047058F">
              <w:t>%</w:t>
            </w:r>
          </w:p>
        </w:tc>
      </w:tr>
      <w:tr w:rsidR="00A340EE" w:rsidRPr="0047058F" w14:paraId="67F7A68F" w14:textId="77777777" w:rsidTr="00BD64A6">
        <w:trPr>
          <w:cnfStyle w:val="000000100000" w:firstRow="0" w:lastRow="0" w:firstColumn="0" w:lastColumn="0" w:oddVBand="0" w:evenVBand="0" w:oddHBand="1" w:evenHBand="0" w:firstRowFirstColumn="0" w:firstRowLastColumn="0" w:lastRowFirstColumn="0" w:lastRowLastColumn="0"/>
          <w:trHeight w:val="20"/>
        </w:trPr>
        <w:tc>
          <w:tcPr>
            <w:tcW w:w="1623" w:type="dxa"/>
          </w:tcPr>
          <w:p w14:paraId="7B0DC5E0" w14:textId="77777777" w:rsidR="00A340EE" w:rsidRPr="0047058F" w:rsidRDefault="00A340EE" w:rsidP="00BD64A6">
            <w:pPr>
              <w:pStyle w:val="TableText"/>
            </w:pPr>
            <w:r w:rsidRPr="0047058F">
              <w:rPr>
                <w:b/>
              </w:rPr>
              <w:t>Age group</w:t>
            </w:r>
          </w:p>
        </w:tc>
        <w:tc>
          <w:tcPr>
            <w:tcW w:w="454" w:type="dxa"/>
          </w:tcPr>
          <w:p w14:paraId="5A6D29C5" w14:textId="77777777" w:rsidR="00A340EE" w:rsidRPr="0047058F" w:rsidRDefault="00A340EE" w:rsidP="00BD64A6">
            <w:pPr>
              <w:pStyle w:val="TableText"/>
              <w:jc w:val="right"/>
              <w:rPr>
                <w:b/>
              </w:rPr>
            </w:pPr>
          </w:p>
        </w:tc>
        <w:tc>
          <w:tcPr>
            <w:tcW w:w="544" w:type="dxa"/>
          </w:tcPr>
          <w:p w14:paraId="28E84D19" w14:textId="77777777" w:rsidR="00A340EE" w:rsidRPr="0047058F" w:rsidRDefault="00A340EE" w:rsidP="00BD64A6">
            <w:pPr>
              <w:pStyle w:val="TableText"/>
              <w:jc w:val="right"/>
              <w:rPr>
                <w:b/>
              </w:rPr>
            </w:pPr>
          </w:p>
        </w:tc>
        <w:tc>
          <w:tcPr>
            <w:tcW w:w="453" w:type="dxa"/>
          </w:tcPr>
          <w:p w14:paraId="72E28C73" w14:textId="77777777" w:rsidR="00A340EE" w:rsidRPr="0047058F" w:rsidRDefault="00A340EE" w:rsidP="00BD64A6">
            <w:pPr>
              <w:pStyle w:val="TableText"/>
              <w:jc w:val="right"/>
              <w:rPr>
                <w:b/>
              </w:rPr>
            </w:pPr>
          </w:p>
        </w:tc>
        <w:tc>
          <w:tcPr>
            <w:tcW w:w="544" w:type="dxa"/>
          </w:tcPr>
          <w:p w14:paraId="783305D8" w14:textId="77777777" w:rsidR="00A340EE" w:rsidRPr="0047058F" w:rsidRDefault="00A340EE" w:rsidP="00BD64A6">
            <w:pPr>
              <w:pStyle w:val="TableText"/>
              <w:jc w:val="right"/>
              <w:rPr>
                <w:b/>
              </w:rPr>
            </w:pPr>
          </w:p>
        </w:tc>
        <w:tc>
          <w:tcPr>
            <w:tcW w:w="816" w:type="dxa"/>
          </w:tcPr>
          <w:p w14:paraId="5874293A" w14:textId="77777777" w:rsidR="00A340EE" w:rsidRPr="0047058F" w:rsidRDefault="00A340EE" w:rsidP="00BD64A6">
            <w:pPr>
              <w:pStyle w:val="TableText"/>
              <w:jc w:val="right"/>
              <w:rPr>
                <w:b/>
              </w:rPr>
            </w:pPr>
          </w:p>
        </w:tc>
        <w:tc>
          <w:tcPr>
            <w:tcW w:w="521" w:type="dxa"/>
          </w:tcPr>
          <w:p w14:paraId="7B5E765A" w14:textId="77777777" w:rsidR="00A340EE" w:rsidRPr="0047058F" w:rsidRDefault="00A340EE" w:rsidP="00BD64A6">
            <w:pPr>
              <w:pStyle w:val="TableText"/>
              <w:jc w:val="right"/>
              <w:rPr>
                <w:b/>
              </w:rPr>
            </w:pPr>
          </w:p>
        </w:tc>
        <w:tc>
          <w:tcPr>
            <w:tcW w:w="522" w:type="dxa"/>
          </w:tcPr>
          <w:p w14:paraId="71EF4431" w14:textId="77777777" w:rsidR="00A340EE" w:rsidRPr="0047058F" w:rsidRDefault="00A340EE" w:rsidP="00BD64A6">
            <w:pPr>
              <w:pStyle w:val="TableText"/>
              <w:jc w:val="right"/>
              <w:rPr>
                <w:b/>
              </w:rPr>
            </w:pPr>
          </w:p>
        </w:tc>
        <w:tc>
          <w:tcPr>
            <w:tcW w:w="521" w:type="dxa"/>
          </w:tcPr>
          <w:p w14:paraId="0318026B" w14:textId="77777777" w:rsidR="00A340EE" w:rsidRPr="0047058F" w:rsidRDefault="00A340EE" w:rsidP="00BD64A6">
            <w:pPr>
              <w:pStyle w:val="TableText"/>
              <w:jc w:val="right"/>
              <w:rPr>
                <w:b/>
              </w:rPr>
            </w:pPr>
          </w:p>
        </w:tc>
        <w:tc>
          <w:tcPr>
            <w:tcW w:w="522" w:type="dxa"/>
          </w:tcPr>
          <w:p w14:paraId="4B2164AA" w14:textId="77777777" w:rsidR="00A340EE" w:rsidRPr="0047058F" w:rsidRDefault="00A340EE" w:rsidP="00BD64A6">
            <w:pPr>
              <w:pStyle w:val="TableText"/>
              <w:jc w:val="right"/>
              <w:rPr>
                <w:b/>
              </w:rPr>
            </w:pPr>
          </w:p>
        </w:tc>
        <w:tc>
          <w:tcPr>
            <w:tcW w:w="815" w:type="dxa"/>
          </w:tcPr>
          <w:p w14:paraId="5B1FA487" w14:textId="77777777" w:rsidR="00A340EE" w:rsidRPr="0047058F" w:rsidRDefault="00A340EE" w:rsidP="00BD64A6">
            <w:pPr>
              <w:pStyle w:val="TableText"/>
              <w:jc w:val="right"/>
              <w:rPr>
                <w:b/>
              </w:rPr>
            </w:pPr>
          </w:p>
        </w:tc>
      </w:tr>
      <w:tr w:rsidR="00A340EE" w:rsidRPr="0047058F" w14:paraId="6BF5184B" w14:textId="77777777" w:rsidTr="00BD64A6">
        <w:trPr>
          <w:trHeight w:val="20"/>
        </w:trPr>
        <w:tc>
          <w:tcPr>
            <w:tcW w:w="1623" w:type="dxa"/>
          </w:tcPr>
          <w:p w14:paraId="22BD9BC9" w14:textId="77777777" w:rsidR="00A340EE" w:rsidRPr="0047058F" w:rsidRDefault="00A340EE" w:rsidP="00BD64A6">
            <w:pPr>
              <w:pStyle w:val="TableText"/>
            </w:pPr>
            <w:r w:rsidRPr="0047058F">
              <w:t>18–27</w:t>
            </w:r>
          </w:p>
        </w:tc>
        <w:tc>
          <w:tcPr>
            <w:tcW w:w="454" w:type="dxa"/>
          </w:tcPr>
          <w:p w14:paraId="5F0E2DB5" w14:textId="77777777" w:rsidR="00A340EE" w:rsidRPr="0047058F" w:rsidRDefault="00A340EE" w:rsidP="00BD64A6">
            <w:pPr>
              <w:pStyle w:val="TableText"/>
              <w:jc w:val="right"/>
              <w:rPr>
                <w:b/>
              </w:rPr>
            </w:pPr>
            <w:r w:rsidRPr="0047058F">
              <w:rPr>
                <w:rFonts w:eastAsia="Times New Roman" w:cs="Arial"/>
              </w:rPr>
              <w:t>7</w:t>
            </w:r>
          </w:p>
        </w:tc>
        <w:tc>
          <w:tcPr>
            <w:tcW w:w="544" w:type="dxa"/>
          </w:tcPr>
          <w:p w14:paraId="3DFC61BB" w14:textId="77777777" w:rsidR="00A340EE" w:rsidRPr="0047058F" w:rsidRDefault="00A340EE" w:rsidP="00BD64A6">
            <w:pPr>
              <w:pStyle w:val="TableText"/>
              <w:jc w:val="right"/>
              <w:rPr>
                <w:b/>
              </w:rPr>
            </w:pPr>
            <w:r w:rsidRPr="0047058F">
              <w:rPr>
                <w:rFonts w:eastAsia="Times New Roman" w:cs="Arial"/>
              </w:rPr>
              <w:t>1.9</w:t>
            </w:r>
          </w:p>
        </w:tc>
        <w:tc>
          <w:tcPr>
            <w:tcW w:w="453" w:type="dxa"/>
          </w:tcPr>
          <w:p w14:paraId="163E08C5" w14:textId="77777777" w:rsidR="00A340EE" w:rsidRPr="0047058F" w:rsidRDefault="00A340EE" w:rsidP="00BD64A6">
            <w:pPr>
              <w:pStyle w:val="TableText"/>
              <w:jc w:val="right"/>
              <w:rPr>
                <w:b/>
              </w:rPr>
            </w:pPr>
            <w:r w:rsidRPr="0047058F">
              <w:t>–</w:t>
            </w:r>
            <w:r w:rsidRPr="0047058F">
              <w:rPr>
                <w:vertAlign w:val="superscript"/>
              </w:rPr>
              <w:t>#</w:t>
            </w:r>
          </w:p>
        </w:tc>
        <w:tc>
          <w:tcPr>
            <w:tcW w:w="544" w:type="dxa"/>
          </w:tcPr>
          <w:p w14:paraId="64E32C21" w14:textId="77777777" w:rsidR="00A340EE" w:rsidRPr="0047058F" w:rsidRDefault="00A340EE" w:rsidP="00BD64A6">
            <w:pPr>
              <w:pStyle w:val="TableText"/>
              <w:jc w:val="right"/>
              <w:rPr>
                <w:b/>
              </w:rPr>
            </w:pPr>
            <w:r w:rsidRPr="0047058F">
              <w:t>–</w:t>
            </w:r>
          </w:p>
        </w:tc>
        <w:tc>
          <w:tcPr>
            <w:tcW w:w="816" w:type="dxa"/>
          </w:tcPr>
          <w:p w14:paraId="7A20E186" w14:textId="77777777" w:rsidR="00A340EE" w:rsidRPr="0047058F" w:rsidRDefault="00A340EE" w:rsidP="00BD64A6">
            <w:pPr>
              <w:pStyle w:val="TableText"/>
              <w:jc w:val="right"/>
              <w:rPr>
                <w:b/>
              </w:rPr>
            </w:pPr>
            <w:r w:rsidRPr="0047058F">
              <w:rPr>
                <w:rFonts w:eastAsia="Times New Roman"/>
              </w:rPr>
              <w:t>57.1</w:t>
            </w:r>
          </w:p>
        </w:tc>
        <w:tc>
          <w:tcPr>
            <w:tcW w:w="521" w:type="dxa"/>
          </w:tcPr>
          <w:p w14:paraId="5A78D554" w14:textId="77777777" w:rsidR="00A340EE" w:rsidRPr="0047058F" w:rsidRDefault="00A340EE" w:rsidP="00BD64A6">
            <w:pPr>
              <w:pStyle w:val="TableText"/>
              <w:jc w:val="right"/>
              <w:rPr>
                <w:b/>
              </w:rPr>
            </w:pPr>
            <w:r w:rsidRPr="0047058F">
              <w:rPr>
                <w:rFonts w:eastAsia="Times New Roman" w:cs="Arial"/>
              </w:rPr>
              <w:t>5</w:t>
            </w:r>
          </w:p>
        </w:tc>
        <w:tc>
          <w:tcPr>
            <w:tcW w:w="522" w:type="dxa"/>
          </w:tcPr>
          <w:p w14:paraId="689CD6E6" w14:textId="77777777" w:rsidR="00A340EE" w:rsidRPr="0047058F" w:rsidRDefault="00A340EE" w:rsidP="00BD64A6">
            <w:pPr>
              <w:pStyle w:val="TableText"/>
              <w:jc w:val="right"/>
              <w:rPr>
                <w:b/>
              </w:rPr>
            </w:pPr>
            <w:r w:rsidRPr="0047058F">
              <w:rPr>
                <w:rFonts w:eastAsia="Times New Roman" w:cs="Arial"/>
              </w:rPr>
              <w:t>0.7</w:t>
            </w:r>
          </w:p>
        </w:tc>
        <w:tc>
          <w:tcPr>
            <w:tcW w:w="521" w:type="dxa"/>
          </w:tcPr>
          <w:p w14:paraId="63ED1829" w14:textId="77777777" w:rsidR="00A340EE" w:rsidRPr="0047058F" w:rsidRDefault="00A340EE" w:rsidP="00BD64A6">
            <w:pPr>
              <w:pStyle w:val="TableText"/>
              <w:jc w:val="right"/>
              <w:rPr>
                <w:b/>
              </w:rPr>
            </w:pPr>
            <w:r w:rsidRPr="0047058F">
              <w:t>–</w:t>
            </w:r>
            <w:r w:rsidRPr="0047058F">
              <w:rPr>
                <w:vertAlign w:val="superscript"/>
              </w:rPr>
              <w:t>#</w:t>
            </w:r>
          </w:p>
        </w:tc>
        <w:tc>
          <w:tcPr>
            <w:tcW w:w="522" w:type="dxa"/>
          </w:tcPr>
          <w:p w14:paraId="19C4B83C" w14:textId="77777777" w:rsidR="00A340EE" w:rsidRPr="0047058F" w:rsidRDefault="00A340EE" w:rsidP="00BD64A6">
            <w:pPr>
              <w:pStyle w:val="TableText"/>
              <w:jc w:val="right"/>
              <w:rPr>
                <w:b/>
              </w:rPr>
            </w:pPr>
            <w:r w:rsidRPr="0047058F">
              <w:t>–</w:t>
            </w:r>
          </w:p>
        </w:tc>
        <w:tc>
          <w:tcPr>
            <w:tcW w:w="815" w:type="dxa"/>
          </w:tcPr>
          <w:p w14:paraId="2ADC9962" w14:textId="77777777" w:rsidR="00A340EE" w:rsidRPr="0047058F" w:rsidRDefault="00A340EE" w:rsidP="00BD64A6">
            <w:pPr>
              <w:pStyle w:val="TableText"/>
              <w:jc w:val="right"/>
              <w:rPr>
                <w:b/>
              </w:rPr>
            </w:pPr>
            <w:r w:rsidRPr="0047058F">
              <w:rPr>
                <w:rFonts w:eastAsia="Times New Roman"/>
              </w:rPr>
              <w:t>60.0</w:t>
            </w:r>
          </w:p>
        </w:tc>
      </w:tr>
      <w:tr w:rsidR="00A340EE" w:rsidRPr="0047058F" w14:paraId="2E51B3CE" w14:textId="77777777" w:rsidTr="00BD64A6">
        <w:trPr>
          <w:cnfStyle w:val="000000100000" w:firstRow="0" w:lastRow="0" w:firstColumn="0" w:lastColumn="0" w:oddVBand="0" w:evenVBand="0" w:oddHBand="1" w:evenHBand="0" w:firstRowFirstColumn="0" w:firstRowLastColumn="0" w:lastRowFirstColumn="0" w:lastRowLastColumn="0"/>
          <w:trHeight w:val="20"/>
        </w:trPr>
        <w:tc>
          <w:tcPr>
            <w:tcW w:w="1623" w:type="dxa"/>
          </w:tcPr>
          <w:p w14:paraId="34B1F154" w14:textId="77777777" w:rsidR="00A340EE" w:rsidRPr="0047058F" w:rsidRDefault="00A340EE" w:rsidP="00BD64A6">
            <w:pPr>
              <w:pStyle w:val="TableText"/>
            </w:pPr>
            <w:r w:rsidRPr="0047058F">
              <w:t>28–37</w:t>
            </w:r>
          </w:p>
        </w:tc>
        <w:tc>
          <w:tcPr>
            <w:tcW w:w="454" w:type="dxa"/>
          </w:tcPr>
          <w:p w14:paraId="2983F590" w14:textId="77777777" w:rsidR="00A340EE" w:rsidRPr="0047058F" w:rsidRDefault="00A340EE" w:rsidP="00BD64A6">
            <w:pPr>
              <w:pStyle w:val="TableText"/>
              <w:jc w:val="right"/>
              <w:rPr>
                <w:b/>
              </w:rPr>
            </w:pPr>
            <w:r w:rsidRPr="0047058F">
              <w:rPr>
                <w:rFonts w:eastAsia="Times New Roman" w:cs="Arial"/>
              </w:rPr>
              <w:t>53</w:t>
            </w:r>
          </w:p>
        </w:tc>
        <w:tc>
          <w:tcPr>
            <w:tcW w:w="544" w:type="dxa"/>
          </w:tcPr>
          <w:p w14:paraId="46706B2E" w14:textId="77777777" w:rsidR="00A340EE" w:rsidRPr="0047058F" w:rsidRDefault="00A340EE" w:rsidP="00BD64A6">
            <w:pPr>
              <w:pStyle w:val="TableText"/>
              <w:jc w:val="right"/>
              <w:rPr>
                <w:b/>
              </w:rPr>
            </w:pPr>
            <w:r w:rsidRPr="0047058F">
              <w:rPr>
                <w:rFonts w:eastAsia="Times New Roman" w:cs="Arial"/>
              </w:rPr>
              <w:t>14.4</w:t>
            </w:r>
          </w:p>
        </w:tc>
        <w:tc>
          <w:tcPr>
            <w:tcW w:w="453" w:type="dxa"/>
          </w:tcPr>
          <w:p w14:paraId="61CCA3B1" w14:textId="77777777" w:rsidR="00A340EE" w:rsidRPr="0047058F" w:rsidRDefault="00A340EE" w:rsidP="00BD64A6">
            <w:pPr>
              <w:pStyle w:val="TableText"/>
              <w:jc w:val="right"/>
              <w:rPr>
                <w:b/>
              </w:rPr>
            </w:pPr>
            <w:r w:rsidRPr="0047058F">
              <w:rPr>
                <w:rFonts w:eastAsia="Times New Roman" w:cs="Arial"/>
              </w:rPr>
              <w:t>27</w:t>
            </w:r>
          </w:p>
        </w:tc>
        <w:tc>
          <w:tcPr>
            <w:tcW w:w="544" w:type="dxa"/>
          </w:tcPr>
          <w:p w14:paraId="02B0B14B" w14:textId="77777777" w:rsidR="00A340EE" w:rsidRPr="0047058F" w:rsidRDefault="00A340EE" w:rsidP="00BD64A6">
            <w:pPr>
              <w:pStyle w:val="TableText"/>
              <w:jc w:val="right"/>
              <w:rPr>
                <w:b/>
              </w:rPr>
            </w:pPr>
            <w:r w:rsidRPr="0047058F">
              <w:rPr>
                <w:rFonts w:eastAsia="Times New Roman" w:cs="Arial"/>
              </w:rPr>
              <w:t>10.3</w:t>
            </w:r>
          </w:p>
        </w:tc>
        <w:tc>
          <w:tcPr>
            <w:tcW w:w="816" w:type="dxa"/>
          </w:tcPr>
          <w:p w14:paraId="4F8E449D" w14:textId="77777777" w:rsidR="00A340EE" w:rsidRPr="0047058F" w:rsidRDefault="00A340EE" w:rsidP="00BD64A6">
            <w:pPr>
              <w:pStyle w:val="TableText"/>
              <w:jc w:val="right"/>
              <w:rPr>
                <w:b/>
              </w:rPr>
            </w:pPr>
            <w:r w:rsidRPr="0047058F">
              <w:rPr>
                <w:rFonts w:eastAsia="Times New Roman"/>
              </w:rPr>
              <w:t>50.9</w:t>
            </w:r>
          </w:p>
        </w:tc>
        <w:tc>
          <w:tcPr>
            <w:tcW w:w="521" w:type="dxa"/>
          </w:tcPr>
          <w:p w14:paraId="1FEB27FC" w14:textId="77777777" w:rsidR="00A340EE" w:rsidRPr="0047058F" w:rsidRDefault="00A340EE" w:rsidP="00BD64A6">
            <w:pPr>
              <w:pStyle w:val="TableText"/>
              <w:jc w:val="right"/>
              <w:rPr>
                <w:b/>
              </w:rPr>
            </w:pPr>
            <w:r w:rsidRPr="0047058F">
              <w:rPr>
                <w:rFonts w:eastAsia="Times New Roman" w:cs="Arial"/>
              </w:rPr>
              <w:t>168</w:t>
            </w:r>
          </w:p>
        </w:tc>
        <w:tc>
          <w:tcPr>
            <w:tcW w:w="522" w:type="dxa"/>
          </w:tcPr>
          <w:p w14:paraId="1B69BD13" w14:textId="77777777" w:rsidR="00A340EE" w:rsidRPr="0047058F" w:rsidRDefault="00A340EE" w:rsidP="00BD64A6">
            <w:pPr>
              <w:pStyle w:val="TableText"/>
              <w:jc w:val="right"/>
              <w:rPr>
                <w:b/>
              </w:rPr>
            </w:pPr>
            <w:r w:rsidRPr="0047058F">
              <w:rPr>
                <w:rFonts w:eastAsia="Times New Roman" w:cs="Arial"/>
              </w:rPr>
              <w:t>23.4</w:t>
            </w:r>
          </w:p>
        </w:tc>
        <w:tc>
          <w:tcPr>
            <w:tcW w:w="521" w:type="dxa"/>
          </w:tcPr>
          <w:p w14:paraId="4287432A" w14:textId="77777777" w:rsidR="00A340EE" w:rsidRPr="0047058F" w:rsidRDefault="00A340EE" w:rsidP="00BD64A6">
            <w:pPr>
              <w:pStyle w:val="TableText"/>
              <w:jc w:val="right"/>
              <w:rPr>
                <w:b/>
              </w:rPr>
            </w:pPr>
            <w:r w:rsidRPr="0047058F">
              <w:rPr>
                <w:rFonts w:eastAsia="Times New Roman" w:cs="Arial"/>
              </w:rPr>
              <w:t>123</w:t>
            </w:r>
          </w:p>
        </w:tc>
        <w:tc>
          <w:tcPr>
            <w:tcW w:w="522" w:type="dxa"/>
          </w:tcPr>
          <w:p w14:paraId="5A28841D" w14:textId="77777777" w:rsidR="00A340EE" w:rsidRPr="0047058F" w:rsidRDefault="00A340EE" w:rsidP="00BD64A6">
            <w:pPr>
              <w:pStyle w:val="TableText"/>
              <w:jc w:val="right"/>
              <w:rPr>
                <w:b/>
              </w:rPr>
            </w:pPr>
            <w:r w:rsidRPr="0047058F">
              <w:rPr>
                <w:rFonts w:eastAsia="Times New Roman" w:cs="Arial"/>
              </w:rPr>
              <w:t>22.0</w:t>
            </w:r>
          </w:p>
        </w:tc>
        <w:tc>
          <w:tcPr>
            <w:tcW w:w="815" w:type="dxa"/>
          </w:tcPr>
          <w:p w14:paraId="5F612EEA" w14:textId="77777777" w:rsidR="00A340EE" w:rsidRPr="0047058F" w:rsidRDefault="00A340EE" w:rsidP="00BD64A6">
            <w:pPr>
              <w:pStyle w:val="TableText"/>
              <w:jc w:val="right"/>
              <w:rPr>
                <w:b/>
              </w:rPr>
            </w:pPr>
            <w:r w:rsidRPr="0047058F">
              <w:rPr>
                <w:rFonts w:eastAsia="Times New Roman"/>
              </w:rPr>
              <w:t>73.2</w:t>
            </w:r>
          </w:p>
        </w:tc>
      </w:tr>
      <w:tr w:rsidR="00A340EE" w:rsidRPr="0047058F" w14:paraId="4F57A079" w14:textId="77777777" w:rsidTr="00BD64A6">
        <w:trPr>
          <w:trHeight w:val="20"/>
        </w:trPr>
        <w:tc>
          <w:tcPr>
            <w:tcW w:w="1623" w:type="dxa"/>
          </w:tcPr>
          <w:p w14:paraId="0F6BB5CA" w14:textId="77777777" w:rsidR="00A340EE" w:rsidRPr="0047058F" w:rsidRDefault="00A340EE" w:rsidP="00BD64A6">
            <w:pPr>
              <w:pStyle w:val="TableText"/>
            </w:pPr>
            <w:r w:rsidRPr="0047058F">
              <w:t>38–47</w:t>
            </w:r>
          </w:p>
        </w:tc>
        <w:tc>
          <w:tcPr>
            <w:tcW w:w="454" w:type="dxa"/>
          </w:tcPr>
          <w:p w14:paraId="3229B297" w14:textId="77777777" w:rsidR="00A340EE" w:rsidRPr="0047058F" w:rsidRDefault="00A340EE" w:rsidP="00BD64A6">
            <w:pPr>
              <w:pStyle w:val="TableText"/>
              <w:jc w:val="right"/>
              <w:rPr>
                <w:b/>
              </w:rPr>
            </w:pPr>
            <w:r w:rsidRPr="0047058F">
              <w:rPr>
                <w:rFonts w:eastAsia="Times New Roman" w:cs="Arial"/>
              </w:rPr>
              <w:t>99</w:t>
            </w:r>
          </w:p>
        </w:tc>
        <w:tc>
          <w:tcPr>
            <w:tcW w:w="544" w:type="dxa"/>
          </w:tcPr>
          <w:p w14:paraId="04B52B24" w14:textId="77777777" w:rsidR="00A340EE" w:rsidRPr="0047058F" w:rsidRDefault="00A340EE" w:rsidP="00BD64A6">
            <w:pPr>
              <w:pStyle w:val="TableText"/>
              <w:jc w:val="right"/>
              <w:rPr>
                <w:b/>
              </w:rPr>
            </w:pPr>
            <w:r w:rsidRPr="0047058F">
              <w:rPr>
                <w:rFonts w:eastAsia="Times New Roman" w:cs="Arial"/>
              </w:rPr>
              <w:t>26.9</w:t>
            </w:r>
          </w:p>
        </w:tc>
        <w:tc>
          <w:tcPr>
            <w:tcW w:w="453" w:type="dxa"/>
          </w:tcPr>
          <w:p w14:paraId="3544C737" w14:textId="77777777" w:rsidR="00A340EE" w:rsidRPr="0047058F" w:rsidRDefault="00A340EE" w:rsidP="00BD64A6">
            <w:pPr>
              <w:pStyle w:val="TableText"/>
              <w:jc w:val="right"/>
              <w:rPr>
                <w:b/>
              </w:rPr>
            </w:pPr>
            <w:r w:rsidRPr="0047058F">
              <w:rPr>
                <w:rFonts w:eastAsia="Times New Roman" w:cs="Arial"/>
              </w:rPr>
              <w:t>59</w:t>
            </w:r>
          </w:p>
        </w:tc>
        <w:tc>
          <w:tcPr>
            <w:tcW w:w="544" w:type="dxa"/>
          </w:tcPr>
          <w:p w14:paraId="2A9B593B" w14:textId="77777777" w:rsidR="00A340EE" w:rsidRPr="0047058F" w:rsidRDefault="00A340EE" w:rsidP="00BD64A6">
            <w:pPr>
              <w:pStyle w:val="TableText"/>
              <w:jc w:val="right"/>
              <w:rPr>
                <w:b/>
              </w:rPr>
            </w:pPr>
            <w:r w:rsidRPr="0047058F">
              <w:rPr>
                <w:rFonts w:eastAsia="Times New Roman" w:cs="Arial"/>
              </w:rPr>
              <w:t>22.6</w:t>
            </w:r>
          </w:p>
        </w:tc>
        <w:tc>
          <w:tcPr>
            <w:tcW w:w="816" w:type="dxa"/>
          </w:tcPr>
          <w:p w14:paraId="24BAF484" w14:textId="77777777" w:rsidR="00A340EE" w:rsidRPr="0047058F" w:rsidRDefault="00A340EE" w:rsidP="00BD64A6">
            <w:pPr>
              <w:pStyle w:val="TableText"/>
              <w:jc w:val="right"/>
              <w:rPr>
                <w:b/>
              </w:rPr>
            </w:pPr>
            <w:r w:rsidRPr="0047058F">
              <w:rPr>
                <w:rFonts w:eastAsia="Times New Roman"/>
              </w:rPr>
              <w:t>59.6</w:t>
            </w:r>
          </w:p>
        </w:tc>
        <w:tc>
          <w:tcPr>
            <w:tcW w:w="521" w:type="dxa"/>
          </w:tcPr>
          <w:p w14:paraId="33433BC1" w14:textId="77777777" w:rsidR="00A340EE" w:rsidRPr="0047058F" w:rsidRDefault="00A340EE" w:rsidP="00BD64A6">
            <w:pPr>
              <w:pStyle w:val="TableText"/>
              <w:jc w:val="right"/>
              <w:rPr>
                <w:b/>
              </w:rPr>
            </w:pPr>
            <w:r w:rsidRPr="0047058F">
              <w:rPr>
                <w:rFonts w:eastAsia="Times New Roman" w:cs="Arial"/>
              </w:rPr>
              <w:t>275</w:t>
            </w:r>
          </w:p>
        </w:tc>
        <w:tc>
          <w:tcPr>
            <w:tcW w:w="522" w:type="dxa"/>
          </w:tcPr>
          <w:p w14:paraId="35581FC0" w14:textId="77777777" w:rsidR="00A340EE" w:rsidRPr="0047058F" w:rsidRDefault="00A340EE" w:rsidP="00BD64A6">
            <w:pPr>
              <w:pStyle w:val="TableText"/>
              <w:jc w:val="right"/>
              <w:rPr>
                <w:b/>
              </w:rPr>
            </w:pPr>
            <w:r w:rsidRPr="0047058F">
              <w:rPr>
                <w:rFonts w:eastAsia="Times New Roman" w:cs="Arial"/>
              </w:rPr>
              <w:t>38.4</w:t>
            </w:r>
          </w:p>
        </w:tc>
        <w:tc>
          <w:tcPr>
            <w:tcW w:w="521" w:type="dxa"/>
          </w:tcPr>
          <w:p w14:paraId="10C6CAEA" w14:textId="77777777" w:rsidR="00A340EE" w:rsidRPr="0047058F" w:rsidRDefault="00A340EE" w:rsidP="00BD64A6">
            <w:pPr>
              <w:pStyle w:val="TableText"/>
              <w:jc w:val="right"/>
              <w:rPr>
                <w:b/>
              </w:rPr>
            </w:pPr>
            <w:r w:rsidRPr="0047058F">
              <w:rPr>
                <w:rFonts w:eastAsia="Times New Roman" w:cs="Arial"/>
              </w:rPr>
              <w:t>217</w:t>
            </w:r>
          </w:p>
        </w:tc>
        <w:tc>
          <w:tcPr>
            <w:tcW w:w="522" w:type="dxa"/>
          </w:tcPr>
          <w:p w14:paraId="35633565" w14:textId="77777777" w:rsidR="00A340EE" w:rsidRPr="0047058F" w:rsidRDefault="00A340EE" w:rsidP="00BD64A6">
            <w:pPr>
              <w:pStyle w:val="TableText"/>
              <w:jc w:val="right"/>
              <w:rPr>
                <w:b/>
              </w:rPr>
            </w:pPr>
            <w:r w:rsidRPr="0047058F">
              <w:rPr>
                <w:rFonts w:eastAsia="Times New Roman" w:cs="Arial"/>
              </w:rPr>
              <w:t>38.8</w:t>
            </w:r>
          </w:p>
        </w:tc>
        <w:tc>
          <w:tcPr>
            <w:tcW w:w="815" w:type="dxa"/>
          </w:tcPr>
          <w:p w14:paraId="3A043AFC" w14:textId="77777777" w:rsidR="00A340EE" w:rsidRPr="0047058F" w:rsidRDefault="00A340EE" w:rsidP="00BD64A6">
            <w:pPr>
              <w:pStyle w:val="TableText"/>
              <w:jc w:val="right"/>
              <w:rPr>
                <w:b/>
              </w:rPr>
            </w:pPr>
            <w:r w:rsidRPr="0047058F">
              <w:rPr>
                <w:rFonts w:eastAsia="Times New Roman"/>
              </w:rPr>
              <w:t>78.9</w:t>
            </w:r>
          </w:p>
        </w:tc>
      </w:tr>
      <w:tr w:rsidR="00A340EE" w:rsidRPr="0047058F" w14:paraId="3C12F991" w14:textId="77777777" w:rsidTr="00BD64A6">
        <w:trPr>
          <w:cnfStyle w:val="000000100000" w:firstRow="0" w:lastRow="0" w:firstColumn="0" w:lastColumn="0" w:oddVBand="0" w:evenVBand="0" w:oddHBand="1" w:evenHBand="0" w:firstRowFirstColumn="0" w:firstRowLastColumn="0" w:lastRowFirstColumn="0" w:lastRowLastColumn="0"/>
          <w:trHeight w:val="20"/>
        </w:trPr>
        <w:tc>
          <w:tcPr>
            <w:tcW w:w="1623" w:type="dxa"/>
          </w:tcPr>
          <w:p w14:paraId="6FB4345F" w14:textId="77777777" w:rsidR="00A340EE" w:rsidRPr="0047058F" w:rsidRDefault="00A340EE" w:rsidP="00BD64A6">
            <w:pPr>
              <w:pStyle w:val="TableText"/>
            </w:pPr>
            <w:r w:rsidRPr="0047058F">
              <w:t>48–57</w:t>
            </w:r>
          </w:p>
        </w:tc>
        <w:tc>
          <w:tcPr>
            <w:tcW w:w="454" w:type="dxa"/>
          </w:tcPr>
          <w:p w14:paraId="6F4A085C" w14:textId="77777777" w:rsidR="00A340EE" w:rsidRPr="0047058F" w:rsidRDefault="00A340EE" w:rsidP="00BD64A6">
            <w:pPr>
              <w:pStyle w:val="TableText"/>
              <w:jc w:val="right"/>
              <w:rPr>
                <w:b/>
              </w:rPr>
            </w:pPr>
            <w:r w:rsidRPr="0047058F">
              <w:rPr>
                <w:rFonts w:eastAsia="Times New Roman" w:cs="Arial"/>
              </w:rPr>
              <w:t>123</w:t>
            </w:r>
          </w:p>
        </w:tc>
        <w:tc>
          <w:tcPr>
            <w:tcW w:w="544" w:type="dxa"/>
          </w:tcPr>
          <w:p w14:paraId="062FA856" w14:textId="77777777" w:rsidR="00A340EE" w:rsidRPr="0047058F" w:rsidRDefault="00A340EE" w:rsidP="00BD64A6">
            <w:pPr>
              <w:pStyle w:val="TableText"/>
              <w:jc w:val="right"/>
              <w:rPr>
                <w:b/>
              </w:rPr>
            </w:pPr>
            <w:r w:rsidRPr="0047058F">
              <w:rPr>
                <w:rFonts w:eastAsia="Times New Roman" w:cs="Arial"/>
              </w:rPr>
              <w:t>33.4</w:t>
            </w:r>
          </w:p>
        </w:tc>
        <w:tc>
          <w:tcPr>
            <w:tcW w:w="453" w:type="dxa"/>
          </w:tcPr>
          <w:p w14:paraId="6D59A8E8" w14:textId="77777777" w:rsidR="00A340EE" w:rsidRPr="0047058F" w:rsidRDefault="00A340EE" w:rsidP="00BD64A6">
            <w:pPr>
              <w:pStyle w:val="TableText"/>
              <w:jc w:val="right"/>
              <w:rPr>
                <w:b/>
              </w:rPr>
            </w:pPr>
            <w:r w:rsidRPr="0047058F">
              <w:rPr>
                <w:rFonts w:eastAsia="Times New Roman" w:cs="Arial"/>
              </w:rPr>
              <w:t>97</w:t>
            </w:r>
          </w:p>
        </w:tc>
        <w:tc>
          <w:tcPr>
            <w:tcW w:w="544" w:type="dxa"/>
          </w:tcPr>
          <w:p w14:paraId="23B1B8EE" w14:textId="77777777" w:rsidR="00A340EE" w:rsidRPr="0047058F" w:rsidRDefault="00A340EE" w:rsidP="00BD64A6">
            <w:pPr>
              <w:pStyle w:val="TableText"/>
              <w:jc w:val="right"/>
              <w:rPr>
                <w:b/>
              </w:rPr>
            </w:pPr>
            <w:r w:rsidRPr="0047058F">
              <w:rPr>
                <w:rFonts w:eastAsia="Times New Roman" w:cs="Arial"/>
              </w:rPr>
              <w:t>37.2</w:t>
            </w:r>
          </w:p>
        </w:tc>
        <w:tc>
          <w:tcPr>
            <w:tcW w:w="816" w:type="dxa"/>
          </w:tcPr>
          <w:p w14:paraId="7410449F" w14:textId="77777777" w:rsidR="00A340EE" w:rsidRPr="0047058F" w:rsidRDefault="00A340EE" w:rsidP="00BD64A6">
            <w:pPr>
              <w:pStyle w:val="TableText"/>
              <w:jc w:val="right"/>
              <w:rPr>
                <w:b/>
              </w:rPr>
            </w:pPr>
            <w:r w:rsidRPr="0047058F">
              <w:rPr>
                <w:rFonts w:eastAsia="Times New Roman"/>
              </w:rPr>
              <w:t>78.9</w:t>
            </w:r>
          </w:p>
        </w:tc>
        <w:tc>
          <w:tcPr>
            <w:tcW w:w="521" w:type="dxa"/>
          </w:tcPr>
          <w:p w14:paraId="2F257083" w14:textId="77777777" w:rsidR="00A340EE" w:rsidRPr="0047058F" w:rsidRDefault="00A340EE" w:rsidP="00BD64A6">
            <w:pPr>
              <w:pStyle w:val="TableText"/>
              <w:jc w:val="right"/>
              <w:rPr>
                <w:b/>
              </w:rPr>
            </w:pPr>
            <w:r w:rsidRPr="0047058F">
              <w:rPr>
                <w:rFonts w:eastAsia="Times New Roman" w:cs="Arial"/>
              </w:rPr>
              <w:t>245</w:t>
            </w:r>
          </w:p>
        </w:tc>
        <w:tc>
          <w:tcPr>
            <w:tcW w:w="522" w:type="dxa"/>
          </w:tcPr>
          <w:p w14:paraId="4A5A2908" w14:textId="77777777" w:rsidR="00A340EE" w:rsidRPr="0047058F" w:rsidRDefault="00A340EE" w:rsidP="00BD64A6">
            <w:pPr>
              <w:pStyle w:val="TableText"/>
              <w:jc w:val="right"/>
              <w:rPr>
                <w:b/>
              </w:rPr>
            </w:pPr>
            <w:r w:rsidRPr="0047058F">
              <w:rPr>
                <w:rFonts w:eastAsia="Times New Roman" w:cs="Arial"/>
              </w:rPr>
              <w:t>34.2</w:t>
            </w:r>
          </w:p>
        </w:tc>
        <w:tc>
          <w:tcPr>
            <w:tcW w:w="521" w:type="dxa"/>
          </w:tcPr>
          <w:p w14:paraId="7FE4F0C5" w14:textId="77777777" w:rsidR="00A340EE" w:rsidRPr="0047058F" w:rsidRDefault="00A340EE" w:rsidP="00BD64A6">
            <w:pPr>
              <w:pStyle w:val="TableText"/>
              <w:jc w:val="right"/>
              <w:rPr>
                <w:b/>
              </w:rPr>
            </w:pPr>
            <w:r w:rsidRPr="0047058F">
              <w:rPr>
                <w:rFonts w:eastAsia="Times New Roman" w:cs="Arial"/>
              </w:rPr>
              <w:t>198</w:t>
            </w:r>
          </w:p>
        </w:tc>
        <w:tc>
          <w:tcPr>
            <w:tcW w:w="522" w:type="dxa"/>
          </w:tcPr>
          <w:p w14:paraId="0CF59FBE" w14:textId="77777777" w:rsidR="00A340EE" w:rsidRPr="0047058F" w:rsidRDefault="00A340EE" w:rsidP="00BD64A6">
            <w:pPr>
              <w:pStyle w:val="TableText"/>
              <w:jc w:val="right"/>
              <w:rPr>
                <w:b/>
              </w:rPr>
            </w:pPr>
            <w:r w:rsidRPr="0047058F">
              <w:rPr>
                <w:rFonts w:eastAsia="Times New Roman" w:cs="Arial"/>
              </w:rPr>
              <w:t>35.4</w:t>
            </w:r>
          </w:p>
        </w:tc>
        <w:tc>
          <w:tcPr>
            <w:tcW w:w="815" w:type="dxa"/>
          </w:tcPr>
          <w:p w14:paraId="45FDFE56" w14:textId="77777777" w:rsidR="00A340EE" w:rsidRPr="0047058F" w:rsidRDefault="00A340EE" w:rsidP="00BD64A6">
            <w:pPr>
              <w:pStyle w:val="TableText"/>
              <w:jc w:val="right"/>
              <w:rPr>
                <w:b/>
              </w:rPr>
            </w:pPr>
            <w:r w:rsidRPr="0047058F">
              <w:rPr>
                <w:rFonts w:eastAsia="Times New Roman"/>
              </w:rPr>
              <w:t>80.8</w:t>
            </w:r>
          </w:p>
        </w:tc>
      </w:tr>
      <w:tr w:rsidR="00A340EE" w:rsidRPr="0047058F" w14:paraId="4DCB04E1" w14:textId="77777777" w:rsidTr="00055107">
        <w:trPr>
          <w:trHeight w:val="20"/>
        </w:trPr>
        <w:tc>
          <w:tcPr>
            <w:tcW w:w="1623" w:type="dxa"/>
            <w:tcBorders>
              <w:bottom w:val="single" w:sz="4" w:space="0" w:color="000000"/>
            </w:tcBorders>
          </w:tcPr>
          <w:p w14:paraId="3EFCFEBA" w14:textId="77777777" w:rsidR="00A340EE" w:rsidRPr="0047058F" w:rsidRDefault="00A340EE" w:rsidP="00BD64A6">
            <w:pPr>
              <w:pStyle w:val="TableText"/>
            </w:pPr>
            <w:r w:rsidRPr="0047058F">
              <w:t>58+</w:t>
            </w:r>
          </w:p>
        </w:tc>
        <w:tc>
          <w:tcPr>
            <w:tcW w:w="454" w:type="dxa"/>
            <w:tcBorders>
              <w:bottom w:val="single" w:sz="4" w:space="0" w:color="000000"/>
            </w:tcBorders>
          </w:tcPr>
          <w:p w14:paraId="0AC4F140" w14:textId="77777777" w:rsidR="00A340EE" w:rsidRPr="0047058F" w:rsidRDefault="00A340EE" w:rsidP="00BD64A6">
            <w:pPr>
              <w:pStyle w:val="TableText"/>
              <w:jc w:val="right"/>
              <w:rPr>
                <w:b/>
              </w:rPr>
            </w:pPr>
            <w:r w:rsidRPr="0047058F">
              <w:rPr>
                <w:rFonts w:eastAsia="Times New Roman" w:cs="Arial"/>
              </w:rPr>
              <w:t>85</w:t>
            </w:r>
          </w:p>
        </w:tc>
        <w:tc>
          <w:tcPr>
            <w:tcW w:w="544" w:type="dxa"/>
            <w:tcBorders>
              <w:bottom w:val="single" w:sz="4" w:space="0" w:color="000000"/>
            </w:tcBorders>
          </w:tcPr>
          <w:p w14:paraId="4067E942" w14:textId="77777777" w:rsidR="00A340EE" w:rsidRPr="0047058F" w:rsidRDefault="00A340EE" w:rsidP="00BD64A6">
            <w:pPr>
              <w:pStyle w:val="TableText"/>
              <w:jc w:val="right"/>
              <w:rPr>
                <w:b/>
              </w:rPr>
            </w:pPr>
            <w:r w:rsidRPr="0047058F">
              <w:rPr>
                <w:rFonts w:eastAsia="Times New Roman" w:cs="Arial"/>
              </w:rPr>
              <w:t>23.1</w:t>
            </w:r>
          </w:p>
        </w:tc>
        <w:tc>
          <w:tcPr>
            <w:tcW w:w="453" w:type="dxa"/>
            <w:tcBorders>
              <w:bottom w:val="single" w:sz="4" w:space="0" w:color="000000"/>
            </w:tcBorders>
          </w:tcPr>
          <w:p w14:paraId="6D6C6DFA" w14:textId="77777777" w:rsidR="00A340EE" w:rsidRPr="0047058F" w:rsidRDefault="00A340EE" w:rsidP="00BD64A6">
            <w:pPr>
              <w:pStyle w:val="TableText"/>
              <w:jc w:val="right"/>
              <w:rPr>
                <w:b/>
              </w:rPr>
            </w:pPr>
            <w:r w:rsidRPr="0047058F">
              <w:rPr>
                <w:rFonts w:eastAsia="Times New Roman" w:cs="Arial"/>
              </w:rPr>
              <w:t>74</w:t>
            </w:r>
          </w:p>
        </w:tc>
        <w:tc>
          <w:tcPr>
            <w:tcW w:w="544" w:type="dxa"/>
            <w:tcBorders>
              <w:bottom w:val="single" w:sz="4" w:space="0" w:color="000000"/>
            </w:tcBorders>
          </w:tcPr>
          <w:p w14:paraId="73C40A53" w14:textId="77777777" w:rsidR="00A340EE" w:rsidRPr="0047058F" w:rsidRDefault="00A340EE" w:rsidP="00BD64A6">
            <w:pPr>
              <w:pStyle w:val="TableText"/>
              <w:jc w:val="right"/>
              <w:rPr>
                <w:b/>
              </w:rPr>
            </w:pPr>
            <w:r w:rsidRPr="0047058F">
              <w:rPr>
                <w:rFonts w:eastAsia="Times New Roman" w:cs="Arial"/>
              </w:rPr>
              <w:t>28.4</w:t>
            </w:r>
          </w:p>
        </w:tc>
        <w:tc>
          <w:tcPr>
            <w:tcW w:w="816" w:type="dxa"/>
            <w:tcBorders>
              <w:bottom w:val="single" w:sz="4" w:space="0" w:color="000000"/>
            </w:tcBorders>
          </w:tcPr>
          <w:p w14:paraId="42CD11C1" w14:textId="77777777" w:rsidR="00A340EE" w:rsidRPr="0047058F" w:rsidRDefault="00A340EE" w:rsidP="00BD64A6">
            <w:pPr>
              <w:pStyle w:val="TableText"/>
              <w:jc w:val="right"/>
              <w:rPr>
                <w:b/>
              </w:rPr>
            </w:pPr>
            <w:r w:rsidRPr="0047058F">
              <w:rPr>
                <w:rFonts w:eastAsia="Times New Roman"/>
              </w:rPr>
              <w:t>87.1</w:t>
            </w:r>
          </w:p>
        </w:tc>
        <w:tc>
          <w:tcPr>
            <w:tcW w:w="521" w:type="dxa"/>
            <w:tcBorders>
              <w:bottom w:val="single" w:sz="4" w:space="0" w:color="000000"/>
            </w:tcBorders>
          </w:tcPr>
          <w:p w14:paraId="502EFFD7" w14:textId="77777777" w:rsidR="00A340EE" w:rsidRPr="0047058F" w:rsidRDefault="00A340EE" w:rsidP="00BD64A6">
            <w:pPr>
              <w:pStyle w:val="TableText"/>
              <w:jc w:val="right"/>
              <w:rPr>
                <w:b/>
              </w:rPr>
            </w:pPr>
            <w:r w:rsidRPr="0047058F">
              <w:rPr>
                <w:rFonts w:eastAsia="Times New Roman" w:cs="Arial"/>
              </w:rPr>
              <w:t>24</w:t>
            </w:r>
          </w:p>
        </w:tc>
        <w:tc>
          <w:tcPr>
            <w:tcW w:w="522" w:type="dxa"/>
            <w:tcBorders>
              <w:bottom w:val="single" w:sz="4" w:space="0" w:color="000000"/>
            </w:tcBorders>
          </w:tcPr>
          <w:p w14:paraId="3619B612" w14:textId="77777777" w:rsidR="00A340EE" w:rsidRPr="0047058F" w:rsidRDefault="00A340EE" w:rsidP="00BD64A6">
            <w:pPr>
              <w:pStyle w:val="TableText"/>
              <w:jc w:val="right"/>
              <w:rPr>
                <w:b/>
              </w:rPr>
            </w:pPr>
            <w:r w:rsidRPr="0047058F">
              <w:rPr>
                <w:rFonts w:eastAsia="Times New Roman" w:cs="Arial"/>
              </w:rPr>
              <w:t>3.3</w:t>
            </w:r>
          </w:p>
        </w:tc>
        <w:tc>
          <w:tcPr>
            <w:tcW w:w="521" w:type="dxa"/>
            <w:tcBorders>
              <w:bottom w:val="single" w:sz="4" w:space="0" w:color="000000"/>
            </w:tcBorders>
          </w:tcPr>
          <w:p w14:paraId="136A97A6" w14:textId="77777777" w:rsidR="00A340EE" w:rsidRPr="0047058F" w:rsidRDefault="00A340EE" w:rsidP="00BD64A6">
            <w:pPr>
              <w:pStyle w:val="TableText"/>
              <w:jc w:val="right"/>
              <w:rPr>
                <w:b/>
              </w:rPr>
            </w:pPr>
            <w:r w:rsidRPr="0047058F">
              <w:rPr>
                <w:rFonts w:eastAsia="Times New Roman" w:cs="Arial"/>
              </w:rPr>
              <w:t>18</w:t>
            </w:r>
          </w:p>
        </w:tc>
        <w:tc>
          <w:tcPr>
            <w:tcW w:w="522" w:type="dxa"/>
            <w:tcBorders>
              <w:bottom w:val="single" w:sz="4" w:space="0" w:color="000000"/>
            </w:tcBorders>
          </w:tcPr>
          <w:p w14:paraId="7B487D3D" w14:textId="77777777" w:rsidR="00A340EE" w:rsidRPr="0047058F" w:rsidRDefault="00A340EE" w:rsidP="00BD64A6">
            <w:pPr>
              <w:pStyle w:val="TableText"/>
              <w:jc w:val="right"/>
              <w:rPr>
                <w:b/>
              </w:rPr>
            </w:pPr>
            <w:r w:rsidRPr="0047058F">
              <w:rPr>
                <w:rFonts w:eastAsia="Times New Roman" w:cs="Arial"/>
              </w:rPr>
              <w:t>3.2</w:t>
            </w:r>
          </w:p>
        </w:tc>
        <w:tc>
          <w:tcPr>
            <w:tcW w:w="815" w:type="dxa"/>
            <w:tcBorders>
              <w:bottom w:val="single" w:sz="4" w:space="0" w:color="000000"/>
            </w:tcBorders>
          </w:tcPr>
          <w:p w14:paraId="26F9875F" w14:textId="77777777" w:rsidR="00A340EE" w:rsidRPr="0047058F" w:rsidRDefault="00A340EE" w:rsidP="00BD64A6">
            <w:pPr>
              <w:pStyle w:val="TableText"/>
              <w:jc w:val="right"/>
              <w:rPr>
                <w:b/>
              </w:rPr>
            </w:pPr>
            <w:r w:rsidRPr="0047058F">
              <w:rPr>
                <w:rFonts w:eastAsia="Times New Roman"/>
              </w:rPr>
              <w:t>75.0</w:t>
            </w:r>
          </w:p>
        </w:tc>
      </w:tr>
      <w:tr w:rsidR="00A340EE" w:rsidRPr="0047058F" w14:paraId="2BC3056C"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top w:val="single" w:sz="4" w:space="0" w:color="000000"/>
              <w:bottom w:val="nil"/>
            </w:tcBorders>
            <w:hideMark/>
          </w:tcPr>
          <w:p w14:paraId="0086FC84" w14:textId="77777777" w:rsidR="00A340EE" w:rsidRPr="0047058F" w:rsidRDefault="00A340EE" w:rsidP="00BD64A6">
            <w:pPr>
              <w:pStyle w:val="TableText"/>
              <w:rPr>
                <w:b/>
              </w:rPr>
            </w:pPr>
            <w:r w:rsidRPr="0047058F">
              <w:rPr>
                <w:b/>
              </w:rPr>
              <w:t>Service</w:t>
            </w:r>
          </w:p>
        </w:tc>
        <w:tc>
          <w:tcPr>
            <w:tcW w:w="454" w:type="dxa"/>
            <w:tcBorders>
              <w:top w:val="single" w:sz="4" w:space="0" w:color="000000"/>
              <w:bottom w:val="nil"/>
            </w:tcBorders>
          </w:tcPr>
          <w:p w14:paraId="55920016" w14:textId="77777777" w:rsidR="00A340EE" w:rsidRPr="0047058F" w:rsidRDefault="00A340EE" w:rsidP="00BD64A6">
            <w:pPr>
              <w:pStyle w:val="TableText"/>
              <w:jc w:val="right"/>
            </w:pPr>
          </w:p>
        </w:tc>
        <w:tc>
          <w:tcPr>
            <w:tcW w:w="544" w:type="dxa"/>
            <w:tcBorders>
              <w:top w:val="single" w:sz="4" w:space="0" w:color="000000"/>
              <w:bottom w:val="nil"/>
            </w:tcBorders>
          </w:tcPr>
          <w:p w14:paraId="5D1A254E" w14:textId="77777777" w:rsidR="00A340EE" w:rsidRPr="0047058F" w:rsidRDefault="00A340EE" w:rsidP="00BD64A6">
            <w:pPr>
              <w:pStyle w:val="TableText"/>
              <w:jc w:val="right"/>
            </w:pPr>
          </w:p>
        </w:tc>
        <w:tc>
          <w:tcPr>
            <w:tcW w:w="453" w:type="dxa"/>
            <w:tcBorders>
              <w:top w:val="single" w:sz="4" w:space="0" w:color="000000"/>
              <w:bottom w:val="nil"/>
            </w:tcBorders>
          </w:tcPr>
          <w:p w14:paraId="4F161A6B" w14:textId="77777777" w:rsidR="00A340EE" w:rsidRPr="0047058F" w:rsidRDefault="00A340EE" w:rsidP="00BD64A6">
            <w:pPr>
              <w:pStyle w:val="TableText"/>
              <w:jc w:val="right"/>
            </w:pPr>
          </w:p>
        </w:tc>
        <w:tc>
          <w:tcPr>
            <w:tcW w:w="544" w:type="dxa"/>
            <w:tcBorders>
              <w:top w:val="single" w:sz="4" w:space="0" w:color="000000"/>
              <w:bottom w:val="nil"/>
            </w:tcBorders>
          </w:tcPr>
          <w:p w14:paraId="1E006918" w14:textId="77777777" w:rsidR="00A340EE" w:rsidRPr="0047058F" w:rsidRDefault="00A340EE" w:rsidP="00BD64A6">
            <w:pPr>
              <w:pStyle w:val="TableText"/>
              <w:jc w:val="right"/>
            </w:pPr>
          </w:p>
        </w:tc>
        <w:tc>
          <w:tcPr>
            <w:tcW w:w="816" w:type="dxa"/>
            <w:tcBorders>
              <w:top w:val="single" w:sz="4" w:space="0" w:color="000000"/>
              <w:bottom w:val="nil"/>
            </w:tcBorders>
          </w:tcPr>
          <w:p w14:paraId="10CC789E" w14:textId="77777777" w:rsidR="00A340EE" w:rsidRPr="0047058F" w:rsidRDefault="00A340EE" w:rsidP="00BD64A6">
            <w:pPr>
              <w:pStyle w:val="TableText"/>
              <w:jc w:val="right"/>
            </w:pPr>
          </w:p>
        </w:tc>
        <w:tc>
          <w:tcPr>
            <w:tcW w:w="521" w:type="dxa"/>
            <w:tcBorders>
              <w:top w:val="single" w:sz="4" w:space="0" w:color="000000"/>
              <w:bottom w:val="nil"/>
            </w:tcBorders>
          </w:tcPr>
          <w:p w14:paraId="0F3BF009" w14:textId="77777777" w:rsidR="00A340EE" w:rsidRPr="0047058F" w:rsidRDefault="00A340EE" w:rsidP="00BD64A6">
            <w:pPr>
              <w:pStyle w:val="TableText"/>
              <w:jc w:val="right"/>
            </w:pPr>
          </w:p>
        </w:tc>
        <w:tc>
          <w:tcPr>
            <w:tcW w:w="522" w:type="dxa"/>
            <w:tcBorders>
              <w:top w:val="single" w:sz="4" w:space="0" w:color="000000"/>
              <w:bottom w:val="nil"/>
            </w:tcBorders>
          </w:tcPr>
          <w:p w14:paraId="09744A50" w14:textId="77777777" w:rsidR="00A340EE" w:rsidRPr="0047058F" w:rsidRDefault="00A340EE" w:rsidP="00BD64A6">
            <w:pPr>
              <w:pStyle w:val="TableText"/>
              <w:jc w:val="right"/>
            </w:pPr>
          </w:p>
        </w:tc>
        <w:tc>
          <w:tcPr>
            <w:tcW w:w="521" w:type="dxa"/>
            <w:tcBorders>
              <w:top w:val="single" w:sz="4" w:space="0" w:color="000000"/>
              <w:bottom w:val="nil"/>
            </w:tcBorders>
          </w:tcPr>
          <w:p w14:paraId="4D5385A6" w14:textId="77777777" w:rsidR="00A340EE" w:rsidRPr="0047058F" w:rsidRDefault="00A340EE" w:rsidP="00BD64A6">
            <w:pPr>
              <w:pStyle w:val="TableText"/>
              <w:jc w:val="right"/>
            </w:pPr>
          </w:p>
        </w:tc>
        <w:tc>
          <w:tcPr>
            <w:tcW w:w="522" w:type="dxa"/>
            <w:tcBorders>
              <w:top w:val="single" w:sz="4" w:space="0" w:color="000000"/>
              <w:bottom w:val="nil"/>
            </w:tcBorders>
          </w:tcPr>
          <w:p w14:paraId="183B200D" w14:textId="77777777" w:rsidR="00A340EE" w:rsidRPr="0047058F" w:rsidRDefault="00A340EE" w:rsidP="00BD64A6">
            <w:pPr>
              <w:pStyle w:val="TableText"/>
              <w:jc w:val="right"/>
            </w:pPr>
          </w:p>
        </w:tc>
        <w:tc>
          <w:tcPr>
            <w:tcW w:w="815" w:type="dxa"/>
            <w:tcBorders>
              <w:top w:val="single" w:sz="4" w:space="0" w:color="000000"/>
              <w:bottom w:val="nil"/>
            </w:tcBorders>
          </w:tcPr>
          <w:p w14:paraId="2F495808" w14:textId="77777777" w:rsidR="00A340EE" w:rsidRPr="0047058F" w:rsidRDefault="00A340EE" w:rsidP="00BD64A6">
            <w:pPr>
              <w:pStyle w:val="TableText"/>
              <w:jc w:val="right"/>
            </w:pPr>
          </w:p>
        </w:tc>
      </w:tr>
      <w:tr w:rsidR="00A340EE" w:rsidRPr="0047058F" w14:paraId="69D9E44A" w14:textId="77777777" w:rsidTr="00055107">
        <w:trPr>
          <w:trHeight w:val="20"/>
        </w:trPr>
        <w:tc>
          <w:tcPr>
            <w:tcW w:w="1623" w:type="dxa"/>
            <w:tcBorders>
              <w:top w:val="nil"/>
            </w:tcBorders>
            <w:hideMark/>
          </w:tcPr>
          <w:p w14:paraId="73B3C3E4" w14:textId="77777777" w:rsidR="00A340EE" w:rsidRPr="0047058F" w:rsidRDefault="00A340EE" w:rsidP="00BD64A6">
            <w:pPr>
              <w:pStyle w:val="TableText"/>
            </w:pPr>
            <w:r w:rsidRPr="0047058F">
              <w:t>Navy</w:t>
            </w:r>
          </w:p>
        </w:tc>
        <w:tc>
          <w:tcPr>
            <w:tcW w:w="454" w:type="dxa"/>
            <w:tcBorders>
              <w:top w:val="nil"/>
            </w:tcBorders>
          </w:tcPr>
          <w:p w14:paraId="526F02DB" w14:textId="77777777" w:rsidR="00A340EE" w:rsidRPr="0047058F" w:rsidRDefault="00A340EE" w:rsidP="00BD64A6">
            <w:pPr>
              <w:pStyle w:val="TableText"/>
              <w:jc w:val="right"/>
            </w:pPr>
            <w:r w:rsidRPr="0047058F">
              <w:rPr>
                <w:rFonts w:eastAsia="Times New Roman" w:cs="Arial"/>
              </w:rPr>
              <w:t>71</w:t>
            </w:r>
          </w:p>
        </w:tc>
        <w:tc>
          <w:tcPr>
            <w:tcW w:w="544" w:type="dxa"/>
            <w:tcBorders>
              <w:top w:val="nil"/>
            </w:tcBorders>
          </w:tcPr>
          <w:p w14:paraId="07CD5D4F" w14:textId="77777777" w:rsidR="00A340EE" w:rsidRPr="0047058F" w:rsidRDefault="00A340EE" w:rsidP="00BD64A6">
            <w:pPr>
              <w:pStyle w:val="TableText"/>
              <w:jc w:val="right"/>
            </w:pPr>
            <w:r w:rsidRPr="0047058F">
              <w:rPr>
                <w:rFonts w:eastAsia="Times New Roman" w:cs="Arial"/>
              </w:rPr>
              <w:t>19.3</w:t>
            </w:r>
          </w:p>
        </w:tc>
        <w:tc>
          <w:tcPr>
            <w:tcW w:w="453" w:type="dxa"/>
            <w:tcBorders>
              <w:top w:val="nil"/>
            </w:tcBorders>
          </w:tcPr>
          <w:p w14:paraId="6C8159B1" w14:textId="77777777" w:rsidR="00A340EE" w:rsidRPr="0047058F" w:rsidRDefault="00A340EE" w:rsidP="00BD64A6">
            <w:pPr>
              <w:pStyle w:val="TableText"/>
              <w:jc w:val="right"/>
            </w:pPr>
            <w:r w:rsidRPr="0047058F">
              <w:rPr>
                <w:rFonts w:eastAsia="Times New Roman" w:cs="Arial"/>
              </w:rPr>
              <w:t>46</w:t>
            </w:r>
          </w:p>
        </w:tc>
        <w:tc>
          <w:tcPr>
            <w:tcW w:w="544" w:type="dxa"/>
            <w:tcBorders>
              <w:top w:val="nil"/>
            </w:tcBorders>
          </w:tcPr>
          <w:p w14:paraId="395ACBC5" w14:textId="77777777" w:rsidR="00A340EE" w:rsidRPr="0047058F" w:rsidRDefault="00A340EE" w:rsidP="00BD64A6">
            <w:pPr>
              <w:pStyle w:val="TableText"/>
              <w:jc w:val="right"/>
            </w:pPr>
            <w:r w:rsidRPr="0047058F">
              <w:rPr>
                <w:rFonts w:eastAsia="Times New Roman" w:cs="Arial"/>
              </w:rPr>
              <w:t>17.6</w:t>
            </w:r>
          </w:p>
        </w:tc>
        <w:tc>
          <w:tcPr>
            <w:tcW w:w="816" w:type="dxa"/>
            <w:tcBorders>
              <w:top w:val="nil"/>
            </w:tcBorders>
          </w:tcPr>
          <w:p w14:paraId="6B4810C4" w14:textId="77777777" w:rsidR="00A340EE" w:rsidRPr="0047058F" w:rsidRDefault="00A340EE" w:rsidP="00BD64A6">
            <w:pPr>
              <w:pStyle w:val="TableText"/>
              <w:jc w:val="right"/>
            </w:pPr>
            <w:r w:rsidRPr="0047058F">
              <w:rPr>
                <w:rFonts w:eastAsia="Times New Roman"/>
              </w:rPr>
              <w:t>64.8</w:t>
            </w:r>
          </w:p>
        </w:tc>
        <w:tc>
          <w:tcPr>
            <w:tcW w:w="521" w:type="dxa"/>
            <w:tcBorders>
              <w:top w:val="nil"/>
            </w:tcBorders>
          </w:tcPr>
          <w:p w14:paraId="46B824FE" w14:textId="77777777" w:rsidR="00A340EE" w:rsidRPr="0047058F" w:rsidRDefault="00A340EE" w:rsidP="00BD64A6">
            <w:pPr>
              <w:pStyle w:val="TableText"/>
              <w:jc w:val="right"/>
            </w:pPr>
            <w:r w:rsidRPr="0047058F">
              <w:rPr>
                <w:rFonts w:eastAsia="Times New Roman" w:cs="Arial"/>
              </w:rPr>
              <w:t>166</w:t>
            </w:r>
          </w:p>
        </w:tc>
        <w:tc>
          <w:tcPr>
            <w:tcW w:w="522" w:type="dxa"/>
            <w:tcBorders>
              <w:top w:val="nil"/>
            </w:tcBorders>
          </w:tcPr>
          <w:p w14:paraId="216FEC6E" w14:textId="77777777" w:rsidR="00A340EE" w:rsidRPr="0047058F" w:rsidRDefault="00A340EE" w:rsidP="00BD64A6">
            <w:pPr>
              <w:pStyle w:val="TableText"/>
              <w:jc w:val="right"/>
            </w:pPr>
            <w:r w:rsidRPr="0047058F">
              <w:rPr>
                <w:rFonts w:eastAsia="Times New Roman" w:cs="Arial"/>
              </w:rPr>
              <w:t>23.2</w:t>
            </w:r>
          </w:p>
        </w:tc>
        <w:tc>
          <w:tcPr>
            <w:tcW w:w="521" w:type="dxa"/>
            <w:tcBorders>
              <w:top w:val="nil"/>
            </w:tcBorders>
          </w:tcPr>
          <w:p w14:paraId="5DCE0EBA" w14:textId="77777777" w:rsidR="00A340EE" w:rsidRPr="0047058F" w:rsidRDefault="00A340EE" w:rsidP="00BD64A6">
            <w:pPr>
              <w:pStyle w:val="TableText"/>
              <w:jc w:val="right"/>
            </w:pPr>
            <w:r w:rsidRPr="0047058F">
              <w:rPr>
                <w:rFonts w:eastAsia="Times New Roman"/>
              </w:rPr>
              <w:t>127</w:t>
            </w:r>
          </w:p>
        </w:tc>
        <w:tc>
          <w:tcPr>
            <w:tcW w:w="522" w:type="dxa"/>
            <w:tcBorders>
              <w:top w:val="nil"/>
            </w:tcBorders>
          </w:tcPr>
          <w:p w14:paraId="4517DC72" w14:textId="77777777" w:rsidR="00A340EE" w:rsidRPr="0047058F" w:rsidRDefault="00A340EE" w:rsidP="00BD64A6">
            <w:pPr>
              <w:pStyle w:val="TableText"/>
              <w:jc w:val="right"/>
            </w:pPr>
            <w:r w:rsidRPr="0047058F">
              <w:rPr>
                <w:rFonts w:eastAsia="Times New Roman"/>
              </w:rPr>
              <w:t>22.7</w:t>
            </w:r>
          </w:p>
        </w:tc>
        <w:tc>
          <w:tcPr>
            <w:tcW w:w="815" w:type="dxa"/>
            <w:tcBorders>
              <w:top w:val="nil"/>
            </w:tcBorders>
          </w:tcPr>
          <w:p w14:paraId="3F70EA50" w14:textId="77777777" w:rsidR="00A340EE" w:rsidRPr="0047058F" w:rsidRDefault="00A340EE" w:rsidP="00BD64A6">
            <w:pPr>
              <w:pStyle w:val="TableText"/>
              <w:jc w:val="right"/>
              <w:rPr>
                <w:rFonts w:eastAsia="Times New Roman"/>
              </w:rPr>
            </w:pPr>
            <w:r w:rsidRPr="0047058F">
              <w:rPr>
                <w:rFonts w:eastAsia="Times New Roman"/>
              </w:rPr>
              <w:t>76.5</w:t>
            </w:r>
          </w:p>
        </w:tc>
      </w:tr>
      <w:tr w:rsidR="00A340EE" w:rsidRPr="0047058F" w14:paraId="4F8F885D" w14:textId="77777777" w:rsidTr="00BD64A6">
        <w:trPr>
          <w:cnfStyle w:val="000000100000" w:firstRow="0" w:lastRow="0" w:firstColumn="0" w:lastColumn="0" w:oddVBand="0" w:evenVBand="0" w:oddHBand="1" w:evenHBand="0" w:firstRowFirstColumn="0" w:firstRowLastColumn="0" w:lastRowFirstColumn="0" w:lastRowLastColumn="0"/>
          <w:trHeight w:val="20"/>
        </w:trPr>
        <w:tc>
          <w:tcPr>
            <w:tcW w:w="1623" w:type="dxa"/>
            <w:hideMark/>
          </w:tcPr>
          <w:p w14:paraId="6717D3EE" w14:textId="77777777" w:rsidR="00A340EE" w:rsidRPr="0047058F" w:rsidRDefault="00A340EE" w:rsidP="00BD64A6">
            <w:pPr>
              <w:pStyle w:val="TableText"/>
            </w:pPr>
            <w:r w:rsidRPr="0047058F">
              <w:t>Army</w:t>
            </w:r>
          </w:p>
        </w:tc>
        <w:tc>
          <w:tcPr>
            <w:tcW w:w="454" w:type="dxa"/>
          </w:tcPr>
          <w:p w14:paraId="182A44A1" w14:textId="77777777" w:rsidR="00A340EE" w:rsidRPr="0047058F" w:rsidRDefault="00A340EE" w:rsidP="00BD64A6">
            <w:pPr>
              <w:pStyle w:val="TableText"/>
              <w:jc w:val="right"/>
            </w:pPr>
            <w:r w:rsidRPr="0047058F">
              <w:rPr>
                <w:rFonts w:eastAsia="Times New Roman" w:cs="Arial"/>
              </w:rPr>
              <w:t>180</w:t>
            </w:r>
          </w:p>
        </w:tc>
        <w:tc>
          <w:tcPr>
            <w:tcW w:w="544" w:type="dxa"/>
          </w:tcPr>
          <w:p w14:paraId="28978EEF" w14:textId="77777777" w:rsidR="00A340EE" w:rsidRPr="0047058F" w:rsidRDefault="00A340EE" w:rsidP="00BD64A6">
            <w:pPr>
              <w:pStyle w:val="TableText"/>
              <w:jc w:val="right"/>
            </w:pPr>
            <w:r w:rsidRPr="0047058F">
              <w:rPr>
                <w:rFonts w:eastAsia="Times New Roman" w:cs="Arial"/>
              </w:rPr>
              <w:t>48.9</w:t>
            </w:r>
          </w:p>
        </w:tc>
        <w:tc>
          <w:tcPr>
            <w:tcW w:w="453" w:type="dxa"/>
          </w:tcPr>
          <w:p w14:paraId="59533460" w14:textId="77777777" w:rsidR="00A340EE" w:rsidRPr="0047058F" w:rsidRDefault="00A340EE" w:rsidP="00BD64A6">
            <w:pPr>
              <w:pStyle w:val="TableText"/>
              <w:jc w:val="right"/>
            </w:pPr>
            <w:r w:rsidRPr="0047058F">
              <w:rPr>
                <w:rFonts w:eastAsia="Times New Roman" w:cs="Arial"/>
              </w:rPr>
              <w:t>123</w:t>
            </w:r>
          </w:p>
        </w:tc>
        <w:tc>
          <w:tcPr>
            <w:tcW w:w="544" w:type="dxa"/>
          </w:tcPr>
          <w:p w14:paraId="680D20A3" w14:textId="77777777" w:rsidR="00A340EE" w:rsidRPr="0047058F" w:rsidRDefault="00A340EE" w:rsidP="00BD64A6">
            <w:pPr>
              <w:pStyle w:val="TableText"/>
              <w:jc w:val="right"/>
            </w:pPr>
            <w:r w:rsidRPr="0047058F">
              <w:rPr>
                <w:rFonts w:eastAsia="Times New Roman" w:cs="Arial"/>
              </w:rPr>
              <w:t>47.1</w:t>
            </w:r>
          </w:p>
        </w:tc>
        <w:tc>
          <w:tcPr>
            <w:tcW w:w="816" w:type="dxa"/>
          </w:tcPr>
          <w:p w14:paraId="5AA9FE48" w14:textId="77777777" w:rsidR="00A340EE" w:rsidRPr="0047058F" w:rsidRDefault="00A340EE" w:rsidP="00BD64A6">
            <w:pPr>
              <w:pStyle w:val="TableText"/>
              <w:jc w:val="right"/>
            </w:pPr>
            <w:r w:rsidRPr="0047058F">
              <w:rPr>
                <w:rFonts w:eastAsia="Times New Roman"/>
              </w:rPr>
              <w:t>68.3</w:t>
            </w:r>
          </w:p>
        </w:tc>
        <w:tc>
          <w:tcPr>
            <w:tcW w:w="521" w:type="dxa"/>
          </w:tcPr>
          <w:p w14:paraId="468CEDAB" w14:textId="77777777" w:rsidR="00A340EE" w:rsidRPr="0047058F" w:rsidRDefault="00A340EE" w:rsidP="00BD64A6">
            <w:pPr>
              <w:pStyle w:val="TableText"/>
              <w:jc w:val="right"/>
            </w:pPr>
            <w:r w:rsidRPr="0047058F">
              <w:rPr>
                <w:rFonts w:eastAsia="Times New Roman" w:cs="Arial"/>
              </w:rPr>
              <w:t>279</w:t>
            </w:r>
          </w:p>
        </w:tc>
        <w:tc>
          <w:tcPr>
            <w:tcW w:w="522" w:type="dxa"/>
          </w:tcPr>
          <w:p w14:paraId="278686F9" w14:textId="77777777" w:rsidR="00A340EE" w:rsidRPr="0047058F" w:rsidRDefault="00A340EE" w:rsidP="00BD64A6">
            <w:pPr>
              <w:pStyle w:val="TableText"/>
              <w:jc w:val="right"/>
            </w:pPr>
            <w:r w:rsidRPr="0047058F">
              <w:rPr>
                <w:rFonts w:eastAsia="Times New Roman" w:cs="Arial"/>
              </w:rPr>
              <w:t>38.9</w:t>
            </w:r>
          </w:p>
        </w:tc>
        <w:tc>
          <w:tcPr>
            <w:tcW w:w="521" w:type="dxa"/>
          </w:tcPr>
          <w:p w14:paraId="6EF4CDBB" w14:textId="77777777" w:rsidR="00A340EE" w:rsidRPr="0047058F" w:rsidRDefault="00A340EE" w:rsidP="00BD64A6">
            <w:pPr>
              <w:pStyle w:val="TableText"/>
              <w:jc w:val="right"/>
            </w:pPr>
            <w:r w:rsidRPr="0047058F">
              <w:rPr>
                <w:rFonts w:eastAsia="Times New Roman"/>
              </w:rPr>
              <w:t>218</w:t>
            </w:r>
          </w:p>
        </w:tc>
        <w:tc>
          <w:tcPr>
            <w:tcW w:w="522" w:type="dxa"/>
          </w:tcPr>
          <w:p w14:paraId="40855F84" w14:textId="77777777" w:rsidR="00A340EE" w:rsidRPr="0047058F" w:rsidRDefault="00A340EE" w:rsidP="00BD64A6">
            <w:pPr>
              <w:pStyle w:val="TableText"/>
              <w:jc w:val="right"/>
            </w:pPr>
            <w:r w:rsidRPr="0047058F">
              <w:rPr>
                <w:rFonts w:eastAsia="Times New Roman"/>
              </w:rPr>
              <w:t>39.0</w:t>
            </w:r>
          </w:p>
        </w:tc>
        <w:tc>
          <w:tcPr>
            <w:tcW w:w="815" w:type="dxa"/>
          </w:tcPr>
          <w:p w14:paraId="57AE2A09" w14:textId="77777777" w:rsidR="00A340EE" w:rsidRPr="0047058F" w:rsidRDefault="00A340EE" w:rsidP="00BD64A6">
            <w:pPr>
              <w:pStyle w:val="TableText"/>
              <w:jc w:val="right"/>
              <w:rPr>
                <w:rFonts w:eastAsia="Times New Roman"/>
              </w:rPr>
            </w:pPr>
            <w:r w:rsidRPr="0047058F">
              <w:rPr>
                <w:rFonts w:eastAsia="Times New Roman"/>
              </w:rPr>
              <w:t>78.1</w:t>
            </w:r>
          </w:p>
        </w:tc>
      </w:tr>
      <w:tr w:rsidR="00A340EE" w:rsidRPr="0047058F" w14:paraId="3E1A1B9F" w14:textId="77777777" w:rsidTr="00055107">
        <w:trPr>
          <w:trHeight w:val="20"/>
        </w:trPr>
        <w:tc>
          <w:tcPr>
            <w:tcW w:w="1623" w:type="dxa"/>
            <w:tcBorders>
              <w:bottom w:val="single" w:sz="4" w:space="0" w:color="000000"/>
            </w:tcBorders>
            <w:hideMark/>
          </w:tcPr>
          <w:p w14:paraId="506F439B" w14:textId="77777777" w:rsidR="00A340EE" w:rsidRPr="0047058F" w:rsidRDefault="00A340EE" w:rsidP="00BD64A6">
            <w:pPr>
              <w:pStyle w:val="TableText"/>
            </w:pPr>
            <w:r w:rsidRPr="0047058F">
              <w:t>Air Force</w:t>
            </w:r>
          </w:p>
        </w:tc>
        <w:tc>
          <w:tcPr>
            <w:tcW w:w="454" w:type="dxa"/>
            <w:tcBorders>
              <w:bottom w:val="single" w:sz="4" w:space="0" w:color="000000"/>
            </w:tcBorders>
          </w:tcPr>
          <w:p w14:paraId="578179C2" w14:textId="77777777" w:rsidR="00A340EE" w:rsidRPr="0047058F" w:rsidRDefault="00A340EE" w:rsidP="00BD64A6">
            <w:pPr>
              <w:pStyle w:val="TableText"/>
              <w:jc w:val="right"/>
            </w:pPr>
            <w:r w:rsidRPr="0047058F">
              <w:rPr>
                <w:rFonts w:eastAsia="Times New Roman" w:cs="Arial"/>
              </w:rPr>
              <w:t>117</w:t>
            </w:r>
          </w:p>
        </w:tc>
        <w:tc>
          <w:tcPr>
            <w:tcW w:w="544" w:type="dxa"/>
            <w:tcBorders>
              <w:bottom w:val="single" w:sz="4" w:space="0" w:color="000000"/>
            </w:tcBorders>
          </w:tcPr>
          <w:p w14:paraId="1D28E943" w14:textId="77777777" w:rsidR="00A340EE" w:rsidRPr="0047058F" w:rsidRDefault="00A340EE" w:rsidP="00BD64A6">
            <w:pPr>
              <w:pStyle w:val="TableText"/>
              <w:jc w:val="right"/>
            </w:pPr>
            <w:r w:rsidRPr="0047058F">
              <w:rPr>
                <w:rFonts w:eastAsia="Times New Roman" w:cs="Arial"/>
              </w:rPr>
              <w:t>31.8</w:t>
            </w:r>
          </w:p>
        </w:tc>
        <w:tc>
          <w:tcPr>
            <w:tcW w:w="453" w:type="dxa"/>
            <w:tcBorders>
              <w:bottom w:val="single" w:sz="4" w:space="0" w:color="000000"/>
            </w:tcBorders>
          </w:tcPr>
          <w:p w14:paraId="45896464" w14:textId="77777777" w:rsidR="00A340EE" w:rsidRPr="0047058F" w:rsidRDefault="00A340EE" w:rsidP="00BD64A6">
            <w:pPr>
              <w:pStyle w:val="TableText"/>
              <w:jc w:val="right"/>
            </w:pPr>
            <w:r w:rsidRPr="0047058F">
              <w:rPr>
                <w:rFonts w:eastAsia="Times New Roman" w:cs="Arial"/>
              </w:rPr>
              <w:t>92</w:t>
            </w:r>
          </w:p>
        </w:tc>
        <w:tc>
          <w:tcPr>
            <w:tcW w:w="544" w:type="dxa"/>
            <w:tcBorders>
              <w:bottom w:val="single" w:sz="4" w:space="0" w:color="000000"/>
            </w:tcBorders>
          </w:tcPr>
          <w:p w14:paraId="42DD1AE2" w14:textId="77777777" w:rsidR="00A340EE" w:rsidRPr="0047058F" w:rsidRDefault="00A340EE" w:rsidP="00BD64A6">
            <w:pPr>
              <w:pStyle w:val="TableText"/>
              <w:jc w:val="right"/>
            </w:pPr>
            <w:r w:rsidRPr="0047058F">
              <w:rPr>
                <w:rFonts w:eastAsia="Times New Roman" w:cs="Arial"/>
              </w:rPr>
              <w:t>35.2</w:t>
            </w:r>
          </w:p>
        </w:tc>
        <w:tc>
          <w:tcPr>
            <w:tcW w:w="816" w:type="dxa"/>
            <w:tcBorders>
              <w:bottom w:val="single" w:sz="4" w:space="0" w:color="000000"/>
            </w:tcBorders>
          </w:tcPr>
          <w:p w14:paraId="375D1FAD" w14:textId="77777777" w:rsidR="00A340EE" w:rsidRPr="0047058F" w:rsidRDefault="00A340EE" w:rsidP="00BD64A6">
            <w:pPr>
              <w:pStyle w:val="TableText"/>
              <w:jc w:val="right"/>
            </w:pPr>
            <w:r w:rsidRPr="0047058F">
              <w:rPr>
                <w:rFonts w:eastAsia="Times New Roman"/>
              </w:rPr>
              <w:t>78.6</w:t>
            </w:r>
          </w:p>
        </w:tc>
        <w:tc>
          <w:tcPr>
            <w:tcW w:w="521" w:type="dxa"/>
            <w:tcBorders>
              <w:bottom w:val="single" w:sz="4" w:space="0" w:color="000000"/>
            </w:tcBorders>
          </w:tcPr>
          <w:p w14:paraId="0A9505F2" w14:textId="77777777" w:rsidR="00A340EE" w:rsidRPr="0047058F" w:rsidRDefault="00A340EE" w:rsidP="00BD64A6">
            <w:pPr>
              <w:pStyle w:val="TableText"/>
              <w:jc w:val="right"/>
            </w:pPr>
            <w:r w:rsidRPr="0047058F">
              <w:rPr>
                <w:rFonts w:eastAsia="Times New Roman" w:cs="Arial"/>
              </w:rPr>
              <w:t>272</w:t>
            </w:r>
          </w:p>
        </w:tc>
        <w:tc>
          <w:tcPr>
            <w:tcW w:w="522" w:type="dxa"/>
            <w:tcBorders>
              <w:bottom w:val="single" w:sz="4" w:space="0" w:color="000000"/>
            </w:tcBorders>
          </w:tcPr>
          <w:p w14:paraId="1211BD14" w14:textId="77777777" w:rsidR="00A340EE" w:rsidRPr="0047058F" w:rsidRDefault="00A340EE" w:rsidP="00BD64A6">
            <w:pPr>
              <w:pStyle w:val="TableText"/>
              <w:jc w:val="right"/>
            </w:pPr>
            <w:r w:rsidRPr="0047058F">
              <w:rPr>
                <w:rFonts w:eastAsia="Times New Roman" w:cs="Arial"/>
              </w:rPr>
              <w:t>37.9</w:t>
            </w:r>
          </w:p>
        </w:tc>
        <w:tc>
          <w:tcPr>
            <w:tcW w:w="521" w:type="dxa"/>
            <w:tcBorders>
              <w:bottom w:val="single" w:sz="4" w:space="0" w:color="000000"/>
            </w:tcBorders>
          </w:tcPr>
          <w:p w14:paraId="4D8F6987" w14:textId="77777777" w:rsidR="00A340EE" w:rsidRPr="0047058F" w:rsidRDefault="00A340EE" w:rsidP="00BD64A6">
            <w:pPr>
              <w:pStyle w:val="TableText"/>
              <w:jc w:val="right"/>
            </w:pPr>
            <w:r w:rsidRPr="0047058F">
              <w:rPr>
                <w:rFonts w:eastAsia="Times New Roman"/>
              </w:rPr>
              <w:t>214</w:t>
            </w:r>
          </w:p>
        </w:tc>
        <w:tc>
          <w:tcPr>
            <w:tcW w:w="522" w:type="dxa"/>
            <w:tcBorders>
              <w:bottom w:val="single" w:sz="4" w:space="0" w:color="000000"/>
            </w:tcBorders>
          </w:tcPr>
          <w:p w14:paraId="11D041E7" w14:textId="77777777" w:rsidR="00A340EE" w:rsidRPr="0047058F" w:rsidRDefault="00A340EE" w:rsidP="00BD64A6">
            <w:pPr>
              <w:pStyle w:val="TableText"/>
              <w:jc w:val="right"/>
            </w:pPr>
            <w:r w:rsidRPr="0047058F">
              <w:rPr>
                <w:rFonts w:eastAsia="Times New Roman"/>
              </w:rPr>
              <w:t>38.3</w:t>
            </w:r>
          </w:p>
        </w:tc>
        <w:tc>
          <w:tcPr>
            <w:tcW w:w="815" w:type="dxa"/>
            <w:tcBorders>
              <w:bottom w:val="single" w:sz="4" w:space="0" w:color="000000"/>
            </w:tcBorders>
          </w:tcPr>
          <w:p w14:paraId="7D7CF6EF" w14:textId="77777777" w:rsidR="00A340EE" w:rsidRPr="0047058F" w:rsidRDefault="00A340EE" w:rsidP="00BD64A6">
            <w:pPr>
              <w:pStyle w:val="TableText"/>
              <w:jc w:val="right"/>
              <w:rPr>
                <w:rFonts w:eastAsia="Times New Roman"/>
              </w:rPr>
            </w:pPr>
            <w:r w:rsidRPr="0047058F">
              <w:rPr>
                <w:rFonts w:eastAsia="Times New Roman"/>
              </w:rPr>
              <w:t>78.7</w:t>
            </w:r>
          </w:p>
        </w:tc>
      </w:tr>
      <w:tr w:rsidR="00A340EE" w:rsidRPr="0047058F" w14:paraId="13E28D1A"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top w:val="single" w:sz="4" w:space="0" w:color="000000"/>
              <w:bottom w:val="nil"/>
            </w:tcBorders>
            <w:hideMark/>
          </w:tcPr>
          <w:p w14:paraId="0AA272B7" w14:textId="77777777" w:rsidR="00A340EE" w:rsidRPr="0047058F" w:rsidRDefault="00A340EE" w:rsidP="00BD64A6">
            <w:pPr>
              <w:pStyle w:val="TableText"/>
              <w:rPr>
                <w:b/>
              </w:rPr>
            </w:pPr>
            <w:r w:rsidRPr="0047058F">
              <w:rPr>
                <w:b/>
              </w:rPr>
              <w:t>Sex</w:t>
            </w:r>
          </w:p>
        </w:tc>
        <w:tc>
          <w:tcPr>
            <w:tcW w:w="454" w:type="dxa"/>
            <w:tcBorders>
              <w:top w:val="single" w:sz="4" w:space="0" w:color="000000"/>
              <w:bottom w:val="nil"/>
            </w:tcBorders>
          </w:tcPr>
          <w:p w14:paraId="151782B1" w14:textId="77777777" w:rsidR="00A340EE" w:rsidRPr="0047058F" w:rsidRDefault="00A340EE" w:rsidP="00BD64A6">
            <w:pPr>
              <w:pStyle w:val="TableText"/>
              <w:jc w:val="right"/>
            </w:pPr>
          </w:p>
        </w:tc>
        <w:tc>
          <w:tcPr>
            <w:tcW w:w="544" w:type="dxa"/>
            <w:tcBorders>
              <w:top w:val="single" w:sz="4" w:space="0" w:color="000000"/>
              <w:bottom w:val="nil"/>
            </w:tcBorders>
          </w:tcPr>
          <w:p w14:paraId="41FD7A38" w14:textId="77777777" w:rsidR="00A340EE" w:rsidRPr="0047058F" w:rsidRDefault="00A340EE" w:rsidP="00BD64A6">
            <w:pPr>
              <w:pStyle w:val="TableText"/>
              <w:jc w:val="right"/>
            </w:pPr>
          </w:p>
        </w:tc>
        <w:tc>
          <w:tcPr>
            <w:tcW w:w="453" w:type="dxa"/>
            <w:tcBorders>
              <w:top w:val="single" w:sz="4" w:space="0" w:color="000000"/>
              <w:bottom w:val="nil"/>
            </w:tcBorders>
          </w:tcPr>
          <w:p w14:paraId="34469FD8" w14:textId="77777777" w:rsidR="00A340EE" w:rsidRPr="0047058F" w:rsidRDefault="00A340EE" w:rsidP="00BD64A6">
            <w:pPr>
              <w:pStyle w:val="TableText"/>
              <w:jc w:val="right"/>
            </w:pPr>
          </w:p>
        </w:tc>
        <w:tc>
          <w:tcPr>
            <w:tcW w:w="544" w:type="dxa"/>
            <w:tcBorders>
              <w:top w:val="single" w:sz="4" w:space="0" w:color="000000"/>
              <w:bottom w:val="nil"/>
            </w:tcBorders>
          </w:tcPr>
          <w:p w14:paraId="146EF1B8" w14:textId="77777777" w:rsidR="00A340EE" w:rsidRPr="0047058F" w:rsidRDefault="00A340EE" w:rsidP="00BD64A6">
            <w:pPr>
              <w:pStyle w:val="TableText"/>
              <w:jc w:val="right"/>
            </w:pPr>
          </w:p>
        </w:tc>
        <w:tc>
          <w:tcPr>
            <w:tcW w:w="816" w:type="dxa"/>
            <w:tcBorders>
              <w:top w:val="single" w:sz="4" w:space="0" w:color="000000"/>
              <w:bottom w:val="nil"/>
            </w:tcBorders>
          </w:tcPr>
          <w:p w14:paraId="7F3BE7EC" w14:textId="77777777" w:rsidR="00A340EE" w:rsidRPr="0047058F" w:rsidRDefault="00A340EE" w:rsidP="00BD64A6">
            <w:pPr>
              <w:pStyle w:val="TableText"/>
              <w:jc w:val="right"/>
            </w:pPr>
          </w:p>
        </w:tc>
        <w:tc>
          <w:tcPr>
            <w:tcW w:w="521" w:type="dxa"/>
            <w:tcBorders>
              <w:top w:val="single" w:sz="4" w:space="0" w:color="000000"/>
              <w:bottom w:val="nil"/>
            </w:tcBorders>
          </w:tcPr>
          <w:p w14:paraId="383D3EE6" w14:textId="77777777" w:rsidR="00A340EE" w:rsidRPr="0047058F" w:rsidRDefault="00A340EE" w:rsidP="00BD64A6">
            <w:pPr>
              <w:pStyle w:val="TableText"/>
              <w:jc w:val="right"/>
            </w:pPr>
          </w:p>
        </w:tc>
        <w:tc>
          <w:tcPr>
            <w:tcW w:w="522" w:type="dxa"/>
            <w:tcBorders>
              <w:top w:val="single" w:sz="4" w:space="0" w:color="000000"/>
              <w:bottom w:val="nil"/>
            </w:tcBorders>
          </w:tcPr>
          <w:p w14:paraId="20A2C244" w14:textId="77777777" w:rsidR="00A340EE" w:rsidRPr="0047058F" w:rsidRDefault="00A340EE" w:rsidP="00BD64A6">
            <w:pPr>
              <w:pStyle w:val="TableText"/>
              <w:jc w:val="right"/>
            </w:pPr>
          </w:p>
        </w:tc>
        <w:tc>
          <w:tcPr>
            <w:tcW w:w="521" w:type="dxa"/>
            <w:tcBorders>
              <w:top w:val="single" w:sz="4" w:space="0" w:color="000000"/>
              <w:bottom w:val="nil"/>
            </w:tcBorders>
          </w:tcPr>
          <w:p w14:paraId="1F0373D6" w14:textId="77777777" w:rsidR="00A340EE" w:rsidRPr="0047058F" w:rsidRDefault="00A340EE" w:rsidP="00BD64A6">
            <w:pPr>
              <w:pStyle w:val="TableText"/>
              <w:jc w:val="right"/>
            </w:pPr>
          </w:p>
        </w:tc>
        <w:tc>
          <w:tcPr>
            <w:tcW w:w="522" w:type="dxa"/>
            <w:tcBorders>
              <w:top w:val="single" w:sz="4" w:space="0" w:color="000000"/>
              <w:bottom w:val="nil"/>
            </w:tcBorders>
          </w:tcPr>
          <w:p w14:paraId="627F9701" w14:textId="77777777" w:rsidR="00A340EE" w:rsidRPr="0047058F" w:rsidRDefault="00A340EE" w:rsidP="00BD64A6">
            <w:pPr>
              <w:pStyle w:val="TableText"/>
              <w:jc w:val="right"/>
            </w:pPr>
          </w:p>
        </w:tc>
        <w:tc>
          <w:tcPr>
            <w:tcW w:w="815" w:type="dxa"/>
            <w:tcBorders>
              <w:top w:val="single" w:sz="4" w:space="0" w:color="000000"/>
              <w:bottom w:val="nil"/>
            </w:tcBorders>
          </w:tcPr>
          <w:p w14:paraId="53D0FF64" w14:textId="77777777" w:rsidR="00A340EE" w:rsidRPr="0047058F" w:rsidRDefault="00A340EE" w:rsidP="00BD64A6">
            <w:pPr>
              <w:pStyle w:val="TableText"/>
              <w:jc w:val="right"/>
            </w:pPr>
          </w:p>
        </w:tc>
      </w:tr>
      <w:tr w:rsidR="00A340EE" w:rsidRPr="0047058F" w14:paraId="046BCD84" w14:textId="77777777" w:rsidTr="00055107">
        <w:trPr>
          <w:trHeight w:val="20"/>
        </w:trPr>
        <w:tc>
          <w:tcPr>
            <w:tcW w:w="1623" w:type="dxa"/>
            <w:tcBorders>
              <w:top w:val="nil"/>
            </w:tcBorders>
            <w:hideMark/>
          </w:tcPr>
          <w:p w14:paraId="754BD5E4" w14:textId="77777777" w:rsidR="00A340EE" w:rsidRPr="0047058F" w:rsidRDefault="00A340EE" w:rsidP="00BD64A6">
            <w:pPr>
              <w:pStyle w:val="TableText"/>
            </w:pPr>
            <w:r w:rsidRPr="0047058F">
              <w:t>Male</w:t>
            </w:r>
          </w:p>
        </w:tc>
        <w:tc>
          <w:tcPr>
            <w:tcW w:w="454" w:type="dxa"/>
            <w:tcBorders>
              <w:top w:val="nil"/>
            </w:tcBorders>
          </w:tcPr>
          <w:p w14:paraId="7959758C" w14:textId="77777777" w:rsidR="00A340EE" w:rsidRPr="0047058F" w:rsidRDefault="00A340EE" w:rsidP="00BD64A6">
            <w:pPr>
              <w:pStyle w:val="TableText"/>
              <w:jc w:val="right"/>
            </w:pPr>
            <w:r w:rsidRPr="0047058F">
              <w:rPr>
                <w:rFonts w:eastAsia="Times New Roman" w:cs="Arial"/>
              </w:rPr>
              <w:t>320</w:t>
            </w:r>
          </w:p>
        </w:tc>
        <w:tc>
          <w:tcPr>
            <w:tcW w:w="544" w:type="dxa"/>
            <w:tcBorders>
              <w:top w:val="nil"/>
            </w:tcBorders>
          </w:tcPr>
          <w:p w14:paraId="77FF8773" w14:textId="77777777" w:rsidR="00A340EE" w:rsidRPr="0047058F" w:rsidRDefault="00A340EE" w:rsidP="00BD64A6">
            <w:pPr>
              <w:pStyle w:val="TableText"/>
              <w:jc w:val="right"/>
            </w:pPr>
            <w:r w:rsidRPr="0047058F">
              <w:rPr>
                <w:rFonts w:eastAsia="Times New Roman" w:cs="Arial"/>
              </w:rPr>
              <w:t>87.0</w:t>
            </w:r>
          </w:p>
        </w:tc>
        <w:tc>
          <w:tcPr>
            <w:tcW w:w="453" w:type="dxa"/>
            <w:tcBorders>
              <w:top w:val="nil"/>
            </w:tcBorders>
          </w:tcPr>
          <w:p w14:paraId="20FC2FE7" w14:textId="77777777" w:rsidR="00A340EE" w:rsidRPr="0047058F" w:rsidRDefault="00A340EE" w:rsidP="00BD64A6">
            <w:pPr>
              <w:pStyle w:val="TableText"/>
              <w:jc w:val="right"/>
            </w:pPr>
            <w:r w:rsidRPr="0047058F">
              <w:rPr>
                <w:rFonts w:eastAsia="Times New Roman"/>
              </w:rPr>
              <w:t>229</w:t>
            </w:r>
          </w:p>
        </w:tc>
        <w:tc>
          <w:tcPr>
            <w:tcW w:w="544" w:type="dxa"/>
            <w:tcBorders>
              <w:top w:val="nil"/>
            </w:tcBorders>
          </w:tcPr>
          <w:p w14:paraId="05C684C4" w14:textId="77777777" w:rsidR="00A340EE" w:rsidRPr="0047058F" w:rsidRDefault="00A340EE" w:rsidP="00BD64A6">
            <w:pPr>
              <w:pStyle w:val="TableText"/>
              <w:jc w:val="right"/>
            </w:pPr>
            <w:r w:rsidRPr="0047058F">
              <w:rPr>
                <w:rFonts w:eastAsia="Times New Roman"/>
              </w:rPr>
              <w:t>87.7</w:t>
            </w:r>
          </w:p>
        </w:tc>
        <w:tc>
          <w:tcPr>
            <w:tcW w:w="816" w:type="dxa"/>
            <w:tcBorders>
              <w:top w:val="nil"/>
            </w:tcBorders>
          </w:tcPr>
          <w:p w14:paraId="2BE0107F" w14:textId="77777777" w:rsidR="00A340EE" w:rsidRPr="0047058F" w:rsidRDefault="00A340EE" w:rsidP="00BD64A6">
            <w:pPr>
              <w:pStyle w:val="TableText"/>
              <w:jc w:val="right"/>
            </w:pPr>
            <w:r w:rsidRPr="0047058F">
              <w:rPr>
                <w:rFonts w:eastAsia="Times New Roman"/>
              </w:rPr>
              <w:t>71.6</w:t>
            </w:r>
          </w:p>
        </w:tc>
        <w:tc>
          <w:tcPr>
            <w:tcW w:w="521" w:type="dxa"/>
            <w:tcBorders>
              <w:top w:val="nil"/>
            </w:tcBorders>
          </w:tcPr>
          <w:p w14:paraId="4DE5A1F1" w14:textId="77777777" w:rsidR="00A340EE" w:rsidRPr="0047058F" w:rsidRDefault="00A340EE" w:rsidP="00BD64A6">
            <w:pPr>
              <w:pStyle w:val="TableText"/>
              <w:jc w:val="right"/>
            </w:pPr>
            <w:r w:rsidRPr="0047058F">
              <w:rPr>
                <w:rFonts w:eastAsia="Times New Roman" w:cs="Arial"/>
              </w:rPr>
              <w:t>583</w:t>
            </w:r>
          </w:p>
        </w:tc>
        <w:tc>
          <w:tcPr>
            <w:tcW w:w="522" w:type="dxa"/>
            <w:tcBorders>
              <w:top w:val="nil"/>
            </w:tcBorders>
          </w:tcPr>
          <w:p w14:paraId="7D82712A" w14:textId="77777777" w:rsidR="00A340EE" w:rsidRPr="0047058F" w:rsidRDefault="00A340EE" w:rsidP="00BD64A6">
            <w:pPr>
              <w:pStyle w:val="TableText"/>
              <w:jc w:val="right"/>
            </w:pPr>
            <w:r w:rsidRPr="0047058F">
              <w:rPr>
                <w:rFonts w:eastAsia="Times New Roman" w:cs="Arial"/>
              </w:rPr>
              <w:t>81.3</w:t>
            </w:r>
          </w:p>
        </w:tc>
        <w:tc>
          <w:tcPr>
            <w:tcW w:w="521" w:type="dxa"/>
            <w:tcBorders>
              <w:top w:val="nil"/>
            </w:tcBorders>
          </w:tcPr>
          <w:p w14:paraId="103C5790" w14:textId="77777777" w:rsidR="00A340EE" w:rsidRPr="0047058F" w:rsidRDefault="00A340EE" w:rsidP="00BD64A6">
            <w:pPr>
              <w:pStyle w:val="TableText"/>
              <w:jc w:val="right"/>
            </w:pPr>
            <w:r w:rsidRPr="0047058F">
              <w:rPr>
                <w:rFonts w:eastAsia="Times New Roman"/>
              </w:rPr>
              <w:t>457</w:t>
            </w:r>
          </w:p>
        </w:tc>
        <w:tc>
          <w:tcPr>
            <w:tcW w:w="522" w:type="dxa"/>
            <w:tcBorders>
              <w:top w:val="nil"/>
            </w:tcBorders>
          </w:tcPr>
          <w:p w14:paraId="75F7FA2A" w14:textId="77777777" w:rsidR="00A340EE" w:rsidRPr="0047058F" w:rsidRDefault="00A340EE" w:rsidP="00BD64A6">
            <w:pPr>
              <w:pStyle w:val="TableText"/>
              <w:jc w:val="right"/>
            </w:pPr>
            <w:r w:rsidRPr="0047058F">
              <w:rPr>
                <w:rFonts w:eastAsia="Times New Roman"/>
              </w:rPr>
              <w:t>81.8</w:t>
            </w:r>
          </w:p>
        </w:tc>
        <w:tc>
          <w:tcPr>
            <w:tcW w:w="815" w:type="dxa"/>
            <w:tcBorders>
              <w:top w:val="nil"/>
            </w:tcBorders>
          </w:tcPr>
          <w:p w14:paraId="454508B4" w14:textId="77777777" w:rsidR="00A340EE" w:rsidRPr="0047058F" w:rsidRDefault="00A340EE" w:rsidP="00BD64A6">
            <w:pPr>
              <w:pStyle w:val="TableText"/>
              <w:jc w:val="right"/>
              <w:rPr>
                <w:rFonts w:eastAsia="Times New Roman"/>
              </w:rPr>
            </w:pPr>
            <w:r w:rsidRPr="0047058F">
              <w:rPr>
                <w:rFonts w:eastAsia="Times New Roman"/>
              </w:rPr>
              <w:t>78.4</w:t>
            </w:r>
          </w:p>
        </w:tc>
      </w:tr>
      <w:tr w:rsidR="00A340EE" w:rsidRPr="0047058F" w14:paraId="422E2A02"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bottom w:val="single" w:sz="4" w:space="0" w:color="000000"/>
            </w:tcBorders>
            <w:hideMark/>
          </w:tcPr>
          <w:p w14:paraId="36B7F88D" w14:textId="77777777" w:rsidR="00A340EE" w:rsidRPr="0047058F" w:rsidRDefault="00A340EE" w:rsidP="00BD64A6">
            <w:pPr>
              <w:pStyle w:val="TableText"/>
            </w:pPr>
            <w:r w:rsidRPr="0047058F">
              <w:t>Female</w:t>
            </w:r>
          </w:p>
        </w:tc>
        <w:tc>
          <w:tcPr>
            <w:tcW w:w="454" w:type="dxa"/>
            <w:tcBorders>
              <w:bottom w:val="single" w:sz="4" w:space="0" w:color="000000"/>
            </w:tcBorders>
          </w:tcPr>
          <w:p w14:paraId="4AC70A85" w14:textId="77777777" w:rsidR="00A340EE" w:rsidRPr="0047058F" w:rsidRDefault="00A340EE" w:rsidP="00BD64A6">
            <w:pPr>
              <w:pStyle w:val="TableText"/>
              <w:jc w:val="right"/>
            </w:pPr>
            <w:r w:rsidRPr="0047058F">
              <w:rPr>
                <w:rFonts w:eastAsia="Times New Roman" w:cs="Arial"/>
              </w:rPr>
              <w:t>48</w:t>
            </w:r>
          </w:p>
        </w:tc>
        <w:tc>
          <w:tcPr>
            <w:tcW w:w="544" w:type="dxa"/>
            <w:tcBorders>
              <w:bottom w:val="single" w:sz="4" w:space="0" w:color="000000"/>
            </w:tcBorders>
          </w:tcPr>
          <w:p w14:paraId="50EB6D3A" w14:textId="77777777" w:rsidR="00A340EE" w:rsidRPr="0047058F" w:rsidRDefault="00A340EE" w:rsidP="00BD64A6">
            <w:pPr>
              <w:pStyle w:val="TableText"/>
              <w:jc w:val="right"/>
            </w:pPr>
            <w:r w:rsidRPr="0047058F">
              <w:rPr>
                <w:rFonts w:eastAsia="Times New Roman" w:cs="Arial"/>
              </w:rPr>
              <w:t>13.0</w:t>
            </w:r>
          </w:p>
        </w:tc>
        <w:tc>
          <w:tcPr>
            <w:tcW w:w="453" w:type="dxa"/>
            <w:tcBorders>
              <w:bottom w:val="single" w:sz="4" w:space="0" w:color="000000"/>
            </w:tcBorders>
          </w:tcPr>
          <w:p w14:paraId="72CA2CE6" w14:textId="77777777" w:rsidR="00A340EE" w:rsidRPr="0047058F" w:rsidRDefault="00A340EE" w:rsidP="00BD64A6">
            <w:pPr>
              <w:pStyle w:val="TableText"/>
              <w:jc w:val="right"/>
            </w:pPr>
            <w:r w:rsidRPr="0047058F">
              <w:rPr>
                <w:rFonts w:eastAsia="Times New Roman"/>
              </w:rPr>
              <w:t>32</w:t>
            </w:r>
          </w:p>
        </w:tc>
        <w:tc>
          <w:tcPr>
            <w:tcW w:w="544" w:type="dxa"/>
            <w:tcBorders>
              <w:bottom w:val="single" w:sz="4" w:space="0" w:color="000000"/>
            </w:tcBorders>
          </w:tcPr>
          <w:p w14:paraId="512963CC" w14:textId="77777777" w:rsidR="00A340EE" w:rsidRPr="0047058F" w:rsidRDefault="00A340EE" w:rsidP="00BD64A6">
            <w:pPr>
              <w:pStyle w:val="TableText"/>
              <w:jc w:val="right"/>
            </w:pPr>
            <w:r w:rsidRPr="0047058F">
              <w:rPr>
                <w:rFonts w:eastAsia="Times New Roman"/>
              </w:rPr>
              <w:t>12.3</w:t>
            </w:r>
          </w:p>
        </w:tc>
        <w:tc>
          <w:tcPr>
            <w:tcW w:w="816" w:type="dxa"/>
            <w:tcBorders>
              <w:bottom w:val="single" w:sz="4" w:space="0" w:color="000000"/>
            </w:tcBorders>
          </w:tcPr>
          <w:p w14:paraId="3BE666D8" w14:textId="77777777" w:rsidR="00A340EE" w:rsidRPr="0047058F" w:rsidRDefault="00A340EE" w:rsidP="00BD64A6">
            <w:pPr>
              <w:pStyle w:val="TableText"/>
              <w:jc w:val="right"/>
            </w:pPr>
            <w:r w:rsidRPr="0047058F">
              <w:rPr>
                <w:rFonts w:eastAsia="Times New Roman"/>
              </w:rPr>
              <w:t>66.7</w:t>
            </w:r>
          </w:p>
        </w:tc>
        <w:tc>
          <w:tcPr>
            <w:tcW w:w="521" w:type="dxa"/>
            <w:tcBorders>
              <w:bottom w:val="single" w:sz="4" w:space="0" w:color="000000"/>
            </w:tcBorders>
          </w:tcPr>
          <w:p w14:paraId="11044F3A" w14:textId="77777777" w:rsidR="00A340EE" w:rsidRPr="0047058F" w:rsidRDefault="00A340EE" w:rsidP="00BD64A6">
            <w:pPr>
              <w:pStyle w:val="TableText"/>
              <w:jc w:val="right"/>
            </w:pPr>
            <w:r w:rsidRPr="0047058F">
              <w:rPr>
                <w:rFonts w:eastAsia="Times New Roman" w:cs="Arial"/>
              </w:rPr>
              <w:t>134</w:t>
            </w:r>
          </w:p>
        </w:tc>
        <w:tc>
          <w:tcPr>
            <w:tcW w:w="522" w:type="dxa"/>
            <w:tcBorders>
              <w:bottom w:val="single" w:sz="4" w:space="0" w:color="000000"/>
            </w:tcBorders>
          </w:tcPr>
          <w:p w14:paraId="6D6026FB" w14:textId="77777777" w:rsidR="00A340EE" w:rsidRPr="0047058F" w:rsidRDefault="00A340EE" w:rsidP="00BD64A6">
            <w:pPr>
              <w:pStyle w:val="TableText"/>
              <w:jc w:val="right"/>
            </w:pPr>
            <w:r w:rsidRPr="0047058F">
              <w:rPr>
                <w:rFonts w:eastAsia="Times New Roman" w:cs="Arial"/>
              </w:rPr>
              <w:t>18.7</w:t>
            </w:r>
          </w:p>
        </w:tc>
        <w:tc>
          <w:tcPr>
            <w:tcW w:w="521" w:type="dxa"/>
            <w:tcBorders>
              <w:bottom w:val="single" w:sz="4" w:space="0" w:color="000000"/>
            </w:tcBorders>
          </w:tcPr>
          <w:p w14:paraId="1CC44CE4" w14:textId="77777777" w:rsidR="00A340EE" w:rsidRPr="0047058F" w:rsidRDefault="00A340EE" w:rsidP="00BD64A6">
            <w:pPr>
              <w:pStyle w:val="TableText"/>
              <w:jc w:val="right"/>
            </w:pPr>
            <w:r w:rsidRPr="0047058F">
              <w:rPr>
                <w:rFonts w:eastAsia="Times New Roman"/>
              </w:rPr>
              <w:t>102</w:t>
            </w:r>
          </w:p>
        </w:tc>
        <w:tc>
          <w:tcPr>
            <w:tcW w:w="522" w:type="dxa"/>
            <w:tcBorders>
              <w:bottom w:val="single" w:sz="4" w:space="0" w:color="000000"/>
            </w:tcBorders>
          </w:tcPr>
          <w:p w14:paraId="31C69B46" w14:textId="77777777" w:rsidR="00A340EE" w:rsidRPr="0047058F" w:rsidRDefault="00A340EE" w:rsidP="00BD64A6">
            <w:pPr>
              <w:pStyle w:val="TableText"/>
              <w:jc w:val="right"/>
            </w:pPr>
            <w:r w:rsidRPr="0047058F">
              <w:rPr>
                <w:rFonts w:eastAsia="Times New Roman"/>
              </w:rPr>
              <w:t>18.2</w:t>
            </w:r>
          </w:p>
        </w:tc>
        <w:tc>
          <w:tcPr>
            <w:tcW w:w="815" w:type="dxa"/>
            <w:tcBorders>
              <w:bottom w:val="single" w:sz="4" w:space="0" w:color="000000"/>
            </w:tcBorders>
          </w:tcPr>
          <w:p w14:paraId="2B3F9B1B" w14:textId="77777777" w:rsidR="00A340EE" w:rsidRPr="0047058F" w:rsidRDefault="00A340EE" w:rsidP="00BD64A6">
            <w:pPr>
              <w:pStyle w:val="TableText"/>
              <w:jc w:val="right"/>
              <w:rPr>
                <w:rFonts w:eastAsia="Times New Roman"/>
              </w:rPr>
            </w:pPr>
            <w:r w:rsidRPr="0047058F">
              <w:rPr>
                <w:rFonts w:eastAsia="Times New Roman"/>
              </w:rPr>
              <w:t>76.1</w:t>
            </w:r>
          </w:p>
        </w:tc>
      </w:tr>
      <w:tr w:rsidR="00A340EE" w:rsidRPr="0047058F" w14:paraId="630E4E8F" w14:textId="77777777" w:rsidTr="00055107">
        <w:trPr>
          <w:trHeight w:val="20"/>
        </w:trPr>
        <w:tc>
          <w:tcPr>
            <w:tcW w:w="1623" w:type="dxa"/>
            <w:tcBorders>
              <w:top w:val="single" w:sz="4" w:space="0" w:color="000000"/>
              <w:bottom w:val="nil"/>
            </w:tcBorders>
            <w:hideMark/>
          </w:tcPr>
          <w:p w14:paraId="000E6858" w14:textId="77777777" w:rsidR="00A340EE" w:rsidRPr="0047058F" w:rsidRDefault="00A340EE" w:rsidP="00BD64A6">
            <w:pPr>
              <w:pStyle w:val="TableText"/>
              <w:rPr>
                <w:b/>
              </w:rPr>
            </w:pPr>
            <w:r w:rsidRPr="0047058F">
              <w:rPr>
                <w:b/>
              </w:rPr>
              <w:t>Rank</w:t>
            </w:r>
          </w:p>
        </w:tc>
        <w:tc>
          <w:tcPr>
            <w:tcW w:w="454" w:type="dxa"/>
            <w:tcBorders>
              <w:top w:val="single" w:sz="4" w:space="0" w:color="000000"/>
              <w:bottom w:val="nil"/>
            </w:tcBorders>
          </w:tcPr>
          <w:p w14:paraId="43C5B4BC" w14:textId="77777777" w:rsidR="00A340EE" w:rsidRPr="0047058F" w:rsidRDefault="00A340EE" w:rsidP="00BD64A6">
            <w:pPr>
              <w:pStyle w:val="TableText"/>
              <w:jc w:val="right"/>
            </w:pPr>
          </w:p>
        </w:tc>
        <w:tc>
          <w:tcPr>
            <w:tcW w:w="544" w:type="dxa"/>
            <w:tcBorders>
              <w:top w:val="single" w:sz="4" w:space="0" w:color="000000"/>
              <w:bottom w:val="nil"/>
            </w:tcBorders>
          </w:tcPr>
          <w:p w14:paraId="12B3760E" w14:textId="77777777" w:rsidR="00A340EE" w:rsidRPr="0047058F" w:rsidRDefault="00A340EE" w:rsidP="00BD64A6">
            <w:pPr>
              <w:pStyle w:val="TableText"/>
              <w:jc w:val="right"/>
            </w:pPr>
          </w:p>
        </w:tc>
        <w:tc>
          <w:tcPr>
            <w:tcW w:w="453" w:type="dxa"/>
            <w:tcBorders>
              <w:top w:val="single" w:sz="4" w:space="0" w:color="000000"/>
              <w:bottom w:val="nil"/>
            </w:tcBorders>
          </w:tcPr>
          <w:p w14:paraId="09C4AB77" w14:textId="77777777" w:rsidR="00A340EE" w:rsidRPr="0047058F" w:rsidRDefault="00A340EE" w:rsidP="00BD64A6">
            <w:pPr>
              <w:pStyle w:val="TableText"/>
              <w:jc w:val="right"/>
            </w:pPr>
          </w:p>
        </w:tc>
        <w:tc>
          <w:tcPr>
            <w:tcW w:w="544" w:type="dxa"/>
            <w:tcBorders>
              <w:top w:val="single" w:sz="4" w:space="0" w:color="000000"/>
              <w:bottom w:val="nil"/>
            </w:tcBorders>
          </w:tcPr>
          <w:p w14:paraId="58F2A66E" w14:textId="77777777" w:rsidR="00A340EE" w:rsidRPr="0047058F" w:rsidRDefault="00A340EE" w:rsidP="00BD64A6">
            <w:pPr>
              <w:pStyle w:val="TableText"/>
              <w:jc w:val="right"/>
            </w:pPr>
          </w:p>
        </w:tc>
        <w:tc>
          <w:tcPr>
            <w:tcW w:w="816" w:type="dxa"/>
            <w:tcBorders>
              <w:top w:val="single" w:sz="4" w:space="0" w:color="000000"/>
              <w:bottom w:val="nil"/>
            </w:tcBorders>
          </w:tcPr>
          <w:p w14:paraId="6FE7BE9F" w14:textId="77777777" w:rsidR="00A340EE" w:rsidRPr="0047058F" w:rsidRDefault="00A340EE" w:rsidP="00BD64A6">
            <w:pPr>
              <w:pStyle w:val="TableText"/>
              <w:jc w:val="right"/>
            </w:pPr>
          </w:p>
        </w:tc>
        <w:tc>
          <w:tcPr>
            <w:tcW w:w="521" w:type="dxa"/>
            <w:tcBorders>
              <w:top w:val="single" w:sz="4" w:space="0" w:color="000000"/>
              <w:bottom w:val="nil"/>
            </w:tcBorders>
          </w:tcPr>
          <w:p w14:paraId="2888D2D9" w14:textId="77777777" w:rsidR="00A340EE" w:rsidRPr="0047058F" w:rsidRDefault="00A340EE" w:rsidP="00BD64A6">
            <w:pPr>
              <w:pStyle w:val="TableText"/>
              <w:jc w:val="right"/>
            </w:pPr>
          </w:p>
        </w:tc>
        <w:tc>
          <w:tcPr>
            <w:tcW w:w="522" w:type="dxa"/>
            <w:tcBorders>
              <w:top w:val="single" w:sz="4" w:space="0" w:color="000000"/>
              <w:bottom w:val="nil"/>
            </w:tcBorders>
          </w:tcPr>
          <w:p w14:paraId="240D96B1" w14:textId="77777777" w:rsidR="00A340EE" w:rsidRPr="0047058F" w:rsidRDefault="00A340EE" w:rsidP="00BD64A6">
            <w:pPr>
              <w:pStyle w:val="TableText"/>
              <w:jc w:val="right"/>
            </w:pPr>
          </w:p>
        </w:tc>
        <w:tc>
          <w:tcPr>
            <w:tcW w:w="521" w:type="dxa"/>
            <w:tcBorders>
              <w:top w:val="single" w:sz="4" w:space="0" w:color="000000"/>
              <w:bottom w:val="nil"/>
            </w:tcBorders>
          </w:tcPr>
          <w:p w14:paraId="385ABF32" w14:textId="77777777" w:rsidR="00A340EE" w:rsidRPr="0047058F" w:rsidRDefault="00A340EE" w:rsidP="00BD64A6">
            <w:pPr>
              <w:pStyle w:val="TableText"/>
              <w:jc w:val="right"/>
            </w:pPr>
          </w:p>
        </w:tc>
        <w:tc>
          <w:tcPr>
            <w:tcW w:w="522" w:type="dxa"/>
            <w:tcBorders>
              <w:top w:val="single" w:sz="4" w:space="0" w:color="000000"/>
              <w:bottom w:val="nil"/>
            </w:tcBorders>
          </w:tcPr>
          <w:p w14:paraId="0C65B22A" w14:textId="77777777" w:rsidR="00A340EE" w:rsidRPr="0047058F" w:rsidRDefault="00A340EE" w:rsidP="00BD64A6">
            <w:pPr>
              <w:pStyle w:val="TableText"/>
              <w:jc w:val="right"/>
            </w:pPr>
          </w:p>
        </w:tc>
        <w:tc>
          <w:tcPr>
            <w:tcW w:w="815" w:type="dxa"/>
            <w:tcBorders>
              <w:top w:val="single" w:sz="4" w:space="0" w:color="000000"/>
              <w:bottom w:val="nil"/>
            </w:tcBorders>
          </w:tcPr>
          <w:p w14:paraId="3470B64C" w14:textId="77777777" w:rsidR="00A340EE" w:rsidRPr="0047058F" w:rsidRDefault="00A340EE" w:rsidP="00BD64A6">
            <w:pPr>
              <w:pStyle w:val="TableText"/>
              <w:jc w:val="right"/>
            </w:pPr>
          </w:p>
        </w:tc>
      </w:tr>
      <w:tr w:rsidR="00A340EE" w:rsidRPr="0047058F" w14:paraId="10E05F11"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top w:val="nil"/>
            </w:tcBorders>
            <w:hideMark/>
          </w:tcPr>
          <w:p w14:paraId="36E8B2B2" w14:textId="77777777" w:rsidR="00A340EE" w:rsidRPr="0047058F" w:rsidRDefault="00A340EE" w:rsidP="00BD64A6">
            <w:pPr>
              <w:pStyle w:val="TableText"/>
            </w:pPr>
            <w:r w:rsidRPr="0047058F">
              <w:t>Officer</w:t>
            </w:r>
          </w:p>
        </w:tc>
        <w:tc>
          <w:tcPr>
            <w:tcW w:w="454" w:type="dxa"/>
            <w:tcBorders>
              <w:top w:val="nil"/>
            </w:tcBorders>
          </w:tcPr>
          <w:p w14:paraId="181C1BFA" w14:textId="77777777" w:rsidR="00A340EE" w:rsidRPr="0047058F" w:rsidRDefault="00A340EE" w:rsidP="00BD64A6">
            <w:pPr>
              <w:pStyle w:val="TableText"/>
              <w:jc w:val="right"/>
            </w:pPr>
            <w:r w:rsidRPr="0047058F">
              <w:rPr>
                <w:rFonts w:eastAsia="Times New Roman" w:cs="Arial"/>
              </w:rPr>
              <w:t>139</w:t>
            </w:r>
          </w:p>
        </w:tc>
        <w:tc>
          <w:tcPr>
            <w:tcW w:w="544" w:type="dxa"/>
            <w:tcBorders>
              <w:top w:val="nil"/>
            </w:tcBorders>
          </w:tcPr>
          <w:p w14:paraId="0969F9F9" w14:textId="77777777" w:rsidR="00A340EE" w:rsidRPr="0047058F" w:rsidRDefault="00A340EE" w:rsidP="00BD64A6">
            <w:pPr>
              <w:pStyle w:val="TableText"/>
              <w:jc w:val="right"/>
            </w:pPr>
            <w:r w:rsidRPr="0047058F">
              <w:rPr>
                <w:rFonts w:eastAsia="Times New Roman" w:cs="Arial"/>
              </w:rPr>
              <w:t>37.8</w:t>
            </w:r>
          </w:p>
        </w:tc>
        <w:tc>
          <w:tcPr>
            <w:tcW w:w="453" w:type="dxa"/>
            <w:tcBorders>
              <w:top w:val="nil"/>
            </w:tcBorders>
          </w:tcPr>
          <w:p w14:paraId="41A7891E" w14:textId="77777777" w:rsidR="00A340EE" w:rsidRPr="0047058F" w:rsidRDefault="00A340EE" w:rsidP="00BD64A6">
            <w:pPr>
              <w:pStyle w:val="TableText"/>
              <w:jc w:val="right"/>
            </w:pPr>
            <w:r w:rsidRPr="0047058F">
              <w:rPr>
                <w:rFonts w:eastAsia="Times New Roman" w:cs="Arial"/>
              </w:rPr>
              <w:t>109</w:t>
            </w:r>
          </w:p>
        </w:tc>
        <w:tc>
          <w:tcPr>
            <w:tcW w:w="544" w:type="dxa"/>
            <w:tcBorders>
              <w:top w:val="nil"/>
            </w:tcBorders>
          </w:tcPr>
          <w:p w14:paraId="53441E90" w14:textId="77777777" w:rsidR="00A340EE" w:rsidRPr="0047058F" w:rsidRDefault="00A340EE" w:rsidP="00BD64A6">
            <w:pPr>
              <w:pStyle w:val="TableText"/>
              <w:jc w:val="right"/>
            </w:pPr>
            <w:r w:rsidRPr="0047058F">
              <w:rPr>
                <w:rFonts w:eastAsia="Times New Roman" w:cs="Arial"/>
              </w:rPr>
              <w:t>41.8</w:t>
            </w:r>
          </w:p>
        </w:tc>
        <w:tc>
          <w:tcPr>
            <w:tcW w:w="816" w:type="dxa"/>
            <w:tcBorders>
              <w:top w:val="nil"/>
            </w:tcBorders>
          </w:tcPr>
          <w:p w14:paraId="77554BE8" w14:textId="77777777" w:rsidR="00A340EE" w:rsidRPr="0047058F" w:rsidRDefault="00A340EE" w:rsidP="00BD64A6">
            <w:pPr>
              <w:pStyle w:val="TableText"/>
              <w:jc w:val="right"/>
            </w:pPr>
            <w:r w:rsidRPr="0047058F">
              <w:rPr>
                <w:rFonts w:eastAsia="Times New Roman"/>
              </w:rPr>
              <w:t>78.4</w:t>
            </w:r>
          </w:p>
        </w:tc>
        <w:tc>
          <w:tcPr>
            <w:tcW w:w="521" w:type="dxa"/>
            <w:tcBorders>
              <w:top w:val="nil"/>
            </w:tcBorders>
          </w:tcPr>
          <w:p w14:paraId="1E4DFC11" w14:textId="77777777" w:rsidR="00A340EE" w:rsidRPr="0047058F" w:rsidRDefault="00A340EE" w:rsidP="00BD64A6">
            <w:pPr>
              <w:pStyle w:val="TableText"/>
              <w:jc w:val="right"/>
            </w:pPr>
            <w:r w:rsidRPr="0047058F">
              <w:rPr>
                <w:rFonts w:eastAsia="Times New Roman" w:cs="Arial"/>
              </w:rPr>
              <w:t>311</w:t>
            </w:r>
          </w:p>
        </w:tc>
        <w:tc>
          <w:tcPr>
            <w:tcW w:w="522" w:type="dxa"/>
            <w:tcBorders>
              <w:top w:val="nil"/>
            </w:tcBorders>
          </w:tcPr>
          <w:p w14:paraId="30CBEA86" w14:textId="77777777" w:rsidR="00A340EE" w:rsidRPr="0047058F" w:rsidRDefault="00A340EE" w:rsidP="00BD64A6">
            <w:pPr>
              <w:pStyle w:val="TableText"/>
              <w:jc w:val="right"/>
            </w:pPr>
            <w:r w:rsidRPr="0047058F">
              <w:rPr>
                <w:rFonts w:eastAsia="Times New Roman" w:cs="Arial"/>
              </w:rPr>
              <w:t>43.4</w:t>
            </w:r>
          </w:p>
        </w:tc>
        <w:tc>
          <w:tcPr>
            <w:tcW w:w="521" w:type="dxa"/>
            <w:tcBorders>
              <w:top w:val="nil"/>
            </w:tcBorders>
          </w:tcPr>
          <w:p w14:paraId="19F0E20F" w14:textId="77777777" w:rsidR="00A340EE" w:rsidRPr="0047058F" w:rsidRDefault="00A340EE" w:rsidP="00BD64A6">
            <w:pPr>
              <w:pStyle w:val="TableText"/>
              <w:jc w:val="right"/>
            </w:pPr>
            <w:r w:rsidRPr="0047058F">
              <w:rPr>
                <w:rFonts w:eastAsia="Times New Roman"/>
              </w:rPr>
              <w:t>263</w:t>
            </w:r>
          </w:p>
        </w:tc>
        <w:tc>
          <w:tcPr>
            <w:tcW w:w="522" w:type="dxa"/>
            <w:tcBorders>
              <w:top w:val="nil"/>
            </w:tcBorders>
          </w:tcPr>
          <w:p w14:paraId="491D28F3" w14:textId="77777777" w:rsidR="00A340EE" w:rsidRPr="0047058F" w:rsidRDefault="00A340EE" w:rsidP="00BD64A6">
            <w:pPr>
              <w:pStyle w:val="TableText"/>
              <w:jc w:val="right"/>
            </w:pPr>
            <w:r w:rsidRPr="0047058F">
              <w:rPr>
                <w:rFonts w:eastAsia="Times New Roman"/>
              </w:rPr>
              <w:t>47.0</w:t>
            </w:r>
          </w:p>
        </w:tc>
        <w:tc>
          <w:tcPr>
            <w:tcW w:w="815" w:type="dxa"/>
            <w:tcBorders>
              <w:top w:val="nil"/>
            </w:tcBorders>
          </w:tcPr>
          <w:p w14:paraId="7EB8C166" w14:textId="77777777" w:rsidR="00A340EE" w:rsidRPr="0047058F" w:rsidRDefault="00A340EE" w:rsidP="00BD64A6">
            <w:pPr>
              <w:pStyle w:val="TableText"/>
              <w:jc w:val="right"/>
              <w:rPr>
                <w:rFonts w:eastAsia="Times New Roman"/>
              </w:rPr>
            </w:pPr>
            <w:r w:rsidRPr="0047058F">
              <w:rPr>
                <w:rFonts w:eastAsia="Times New Roman"/>
              </w:rPr>
              <w:t>84.6</w:t>
            </w:r>
          </w:p>
        </w:tc>
      </w:tr>
      <w:tr w:rsidR="00A340EE" w:rsidRPr="0047058F" w14:paraId="22E217AC" w14:textId="77777777" w:rsidTr="00BD64A6">
        <w:trPr>
          <w:trHeight w:val="20"/>
        </w:trPr>
        <w:tc>
          <w:tcPr>
            <w:tcW w:w="1623" w:type="dxa"/>
            <w:hideMark/>
          </w:tcPr>
          <w:p w14:paraId="0AABD024" w14:textId="77777777" w:rsidR="00A340EE" w:rsidRPr="0047058F" w:rsidRDefault="00A340EE" w:rsidP="00BD64A6">
            <w:pPr>
              <w:pStyle w:val="TableText"/>
            </w:pPr>
            <w:r w:rsidRPr="0047058F">
              <w:t>Non-Commissioned Officer</w:t>
            </w:r>
          </w:p>
        </w:tc>
        <w:tc>
          <w:tcPr>
            <w:tcW w:w="454" w:type="dxa"/>
          </w:tcPr>
          <w:p w14:paraId="7C5CBB0F" w14:textId="77777777" w:rsidR="00A340EE" w:rsidRPr="0047058F" w:rsidRDefault="00A340EE" w:rsidP="00BD64A6">
            <w:pPr>
              <w:pStyle w:val="TableText"/>
              <w:jc w:val="right"/>
            </w:pPr>
            <w:r w:rsidRPr="0047058F">
              <w:rPr>
                <w:rFonts w:eastAsia="Times New Roman" w:cs="Arial"/>
              </w:rPr>
              <w:t>197</w:t>
            </w:r>
          </w:p>
        </w:tc>
        <w:tc>
          <w:tcPr>
            <w:tcW w:w="544" w:type="dxa"/>
          </w:tcPr>
          <w:p w14:paraId="0C812151" w14:textId="77777777" w:rsidR="00A340EE" w:rsidRPr="0047058F" w:rsidRDefault="00A340EE" w:rsidP="00BD64A6">
            <w:pPr>
              <w:pStyle w:val="TableText"/>
              <w:jc w:val="right"/>
            </w:pPr>
            <w:r w:rsidRPr="0047058F">
              <w:rPr>
                <w:rFonts w:eastAsia="Times New Roman" w:cs="Arial"/>
              </w:rPr>
              <w:t>53.5</w:t>
            </w:r>
          </w:p>
        </w:tc>
        <w:tc>
          <w:tcPr>
            <w:tcW w:w="453" w:type="dxa"/>
          </w:tcPr>
          <w:p w14:paraId="50E7E56F" w14:textId="77777777" w:rsidR="00A340EE" w:rsidRPr="0047058F" w:rsidRDefault="00A340EE" w:rsidP="00BD64A6">
            <w:pPr>
              <w:pStyle w:val="TableText"/>
              <w:jc w:val="right"/>
            </w:pPr>
            <w:r w:rsidRPr="0047058F">
              <w:rPr>
                <w:rFonts w:eastAsia="Times New Roman" w:cs="Arial"/>
              </w:rPr>
              <w:t>137</w:t>
            </w:r>
          </w:p>
        </w:tc>
        <w:tc>
          <w:tcPr>
            <w:tcW w:w="544" w:type="dxa"/>
          </w:tcPr>
          <w:p w14:paraId="6B59B853" w14:textId="77777777" w:rsidR="00A340EE" w:rsidRPr="0047058F" w:rsidRDefault="00A340EE" w:rsidP="00BD64A6">
            <w:pPr>
              <w:pStyle w:val="TableText"/>
              <w:jc w:val="right"/>
            </w:pPr>
            <w:r w:rsidRPr="0047058F">
              <w:rPr>
                <w:rFonts w:eastAsia="Times New Roman" w:cs="Arial"/>
              </w:rPr>
              <w:t>52.5</w:t>
            </w:r>
          </w:p>
        </w:tc>
        <w:tc>
          <w:tcPr>
            <w:tcW w:w="816" w:type="dxa"/>
          </w:tcPr>
          <w:p w14:paraId="6C0142A8" w14:textId="77777777" w:rsidR="00A340EE" w:rsidRPr="0047058F" w:rsidRDefault="00A340EE" w:rsidP="00BD64A6">
            <w:pPr>
              <w:pStyle w:val="TableText"/>
              <w:jc w:val="right"/>
            </w:pPr>
            <w:r w:rsidRPr="0047058F">
              <w:rPr>
                <w:rFonts w:eastAsia="Times New Roman"/>
              </w:rPr>
              <w:t>69.5</w:t>
            </w:r>
          </w:p>
        </w:tc>
        <w:tc>
          <w:tcPr>
            <w:tcW w:w="521" w:type="dxa"/>
          </w:tcPr>
          <w:p w14:paraId="076726A3" w14:textId="77777777" w:rsidR="00A340EE" w:rsidRPr="0047058F" w:rsidRDefault="00A340EE" w:rsidP="00BD64A6">
            <w:pPr>
              <w:pStyle w:val="TableText"/>
              <w:jc w:val="right"/>
            </w:pPr>
            <w:r w:rsidRPr="0047058F">
              <w:rPr>
                <w:rFonts w:eastAsia="Times New Roman" w:cs="Arial"/>
              </w:rPr>
              <w:t>377</w:t>
            </w:r>
          </w:p>
        </w:tc>
        <w:tc>
          <w:tcPr>
            <w:tcW w:w="522" w:type="dxa"/>
          </w:tcPr>
          <w:p w14:paraId="1B41FB95" w14:textId="77777777" w:rsidR="00A340EE" w:rsidRPr="0047058F" w:rsidRDefault="00A340EE" w:rsidP="00BD64A6">
            <w:pPr>
              <w:pStyle w:val="TableText"/>
              <w:jc w:val="right"/>
            </w:pPr>
            <w:r w:rsidRPr="0047058F">
              <w:rPr>
                <w:rFonts w:eastAsia="Times New Roman" w:cs="Arial"/>
              </w:rPr>
              <w:t>52.6</w:t>
            </w:r>
          </w:p>
        </w:tc>
        <w:tc>
          <w:tcPr>
            <w:tcW w:w="521" w:type="dxa"/>
          </w:tcPr>
          <w:p w14:paraId="4D5D37BA" w14:textId="77777777" w:rsidR="00A340EE" w:rsidRPr="0047058F" w:rsidRDefault="00A340EE" w:rsidP="00BD64A6">
            <w:pPr>
              <w:pStyle w:val="TableText"/>
              <w:jc w:val="right"/>
            </w:pPr>
            <w:r w:rsidRPr="0047058F">
              <w:rPr>
                <w:rFonts w:eastAsia="Times New Roman"/>
              </w:rPr>
              <w:t>277</w:t>
            </w:r>
          </w:p>
        </w:tc>
        <w:tc>
          <w:tcPr>
            <w:tcW w:w="522" w:type="dxa"/>
          </w:tcPr>
          <w:p w14:paraId="0C2FC80B" w14:textId="77777777" w:rsidR="00A340EE" w:rsidRPr="0047058F" w:rsidRDefault="00A340EE" w:rsidP="00BD64A6">
            <w:pPr>
              <w:pStyle w:val="TableText"/>
              <w:jc w:val="right"/>
            </w:pPr>
            <w:r w:rsidRPr="0047058F">
              <w:rPr>
                <w:rFonts w:eastAsia="Times New Roman"/>
              </w:rPr>
              <w:t>49.6</w:t>
            </w:r>
          </w:p>
        </w:tc>
        <w:tc>
          <w:tcPr>
            <w:tcW w:w="815" w:type="dxa"/>
          </w:tcPr>
          <w:p w14:paraId="201A0FEF" w14:textId="77777777" w:rsidR="00A340EE" w:rsidRPr="0047058F" w:rsidRDefault="00A340EE" w:rsidP="00BD64A6">
            <w:pPr>
              <w:pStyle w:val="TableText"/>
              <w:jc w:val="right"/>
              <w:rPr>
                <w:rFonts w:eastAsia="Times New Roman"/>
              </w:rPr>
            </w:pPr>
            <w:r w:rsidRPr="0047058F">
              <w:rPr>
                <w:rFonts w:eastAsia="Times New Roman"/>
              </w:rPr>
              <w:t>73.5</w:t>
            </w:r>
          </w:p>
        </w:tc>
      </w:tr>
      <w:tr w:rsidR="00A340EE" w:rsidRPr="0047058F" w14:paraId="326959C7"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bottom w:val="single" w:sz="4" w:space="0" w:color="000000"/>
            </w:tcBorders>
            <w:hideMark/>
          </w:tcPr>
          <w:p w14:paraId="56B2DEC6" w14:textId="77777777" w:rsidR="00A340EE" w:rsidRPr="0047058F" w:rsidRDefault="00A340EE" w:rsidP="00BD64A6">
            <w:pPr>
              <w:pStyle w:val="TableText"/>
            </w:pPr>
            <w:r w:rsidRPr="0047058F">
              <w:t>Other Ranks</w:t>
            </w:r>
          </w:p>
        </w:tc>
        <w:tc>
          <w:tcPr>
            <w:tcW w:w="454" w:type="dxa"/>
            <w:tcBorders>
              <w:bottom w:val="single" w:sz="4" w:space="0" w:color="000000"/>
            </w:tcBorders>
          </w:tcPr>
          <w:p w14:paraId="27194219" w14:textId="77777777" w:rsidR="00A340EE" w:rsidRPr="0047058F" w:rsidRDefault="00A340EE" w:rsidP="00BD64A6">
            <w:pPr>
              <w:pStyle w:val="TableText"/>
              <w:jc w:val="right"/>
            </w:pPr>
            <w:r w:rsidRPr="0047058F">
              <w:rPr>
                <w:rFonts w:eastAsia="Times New Roman" w:cs="Arial"/>
              </w:rPr>
              <w:t>32</w:t>
            </w:r>
          </w:p>
        </w:tc>
        <w:tc>
          <w:tcPr>
            <w:tcW w:w="544" w:type="dxa"/>
            <w:tcBorders>
              <w:bottom w:val="single" w:sz="4" w:space="0" w:color="000000"/>
            </w:tcBorders>
          </w:tcPr>
          <w:p w14:paraId="0F098FB4" w14:textId="77777777" w:rsidR="00A340EE" w:rsidRPr="0047058F" w:rsidRDefault="00A340EE" w:rsidP="00BD64A6">
            <w:pPr>
              <w:pStyle w:val="TableText"/>
              <w:jc w:val="right"/>
            </w:pPr>
            <w:r w:rsidRPr="0047058F">
              <w:rPr>
                <w:rFonts w:eastAsia="Times New Roman" w:cs="Arial"/>
              </w:rPr>
              <w:t>8.7</w:t>
            </w:r>
          </w:p>
        </w:tc>
        <w:tc>
          <w:tcPr>
            <w:tcW w:w="453" w:type="dxa"/>
            <w:tcBorders>
              <w:bottom w:val="single" w:sz="4" w:space="0" w:color="000000"/>
            </w:tcBorders>
          </w:tcPr>
          <w:p w14:paraId="7CDA9EF7" w14:textId="77777777" w:rsidR="00A340EE" w:rsidRPr="0047058F" w:rsidRDefault="00A340EE" w:rsidP="00BD64A6">
            <w:pPr>
              <w:pStyle w:val="TableText"/>
              <w:jc w:val="right"/>
            </w:pPr>
            <w:r w:rsidRPr="0047058F">
              <w:rPr>
                <w:rFonts w:eastAsia="Times New Roman" w:cs="Arial"/>
              </w:rPr>
              <w:t>15</w:t>
            </w:r>
          </w:p>
        </w:tc>
        <w:tc>
          <w:tcPr>
            <w:tcW w:w="544" w:type="dxa"/>
            <w:tcBorders>
              <w:bottom w:val="single" w:sz="4" w:space="0" w:color="000000"/>
            </w:tcBorders>
          </w:tcPr>
          <w:p w14:paraId="6A115ADF" w14:textId="77777777" w:rsidR="00A340EE" w:rsidRPr="0047058F" w:rsidRDefault="00A340EE" w:rsidP="00BD64A6">
            <w:pPr>
              <w:pStyle w:val="TableText"/>
              <w:jc w:val="right"/>
            </w:pPr>
            <w:r w:rsidRPr="0047058F">
              <w:rPr>
                <w:rFonts w:eastAsia="Times New Roman" w:cs="Arial"/>
              </w:rPr>
              <w:t>5.7</w:t>
            </w:r>
          </w:p>
        </w:tc>
        <w:tc>
          <w:tcPr>
            <w:tcW w:w="816" w:type="dxa"/>
            <w:tcBorders>
              <w:bottom w:val="single" w:sz="4" w:space="0" w:color="000000"/>
            </w:tcBorders>
          </w:tcPr>
          <w:p w14:paraId="36D801A4" w14:textId="77777777" w:rsidR="00A340EE" w:rsidRPr="0047058F" w:rsidRDefault="00A340EE" w:rsidP="00BD64A6">
            <w:pPr>
              <w:pStyle w:val="TableText"/>
              <w:jc w:val="right"/>
            </w:pPr>
            <w:r w:rsidRPr="0047058F">
              <w:rPr>
                <w:rFonts w:eastAsia="Times New Roman"/>
              </w:rPr>
              <w:t>46.9</w:t>
            </w:r>
          </w:p>
        </w:tc>
        <w:tc>
          <w:tcPr>
            <w:tcW w:w="521" w:type="dxa"/>
            <w:tcBorders>
              <w:bottom w:val="single" w:sz="4" w:space="0" w:color="000000"/>
            </w:tcBorders>
          </w:tcPr>
          <w:p w14:paraId="17C3C83F" w14:textId="77777777" w:rsidR="00A340EE" w:rsidRPr="0047058F" w:rsidRDefault="00A340EE" w:rsidP="00BD64A6">
            <w:pPr>
              <w:pStyle w:val="TableText"/>
              <w:jc w:val="right"/>
            </w:pPr>
            <w:r w:rsidRPr="0047058F">
              <w:rPr>
                <w:rFonts w:eastAsia="Times New Roman" w:cs="Arial"/>
              </w:rPr>
              <w:t>29</w:t>
            </w:r>
          </w:p>
        </w:tc>
        <w:tc>
          <w:tcPr>
            <w:tcW w:w="522" w:type="dxa"/>
            <w:tcBorders>
              <w:bottom w:val="single" w:sz="4" w:space="0" w:color="000000"/>
            </w:tcBorders>
          </w:tcPr>
          <w:p w14:paraId="4CE5E04B" w14:textId="77777777" w:rsidR="00A340EE" w:rsidRPr="0047058F" w:rsidRDefault="00A340EE" w:rsidP="00BD64A6">
            <w:pPr>
              <w:pStyle w:val="TableText"/>
              <w:jc w:val="right"/>
            </w:pPr>
            <w:r w:rsidRPr="0047058F">
              <w:rPr>
                <w:rFonts w:eastAsia="Times New Roman" w:cs="Arial"/>
              </w:rPr>
              <w:t>4.0</w:t>
            </w:r>
          </w:p>
        </w:tc>
        <w:tc>
          <w:tcPr>
            <w:tcW w:w="521" w:type="dxa"/>
            <w:tcBorders>
              <w:bottom w:val="single" w:sz="4" w:space="0" w:color="000000"/>
            </w:tcBorders>
          </w:tcPr>
          <w:p w14:paraId="29DA7B0F" w14:textId="77777777" w:rsidR="00A340EE" w:rsidRPr="0047058F" w:rsidRDefault="00A340EE" w:rsidP="00BD64A6">
            <w:pPr>
              <w:pStyle w:val="TableText"/>
              <w:jc w:val="right"/>
            </w:pPr>
            <w:r w:rsidRPr="0047058F">
              <w:rPr>
                <w:rFonts w:eastAsia="Times New Roman"/>
              </w:rPr>
              <w:t>19</w:t>
            </w:r>
          </w:p>
        </w:tc>
        <w:tc>
          <w:tcPr>
            <w:tcW w:w="522" w:type="dxa"/>
            <w:tcBorders>
              <w:bottom w:val="single" w:sz="4" w:space="0" w:color="000000"/>
            </w:tcBorders>
          </w:tcPr>
          <w:p w14:paraId="3DAFB1CF" w14:textId="77777777" w:rsidR="00A340EE" w:rsidRPr="0047058F" w:rsidRDefault="00A340EE" w:rsidP="00BD64A6">
            <w:pPr>
              <w:pStyle w:val="TableText"/>
              <w:jc w:val="right"/>
            </w:pPr>
            <w:r w:rsidRPr="0047058F">
              <w:rPr>
                <w:rFonts w:eastAsia="Times New Roman"/>
              </w:rPr>
              <w:t>3.4</w:t>
            </w:r>
          </w:p>
        </w:tc>
        <w:tc>
          <w:tcPr>
            <w:tcW w:w="815" w:type="dxa"/>
            <w:tcBorders>
              <w:bottom w:val="single" w:sz="4" w:space="0" w:color="000000"/>
            </w:tcBorders>
          </w:tcPr>
          <w:p w14:paraId="1845375B" w14:textId="77777777" w:rsidR="00A340EE" w:rsidRPr="0047058F" w:rsidRDefault="00A340EE" w:rsidP="00BD64A6">
            <w:pPr>
              <w:pStyle w:val="TableText"/>
              <w:jc w:val="right"/>
              <w:rPr>
                <w:rFonts w:eastAsia="Times New Roman"/>
              </w:rPr>
            </w:pPr>
            <w:r w:rsidRPr="0047058F">
              <w:rPr>
                <w:rFonts w:eastAsia="Times New Roman"/>
              </w:rPr>
              <w:t>65.5</w:t>
            </w:r>
          </w:p>
        </w:tc>
      </w:tr>
      <w:tr w:rsidR="00A340EE" w:rsidRPr="0047058F" w14:paraId="3D6E26B7" w14:textId="77777777" w:rsidTr="00055107">
        <w:trPr>
          <w:trHeight w:val="20"/>
        </w:trPr>
        <w:tc>
          <w:tcPr>
            <w:tcW w:w="1623" w:type="dxa"/>
            <w:tcBorders>
              <w:top w:val="single" w:sz="4" w:space="0" w:color="000000"/>
              <w:bottom w:val="nil"/>
            </w:tcBorders>
          </w:tcPr>
          <w:p w14:paraId="0EA5F838" w14:textId="77777777" w:rsidR="00A340EE" w:rsidRPr="0047058F" w:rsidRDefault="00A340EE" w:rsidP="00BD64A6">
            <w:pPr>
              <w:pStyle w:val="TableText"/>
            </w:pPr>
            <w:r w:rsidRPr="0047058F">
              <w:rPr>
                <w:b/>
              </w:rPr>
              <w:t>Medical fitness</w:t>
            </w:r>
          </w:p>
        </w:tc>
        <w:tc>
          <w:tcPr>
            <w:tcW w:w="454" w:type="dxa"/>
            <w:tcBorders>
              <w:top w:val="single" w:sz="4" w:space="0" w:color="000000"/>
              <w:bottom w:val="nil"/>
            </w:tcBorders>
          </w:tcPr>
          <w:p w14:paraId="1030366B" w14:textId="77777777" w:rsidR="00A340EE" w:rsidRPr="0047058F" w:rsidRDefault="00A340EE" w:rsidP="00BD64A6">
            <w:pPr>
              <w:pStyle w:val="TableText"/>
              <w:jc w:val="right"/>
            </w:pPr>
          </w:p>
        </w:tc>
        <w:tc>
          <w:tcPr>
            <w:tcW w:w="544" w:type="dxa"/>
            <w:tcBorders>
              <w:top w:val="single" w:sz="4" w:space="0" w:color="000000"/>
              <w:bottom w:val="nil"/>
            </w:tcBorders>
          </w:tcPr>
          <w:p w14:paraId="24A45195" w14:textId="77777777" w:rsidR="00A340EE" w:rsidRPr="0047058F" w:rsidRDefault="00A340EE" w:rsidP="00BD64A6">
            <w:pPr>
              <w:pStyle w:val="TableText"/>
              <w:jc w:val="right"/>
            </w:pPr>
          </w:p>
        </w:tc>
        <w:tc>
          <w:tcPr>
            <w:tcW w:w="453" w:type="dxa"/>
            <w:tcBorders>
              <w:top w:val="single" w:sz="4" w:space="0" w:color="000000"/>
              <w:bottom w:val="nil"/>
            </w:tcBorders>
          </w:tcPr>
          <w:p w14:paraId="4EDA8922" w14:textId="77777777" w:rsidR="00A340EE" w:rsidRPr="0047058F" w:rsidRDefault="00A340EE" w:rsidP="00BD64A6">
            <w:pPr>
              <w:pStyle w:val="TableText"/>
              <w:jc w:val="right"/>
            </w:pPr>
          </w:p>
        </w:tc>
        <w:tc>
          <w:tcPr>
            <w:tcW w:w="544" w:type="dxa"/>
            <w:tcBorders>
              <w:top w:val="single" w:sz="4" w:space="0" w:color="000000"/>
              <w:bottom w:val="nil"/>
            </w:tcBorders>
          </w:tcPr>
          <w:p w14:paraId="30CBCC8C" w14:textId="77777777" w:rsidR="00A340EE" w:rsidRPr="0047058F" w:rsidRDefault="00A340EE" w:rsidP="00BD64A6">
            <w:pPr>
              <w:pStyle w:val="TableText"/>
              <w:jc w:val="right"/>
            </w:pPr>
          </w:p>
        </w:tc>
        <w:tc>
          <w:tcPr>
            <w:tcW w:w="816" w:type="dxa"/>
            <w:tcBorders>
              <w:top w:val="single" w:sz="4" w:space="0" w:color="000000"/>
              <w:bottom w:val="nil"/>
            </w:tcBorders>
          </w:tcPr>
          <w:p w14:paraId="1572DF9E" w14:textId="77777777" w:rsidR="00A340EE" w:rsidRPr="0047058F" w:rsidRDefault="00A340EE" w:rsidP="00BD64A6">
            <w:pPr>
              <w:pStyle w:val="TableText"/>
              <w:jc w:val="right"/>
            </w:pPr>
          </w:p>
        </w:tc>
        <w:tc>
          <w:tcPr>
            <w:tcW w:w="521" w:type="dxa"/>
            <w:tcBorders>
              <w:top w:val="single" w:sz="4" w:space="0" w:color="000000"/>
              <w:bottom w:val="nil"/>
            </w:tcBorders>
          </w:tcPr>
          <w:p w14:paraId="72F9722F" w14:textId="77777777" w:rsidR="00A340EE" w:rsidRPr="0047058F" w:rsidRDefault="00A340EE" w:rsidP="00BD64A6">
            <w:pPr>
              <w:pStyle w:val="TableText"/>
              <w:jc w:val="right"/>
            </w:pPr>
          </w:p>
        </w:tc>
        <w:tc>
          <w:tcPr>
            <w:tcW w:w="522" w:type="dxa"/>
            <w:tcBorders>
              <w:top w:val="single" w:sz="4" w:space="0" w:color="000000"/>
              <w:bottom w:val="nil"/>
            </w:tcBorders>
          </w:tcPr>
          <w:p w14:paraId="669E6158" w14:textId="77777777" w:rsidR="00A340EE" w:rsidRPr="0047058F" w:rsidRDefault="00A340EE" w:rsidP="00BD64A6">
            <w:pPr>
              <w:pStyle w:val="TableText"/>
              <w:jc w:val="right"/>
            </w:pPr>
          </w:p>
        </w:tc>
        <w:tc>
          <w:tcPr>
            <w:tcW w:w="521" w:type="dxa"/>
            <w:tcBorders>
              <w:top w:val="single" w:sz="4" w:space="0" w:color="000000"/>
              <w:bottom w:val="nil"/>
            </w:tcBorders>
          </w:tcPr>
          <w:p w14:paraId="650958F0" w14:textId="77777777" w:rsidR="00A340EE" w:rsidRPr="0047058F" w:rsidRDefault="00A340EE" w:rsidP="00BD64A6">
            <w:pPr>
              <w:pStyle w:val="TableText"/>
              <w:jc w:val="right"/>
            </w:pPr>
          </w:p>
        </w:tc>
        <w:tc>
          <w:tcPr>
            <w:tcW w:w="522" w:type="dxa"/>
            <w:tcBorders>
              <w:top w:val="single" w:sz="4" w:space="0" w:color="000000"/>
              <w:bottom w:val="nil"/>
            </w:tcBorders>
          </w:tcPr>
          <w:p w14:paraId="32A5E593" w14:textId="77777777" w:rsidR="00A340EE" w:rsidRPr="0047058F" w:rsidRDefault="00A340EE" w:rsidP="00BD64A6">
            <w:pPr>
              <w:pStyle w:val="TableText"/>
              <w:jc w:val="right"/>
            </w:pPr>
          </w:p>
        </w:tc>
        <w:tc>
          <w:tcPr>
            <w:tcW w:w="815" w:type="dxa"/>
            <w:tcBorders>
              <w:top w:val="single" w:sz="4" w:space="0" w:color="000000"/>
              <w:bottom w:val="nil"/>
            </w:tcBorders>
          </w:tcPr>
          <w:p w14:paraId="216511F2" w14:textId="77777777" w:rsidR="00A340EE" w:rsidRPr="0047058F" w:rsidRDefault="00A340EE" w:rsidP="00BD64A6">
            <w:pPr>
              <w:pStyle w:val="TableText"/>
              <w:jc w:val="right"/>
            </w:pPr>
          </w:p>
        </w:tc>
      </w:tr>
      <w:tr w:rsidR="00A340EE" w:rsidRPr="0047058F" w14:paraId="39E390BB"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top w:val="nil"/>
            </w:tcBorders>
            <w:hideMark/>
          </w:tcPr>
          <w:p w14:paraId="45CFFDFE" w14:textId="77777777" w:rsidR="00A340EE" w:rsidRPr="0047058F" w:rsidRDefault="00A340EE" w:rsidP="00BD64A6">
            <w:pPr>
              <w:pStyle w:val="TableText"/>
            </w:pPr>
            <w:r w:rsidRPr="0047058F">
              <w:t>Fit</w:t>
            </w:r>
          </w:p>
        </w:tc>
        <w:tc>
          <w:tcPr>
            <w:tcW w:w="454" w:type="dxa"/>
            <w:tcBorders>
              <w:top w:val="nil"/>
            </w:tcBorders>
          </w:tcPr>
          <w:p w14:paraId="574FC600" w14:textId="77777777" w:rsidR="00A340EE" w:rsidRPr="0047058F" w:rsidRDefault="00A340EE" w:rsidP="00BD64A6">
            <w:pPr>
              <w:pStyle w:val="TableText"/>
              <w:jc w:val="right"/>
            </w:pPr>
            <w:r w:rsidRPr="0047058F">
              <w:rPr>
                <w:rFonts w:eastAsia="Times New Roman" w:cs="Arial"/>
              </w:rPr>
              <w:t>206</w:t>
            </w:r>
          </w:p>
        </w:tc>
        <w:tc>
          <w:tcPr>
            <w:tcW w:w="544" w:type="dxa"/>
            <w:tcBorders>
              <w:top w:val="nil"/>
            </w:tcBorders>
          </w:tcPr>
          <w:p w14:paraId="2A6BC7D7" w14:textId="77777777" w:rsidR="00A340EE" w:rsidRPr="0047058F" w:rsidRDefault="00A340EE" w:rsidP="00BD64A6">
            <w:pPr>
              <w:pStyle w:val="TableText"/>
              <w:jc w:val="right"/>
            </w:pPr>
            <w:r w:rsidRPr="0047058F">
              <w:rPr>
                <w:rFonts w:eastAsia="Times New Roman" w:cs="Arial"/>
              </w:rPr>
              <w:t>56.0</w:t>
            </w:r>
          </w:p>
        </w:tc>
        <w:tc>
          <w:tcPr>
            <w:tcW w:w="453" w:type="dxa"/>
            <w:tcBorders>
              <w:top w:val="nil"/>
            </w:tcBorders>
          </w:tcPr>
          <w:p w14:paraId="03DE54C8" w14:textId="77777777" w:rsidR="00A340EE" w:rsidRPr="0047058F" w:rsidRDefault="00A340EE" w:rsidP="00BD64A6">
            <w:pPr>
              <w:pStyle w:val="TableText"/>
              <w:jc w:val="right"/>
            </w:pPr>
            <w:r w:rsidRPr="0047058F">
              <w:rPr>
                <w:rFonts w:eastAsia="Times New Roman" w:cs="Arial"/>
              </w:rPr>
              <w:t>152</w:t>
            </w:r>
          </w:p>
        </w:tc>
        <w:tc>
          <w:tcPr>
            <w:tcW w:w="544" w:type="dxa"/>
            <w:tcBorders>
              <w:top w:val="nil"/>
            </w:tcBorders>
          </w:tcPr>
          <w:p w14:paraId="03672FB0" w14:textId="77777777" w:rsidR="00A340EE" w:rsidRPr="0047058F" w:rsidRDefault="00A340EE" w:rsidP="00BD64A6">
            <w:pPr>
              <w:pStyle w:val="TableText"/>
              <w:jc w:val="right"/>
            </w:pPr>
            <w:r w:rsidRPr="0047058F">
              <w:rPr>
                <w:rFonts w:eastAsia="Times New Roman" w:cs="Arial"/>
              </w:rPr>
              <w:t>58.2</w:t>
            </w:r>
          </w:p>
        </w:tc>
        <w:tc>
          <w:tcPr>
            <w:tcW w:w="816" w:type="dxa"/>
            <w:tcBorders>
              <w:top w:val="nil"/>
            </w:tcBorders>
          </w:tcPr>
          <w:p w14:paraId="289D1ACD" w14:textId="77777777" w:rsidR="00A340EE" w:rsidRPr="0047058F" w:rsidRDefault="00A340EE" w:rsidP="00BD64A6">
            <w:pPr>
              <w:pStyle w:val="TableText"/>
              <w:jc w:val="right"/>
            </w:pPr>
            <w:r w:rsidRPr="0047058F">
              <w:rPr>
                <w:rFonts w:eastAsia="Times New Roman"/>
              </w:rPr>
              <w:t>73.8</w:t>
            </w:r>
          </w:p>
        </w:tc>
        <w:tc>
          <w:tcPr>
            <w:tcW w:w="521" w:type="dxa"/>
            <w:tcBorders>
              <w:top w:val="nil"/>
            </w:tcBorders>
          </w:tcPr>
          <w:p w14:paraId="2E19F63A" w14:textId="77777777" w:rsidR="00A340EE" w:rsidRPr="0047058F" w:rsidRDefault="00A340EE" w:rsidP="00BD64A6">
            <w:pPr>
              <w:pStyle w:val="TableText"/>
              <w:jc w:val="right"/>
            </w:pPr>
            <w:r w:rsidRPr="0047058F">
              <w:rPr>
                <w:rFonts w:eastAsia="Times New Roman" w:cs="Arial"/>
              </w:rPr>
              <w:t>552</w:t>
            </w:r>
          </w:p>
        </w:tc>
        <w:tc>
          <w:tcPr>
            <w:tcW w:w="522" w:type="dxa"/>
            <w:tcBorders>
              <w:top w:val="nil"/>
            </w:tcBorders>
          </w:tcPr>
          <w:p w14:paraId="3507DB0C" w14:textId="67185C3C" w:rsidR="00A340EE" w:rsidRPr="0047058F" w:rsidRDefault="00A340EE" w:rsidP="00BD64A6">
            <w:pPr>
              <w:pStyle w:val="TableText"/>
              <w:jc w:val="right"/>
            </w:pPr>
            <w:r w:rsidRPr="0047058F">
              <w:rPr>
                <w:rFonts w:eastAsia="Times New Roman" w:cs="Arial"/>
              </w:rPr>
              <w:t>77</w:t>
            </w:r>
            <w:r w:rsidR="00D814D9">
              <w:rPr>
                <w:rFonts w:eastAsia="Times New Roman" w:cs="Arial"/>
              </w:rPr>
              <w:t>.0</w:t>
            </w:r>
          </w:p>
        </w:tc>
        <w:tc>
          <w:tcPr>
            <w:tcW w:w="521" w:type="dxa"/>
            <w:tcBorders>
              <w:top w:val="nil"/>
            </w:tcBorders>
          </w:tcPr>
          <w:p w14:paraId="096B3C3F" w14:textId="77777777" w:rsidR="00A340EE" w:rsidRPr="0047058F" w:rsidRDefault="00A340EE" w:rsidP="00BD64A6">
            <w:pPr>
              <w:pStyle w:val="TableText"/>
              <w:jc w:val="right"/>
            </w:pPr>
            <w:r w:rsidRPr="0047058F">
              <w:rPr>
                <w:rFonts w:eastAsia="Times New Roman" w:cs="Arial"/>
              </w:rPr>
              <w:t>428</w:t>
            </w:r>
          </w:p>
        </w:tc>
        <w:tc>
          <w:tcPr>
            <w:tcW w:w="522" w:type="dxa"/>
            <w:tcBorders>
              <w:top w:val="nil"/>
            </w:tcBorders>
          </w:tcPr>
          <w:p w14:paraId="71F2EB0A" w14:textId="77777777" w:rsidR="00A340EE" w:rsidRPr="0047058F" w:rsidRDefault="00A340EE" w:rsidP="00BD64A6">
            <w:pPr>
              <w:pStyle w:val="TableText"/>
              <w:jc w:val="right"/>
            </w:pPr>
            <w:r w:rsidRPr="0047058F">
              <w:rPr>
                <w:rFonts w:eastAsia="Times New Roman" w:cs="Arial"/>
              </w:rPr>
              <w:t>76.6</w:t>
            </w:r>
          </w:p>
        </w:tc>
        <w:tc>
          <w:tcPr>
            <w:tcW w:w="815" w:type="dxa"/>
            <w:tcBorders>
              <w:top w:val="nil"/>
            </w:tcBorders>
          </w:tcPr>
          <w:p w14:paraId="0F2FDAA4" w14:textId="77777777" w:rsidR="00A340EE" w:rsidRPr="0047058F" w:rsidRDefault="00A340EE" w:rsidP="00BD64A6">
            <w:pPr>
              <w:pStyle w:val="TableText"/>
              <w:jc w:val="right"/>
              <w:rPr>
                <w:rFonts w:eastAsia="Times New Roman"/>
              </w:rPr>
            </w:pPr>
            <w:r w:rsidRPr="0047058F">
              <w:rPr>
                <w:rFonts w:eastAsia="Times New Roman"/>
              </w:rPr>
              <w:t>77.5</w:t>
            </w:r>
          </w:p>
        </w:tc>
      </w:tr>
      <w:tr w:rsidR="00A340EE" w:rsidRPr="0047058F" w14:paraId="0779FA1D" w14:textId="77777777" w:rsidTr="00055107">
        <w:trPr>
          <w:trHeight w:val="20"/>
        </w:trPr>
        <w:tc>
          <w:tcPr>
            <w:tcW w:w="1623" w:type="dxa"/>
            <w:tcBorders>
              <w:bottom w:val="single" w:sz="4" w:space="0" w:color="000000"/>
            </w:tcBorders>
            <w:hideMark/>
          </w:tcPr>
          <w:p w14:paraId="6A3436E3" w14:textId="77777777" w:rsidR="00A340EE" w:rsidRPr="0047058F" w:rsidRDefault="00A340EE" w:rsidP="00BD64A6">
            <w:pPr>
              <w:pStyle w:val="TableText"/>
            </w:pPr>
            <w:r w:rsidRPr="0047058F">
              <w:t>Unfit</w:t>
            </w:r>
          </w:p>
        </w:tc>
        <w:tc>
          <w:tcPr>
            <w:tcW w:w="454" w:type="dxa"/>
            <w:tcBorders>
              <w:bottom w:val="single" w:sz="4" w:space="0" w:color="000000"/>
            </w:tcBorders>
          </w:tcPr>
          <w:p w14:paraId="702AA450" w14:textId="77777777" w:rsidR="00A340EE" w:rsidRPr="0047058F" w:rsidRDefault="00A340EE" w:rsidP="00BD64A6">
            <w:pPr>
              <w:pStyle w:val="TableText"/>
              <w:jc w:val="right"/>
            </w:pPr>
            <w:r w:rsidRPr="0047058F">
              <w:rPr>
                <w:rFonts w:eastAsia="Times New Roman" w:cs="Arial"/>
              </w:rPr>
              <w:t>162</w:t>
            </w:r>
          </w:p>
        </w:tc>
        <w:tc>
          <w:tcPr>
            <w:tcW w:w="544" w:type="dxa"/>
            <w:tcBorders>
              <w:bottom w:val="single" w:sz="4" w:space="0" w:color="000000"/>
            </w:tcBorders>
          </w:tcPr>
          <w:p w14:paraId="2EEE88F3" w14:textId="77777777" w:rsidR="00A340EE" w:rsidRPr="0047058F" w:rsidRDefault="00A340EE" w:rsidP="00BD64A6">
            <w:pPr>
              <w:pStyle w:val="TableText"/>
              <w:jc w:val="right"/>
            </w:pPr>
            <w:r w:rsidRPr="0047058F">
              <w:rPr>
                <w:rFonts w:eastAsia="Times New Roman" w:cs="Arial"/>
              </w:rPr>
              <w:t>44.0</w:t>
            </w:r>
          </w:p>
        </w:tc>
        <w:tc>
          <w:tcPr>
            <w:tcW w:w="453" w:type="dxa"/>
            <w:tcBorders>
              <w:bottom w:val="single" w:sz="4" w:space="0" w:color="000000"/>
            </w:tcBorders>
          </w:tcPr>
          <w:p w14:paraId="10089DBC" w14:textId="77777777" w:rsidR="00A340EE" w:rsidRPr="0047058F" w:rsidRDefault="00A340EE" w:rsidP="00BD64A6">
            <w:pPr>
              <w:pStyle w:val="TableText"/>
              <w:jc w:val="right"/>
            </w:pPr>
            <w:r w:rsidRPr="0047058F">
              <w:rPr>
                <w:rFonts w:eastAsia="Times New Roman" w:cs="Arial"/>
              </w:rPr>
              <w:t>109</w:t>
            </w:r>
          </w:p>
        </w:tc>
        <w:tc>
          <w:tcPr>
            <w:tcW w:w="544" w:type="dxa"/>
            <w:tcBorders>
              <w:bottom w:val="single" w:sz="4" w:space="0" w:color="000000"/>
            </w:tcBorders>
          </w:tcPr>
          <w:p w14:paraId="3597E567" w14:textId="77777777" w:rsidR="00A340EE" w:rsidRPr="0047058F" w:rsidRDefault="00A340EE" w:rsidP="00BD64A6">
            <w:pPr>
              <w:pStyle w:val="TableText"/>
              <w:jc w:val="right"/>
            </w:pPr>
            <w:r w:rsidRPr="0047058F">
              <w:rPr>
                <w:rFonts w:eastAsia="Times New Roman" w:cs="Arial"/>
              </w:rPr>
              <w:t>41.8</w:t>
            </w:r>
          </w:p>
        </w:tc>
        <w:tc>
          <w:tcPr>
            <w:tcW w:w="816" w:type="dxa"/>
            <w:tcBorders>
              <w:bottom w:val="single" w:sz="4" w:space="0" w:color="000000"/>
            </w:tcBorders>
          </w:tcPr>
          <w:p w14:paraId="1F486B6C" w14:textId="77777777" w:rsidR="00A340EE" w:rsidRPr="0047058F" w:rsidRDefault="00A340EE" w:rsidP="00BD64A6">
            <w:pPr>
              <w:pStyle w:val="TableText"/>
              <w:jc w:val="right"/>
            </w:pPr>
            <w:r w:rsidRPr="0047058F">
              <w:rPr>
                <w:rFonts w:eastAsia="Times New Roman"/>
              </w:rPr>
              <w:t>67.3</w:t>
            </w:r>
          </w:p>
        </w:tc>
        <w:tc>
          <w:tcPr>
            <w:tcW w:w="521" w:type="dxa"/>
            <w:tcBorders>
              <w:bottom w:val="single" w:sz="4" w:space="0" w:color="000000"/>
            </w:tcBorders>
          </w:tcPr>
          <w:p w14:paraId="384DE141" w14:textId="77777777" w:rsidR="00A340EE" w:rsidRPr="0047058F" w:rsidRDefault="00A340EE" w:rsidP="00BD64A6">
            <w:pPr>
              <w:pStyle w:val="TableText"/>
              <w:jc w:val="right"/>
            </w:pPr>
            <w:r w:rsidRPr="0047058F">
              <w:rPr>
                <w:rFonts w:eastAsia="Times New Roman" w:cs="Arial"/>
              </w:rPr>
              <w:t>165</w:t>
            </w:r>
          </w:p>
        </w:tc>
        <w:tc>
          <w:tcPr>
            <w:tcW w:w="522" w:type="dxa"/>
            <w:tcBorders>
              <w:bottom w:val="single" w:sz="4" w:space="0" w:color="000000"/>
            </w:tcBorders>
          </w:tcPr>
          <w:p w14:paraId="1EC75E58" w14:textId="4604281B" w:rsidR="00A340EE" w:rsidRPr="0047058F" w:rsidRDefault="00A340EE" w:rsidP="00BD64A6">
            <w:pPr>
              <w:pStyle w:val="TableText"/>
              <w:jc w:val="right"/>
            </w:pPr>
            <w:r w:rsidRPr="0047058F">
              <w:rPr>
                <w:rFonts w:eastAsia="Times New Roman" w:cs="Arial"/>
              </w:rPr>
              <w:t>23</w:t>
            </w:r>
            <w:r w:rsidR="00D814D9">
              <w:rPr>
                <w:rFonts w:eastAsia="Times New Roman" w:cs="Arial"/>
              </w:rPr>
              <w:t>.0</w:t>
            </w:r>
          </w:p>
        </w:tc>
        <w:tc>
          <w:tcPr>
            <w:tcW w:w="521" w:type="dxa"/>
            <w:tcBorders>
              <w:bottom w:val="single" w:sz="4" w:space="0" w:color="000000"/>
            </w:tcBorders>
          </w:tcPr>
          <w:p w14:paraId="617B26BD" w14:textId="77777777" w:rsidR="00A340EE" w:rsidRPr="0047058F" w:rsidRDefault="00A340EE" w:rsidP="00BD64A6">
            <w:pPr>
              <w:pStyle w:val="TableText"/>
              <w:jc w:val="right"/>
            </w:pPr>
            <w:r w:rsidRPr="0047058F">
              <w:rPr>
                <w:rFonts w:eastAsia="Times New Roman" w:cs="Arial"/>
              </w:rPr>
              <w:t>131</w:t>
            </w:r>
          </w:p>
        </w:tc>
        <w:tc>
          <w:tcPr>
            <w:tcW w:w="522" w:type="dxa"/>
            <w:tcBorders>
              <w:bottom w:val="single" w:sz="4" w:space="0" w:color="000000"/>
            </w:tcBorders>
          </w:tcPr>
          <w:p w14:paraId="4C8A1985" w14:textId="77777777" w:rsidR="00A340EE" w:rsidRPr="0047058F" w:rsidRDefault="00A340EE" w:rsidP="00BD64A6">
            <w:pPr>
              <w:pStyle w:val="TableText"/>
              <w:jc w:val="right"/>
            </w:pPr>
            <w:r w:rsidRPr="0047058F">
              <w:rPr>
                <w:rFonts w:eastAsia="Times New Roman" w:cs="Arial"/>
              </w:rPr>
              <w:t>23.4</w:t>
            </w:r>
          </w:p>
        </w:tc>
        <w:tc>
          <w:tcPr>
            <w:tcW w:w="815" w:type="dxa"/>
            <w:tcBorders>
              <w:bottom w:val="single" w:sz="4" w:space="0" w:color="000000"/>
            </w:tcBorders>
          </w:tcPr>
          <w:p w14:paraId="6901DCA1" w14:textId="77777777" w:rsidR="00A340EE" w:rsidRPr="0047058F" w:rsidRDefault="00A340EE" w:rsidP="00BD64A6">
            <w:pPr>
              <w:pStyle w:val="TableText"/>
              <w:jc w:val="right"/>
              <w:rPr>
                <w:rFonts w:eastAsia="Times New Roman"/>
              </w:rPr>
            </w:pPr>
            <w:r w:rsidRPr="0047058F">
              <w:rPr>
                <w:rFonts w:eastAsia="Times New Roman"/>
              </w:rPr>
              <w:t>79.4</w:t>
            </w:r>
          </w:p>
        </w:tc>
      </w:tr>
      <w:tr w:rsidR="00A340EE" w:rsidRPr="0047058F" w14:paraId="464CAEF5" w14:textId="77777777" w:rsidTr="00055107">
        <w:trPr>
          <w:cnfStyle w:val="000000100000" w:firstRow="0" w:lastRow="0" w:firstColumn="0" w:lastColumn="0" w:oddVBand="0" w:evenVBand="0" w:oddHBand="1" w:evenHBand="0" w:firstRowFirstColumn="0" w:firstRowLastColumn="0" w:lastRowFirstColumn="0" w:lastRowLastColumn="0"/>
          <w:trHeight w:val="20"/>
        </w:trPr>
        <w:tc>
          <w:tcPr>
            <w:tcW w:w="1623" w:type="dxa"/>
            <w:tcBorders>
              <w:top w:val="single" w:sz="4" w:space="0" w:color="000000"/>
              <w:bottom w:val="single" w:sz="4" w:space="0" w:color="000000"/>
            </w:tcBorders>
            <w:hideMark/>
          </w:tcPr>
          <w:p w14:paraId="6D7CD40B" w14:textId="77777777" w:rsidR="00A340EE" w:rsidRPr="0047058F" w:rsidRDefault="00A340EE" w:rsidP="00BD64A6">
            <w:pPr>
              <w:pStyle w:val="TableText"/>
              <w:rPr>
                <w:b/>
              </w:rPr>
            </w:pPr>
            <w:r w:rsidRPr="0047058F">
              <w:rPr>
                <w:b/>
              </w:rPr>
              <w:t>Total</w:t>
            </w:r>
          </w:p>
        </w:tc>
        <w:tc>
          <w:tcPr>
            <w:tcW w:w="454" w:type="dxa"/>
            <w:tcBorders>
              <w:top w:val="single" w:sz="4" w:space="0" w:color="000000"/>
              <w:bottom w:val="single" w:sz="4" w:space="0" w:color="000000"/>
            </w:tcBorders>
          </w:tcPr>
          <w:p w14:paraId="68DF9BF6" w14:textId="77777777" w:rsidR="00A340EE" w:rsidRPr="0047058F" w:rsidRDefault="00A340EE" w:rsidP="00BD64A6">
            <w:pPr>
              <w:pStyle w:val="TableText"/>
              <w:jc w:val="right"/>
              <w:rPr>
                <w:b/>
              </w:rPr>
            </w:pPr>
            <w:r w:rsidRPr="0047058F">
              <w:rPr>
                <w:b/>
              </w:rPr>
              <w:t>368</w:t>
            </w:r>
          </w:p>
        </w:tc>
        <w:tc>
          <w:tcPr>
            <w:tcW w:w="544" w:type="dxa"/>
            <w:tcBorders>
              <w:top w:val="single" w:sz="4" w:space="0" w:color="000000"/>
              <w:bottom w:val="single" w:sz="4" w:space="0" w:color="000000"/>
            </w:tcBorders>
          </w:tcPr>
          <w:p w14:paraId="656F10D8" w14:textId="77777777" w:rsidR="00A340EE" w:rsidRPr="0047058F" w:rsidRDefault="00A340EE" w:rsidP="00BD64A6">
            <w:pPr>
              <w:pStyle w:val="TableText"/>
              <w:jc w:val="right"/>
              <w:rPr>
                <w:b/>
              </w:rPr>
            </w:pPr>
            <w:r w:rsidRPr="0047058F">
              <w:rPr>
                <w:b/>
              </w:rPr>
              <w:t>100.0</w:t>
            </w:r>
          </w:p>
        </w:tc>
        <w:tc>
          <w:tcPr>
            <w:tcW w:w="453" w:type="dxa"/>
            <w:tcBorders>
              <w:top w:val="single" w:sz="4" w:space="0" w:color="000000"/>
              <w:bottom w:val="single" w:sz="4" w:space="0" w:color="000000"/>
            </w:tcBorders>
          </w:tcPr>
          <w:p w14:paraId="70E61E8F" w14:textId="77777777" w:rsidR="00A340EE" w:rsidRPr="0047058F" w:rsidRDefault="00A340EE" w:rsidP="00BD64A6">
            <w:pPr>
              <w:pStyle w:val="TableText"/>
              <w:jc w:val="right"/>
              <w:rPr>
                <w:b/>
              </w:rPr>
            </w:pPr>
            <w:r w:rsidRPr="0047058F">
              <w:rPr>
                <w:b/>
              </w:rPr>
              <w:t>261</w:t>
            </w:r>
          </w:p>
        </w:tc>
        <w:tc>
          <w:tcPr>
            <w:tcW w:w="544" w:type="dxa"/>
            <w:tcBorders>
              <w:top w:val="single" w:sz="4" w:space="0" w:color="000000"/>
              <w:bottom w:val="single" w:sz="4" w:space="0" w:color="000000"/>
            </w:tcBorders>
          </w:tcPr>
          <w:p w14:paraId="472F49F6" w14:textId="77777777" w:rsidR="00A340EE" w:rsidRPr="0047058F" w:rsidRDefault="00A340EE" w:rsidP="00BD64A6">
            <w:pPr>
              <w:pStyle w:val="TableText"/>
              <w:jc w:val="right"/>
              <w:rPr>
                <w:b/>
              </w:rPr>
            </w:pPr>
            <w:r w:rsidRPr="0047058F">
              <w:rPr>
                <w:b/>
              </w:rPr>
              <w:t>100.0</w:t>
            </w:r>
          </w:p>
        </w:tc>
        <w:tc>
          <w:tcPr>
            <w:tcW w:w="816" w:type="dxa"/>
            <w:tcBorders>
              <w:top w:val="single" w:sz="4" w:space="0" w:color="000000"/>
              <w:bottom w:val="single" w:sz="4" w:space="0" w:color="000000"/>
            </w:tcBorders>
          </w:tcPr>
          <w:p w14:paraId="7C353F80" w14:textId="77777777" w:rsidR="00A340EE" w:rsidRPr="0047058F" w:rsidRDefault="00A340EE" w:rsidP="00BD64A6">
            <w:pPr>
              <w:pStyle w:val="TableText"/>
              <w:jc w:val="right"/>
              <w:rPr>
                <w:b/>
              </w:rPr>
            </w:pPr>
            <w:r w:rsidRPr="0047058F">
              <w:rPr>
                <w:b/>
              </w:rPr>
              <w:t>70.9</w:t>
            </w:r>
          </w:p>
        </w:tc>
        <w:tc>
          <w:tcPr>
            <w:tcW w:w="521" w:type="dxa"/>
            <w:tcBorders>
              <w:top w:val="single" w:sz="4" w:space="0" w:color="000000"/>
              <w:bottom w:val="single" w:sz="4" w:space="0" w:color="000000"/>
            </w:tcBorders>
          </w:tcPr>
          <w:p w14:paraId="21D2093D" w14:textId="77777777" w:rsidR="00A340EE" w:rsidRPr="0047058F" w:rsidRDefault="00A340EE" w:rsidP="00BD64A6">
            <w:pPr>
              <w:pStyle w:val="TableText"/>
              <w:jc w:val="right"/>
              <w:rPr>
                <w:b/>
              </w:rPr>
            </w:pPr>
            <w:r w:rsidRPr="0047058F">
              <w:rPr>
                <w:b/>
              </w:rPr>
              <w:t>717</w:t>
            </w:r>
          </w:p>
        </w:tc>
        <w:tc>
          <w:tcPr>
            <w:tcW w:w="522" w:type="dxa"/>
            <w:tcBorders>
              <w:top w:val="single" w:sz="4" w:space="0" w:color="000000"/>
              <w:bottom w:val="single" w:sz="4" w:space="0" w:color="000000"/>
            </w:tcBorders>
          </w:tcPr>
          <w:p w14:paraId="11B926D4" w14:textId="77777777" w:rsidR="00A340EE" w:rsidRPr="0047058F" w:rsidRDefault="00A340EE" w:rsidP="00BD64A6">
            <w:pPr>
              <w:pStyle w:val="TableText"/>
              <w:jc w:val="right"/>
              <w:rPr>
                <w:b/>
              </w:rPr>
            </w:pPr>
            <w:r w:rsidRPr="0047058F">
              <w:rPr>
                <w:b/>
              </w:rPr>
              <w:t>100.0</w:t>
            </w:r>
          </w:p>
        </w:tc>
        <w:tc>
          <w:tcPr>
            <w:tcW w:w="521" w:type="dxa"/>
            <w:tcBorders>
              <w:top w:val="single" w:sz="4" w:space="0" w:color="000000"/>
              <w:bottom w:val="single" w:sz="4" w:space="0" w:color="000000"/>
            </w:tcBorders>
          </w:tcPr>
          <w:p w14:paraId="0713594D" w14:textId="77777777" w:rsidR="00A340EE" w:rsidRPr="0047058F" w:rsidRDefault="00A340EE" w:rsidP="00BD64A6">
            <w:pPr>
              <w:pStyle w:val="TableText"/>
              <w:jc w:val="right"/>
              <w:rPr>
                <w:b/>
              </w:rPr>
            </w:pPr>
            <w:r w:rsidRPr="0047058F">
              <w:rPr>
                <w:b/>
              </w:rPr>
              <w:t>559</w:t>
            </w:r>
          </w:p>
        </w:tc>
        <w:tc>
          <w:tcPr>
            <w:tcW w:w="522" w:type="dxa"/>
            <w:tcBorders>
              <w:top w:val="single" w:sz="4" w:space="0" w:color="000000"/>
              <w:bottom w:val="single" w:sz="4" w:space="0" w:color="000000"/>
            </w:tcBorders>
          </w:tcPr>
          <w:p w14:paraId="0C55A0FD" w14:textId="77777777" w:rsidR="00A340EE" w:rsidRPr="0047058F" w:rsidRDefault="00A340EE" w:rsidP="00BD64A6">
            <w:pPr>
              <w:pStyle w:val="TableText"/>
              <w:jc w:val="right"/>
              <w:rPr>
                <w:b/>
              </w:rPr>
            </w:pPr>
            <w:r w:rsidRPr="0047058F">
              <w:rPr>
                <w:b/>
              </w:rPr>
              <w:t>100.0</w:t>
            </w:r>
          </w:p>
        </w:tc>
        <w:tc>
          <w:tcPr>
            <w:tcW w:w="815" w:type="dxa"/>
            <w:tcBorders>
              <w:top w:val="single" w:sz="4" w:space="0" w:color="000000"/>
              <w:bottom w:val="single" w:sz="4" w:space="0" w:color="000000"/>
            </w:tcBorders>
          </w:tcPr>
          <w:p w14:paraId="4C0DBE5C" w14:textId="77777777" w:rsidR="00A340EE" w:rsidRPr="0047058F" w:rsidRDefault="00A340EE" w:rsidP="00BD64A6">
            <w:pPr>
              <w:pStyle w:val="TableText"/>
              <w:jc w:val="right"/>
              <w:rPr>
                <w:rFonts w:eastAsia="Times New Roman"/>
                <w:b/>
              </w:rPr>
            </w:pPr>
            <w:r w:rsidRPr="0047058F">
              <w:rPr>
                <w:rFonts w:eastAsia="Times New Roman"/>
                <w:b/>
              </w:rPr>
              <w:t>78.0</w:t>
            </w:r>
          </w:p>
        </w:tc>
      </w:tr>
    </w:tbl>
    <w:p w14:paraId="06E0B730" w14:textId="77777777" w:rsidR="00A340EE" w:rsidRPr="0047058F" w:rsidRDefault="00A340EE" w:rsidP="00A340EE">
      <w:pPr>
        <w:pStyle w:val="TableNotes"/>
      </w:pPr>
      <w:r w:rsidRPr="0047058F">
        <w:t># Cell size too small to be reported.</w:t>
      </w:r>
    </w:p>
    <w:p w14:paraId="75E0592B" w14:textId="77777777" w:rsidR="00A340EE" w:rsidRPr="0047058F" w:rsidRDefault="00A340EE" w:rsidP="00A340EE">
      <w:pPr>
        <w:pStyle w:val="TableNotes"/>
        <w:rPr>
          <w:b/>
        </w:rPr>
      </w:pPr>
      <w:r w:rsidRPr="0047058F">
        <w:rPr>
          <w:b/>
        </w:rPr>
        <w:t>Notes</w:t>
      </w:r>
    </w:p>
    <w:p w14:paraId="3AC9B152" w14:textId="77777777" w:rsidR="00A340EE" w:rsidRPr="0047058F" w:rsidRDefault="00A340EE" w:rsidP="00A340EE">
      <w:pPr>
        <w:pStyle w:val="TableNotes"/>
        <w:rPr>
          <w:bCs/>
        </w:rPr>
      </w:pPr>
      <w:r w:rsidRPr="0047058F">
        <w:t>Unweighted data.</w:t>
      </w:r>
    </w:p>
    <w:p w14:paraId="66A46370" w14:textId="77777777" w:rsidR="00A340EE" w:rsidRPr="0047058F" w:rsidRDefault="00A340EE" w:rsidP="00A340EE">
      <w:pPr>
        <w:pStyle w:val="TableNotes"/>
        <w:rPr>
          <w:bCs/>
        </w:rPr>
      </w:pPr>
      <w:r w:rsidRPr="0047058F">
        <w:rPr>
          <w:bCs/>
        </w:rPr>
        <w:t>Response rates presented in the table above are calculated as the proportion of those invited to participate in the study.</w:t>
      </w:r>
    </w:p>
    <w:p w14:paraId="4B87B8EC" w14:textId="77777777" w:rsidR="00A340EE" w:rsidRPr="00B47835" w:rsidRDefault="00A340EE" w:rsidP="00A340EE">
      <w:pPr>
        <w:pStyle w:val="TableNotes"/>
        <w:rPr>
          <w:bCs/>
        </w:rPr>
      </w:pPr>
      <w:r w:rsidRPr="0047058F">
        <w:rPr>
          <w:rFonts w:cs="Arial"/>
          <w:color w:val="000000" w:themeColor="text1"/>
        </w:rPr>
        <w:t>Missing: Transitioned ADF: Invited age group – 1 (0.3%).</w:t>
      </w:r>
    </w:p>
    <w:p w14:paraId="30CE0B87" w14:textId="77777777" w:rsidR="00A340EE" w:rsidRPr="0047058F" w:rsidRDefault="00A340EE" w:rsidP="003876A3">
      <w:r w:rsidRPr="0047058F">
        <w:t>The characteristics of CIDI respondents were as follows:</w:t>
      </w:r>
    </w:p>
    <w:p w14:paraId="6B9D130E" w14:textId="77777777" w:rsidR="00A340EE" w:rsidRPr="0047058F" w:rsidRDefault="00A340EE" w:rsidP="003876A3">
      <w:r w:rsidRPr="0047058F">
        <w:rPr>
          <w:b/>
          <w:bCs/>
        </w:rPr>
        <w:t>Age</w:t>
      </w:r>
      <w:r w:rsidRPr="0047058F">
        <w:t xml:space="preserve"> – Response rates were higher in the older age groups, more so for Transitioned ADF than Regular ADF. However, this was much less pronounced than in survey responders. The age distribution of CIDI responders resembled the invited population. More Transitioned ADF fell into the 58+ age group (28.4% vs 3.2%) compared to Regular ADF, and more 2015 Regular ADF fell into the 38 to 47 age group (38.8% vs 22.6%) and the 28 to 37 age group (22.0% vs 10.3%). The other age groups were similar.</w:t>
      </w:r>
    </w:p>
    <w:p w14:paraId="03F0F833" w14:textId="5BAFDAE7" w:rsidR="00A340EE" w:rsidRPr="0047058F" w:rsidRDefault="00A340EE" w:rsidP="003876A3">
      <w:r w:rsidRPr="0047058F">
        <w:rPr>
          <w:b/>
        </w:rPr>
        <w:t>Service</w:t>
      </w:r>
      <w:r w:rsidRPr="0047058F">
        <w:t xml:space="preserve"> – In the Transitioned ADF, 17.6% of CIDI responders were Navy, 47.1% were Army and 35.2% were Air Force. For the 2015 Regular ADF, 22.7% of survey responders were Navy, 39.0% were Army and 38.3% were Air Force. When response rates in the </w:t>
      </w:r>
      <w:r w:rsidRPr="0047058F">
        <w:lastRenderedPageBreak/>
        <w:t xml:space="preserve">different Services were compared, results showed a similar pattern to survey responders. Transitioned Air Force members were most likely to respond (78.6%), followed by Army (68.3%) and Navy members (64.8%). In the 2015 Regular ADF, all </w:t>
      </w:r>
      <w:r w:rsidR="00DE1267">
        <w:t>S</w:t>
      </w:r>
      <w:r w:rsidRPr="0047058F">
        <w:t>ervices had similar response rates. CIDI responders closely reflected the invited population.</w:t>
      </w:r>
    </w:p>
    <w:p w14:paraId="4E6E7699" w14:textId="77777777" w:rsidR="00A340EE" w:rsidRPr="0047058F" w:rsidRDefault="00A340EE" w:rsidP="003876A3">
      <w:r w:rsidRPr="0047058F">
        <w:rPr>
          <w:b/>
          <w:bCs/>
        </w:rPr>
        <w:t>Sex</w:t>
      </w:r>
      <w:r w:rsidRPr="0047058F">
        <w:t xml:space="preserve"> – Consistent with the invited populations, the responder samples were predominantly male. Response rates were similar for 2015 Regular ADF males (78.4%) and females (76.1%), and Transitioned ADF males (71.6%) were slightly more likely to respond than females (66.7%).</w:t>
      </w:r>
    </w:p>
    <w:p w14:paraId="7EC89CA7" w14:textId="77777777" w:rsidR="00A340EE" w:rsidRPr="0047058F" w:rsidRDefault="00A340EE" w:rsidP="003876A3">
      <w:r w:rsidRPr="0047058F">
        <w:rPr>
          <w:b/>
          <w:bCs/>
        </w:rPr>
        <w:t>Rank</w:t>
      </w:r>
      <w:r w:rsidRPr="0047058F">
        <w:t xml:space="preserve"> – CIDI responders from the Transitioned ADF comprised 41.8% Officers, 52.5% Non-Commissioned Officers and 5.7% Other Ranks. In the 2015 Regular ADF, Officers and Non-Commissioned Officers were more similar, with 47.0% Officers, 49.6% Non-Commissioned Officers and 3.4% Other Ranks completing a CIDI. The Transitioned ADF had slightly lower response rates for Officers and Non-Commissioned Officers compared to 2015 Regular ADF, and substantially lower for Other Ranks. In both groups, the lower ranks were the poorest CIDI responders.</w:t>
      </w:r>
    </w:p>
    <w:p w14:paraId="712EA109" w14:textId="77777777" w:rsidR="00A340EE" w:rsidRPr="0047058F" w:rsidRDefault="00A340EE" w:rsidP="003876A3">
      <w:r w:rsidRPr="0047058F">
        <w:rPr>
          <w:b/>
          <w:bCs/>
        </w:rPr>
        <w:t>Medical fitness</w:t>
      </w:r>
      <w:r w:rsidRPr="0047058F">
        <w:rPr>
          <w:bCs/>
        </w:rPr>
        <w:t xml:space="preserve"> </w:t>
      </w:r>
      <w:r w:rsidRPr="0047058F">
        <w:t>– Like survey responders, Transitioned ADF CIDI responders were more likely to be unfit on transition from Regular ADF (41.8%) compared to the 2015 Regular ADF population (23.4%). Transitioned ADF who were unfit had a response rate of 67.3% compared to a higher 79.4% in the 2015 Regular ADF. CIDI responders very closely reflected the invited population.</w:t>
      </w:r>
    </w:p>
    <w:p w14:paraId="24E4C58A" w14:textId="77777777" w:rsidR="00A340EE" w:rsidRPr="0047058F" w:rsidRDefault="00A340EE" w:rsidP="00860F45">
      <w:pPr>
        <w:pStyle w:val="Heading2"/>
      </w:pPr>
      <w:bookmarkStart w:id="113" w:name="_Toc482021323"/>
      <w:bookmarkStart w:id="114" w:name="_Toc482024414"/>
      <w:bookmarkStart w:id="115" w:name="_Toc487011179"/>
      <w:bookmarkStart w:id="116" w:name="_Toc494449695"/>
      <w:bookmarkStart w:id="117" w:name="_Toc498520984"/>
      <w:bookmarkStart w:id="118" w:name="_Toc529117461"/>
      <w:bookmarkStart w:id="119" w:name="_Toc532474359"/>
      <w:r w:rsidRPr="0047058F">
        <w:t>Statistical analysis</w:t>
      </w:r>
      <w:bookmarkEnd w:id="113"/>
      <w:bookmarkEnd w:id="114"/>
      <w:bookmarkEnd w:id="115"/>
      <w:bookmarkEnd w:id="116"/>
      <w:bookmarkEnd w:id="117"/>
      <w:bookmarkEnd w:id="118"/>
      <w:bookmarkEnd w:id="119"/>
    </w:p>
    <w:p w14:paraId="777B0EEE" w14:textId="77777777" w:rsidR="00A340EE" w:rsidRPr="0047058F" w:rsidRDefault="00A340EE" w:rsidP="00A340EE">
      <w:r w:rsidRPr="0047058F">
        <w:t xml:space="preserve">Analyses were conducted in Stata version 13.1 or SAS version 9.2 or 9.4. All analyses were conducted using raw totals, means and proportions, except where specified otherwise, with </w:t>
      </w:r>
      <w:r w:rsidRPr="0047058F">
        <w:rPr>
          <w:i/>
        </w:rPr>
        <w:t>no statistical weighting used</w:t>
      </w:r>
      <w:r w:rsidRPr="0047058F">
        <w:t>. Standard errors were produced using linearisation, except where specified otherwise.</w:t>
      </w:r>
    </w:p>
    <w:p w14:paraId="46F8AB75" w14:textId="77777777" w:rsidR="00A340EE" w:rsidRPr="0047058F" w:rsidRDefault="00A340EE" w:rsidP="00A340EE">
      <w:r w:rsidRPr="0047058F">
        <w:t>All analyses were restricted to those Transition and Wellbeing Research Programme respondents who had data available at both time points (2010 and 2015) and who consented to linkage of their data. In the case of multivariate logistic regression models, analysis samples were further restricted to include only those respondents with all data items used in the analyses.</w:t>
      </w:r>
    </w:p>
    <w:p w14:paraId="4CD69007" w14:textId="77777777" w:rsidR="00A340EE" w:rsidRPr="0047058F" w:rsidRDefault="00A340EE" w:rsidP="00A340EE">
      <w:r w:rsidRPr="0047058F">
        <w:t>Descriptive analyses present totals, means and proportions, with between-group differences described. Where differences were statistically tested, logistic regressions were performed, and odds ratios and 95% confidence intervals presented.</w:t>
      </w:r>
    </w:p>
    <w:p w14:paraId="5E60454B" w14:textId="77777777" w:rsidR="00A340EE" w:rsidRPr="0047058F" w:rsidRDefault="00A340EE" w:rsidP="00A340EE">
      <w:r w:rsidRPr="0047058F">
        <w:lastRenderedPageBreak/>
        <w:t>Longitudinal predictive analyses were performed on the entire longitudinal cohort (Transitioned and Regular ADF combined), which was divided into three subsamples – those with no disorder in 2010, those with subsyndromal disorder in 2010, and those with probable disorder in 2010 (as specified below) – with separate univariate, then multivariate, multinomial logistic regression models performed for each.</w:t>
      </w:r>
    </w:p>
    <w:p w14:paraId="2E4F258A" w14:textId="77777777" w:rsidR="00A340EE" w:rsidRPr="0047058F" w:rsidRDefault="00A340EE" w:rsidP="00860F45">
      <w:pPr>
        <w:pStyle w:val="Heading2"/>
      </w:pPr>
      <w:bookmarkStart w:id="120" w:name="_Toc482021329"/>
      <w:bookmarkStart w:id="121" w:name="_Toc482024420"/>
      <w:bookmarkStart w:id="122" w:name="_Toc487011184"/>
      <w:bookmarkStart w:id="123" w:name="_Toc494449700"/>
      <w:bookmarkStart w:id="124" w:name="_Toc498520989"/>
      <w:bookmarkStart w:id="125" w:name="_Toc529117462"/>
      <w:bookmarkStart w:id="126" w:name="_Toc532474360"/>
      <w:r w:rsidRPr="0047058F">
        <w:t>Measures used in this report</w:t>
      </w:r>
      <w:bookmarkEnd w:id="120"/>
      <w:bookmarkEnd w:id="121"/>
      <w:bookmarkEnd w:id="122"/>
      <w:bookmarkEnd w:id="123"/>
      <w:bookmarkEnd w:id="124"/>
      <w:bookmarkEnd w:id="125"/>
      <w:bookmarkEnd w:id="126"/>
    </w:p>
    <w:p w14:paraId="2D5FEA10" w14:textId="77777777" w:rsidR="00A340EE" w:rsidRPr="0047058F" w:rsidRDefault="00A340EE" w:rsidP="00860F45">
      <w:pPr>
        <w:pStyle w:val="Heading3"/>
      </w:pPr>
      <w:bookmarkStart w:id="127" w:name="_Toc482021331"/>
      <w:bookmarkStart w:id="128" w:name="_Toc482024422"/>
      <w:bookmarkStart w:id="129" w:name="_Toc487011185"/>
      <w:bookmarkStart w:id="130" w:name="_Toc494449701"/>
      <w:bookmarkStart w:id="131" w:name="_Toc498520990"/>
      <w:bookmarkStart w:id="132" w:name="_Toc532474361"/>
      <w:r w:rsidRPr="0047058F">
        <w:t>Self-report survey</w:t>
      </w:r>
      <w:bookmarkEnd w:id="127"/>
      <w:bookmarkEnd w:id="128"/>
      <w:bookmarkEnd w:id="129"/>
      <w:bookmarkEnd w:id="130"/>
      <w:bookmarkEnd w:id="131"/>
      <w:bookmarkEnd w:id="132"/>
    </w:p>
    <w:p w14:paraId="53A333DD" w14:textId="77777777" w:rsidR="00A340EE" w:rsidRPr="0047058F" w:rsidRDefault="00A340EE" w:rsidP="00A340EE">
      <w:r w:rsidRPr="0047058F">
        <w:rPr>
          <w:rFonts w:cs="Calibri"/>
        </w:rPr>
        <w:t>Participants completed the following measures in 2010 as part of the Mental Health Prevalence and Wellbeing Study (MHPWS), and then again in 2015 as part of the current investigation.</w:t>
      </w:r>
    </w:p>
    <w:p w14:paraId="37098D23" w14:textId="77777777" w:rsidR="00A340EE" w:rsidRPr="0047058F" w:rsidRDefault="00A340EE" w:rsidP="00A340EE">
      <w:pPr>
        <w:pStyle w:val="Heading5"/>
        <w:rPr>
          <w:lang w:val="en-AU"/>
        </w:rPr>
      </w:pPr>
      <w:r w:rsidRPr="0047058F">
        <w:rPr>
          <w:lang w:val="en-AU"/>
        </w:rPr>
        <w:t>Depressive symptoms</w:t>
      </w:r>
    </w:p>
    <w:p w14:paraId="0478481E" w14:textId="132D60CE" w:rsidR="00A340EE" w:rsidRPr="0047058F" w:rsidRDefault="00A340EE" w:rsidP="000D2D22">
      <w:r w:rsidRPr="0047058F">
        <w:t>Self-reported depression was examined using the Patient Health Questionnaire 9-item scale (PHQ-9) (Kroenke, Spitzer &amp; Williams, 2001). The nine items of the PHQ-9 are scored from 0 to 3 and summed to give a total score of between 0 and 27. The PHQ-9 provides various levels of diagnostic severity</w:t>
      </w:r>
      <w:r w:rsidR="00612118">
        <w:t>,</w:t>
      </w:r>
      <w:r w:rsidRPr="0047058F">
        <w:t xml:space="preserve"> with higher scores indicating higher levels of depression symptoms.</w:t>
      </w:r>
    </w:p>
    <w:p w14:paraId="1573568E" w14:textId="77777777" w:rsidR="00A340EE" w:rsidRPr="0047058F" w:rsidRDefault="00A340EE" w:rsidP="00A340EE">
      <w:pPr>
        <w:pStyle w:val="Heading5"/>
        <w:rPr>
          <w:lang w:val="en-AU"/>
        </w:rPr>
      </w:pPr>
      <w:r w:rsidRPr="0047058F">
        <w:rPr>
          <w:lang w:val="en-AU"/>
        </w:rPr>
        <w:t>Psychological distress</w:t>
      </w:r>
    </w:p>
    <w:p w14:paraId="04CC4D25" w14:textId="77777777" w:rsidR="00A340EE" w:rsidRPr="0047058F" w:rsidRDefault="00A340EE" w:rsidP="000D2D22">
      <w:r w:rsidRPr="0047058F">
        <w:t>The Kessler Psychological Distress 10-item scale (K10) (Kessler et al., 2002) is a short screening questionnaire that yields a global measure of psychological distress based on symptoms of anxiety and depression experienced in the most recent four-week period. Items are scored from 1 to 5 and are summed to give a total score of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and were used to identify levels of psychological distress in the 2010 ADF Mental Health Prevalence and Wellbeing Study (McFarlane et al., 2011).</w:t>
      </w:r>
    </w:p>
    <w:p w14:paraId="2CB849D4" w14:textId="77777777" w:rsidR="00A340EE" w:rsidRPr="0047058F" w:rsidRDefault="00A340EE" w:rsidP="00A340EE">
      <w:pPr>
        <w:pStyle w:val="Heading5"/>
        <w:rPr>
          <w:lang w:val="en-AU"/>
        </w:rPr>
      </w:pPr>
      <w:r w:rsidRPr="0047058F">
        <w:rPr>
          <w:lang w:val="en-AU"/>
        </w:rPr>
        <w:t>Posttraumatic stress disorder</w:t>
      </w:r>
    </w:p>
    <w:p w14:paraId="34F50523" w14:textId="77777777" w:rsidR="00A340EE" w:rsidRPr="0047058F" w:rsidRDefault="00A340EE" w:rsidP="000D2D22">
      <w:r w:rsidRPr="0047058F">
        <w:t xml:space="preserve">The Posttraumatic Stress Disorder Checklist – civilian version (PCL-C) (Weathers, Litz, Herman, Huska &amp; Keane, 1993) is a 17-item self-report measure designed to assess the symptomatic criteria of PTSD according to the </w:t>
      </w:r>
      <w:r w:rsidRPr="0047058F">
        <w:rPr>
          <w:i/>
        </w:rPr>
        <w:t>Diagnostic and Statistical Manual of Mental Disorders, Fourth Edition</w:t>
      </w:r>
      <w:r w:rsidRPr="0047058F">
        <w:t xml:space="preserve"> (DSM-IV).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p>
    <w:p w14:paraId="36D2CF41" w14:textId="77777777" w:rsidR="00A340EE" w:rsidRPr="0047058F" w:rsidRDefault="00A340EE" w:rsidP="00A340EE">
      <w:pPr>
        <w:pStyle w:val="Heading5"/>
        <w:rPr>
          <w:lang w:val="en-AU"/>
        </w:rPr>
      </w:pPr>
      <w:r w:rsidRPr="0047058F">
        <w:rPr>
          <w:lang w:val="en-AU"/>
        </w:rPr>
        <w:lastRenderedPageBreak/>
        <w:t>Alcohol consumption and problem drinking</w:t>
      </w:r>
    </w:p>
    <w:p w14:paraId="5065CBA7" w14:textId="046DB945" w:rsidR="00A340EE" w:rsidRPr="0047058F" w:rsidRDefault="00A340EE" w:rsidP="000D2D22">
      <w:r w:rsidRPr="0047058F">
        <w:t>Alcohol consumption and problem drinking w</w:t>
      </w:r>
      <w:r w:rsidR="00612118">
        <w:t>ere</w:t>
      </w:r>
      <w:r w:rsidRPr="0047058F">
        <w:t xml:space="preserve"> examined using the Alcohol Use Disorders Identification Test (AUDIT) (Saunders, Aasland, Babor, de la Fuente &amp; Grant,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(Babor, Higgins-Biddle, Saunders &amp; Monteiro, 2001). Currently, the recommended World Health Organization risk categories are utilised with ADF populations and are also therefore the scoring categories utilised in this study. This process identifies four bands of risk: Band 1 (scores of 0–7) represents those who would benefit from alcohol education; Band 2 (8–15) represents those who are likely to require simple advice; Band 3 (scores of 16–19) are those where counselling and continued monitoring is recommended; and Band 4 (scores of 20–40) requires diagnostic evaluation and treatment, including counselling and monitoring (Babor, de la Fuente, Saunders &amp; Grant, 1989; Babor et al., 2001).</w:t>
      </w:r>
    </w:p>
    <w:p w14:paraId="6C4293BE" w14:textId="77777777" w:rsidR="00A340EE" w:rsidRPr="0047058F" w:rsidRDefault="00A340EE" w:rsidP="00A340EE">
      <w:pPr>
        <w:pStyle w:val="Heading5"/>
        <w:rPr>
          <w:lang w:val="en-AU"/>
        </w:rPr>
      </w:pPr>
      <w:r w:rsidRPr="0047058F">
        <w:rPr>
          <w:lang w:val="en-AU"/>
        </w:rPr>
        <w:t>Twelve-month suicidal ideation and behaviour</w:t>
      </w:r>
    </w:p>
    <w:p w14:paraId="512AC434" w14:textId="6A7788D0" w:rsidR="00A340EE" w:rsidRPr="0047058F" w:rsidRDefault="00A340EE" w:rsidP="000D2D22">
      <w:r w:rsidRPr="0047058F">
        <w:t>Twelve-month suicidal ideation and behaviour was assessed via four items that looked specifically at suicidal thoughts, plans and attempts. Three of the items in this section were adapted from the National Survey of Mental Health and Wellbeing (Australian Bureau of Statistics, 2008)</w:t>
      </w:r>
      <w:r w:rsidR="00354620">
        <w:t>,</w:t>
      </w:r>
      <w:r w:rsidRPr="0047058F">
        <w:t xml:space="preserve"> and the final item was devised by researchers for use in the current study.</w:t>
      </w:r>
    </w:p>
    <w:p w14:paraId="70B5D32F" w14:textId="77777777" w:rsidR="00A340EE" w:rsidRPr="0047058F" w:rsidRDefault="00A340EE" w:rsidP="00A340EE">
      <w:pPr>
        <w:pStyle w:val="Heading5"/>
        <w:rPr>
          <w:lang w:val="en-AU"/>
        </w:rPr>
      </w:pPr>
      <w:r w:rsidRPr="0047058F">
        <w:rPr>
          <w:lang w:val="en-AU"/>
        </w:rPr>
        <w:t>Anger symptoms</w:t>
      </w:r>
    </w:p>
    <w:p w14:paraId="0A73992E" w14:textId="77777777" w:rsidR="00A340EE" w:rsidRPr="0047058F" w:rsidRDefault="00A340EE" w:rsidP="000D2D22">
      <w:r w:rsidRPr="0047058F">
        <w:t>The Dimensions of Anger Reactions 5-item scale (DAR-5) (Forbes et al., 2004) assesses anger frequency, intensity, duration, and anger’s perceived negative impact on social relationships, as rated over the past four weeks. Respondents were instructed to rate the amount of time they had experienced each of the five symptoms of anger over the last four weeks on a 5-point scale ranging from 1 (‘none of the time’) to 5 (‘all of the time’). Items are summed to create a total score (range 5 to 25), with higher scores indicating a higher frequency of anger.</w:t>
      </w:r>
    </w:p>
    <w:p w14:paraId="0FC82ACB" w14:textId="77777777" w:rsidR="00A340EE" w:rsidRPr="0047058F" w:rsidRDefault="00A340EE" w:rsidP="00A340EE">
      <w:pPr>
        <w:pStyle w:val="Heading5"/>
        <w:rPr>
          <w:lang w:val="en-AU"/>
        </w:rPr>
      </w:pPr>
      <w:r w:rsidRPr="0047058F">
        <w:rPr>
          <w:lang w:val="en-AU"/>
        </w:rPr>
        <w:lastRenderedPageBreak/>
        <w:t>Physical violence</w:t>
      </w:r>
    </w:p>
    <w:p w14:paraId="0D1E6040" w14:textId="77777777" w:rsidR="00A340EE" w:rsidRPr="0047058F" w:rsidRDefault="00A340EE" w:rsidP="00A340EE">
      <w:pPr>
        <w:keepNext/>
        <w:autoSpaceDE w:val="0"/>
        <w:autoSpaceDN w:val="0"/>
        <w:adjustRightInd w:val="0"/>
        <w:spacing w:after="240"/>
        <w:rPr>
          <w:rFonts w:asciiTheme="minorHAnsi" w:hAnsiTheme="minorHAnsi" w:cs="Times"/>
        </w:rPr>
      </w:pPr>
      <w:r w:rsidRPr="0047058F">
        <w:rPr>
          <w:rFonts w:asciiTheme="minorHAnsi" w:hAnsiTheme="minorHAnsi" w:cs="Times"/>
        </w:rPr>
        <w:t>Two items addressing participants’ personal experiences with physical violence or threatened violence were taken from the 2010 ADF Mental Health Prevalence and Wellbeing Study (McFarlane et al., 2011). Participants were asked whether they had got into a fight or hit someone in the last month, or whether they had threatened someone with physical violence in the last month. Both items were scored on a 5-point scale ranging from ‘never’ to ‘five or more times’, which was further collapsed into two categories for the current report – ‘never’ and ‘one or more times’.</w:t>
      </w:r>
    </w:p>
    <w:p w14:paraId="615F3B0F" w14:textId="30409669" w:rsidR="00A340EE" w:rsidRPr="0047058F" w:rsidRDefault="00A340EE" w:rsidP="00A340EE">
      <w:pPr>
        <w:rPr>
          <w:rFonts w:cs="Calibri"/>
          <w:bCs/>
        </w:rPr>
      </w:pPr>
      <w:r w:rsidRPr="0047058F">
        <w:rPr>
          <w:rFonts w:cs="Calibri"/>
        </w:rPr>
        <w:t xml:space="preserve">The following additional survey measures are examined in Chapter 6: </w:t>
      </w:r>
      <w:r w:rsidRPr="0047058F">
        <w:rPr>
          <w:rFonts w:cs="Calibri"/>
          <w:bCs/>
        </w:rPr>
        <w:t xml:space="preserve">Longitudinal </w:t>
      </w:r>
      <w:r w:rsidR="00020AE5">
        <w:rPr>
          <w:rFonts w:cs="Calibri"/>
          <w:bCs/>
        </w:rPr>
        <w:t>C</w:t>
      </w:r>
      <w:r w:rsidRPr="0047058F">
        <w:rPr>
          <w:rFonts w:cs="Calibri"/>
          <w:bCs/>
        </w:rPr>
        <w:t xml:space="preserve">ourse of </w:t>
      </w:r>
      <w:r w:rsidR="00020AE5">
        <w:rPr>
          <w:rFonts w:cs="Calibri"/>
          <w:bCs/>
        </w:rPr>
        <w:t>P</w:t>
      </w:r>
      <w:r w:rsidRPr="0047058F">
        <w:rPr>
          <w:rFonts w:cs="Calibri"/>
          <w:bCs/>
        </w:rPr>
        <w:t xml:space="preserve">robable </w:t>
      </w:r>
      <w:r w:rsidR="00020AE5">
        <w:rPr>
          <w:rFonts w:cs="Calibri"/>
          <w:bCs/>
        </w:rPr>
        <w:t>M</w:t>
      </w:r>
      <w:r w:rsidRPr="0047058F">
        <w:rPr>
          <w:rFonts w:cs="Calibri"/>
          <w:bCs/>
        </w:rPr>
        <w:t xml:space="preserve">ental </w:t>
      </w:r>
      <w:r w:rsidR="00020AE5">
        <w:rPr>
          <w:rFonts w:cs="Calibri"/>
          <w:bCs/>
        </w:rPr>
        <w:t>D</w:t>
      </w:r>
      <w:r w:rsidRPr="0047058F">
        <w:rPr>
          <w:rFonts w:cs="Calibri"/>
          <w:bCs/>
        </w:rPr>
        <w:t xml:space="preserve">isorder in the MHPWS </w:t>
      </w:r>
      <w:r w:rsidR="00020AE5">
        <w:rPr>
          <w:rFonts w:cs="Calibri"/>
          <w:bCs/>
        </w:rPr>
        <w:t>P</w:t>
      </w:r>
      <w:r w:rsidRPr="0047058F">
        <w:rPr>
          <w:rFonts w:cs="Calibri"/>
          <w:bCs/>
        </w:rPr>
        <w:t>opulation.</w:t>
      </w:r>
    </w:p>
    <w:p w14:paraId="1D69970D" w14:textId="77777777" w:rsidR="00A340EE" w:rsidRPr="0047058F" w:rsidRDefault="00A340EE" w:rsidP="00A340EE">
      <w:pPr>
        <w:pStyle w:val="Heading4"/>
        <w:ind w:left="864" w:hanging="864"/>
      </w:pPr>
      <w:r w:rsidRPr="0047058F">
        <w:t>2010 ADF Mental Health Prevalence and Wellbeing Study measures</w:t>
      </w:r>
    </w:p>
    <w:p w14:paraId="76D49713" w14:textId="77777777" w:rsidR="00A340EE" w:rsidRPr="0047058F" w:rsidRDefault="00A340EE" w:rsidP="00A340EE">
      <w:pPr>
        <w:pStyle w:val="Heading5"/>
        <w:rPr>
          <w:lang w:val="en-AU"/>
        </w:rPr>
      </w:pPr>
      <w:r w:rsidRPr="0047058F">
        <w:rPr>
          <w:lang w:val="en-AU"/>
        </w:rPr>
        <w:t>Length of service</w:t>
      </w:r>
    </w:p>
    <w:p w14:paraId="54B4AD6F" w14:textId="77777777" w:rsidR="00A340EE" w:rsidRPr="0047058F" w:rsidRDefault="00A340EE" w:rsidP="00A340EE">
      <w:pPr>
        <w:rPr>
          <w:rFonts w:asciiTheme="minorHAnsi" w:eastAsiaTheme="minorEastAsia" w:hAnsiTheme="minorHAnsi" w:cs="Times"/>
        </w:rPr>
      </w:pPr>
      <w:r w:rsidRPr="0047058F">
        <w:rPr>
          <w:rFonts w:asciiTheme="minorHAnsi" w:eastAsiaTheme="minorEastAsia" w:hAnsiTheme="minorHAnsi" w:cs="Times"/>
        </w:rPr>
        <w:t>Participants were asked, ‘To the nearest year, how long have you served with the Australian Defence Force as a Regular?’ They entered the number of years they had served.</w:t>
      </w:r>
    </w:p>
    <w:p w14:paraId="326E6D24" w14:textId="77777777" w:rsidR="00A340EE" w:rsidRPr="0047058F" w:rsidRDefault="00A340EE" w:rsidP="00A340EE">
      <w:pPr>
        <w:pStyle w:val="Heading5"/>
        <w:rPr>
          <w:lang w:val="en-AU"/>
        </w:rPr>
      </w:pPr>
      <w:r w:rsidRPr="0047058F">
        <w:rPr>
          <w:lang w:val="en-AU"/>
        </w:rPr>
        <w:t>Significant intimate relationship</w:t>
      </w:r>
    </w:p>
    <w:p w14:paraId="515DD48B" w14:textId="77777777" w:rsidR="00A340EE" w:rsidRPr="0047058F" w:rsidRDefault="00A340EE" w:rsidP="00A340EE">
      <w:pPr>
        <w:rPr>
          <w:rFonts w:asciiTheme="minorHAnsi" w:eastAsiaTheme="minorEastAsia" w:hAnsiTheme="minorHAnsi" w:cs="Times"/>
        </w:rPr>
      </w:pPr>
      <w:r w:rsidRPr="0047058F">
        <w:rPr>
          <w:rFonts w:asciiTheme="minorHAnsi" w:eastAsiaTheme="minorEastAsia" w:hAnsiTheme="minorHAnsi" w:cs="Times"/>
        </w:rPr>
        <w:t>Participants were asked, ‘Are you currently in a significant intimate relationship?’ Response options were ‘yes’ or ‘no’.</w:t>
      </w:r>
    </w:p>
    <w:p w14:paraId="17AFC9DE" w14:textId="77777777" w:rsidR="00A340EE" w:rsidRPr="0047058F" w:rsidRDefault="00A340EE" w:rsidP="00A340EE">
      <w:pPr>
        <w:pStyle w:val="Heading5"/>
        <w:rPr>
          <w:lang w:val="en-AU"/>
        </w:rPr>
      </w:pPr>
      <w:r w:rsidRPr="0047058F">
        <w:rPr>
          <w:lang w:val="en-AU"/>
        </w:rPr>
        <w:t>Satisfaction with marriage</w:t>
      </w:r>
    </w:p>
    <w:p w14:paraId="4DDFF64E" w14:textId="53FB0AC8" w:rsidR="00A340EE" w:rsidRPr="0047058F" w:rsidRDefault="00A340EE" w:rsidP="00A340EE">
      <w:pPr>
        <w:rPr>
          <w:rFonts w:asciiTheme="minorHAnsi" w:eastAsiaTheme="minorEastAsia" w:hAnsiTheme="minorHAnsi" w:cs="Times"/>
        </w:rPr>
      </w:pPr>
      <w:r w:rsidRPr="0047058F">
        <w:rPr>
          <w:rFonts w:asciiTheme="minorHAnsi" w:eastAsiaTheme="minorEastAsia" w:hAnsiTheme="minorHAnsi" w:cs="Times"/>
        </w:rPr>
        <w:t xml:space="preserve">Participants were asked, ‘How satisfied are you with your marriage/relationship?’ They responded on a 5-point scale from </w:t>
      </w:r>
      <w:r w:rsidR="00B8552A">
        <w:rPr>
          <w:rFonts w:asciiTheme="minorHAnsi" w:eastAsiaTheme="minorEastAsia" w:hAnsiTheme="minorHAnsi" w:cs="Times"/>
        </w:rPr>
        <w:t>‘</w:t>
      </w:r>
      <w:r w:rsidRPr="0047058F">
        <w:rPr>
          <w:rFonts w:asciiTheme="minorHAnsi" w:eastAsiaTheme="minorEastAsia" w:hAnsiTheme="minorHAnsi" w:cs="Times"/>
        </w:rPr>
        <w:t>extremely satisfied</w:t>
      </w:r>
      <w:r w:rsidR="00B8552A">
        <w:rPr>
          <w:rFonts w:asciiTheme="minorHAnsi" w:eastAsiaTheme="minorEastAsia" w:hAnsiTheme="minorHAnsi" w:cs="Times"/>
        </w:rPr>
        <w:t>’</w:t>
      </w:r>
      <w:r w:rsidRPr="0047058F">
        <w:rPr>
          <w:rFonts w:asciiTheme="minorHAnsi" w:eastAsiaTheme="minorEastAsia" w:hAnsiTheme="minorHAnsi" w:cs="Times"/>
        </w:rPr>
        <w:t xml:space="preserve"> to </w:t>
      </w:r>
      <w:r w:rsidR="00B8552A">
        <w:rPr>
          <w:rFonts w:asciiTheme="minorHAnsi" w:eastAsiaTheme="minorEastAsia" w:hAnsiTheme="minorHAnsi" w:cs="Times"/>
        </w:rPr>
        <w:t>‘</w:t>
      </w:r>
      <w:r w:rsidRPr="0047058F">
        <w:rPr>
          <w:rFonts w:asciiTheme="minorHAnsi" w:eastAsiaTheme="minorEastAsia" w:hAnsiTheme="minorHAnsi" w:cs="Times"/>
        </w:rPr>
        <w:t>extremely dissatisfied</w:t>
      </w:r>
      <w:r w:rsidR="00B8552A">
        <w:rPr>
          <w:rFonts w:asciiTheme="minorHAnsi" w:eastAsiaTheme="minorEastAsia" w:hAnsiTheme="minorHAnsi" w:cs="Times"/>
        </w:rPr>
        <w:t>’</w:t>
      </w:r>
      <w:r w:rsidRPr="0047058F">
        <w:rPr>
          <w:rFonts w:asciiTheme="minorHAnsi" w:eastAsiaTheme="minorEastAsia" w:hAnsiTheme="minorHAnsi" w:cs="Times"/>
        </w:rPr>
        <w:t>.</w:t>
      </w:r>
    </w:p>
    <w:p w14:paraId="23F8F211" w14:textId="77777777" w:rsidR="00A340EE" w:rsidRPr="0047058F" w:rsidRDefault="00A340EE" w:rsidP="00A340EE">
      <w:pPr>
        <w:pStyle w:val="Heading5"/>
        <w:rPr>
          <w:lang w:val="en-AU"/>
        </w:rPr>
      </w:pPr>
      <w:r w:rsidRPr="0047058F">
        <w:rPr>
          <w:lang w:val="en-AU"/>
        </w:rPr>
        <w:t>Resilience</w:t>
      </w:r>
    </w:p>
    <w:p w14:paraId="206B46F3" w14:textId="38D7072D" w:rsidR="00A340EE" w:rsidRPr="0047058F" w:rsidRDefault="00A340EE" w:rsidP="00A340EE">
      <w:pPr>
        <w:rPr>
          <w:rFonts w:asciiTheme="minorHAnsi" w:eastAsiaTheme="minorEastAsia" w:hAnsiTheme="minorHAnsi" w:cs="Times"/>
        </w:rPr>
      </w:pPr>
      <w:r w:rsidRPr="0047058F">
        <w:rPr>
          <w:rFonts w:asciiTheme="minorHAnsi" w:eastAsiaTheme="minorEastAsia" w:hAnsiTheme="minorHAnsi" w:cs="Times"/>
        </w:rPr>
        <w:t>Resilience was assessed using two questions from the two-item Connor-Davidson Resilience Scale (CD-RISC 2) (Connor &amp; Davidson, 2003). These items asked how often the participant felt they were able to adapt to change and tended to bounce back after hardship in the past 30 days. Statements are rated on a 5-point scale from ‘not true at all’ to ‘true nearly all the time’.</w:t>
      </w:r>
    </w:p>
    <w:p w14:paraId="4E8DAAC6" w14:textId="77777777" w:rsidR="00A340EE" w:rsidRPr="0047058F" w:rsidRDefault="00A340EE" w:rsidP="00A340EE">
      <w:pPr>
        <w:pStyle w:val="Heading5"/>
        <w:rPr>
          <w:lang w:val="en-AU"/>
        </w:rPr>
      </w:pPr>
      <w:r w:rsidRPr="0047058F">
        <w:rPr>
          <w:lang w:val="en-AU"/>
        </w:rPr>
        <w:t>Help seeking</w:t>
      </w:r>
    </w:p>
    <w:p w14:paraId="2BDD473F" w14:textId="2C3B0957" w:rsidR="00A340EE" w:rsidRPr="0047058F" w:rsidRDefault="00A340EE" w:rsidP="00A340EE">
      <w:r w:rsidRPr="0047058F">
        <w:t xml:space="preserve">Help seeking was assessed using the K10 Plus (Kessler et al., 2002), </w:t>
      </w:r>
      <w:r w:rsidRPr="0047058F">
        <w:rPr>
          <w:rFonts w:asciiTheme="minorHAnsi" w:eastAsia="Times New Roman" w:hAnsiTheme="minorHAnsi" w:cstheme="minorHAnsi"/>
          <w:color w:val="auto"/>
          <w:lang w:eastAsia="en-AU"/>
        </w:rPr>
        <w:t>which comprises four questions asked after the K10 to assess functioning and related factors</w:t>
      </w:r>
      <w:r w:rsidRPr="0047058F">
        <w:t>. One K10 Plus item was used to assess help seeking – ‘In the past four weeks, how many times have you seen a doctor or any other health professional about these feelings?’ Participants entered the number of times.</w:t>
      </w:r>
    </w:p>
    <w:p w14:paraId="63030324" w14:textId="77777777" w:rsidR="00A340EE" w:rsidRPr="0047058F" w:rsidRDefault="00A340EE" w:rsidP="00A340EE">
      <w:pPr>
        <w:pStyle w:val="Heading4"/>
        <w:ind w:left="864" w:hanging="864"/>
      </w:pPr>
      <w:r w:rsidRPr="0047058F">
        <w:lastRenderedPageBreak/>
        <w:t>2015 Transition and Wellbeing Research Programme measures</w:t>
      </w:r>
    </w:p>
    <w:p w14:paraId="059C7252" w14:textId="77777777" w:rsidR="00A340EE" w:rsidRPr="0047058F" w:rsidRDefault="00A340EE" w:rsidP="00A340EE">
      <w:pPr>
        <w:pStyle w:val="Heading5"/>
        <w:rPr>
          <w:lang w:val="en-AU"/>
        </w:rPr>
      </w:pPr>
      <w:r w:rsidRPr="0047058F">
        <w:rPr>
          <w:lang w:val="en-AU"/>
        </w:rPr>
        <w:t>Lifetime exposure to traumatic events</w:t>
      </w:r>
    </w:p>
    <w:p w14:paraId="5DDA5907" w14:textId="77777777" w:rsidR="00A340EE" w:rsidRPr="0047058F" w:rsidRDefault="00A340EE" w:rsidP="00A340EE">
      <w:pPr>
        <w:pStyle w:val="Bullet"/>
        <w:numPr>
          <w:ilvl w:val="0"/>
          <w:numId w:val="0"/>
        </w:numPr>
      </w:pPr>
      <w:r w:rsidRPr="0047058F">
        <w:t>Lifetime exposure to trauma was taken from the PTSD module of the Composite International Diagnostic Interview Version 3 (CIDI 3.0) (Haro et al., 2006). Participants were asked to indicate whether or not they had experienced the following traumatic events:</w:t>
      </w:r>
    </w:p>
    <w:p w14:paraId="1C9645F3" w14:textId="77777777" w:rsidR="00A340EE" w:rsidRPr="0047058F" w:rsidRDefault="00A340EE" w:rsidP="00BD64A6">
      <w:pPr>
        <w:pStyle w:val="Bullet"/>
        <w:spacing w:after="120"/>
      </w:pPr>
      <w:r w:rsidRPr="0047058F">
        <w:t>combat (military or organised non-military group)</w:t>
      </w:r>
    </w:p>
    <w:p w14:paraId="4C063E0A" w14:textId="77777777" w:rsidR="00A340EE" w:rsidRPr="0047058F" w:rsidRDefault="00A340EE" w:rsidP="00031ACA">
      <w:pPr>
        <w:pStyle w:val="Bullet"/>
        <w:numPr>
          <w:ilvl w:val="0"/>
          <w:numId w:val="1"/>
        </w:numPr>
        <w:spacing w:after="120"/>
        <w:ind w:left="360"/>
      </w:pPr>
      <w:r w:rsidRPr="0047058F">
        <w:t>being a peacekeeper in a war zone or a place of ongoing terror</w:t>
      </w:r>
    </w:p>
    <w:p w14:paraId="2686D968" w14:textId="77777777" w:rsidR="00A340EE" w:rsidRPr="0047058F" w:rsidRDefault="00A340EE" w:rsidP="00031ACA">
      <w:pPr>
        <w:pStyle w:val="Bullet"/>
        <w:numPr>
          <w:ilvl w:val="0"/>
          <w:numId w:val="1"/>
        </w:numPr>
        <w:spacing w:after="120"/>
        <w:ind w:left="360"/>
      </w:pPr>
      <w:r w:rsidRPr="0047058F">
        <w:t>being an unarmed civilian in a place of war, revolution, military coup or invasion</w:t>
      </w:r>
    </w:p>
    <w:p w14:paraId="1E4F211B" w14:textId="77777777" w:rsidR="00A340EE" w:rsidRPr="0047058F" w:rsidRDefault="00A340EE" w:rsidP="00031ACA">
      <w:pPr>
        <w:pStyle w:val="Bullet"/>
        <w:numPr>
          <w:ilvl w:val="0"/>
          <w:numId w:val="1"/>
        </w:numPr>
        <w:spacing w:after="120"/>
        <w:ind w:left="360"/>
      </w:pPr>
      <w:r w:rsidRPr="0047058F">
        <w:t>living as a civilian in a place of ongoing terror for political, ethnic, religious or other reasons</w:t>
      </w:r>
    </w:p>
    <w:p w14:paraId="5CB5D6BC" w14:textId="77777777" w:rsidR="00A340EE" w:rsidRPr="0047058F" w:rsidRDefault="00A340EE" w:rsidP="00031ACA">
      <w:pPr>
        <w:pStyle w:val="Bullet"/>
        <w:numPr>
          <w:ilvl w:val="0"/>
          <w:numId w:val="1"/>
        </w:numPr>
        <w:spacing w:after="120"/>
        <w:ind w:left="360"/>
      </w:pPr>
      <w:r w:rsidRPr="0047058F">
        <w:t>being a refugee</w:t>
      </w:r>
    </w:p>
    <w:p w14:paraId="46FBC08A" w14:textId="77777777" w:rsidR="00A340EE" w:rsidRPr="0047058F" w:rsidRDefault="00A340EE" w:rsidP="00031ACA">
      <w:pPr>
        <w:pStyle w:val="Bullet"/>
        <w:numPr>
          <w:ilvl w:val="0"/>
          <w:numId w:val="1"/>
        </w:numPr>
        <w:spacing w:after="120"/>
        <w:ind w:left="360"/>
      </w:pPr>
      <w:r w:rsidRPr="0047058F">
        <w:t>being kidnapped or held captive</w:t>
      </w:r>
    </w:p>
    <w:p w14:paraId="43164A98" w14:textId="77777777" w:rsidR="00A340EE" w:rsidRPr="0047058F" w:rsidRDefault="00A340EE" w:rsidP="00031ACA">
      <w:pPr>
        <w:pStyle w:val="Bullet"/>
        <w:numPr>
          <w:ilvl w:val="0"/>
          <w:numId w:val="1"/>
        </w:numPr>
        <w:spacing w:after="120"/>
        <w:ind w:left="360"/>
      </w:pPr>
      <w:r w:rsidRPr="0047058F">
        <w:t>being exposed to a toxic chemical that could cause serious harm</w:t>
      </w:r>
    </w:p>
    <w:p w14:paraId="4938889A" w14:textId="77777777" w:rsidR="00A340EE" w:rsidRPr="0047058F" w:rsidRDefault="00A340EE" w:rsidP="00031ACA">
      <w:pPr>
        <w:pStyle w:val="Bullet"/>
        <w:numPr>
          <w:ilvl w:val="0"/>
          <w:numId w:val="1"/>
        </w:numPr>
        <w:spacing w:after="120"/>
        <w:ind w:left="360"/>
      </w:pPr>
      <w:r w:rsidRPr="0047058F">
        <w:t>being in a life-threatening automobile accident</w:t>
      </w:r>
    </w:p>
    <w:p w14:paraId="18DD5E8E" w14:textId="77777777" w:rsidR="00A340EE" w:rsidRPr="0047058F" w:rsidRDefault="00A340EE" w:rsidP="00031ACA">
      <w:pPr>
        <w:pStyle w:val="Bullet"/>
        <w:numPr>
          <w:ilvl w:val="0"/>
          <w:numId w:val="1"/>
        </w:numPr>
        <w:spacing w:after="120"/>
        <w:ind w:left="360"/>
      </w:pPr>
      <w:r w:rsidRPr="0047058F">
        <w:t>being in any other life-threatening accident</w:t>
      </w:r>
    </w:p>
    <w:p w14:paraId="7F81228F" w14:textId="77777777" w:rsidR="00A340EE" w:rsidRPr="0047058F" w:rsidRDefault="00A340EE" w:rsidP="00031ACA">
      <w:pPr>
        <w:pStyle w:val="Bullet"/>
        <w:numPr>
          <w:ilvl w:val="0"/>
          <w:numId w:val="1"/>
        </w:numPr>
        <w:spacing w:after="120"/>
        <w:ind w:left="360"/>
      </w:pPr>
      <w:r w:rsidRPr="0047058F">
        <w:t>being in a major natural disaster</w:t>
      </w:r>
    </w:p>
    <w:p w14:paraId="1817B1E7" w14:textId="77777777" w:rsidR="00A340EE" w:rsidRPr="0047058F" w:rsidRDefault="00A340EE" w:rsidP="00031ACA">
      <w:pPr>
        <w:pStyle w:val="Bullet"/>
        <w:numPr>
          <w:ilvl w:val="0"/>
          <w:numId w:val="1"/>
        </w:numPr>
        <w:spacing w:after="120"/>
        <w:ind w:left="360"/>
      </w:pPr>
      <w:r w:rsidRPr="0047058F">
        <w:t>being in a man-made disaster</w:t>
      </w:r>
    </w:p>
    <w:p w14:paraId="60109866" w14:textId="77777777" w:rsidR="00A340EE" w:rsidRPr="0047058F" w:rsidRDefault="00A340EE" w:rsidP="00031ACA">
      <w:pPr>
        <w:pStyle w:val="Bullet"/>
        <w:numPr>
          <w:ilvl w:val="0"/>
          <w:numId w:val="1"/>
        </w:numPr>
        <w:spacing w:after="120"/>
        <w:ind w:left="360"/>
      </w:pPr>
      <w:r w:rsidRPr="0047058F">
        <w:t>having a life-threatening illness</w:t>
      </w:r>
    </w:p>
    <w:p w14:paraId="77B364B5" w14:textId="77777777" w:rsidR="00A340EE" w:rsidRPr="0047058F" w:rsidRDefault="00A340EE" w:rsidP="00031ACA">
      <w:pPr>
        <w:pStyle w:val="Bullet"/>
        <w:numPr>
          <w:ilvl w:val="0"/>
          <w:numId w:val="1"/>
        </w:numPr>
        <w:spacing w:after="120"/>
        <w:ind w:left="360"/>
      </w:pPr>
      <w:r w:rsidRPr="0047058F">
        <w:t>being beaten by a spouse or romantic partner</w:t>
      </w:r>
    </w:p>
    <w:p w14:paraId="382B63EC" w14:textId="77777777" w:rsidR="00A340EE" w:rsidRPr="0047058F" w:rsidRDefault="00A340EE" w:rsidP="00031ACA">
      <w:pPr>
        <w:pStyle w:val="Bullet"/>
        <w:numPr>
          <w:ilvl w:val="0"/>
          <w:numId w:val="1"/>
        </w:numPr>
        <w:spacing w:after="120"/>
        <w:ind w:left="360"/>
      </w:pPr>
      <w:r w:rsidRPr="0047058F">
        <w:t>being badly beaten by anyone else</w:t>
      </w:r>
    </w:p>
    <w:p w14:paraId="73A52B6C" w14:textId="77777777" w:rsidR="00A340EE" w:rsidRPr="0047058F" w:rsidRDefault="00A340EE" w:rsidP="00031ACA">
      <w:pPr>
        <w:pStyle w:val="Bullet"/>
        <w:numPr>
          <w:ilvl w:val="0"/>
          <w:numId w:val="1"/>
        </w:numPr>
        <w:spacing w:after="120"/>
        <w:ind w:left="360"/>
      </w:pPr>
      <w:r w:rsidRPr="0047058F">
        <w:t>being mugged, held up, or threatened with a weapon</w:t>
      </w:r>
    </w:p>
    <w:p w14:paraId="227FD482" w14:textId="77777777" w:rsidR="00A340EE" w:rsidRPr="0047058F" w:rsidRDefault="00A340EE" w:rsidP="00031ACA">
      <w:pPr>
        <w:pStyle w:val="Bullet"/>
        <w:numPr>
          <w:ilvl w:val="0"/>
          <w:numId w:val="1"/>
        </w:numPr>
        <w:spacing w:after="120"/>
        <w:ind w:left="360"/>
      </w:pPr>
      <w:r w:rsidRPr="0047058F">
        <w:t>being raped</w:t>
      </w:r>
    </w:p>
    <w:p w14:paraId="1D0845E3" w14:textId="77777777" w:rsidR="00A340EE" w:rsidRPr="0047058F" w:rsidRDefault="00A340EE" w:rsidP="00031ACA">
      <w:pPr>
        <w:pStyle w:val="Bullet"/>
        <w:numPr>
          <w:ilvl w:val="0"/>
          <w:numId w:val="1"/>
        </w:numPr>
        <w:spacing w:after="120"/>
        <w:ind w:left="360"/>
      </w:pPr>
      <w:r w:rsidRPr="0047058F">
        <w:t>being sexually assaulted</w:t>
      </w:r>
    </w:p>
    <w:p w14:paraId="616DD3F4" w14:textId="77777777" w:rsidR="00A340EE" w:rsidRPr="0047058F" w:rsidRDefault="00A340EE" w:rsidP="00031ACA">
      <w:pPr>
        <w:pStyle w:val="Bullet"/>
        <w:numPr>
          <w:ilvl w:val="0"/>
          <w:numId w:val="1"/>
        </w:numPr>
        <w:spacing w:after="120"/>
        <w:ind w:left="360"/>
      </w:pPr>
      <w:r w:rsidRPr="0047058F">
        <w:t>being stalked</w:t>
      </w:r>
    </w:p>
    <w:p w14:paraId="4D692436" w14:textId="77777777" w:rsidR="00A340EE" w:rsidRPr="0047058F" w:rsidRDefault="00A340EE" w:rsidP="00031ACA">
      <w:pPr>
        <w:pStyle w:val="Bullet"/>
        <w:numPr>
          <w:ilvl w:val="0"/>
          <w:numId w:val="1"/>
        </w:numPr>
        <w:spacing w:after="120"/>
        <w:ind w:left="360"/>
      </w:pPr>
      <w:r w:rsidRPr="0047058F">
        <w:t>having someone close to you die</w:t>
      </w:r>
    </w:p>
    <w:p w14:paraId="559F0D06" w14:textId="77777777" w:rsidR="00A340EE" w:rsidRPr="0047058F" w:rsidRDefault="00A340EE" w:rsidP="00031ACA">
      <w:pPr>
        <w:pStyle w:val="Bullet"/>
        <w:numPr>
          <w:ilvl w:val="0"/>
          <w:numId w:val="1"/>
        </w:numPr>
        <w:spacing w:after="120"/>
        <w:ind w:left="360"/>
      </w:pPr>
      <w:r w:rsidRPr="0047058F">
        <w:t>having a child with a life-threatening illness or injury</w:t>
      </w:r>
    </w:p>
    <w:p w14:paraId="51C37E1D" w14:textId="77777777" w:rsidR="00A340EE" w:rsidRPr="0047058F" w:rsidRDefault="00A340EE" w:rsidP="00031ACA">
      <w:pPr>
        <w:pStyle w:val="Bullet"/>
        <w:numPr>
          <w:ilvl w:val="0"/>
          <w:numId w:val="1"/>
        </w:numPr>
        <w:spacing w:after="120"/>
        <w:ind w:left="360"/>
      </w:pPr>
      <w:r w:rsidRPr="0047058F">
        <w:t>witnessing serious physical fights at home as a child</w:t>
      </w:r>
    </w:p>
    <w:p w14:paraId="53C9FDB1" w14:textId="77777777" w:rsidR="00A340EE" w:rsidRPr="0047058F" w:rsidRDefault="00A340EE" w:rsidP="00031ACA">
      <w:pPr>
        <w:pStyle w:val="Bullet"/>
        <w:numPr>
          <w:ilvl w:val="0"/>
          <w:numId w:val="1"/>
        </w:numPr>
        <w:spacing w:after="120"/>
        <w:ind w:left="360"/>
      </w:pPr>
      <w:r w:rsidRPr="0047058F">
        <w:t>having someone close experience a traumatic event</w:t>
      </w:r>
    </w:p>
    <w:p w14:paraId="0716635E" w14:textId="77777777" w:rsidR="00A340EE" w:rsidRPr="0047058F" w:rsidRDefault="00A340EE" w:rsidP="00031ACA">
      <w:pPr>
        <w:pStyle w:val="Bullet"/>
        <w:numPr>
          <w:ilvl w:val="0"/>
          <w:numId w:val="1"/>
        </w:numPr>
        <w:spacing w:after="120"/>
        <w:ind w:left="360"/>
      </w:pPr>
      <w:r w:rsidRPr="0047058F">
        <w:t>witnessing someone badly injured or killed or unexpectedly seeing a dead body</w:t>
      </w:r>
    </w:p>
    <w:p w14:paraId="00EECE7D" w14:textId="77777777" w:rsidR="00A340EE" w:rsidRPr="0047058F" w:rsidRDefault="00A340EE" w:rsidP="00031ACA">
      <w:pPr>
        <w:pStyle w:val="Bullet"/>
        <w:numPr>
          <w:ilvl w:val="0"/>
          <w:numId w:val="1"/>
        </w:numPr>
        <w:spacing w:after="120"/>
        <w:ind w:left="360"/>
      </w:pPr>
      <w:r w:rsidRPr="0047058F">
        <w:lastRenderedPageBreak/>
        <w:t>accidentally injuring or killing someone</w:t>
      </w:r>
    </w:p>
    <w:p w14:paraId="647453DF" w14:textId="77777777" w:rsidR="00A340EE" w:rsidRPr="0047058F" w:rsidRDefault="00A340EE" w:rsidP="00031ACA">
      <w:pPr>
        <w:pStyle w:val="Bullet"/>
        <w:numPr>
          <w:ilvl w:val="0"/>
          <w:numId w:val="1"/>
        </w:numPr>
        <w:spacing w:after="120"/>
        <w:ind w:left="360"/>
      </w:pPr>
      <w:r w:rsidRPr="0047058F">
        <w:t>purposefully injuring, torturing or killing someone</w:t>
      </w:r>
    </w:p>
    <w:p w14:paraId="5DC27045" w14:textId="77777777" w:rsidR="00A340EE" w:rsidRPr="0047058F" w:rsidRDefault="00A340EE" w:rsidP="00031ACA">
      <w:pPr>
        <w:pStyle w:val="Bullet"/>
        <w:numPr>
          <w:ilvl w:val="0"/>
          <w:numId w:val="1"/>
        </w:numPr>
        <w:spacing w:after="120"/>
        <w:ind w:left="360"/>
      </w:pPr>
      <w:r w:rsidRPr="0047058F">
        <w:t>seeing atrocities or carnage such as mutilated bodies or mass killings</w:t>
      </w:r>
    </w:p>
    <w:p w14:paraId="0759FFB4" w14:textId="77777777" w:rsidR="00A340EE" w:rsidRPr="0047058F" w:rsidRDefault="00A340EE" w:rsidP="00031ACA">
      <w:pPr>
        <w:pStyle w:val="Bullet"/>
        <w:numPr>
          <w:ilvl w:val="0"/>
          <w:numId w:val="1"/>
        </w:numPr>
        <w:ind w:left="360"/>
      </w:pPr>
      <w:r w:rsidRPr="0047058F">
        <w:t>experiencing any other traumatic event.</w:t>
      </w:r>
    </w:p>
    <w:p w14:paraId="22B360CD" w14:textId="77777777" w:rsidR="00A340EE" w:rsidRPr="0047058F" w:rsidRDefault="00A340EE" w:rsidP="00A340EE">
      <w:r w:rsidRPr="0047058F">
        <w:t>For each applicable event, participants were required to provide further information regarding the following: their age the first and last time the event took place, the number of times each event took place, and the number of times each event was related to their ADF service. Participants were then required to indicate which of the events they indicated ‘yes’ to was their worst event.</w:t>
      </w:r>
    </w:p>
    <w:p w14:paraId="56956C17" w14:textId="77777777" w:rsidR="00A340EE" w:rsidRPr="0047058F" w:rsidRDefault="00A340EE" w:rsidP="00A340EE">
      <w:pPr>
        <w:pStyle w:val="Heading5"/>
        <w:rPr>
          <w:lang w:val="en-AU"/>
        </w:rPr>
      </w:pPr>
      <w:r w:rsidRPr="0047058F">
        <w:rPr>
          <w:lang w:val="en-AU"/>
        </w:rPr>
        <w:t>Deployment exposure</w:t>
      </w:r>
    </w:p>
    <w:p w14:paraId="3D60A378" w14:textId="77777777" w:rsidR="00A340EE" w:rsidRPr="0047058F" w:rsidRDefault="00A340EE" w:rsidP="00A340EE">
      <w:r w:rsidRPr="0047058F">
        <w:t>Participants were presented with a list of exposures and asked to indicate how many times they had experienced each one on deployment during their military career and since 2011. Response categories ranged from ‘never’ to ‘10+ times’. They were asked about 12 traumatic deployment exposures. Examples included exposure to serious fear of encountering an improvised explosive device, discharge of weapon in direct combat, and handling or seeing dead bodies. Items in this section were drawn from the Middle East Area of Operations Census Study (Dobson et al., 2012).</w:t>
      </w:r>
    </w:p>
    <w:p w14:paraId="3F6C08C3" w14:textId="77777777" w:rsidR="00A340EE" w:rsidRPr="0047058F" w:rsidRDefault="00A340EE" w:rsidP="00860F45">
      <w:pPr>
        <w:pStyle w:val="Heading3"/>
      </w:pPr>
      <w:bookmarkStart w:id="133" w:name="_Toc494449702"/>
      <w:bookmarkStart w:id="134" w:name="_Toc498520991"/>
      <w:bookmarkStart w:id="135" w:name="_Toc487011186"/>
      <w:bookmarkStart w:id="136" w:name="_Toc482021330"/>
      <w:bookmarkStart w:id="137" w:name="_Toc482024421"/>
      <w:bookmarkStart w:id="138" w:name="_Toc532474362"/>
      <w:r w:rsidRPr="0047058F">
        <w:t>Composite International Diagnostic Interview</w:t>
      </w:r>
      <w:bookmarkEnd w:id="133"/>
      <w:bookmarkEnd w:id="134"/>
      <w:bookmarkEnd w:id="135"/>
      <w:bookmarkEnd w:id="136"/>
      <w:bookmarkEnd w:id="137"/>
      <w:bookmarkEnd w:id="138"/>
    </w:p>
    <w:p w14:paraId="2E98F656" w14:textId="77777777" w:rsidR="00A340EE" w:rsidRPr="0047058F" w:rsidRDefault="00A340EE" w:rsidP="00A340EE">
      <w:pPr>
        <w:rPr>
          <w:rFonts w:cs="Calibri"/>
        </w:rPr>
      </w:pPr>
      <w:r w:rsidRPr="0047058F">
        <w:rPr>
          <w:rFonts w:cs="Calibri"/>
        </w:rPr>
        <w:t>Twelve-month and lifetime ICD-10 rates of the following mental disorders were assessed using the CIDI 3.0 (Kessler &amp; Ustun, 2004): depressive episode, dysthymia, bipolar affective disorder, panic attack, panic disorder, agoraphobia, social phobia, specific phobia, generalised anxiety disorder, obsessive-compulsive disorder, PTSD, adult separation disorder, harmful alcohol use and dependence, suicidal ideation and behaviour, and intermittent explosive disorder.</w:t>
      </w:r>
    </w:p>
    <w:p w14:paraId="3D2EFE62" w14:textId="77777777" w:rsidR="00A340EE" w:rsidRPr="0047058F" w:rsidRDefault="00A340EE" w:rsidP="00A340EE">
      <w:pPr>
        <w:rPr>
          <w:rFonts w:cs="Calibri"/>
        </w:rPr>
      </w:pPr>
      <w:r w:rsidRPr="0047058F">
        <w:rPr>
          <w:rFonts w:cs="Calibri"/>
        </w:rPr>
        <w:t xml:space="preserve">In the current report, individual ICD-10 disorder prevalence rates are presented with hierarchy rules applied in order to be consistent with Australian national rates. </w:t>
      </w:r>
      <w:r w:rsidRPr="0047058F">
        <w:rPr>
          <w:rFonts w:cs="Calibri"/>
          <w:color w:val="auto"/>
        </w:rPr>
        <w:t>This range of mental disorders was the same as that presented by the 2007 National Survey on Mental Health and Wellbeing (Slade et al., 2007) and included in the 2010 ADF Mental Health Prevalence and Wellbeing Study (McFarlane et al., 2011).</w:t>
      </w:r>
    </w:p>
    <w:p w14:paraId="4EE1D7D5" w14:textId="77777777" w:rsidR="00A340EE" w:rsidRPr="0047058F" w:rsidRDefault="00A340EE" w:rsidP="00A340EE">
      <w:r w:rsidRPr="0047058F">
        <w:t>For the full methodology, including a comprehensive description of all measures used in the survey, refer to Annex A.</w:t>
      </w:r>
    </w:p>
    <w:p w14:paraId="4921E53D" w14:textId="77777777" w:rsidR="00A340EE" w:rsidRPr="0047058F" w:rsidRDefault="00A340EE" w:rsidP="00191932">
      <w:pPr>
        <w:sectPr w:rsidR="00A340EE" w:rsidRPr="0047058F" w:rsidSect="001E395F">
          <w:type w:val="oddPage"/>
          <w:pgSz w:w="9979" w:h="14170" w:code="243"/>
          <w:pgMar w:top="1440" w:right="1152" w:bottom="1440" w:left="1728" w:header="576" w:footer="576" w:gutter="0"/>
          <w:cols w:space="708"/>
          <w:docGrid w:linePitch="360"/>
        </w:sectPr>
      </w:pPr>
    </w:p>
    <w:p w14:paraId="34642D5A" w14:textId="77777777" w:rsidR="00A340EE" w:rsidRPr="0047058F" w:rsidRDefault="00A340EE" w:rsidP="00A340EE">
      <w:pPr>
        <w:pStyle w:val="Heading1"/>
      </w:pPr>
      <w:bookmarkStart w:id="139" w:name="_Toc529117463"/>
      <w:bookmarkStart w:id="140" w:name="_Toc532474363"/>
      <w:r w:rsidRPr="0047058F">
        <w:lastRenderedPageBreak/>
        <w:t>Demographic characteristics of the longitudinal cohort</w:t>
      </w:r>
      <w:bookmarkEnd w:id="139"/>
      <w:bookmarkEnd w:id="140"/>
    </w:p>
    <w:p w14:paraId="022CA785" w14:textId="77777777" w:rsidR="00A340EE" w:rsidRPr="0047058F" w:rsidRDefault="00A340EE" w:rsidP="00BD64A6">
      <w:pPr>
        <w:pStyle w:val="ShadedBullet"/>
      </w:pPr>
      <w:r w:rsidRPr="0047058F">
        <w:t>Almost half of responders in both the Transitioned and Regular ADF longitudinal cohort reported serving 20+ years. More Transitioned ADF than Regular ADF reported serving for either 1 month to 9 years, or 20+ years.</w:t>
      </w:r>
    </w:p>
    <w:p w14:paraId="06235A48" w14:textId="77777777" w:rsidR="00A340EE" w:rsidRPr="0047058F" w:rsidRDefault="00A340EE" w:rsidP="00BD64A6">
      <w:pPr>
        <w:pStyle w:val="ShadedBullet"/>
      </w:pPr>
      <w:r w:rsidRPr="0047058F">
        <w:t>The most common type of discharge/resignation reported was ‘own request’, which was the case for more than half of the Transitioned ADF (57.7%).</w:t>
      </w:r>
    </w:p>
    <w:p w14:paraId="154B4225" w14:textId="77777777" w:rsidR="00A340EE" w:rsidRPr="0047058F" w:rsidRDefault="00A340EE" w:rsidP="00BD64A6">
      <w:pPr>
        <w:pStyle w:val="ShadedBullet"/>
      </w:pPr>
      <w:r w:rsidRPr="0047058F">
        <w:t>The second most common type of discharge was ‘medical discharge’, with almost one-fifth (18.6%) of Transitioned ADF reporting this type of discharge. The most commonly reported reasons for transition were ‘impact of service life on family’ (11.0%), ‘better employment prospects in civilian life’ (6.2%), ‘posting issues’ (6.1%), ‘mental health problems’ (6.1%), and ‘physical health problems’ (5.9%).</w:t>
      </w:r>
    </w:p>
    <w:p w14:paraId="03354294" w14:textId="77777777" w:rsidR="00A340EE" w:rsidRPr="0047058F" w:rsidRDefault="00A340EE" w:rsidP="00BD64A6">
      <w:pPr>
        <w:pStyle w:val="ShadedBullet"/>
      </w:pPr>
      <w:r w:rsidRPr="0047058F">
        <w:t>38.4% of Transitioned ADF responders remained in the ADF as Active Reservists and 30.1% as Inactive Reservists.</w:t>
      </w:r>
    </w:p>
    <w:p w14:paraId="2D47D463" w14:textId="77777777" w:rsidR="00A340EE" w:rsidRPr="0047058F" w:rsidRDefault="00A340EE" w:rsidP="00BD64A6">
      <w:pPr>
        <w:pStyle w:val="ShadedBullet"/>
      </w:pPr>
      <w:r w:rsidRPr="0047058F">
        <w:t>Similar proportions of Transitioned ADF and Regular ADF reported their highest level of education to be primary/secondary school or a diploma. Marginally more Regular ADF reported a university qualification as their highest level of education (35.0% vs 30.9%).</w:t>
      </w:r>
    </w:p>
    <w:p w14:paraId="37ABA708" w14:textId="77777777" w:rsidR="00A340EE" w:rsidRPr="0047058F" w:rsidRDefault="00A340EE" w:rsidP="00BD64A6">
      <w:pPr>
        <w:pStyle w:val="ShadedBullet"/>
      </w:pPr>
      <w:r w:rsidRPr="0047058F">
        <w:t>No differences existed between the groups regarding stable housing.</w:t>
      </w:r>
    </w:p>
    <w:p w14:paraId="4F33B48F" w14:textId="77777777" w:rsidR="00A340EE" w:rsidRPr="0047058F" w:rsidRDefault="00A340EE" w:rsidP="00BD64A6">
      <w:pPr>
        <w:pStyle w:val="ShadedBullet"/>
      </w:pPr>
      <w:r w:rsidRPr="0047058F">
        <w:t>Over half of the Transitioned ADF responders reported being engaged in civilian employment (55.3%), with the most common industries of employment being government administration and defence (29.0%), transport and storage (9.1%), and health and community services (9.0%).</w:t>
      </w:r>
    </w:p>
    <w:p w14:paraId="0DA2C199" w14:textId="77777777" w:rsidR="00A340EE" w:rsidRPr="0047058F" w:rsidRDefault="00A340EE" w:rsidP="00BD64A6">
      <w:pPr>
        <w:pStyle w:val="ShadedBullet"/>
      </w:pPr>
      <w:r w:rsidRPr="0047058F">
        <w:t>Of those who were not engaged in civilian employment, a considerable proportion reported a period of three months or longer in which they were unemployed (38.8%) since transitioning from the Regular ADF.</w:t>
      </w:r>
    </w:p>
    <w:p w14:paraId="37E9B06C" w14:textId="77777777" w:rsidR="00A340EE" w:rsidRPr="0047058F" w:rsidRDefault="00A340EE" w:rsidP="00BD64A6">
      <w:pPr>
        <w:pStyle w:val="ShadedBullet"/>
      </w:pPr>
      <w:r w:rsidRPr="0047058F">
        <w:t>Over 45% of Transitioned ADF members reported accessing DVA-funded treatment through either a DVA White Card (39.3%) or DVA Gold Card (5.9%).</w:t>
      </w:r>
    </w:p>
    <w:p w14:paraId="1B21EEA9" w14:textId="77777777" w:rsidR="00A340EE" w:rsidRPr="0047058F" w:rsidRDefault="00A340EE" w:rsidP="00BD64A6">
      <w:pPr>
        <w:pStyle w:val="ShadedBullet"/>
      </w:pPr>
      <w:r w:rsidRPr="0047058F">
        <w:t>Just under half of the Transitioned ADF reported joining an ex-service organisation or voluntary group.</w:t>
      </w:r>
      <w:bookmarkStart w:id="141" w:name="_Ref484520113"/>
      <w:bookmarkStart w:id="142" w:name="_Toc482023805"/>
      <w:bookmarkStart w:id="143" w:name="_Toc487014292"/>
      <w:bookmarkStart w:id="144" w:name="_Toc492995595"/>
    </w:p>
    <w:p w14:paraId="7FCD918C" w14:textId="6FE206B9" w:rsidR="00A340EE" w:rsidRPr="0047058F" w:rsidRDefault="00A340EE" w:rsidP="00BD64A6">
      <w:pPr>
        <w:pStyle w:val="ShadedBoxText"/>
      </w:pPr>
      <w:r w:rsidRPr="0047058F">
        <w:t xml:space="preserve">Refer to the glossary for definitions of key terms used in this </w:t>
      </w:r>
      <w:r w:rsidR="00F32D4C">
        <w:t>chapter</w:t>
      </w:r>
      <w:r w:rsidRPr="0047058F">
        <w:t>.</w:t>
      </w:r>
    </w:p>
    <w:p w14:paraId="0C55A4FE" w14:textId="77777777" w:rsidR="00A340EE" w:rsidRPr="0047058F" w:rsidRDefault="00A340EE" w:rsidP="00BD64A6">
      <w:pPr>
        <w:pStyle w:val="Heading2"/>
      </w:pPr>
      <w:bookmarkStart w:id="145" w:name="_Toc479243366"/>
      <w:bookmarkStart w:id="146" w:name="_Toc482021334"/>
      <w:bookmarkStart w:id="147" w:name="_Toc482024425"/>
      <w:bookmarkStart w:id="148" w:name="_Toc487011188"/>
      <w:bookmarkStart w:id="149" w:name="_Toc529117464"/>
      <w:bookmarkStart w:id="150" w:name="_Toc532474364"/>
      <w:r w:rsidRPr="0047058F">
        <w:lastRenderedPageBreak/>
        <w:t>Demographic characteristics of the Transitioned ADF and the 2015 Regular ADF</w:t>
      </w:r>
      <w:bookmarkEnd w:id="145"/>
      <w:bookmarkEnd w:id="146"/>
      <w:bookmarkEnd w:id="147"/>
      <w:bookmarkEnd w:id="148"/>
      <w:bookmarkEnd w:id="149"/>
      <w:bookmarkEnd w:id="150"/>
    </w:p>
    <w:p w14:paraId="4CA764F0" w14:textId="77777777" w:rsidR="00A340EE" w:rsidRPr="0047058F" w:rsidRDefault="00A340EE" w:rsidP="00A340EE">
      <w:r w:rsidRPr="0047058F">
        <w:t>Table 3.1 describes the demographic characteristics of the longitudinal cohort of Transitioned ADF and 2015 Regular ADF.</w:t>
      </w:r>
    </w:p>
    <w:p w14:paraId="4CD81BA9" w14:textId="77777777" w:rsidR="00A340EE" w:rsidRPr="0047058F" w:rsidRDefault="00A340EE" w:rsidP="00A340EE">
      <w:r w:rsidRPr="0047058F">
        <w:t>There were similar proportions of Transitioned ADF and 2015 Regular ADF who were ‘in a relationship and living together’ and ‘in a relationship not living together’; however, 2015 Regular ADF had a higher proportion reporting ‘not in a relationship’ (12.2% vs 6.3%).</w:t>
      </w:r>
    </w:p>
    <w:p w14:paraId="19A9FF62" w14:textId="77777777" w:rsidR="00A340EE" w:rsidRPr="0047058F" w:rsidRDefault="00A340EE" w:rsidP="00A340EE">
      <w:r w:rsidRPr="0047058F">
        <w:t>Similar proportions of Transitioned ADF and Regular ADF reported their highest level of education to be primary/secondary school or a diploma. Slightly more Transitioned ADF reported completing a certificate (26.6% vs 20.2%) and slightly more Regular ADF reported a university qualification as their highest level of education (35.0% vs 30.9%).</w:t>
      </w:r>
    </w:p>
    <w:p w14:paraId="29B7160A" w14:textId="77777777" w:rsidR="00A340EE" w:rsidRPr="0047058F" w:rsidRDefault="00A340EE" w:rsidP="00A340EE">
      <w:r w:rsidRPr="0047058F">
        <w:t>There were no differences in whether the respondents reported having stable housing over the past two months.</w:t>
      </w:r>
    </w:p>
    <w:p w14:paraId="1F20F0A4" w14:textId="77777777" w:rsidR="002548A9" w:rsidRPr="0047058F" w:rsidRDefault="002548A9" w:rsidP="00A340EE">
      <w:pPr>
        <w:rPr>
          <w:rFonts w:cs="Calibri"/>
        </w:rPr>
      </w:pPr>
      <w:bookmarkStart w:id="151" w:name="_Ref482013515"/>
      <w:bookmarkStart w:id="152" w:name="_Toc479243375"/>
      <w:bookmarkStart w:id="153" w:name="_Toc482023761"/>
      <w:bookmarkStart w:id="154" w:name="_Toc487014247"/>
      <w:bookmarkStart w:id="155" w:name="_Toc529117503"/>
      <w:r w:rsidRPr="0047058F">
        <w:rPr>
          <w:rFonts w:cs="Calibri"/>
        </w:rPr>
        <w:t>Table 3.2 describes the service characteristics of the Transitioned ADF and 2015 Regular ADF.</w:t>
      </w:r>
    </w:p>
    <w:p w14:paraId="4DBC8C8F" w14:textId="77777777" w:rsidR="002548A9" w:rsidRPr="0047058F" w:rsidRDefault="002548A9" w:rsidP="00A340EE">
      <w:r w:rsidRPr="0047058F">
        <w:t>Compared to 2015 Regular ADF, more Transitioned ADF served in the Regular ADF 1 month to 7.9 years, or 20+ years, whereas more Regular ADF served 8 to 19.9 years. Almost half of responders in both groups reported serving 20+ years.</w:t>
      </w:r>
    </w:p>
    <w:p w14:paraId="606D771D" w14:textId="77777777" w:rsidR="002548A9" w:rsidRPr="0047058F" w:rsidRDefault="002548A9" w:rsidP="00860F45">
      <w:pPr>
        <w:pStyle w:val="Heading2"/>
      </w:pPr>
      <w:bookmarkStart w:id="156" w:name="_Toc529117465"/>
      <w:bookmarkStart w:id="157" w:name="_Toc532474365"/>
      <w:r w:rsidRPr="0047058F">
        <w:t>Demographic characteristics of Transitioned ADF</w:t>
      </w:r>
      <w:bookmarkEnd w:id="156"/>
      <w:bookmarkEnd w:id="157"/>
    </w:p>
    <w:p w14:paraId="627F74F1" w14:textId="77777777" w:rsidR="002548A9" w:rsidRPr="0047058F" w:rsidRDefault="002548A9" w:rsidP="00A340EE">
      <w:r w:rsidRPr="0047058F">
        <w:t>As seen in Table 3.3, 38.4% of Transitioned ADF responders remained in the ADF as Active Reservists and 30.1% as Inactive Reservists. Regardless of Reservist status, the majority reported transitioning between one and four years ago. The most common type of discharge/resignation reported was ‘own request’, which was the case for more than half of the Transitioned ADF (57.7%; with this percentage increasing to over 60% when including ‘end of fixed period’ (1.9%) and ‘end of initial enlistment period’ (1.5%). The second most common type of discharge was ‘medical discharge’, with almost one-fifth (18.6%) of Transitioned ADF reporting this type of discharge. The most commonly reported reasons for transition were ‘impact of service life on family’ (11.0%), ‘better employment prospects in civilian life’ (6.2%), ‘posting issues’ (6.1%), ‘physical health problems’ (6.1%), and ‘mental health problems’ (5.9%). A large proportion of Transitioned ADF did not report their main reason for transition (47.1%).</w:t>
      </w:r>
    </w:p>
    <w:p w14:paraId="6FD54363" w14:textId="77777777" w:rsidR="00A340EE" w:rsidRPr="0047058F" w:rsidRDefault="00A340EE" w:rsidP="00A340EE">
      <w:pPr>
        <w:pStyle w:val="TableName"/>
      </w:pPr>
      <w:bookmarkStart w:id="158" w:name="_Toc532473573"/>
      <w:r w:rsidRPr="0047058F">
        <w:lastRenderedPageBreak/>
        <w:t>Table 3.1</w:t>
      </w:r>
      <w:bookmarkEnd w:id="151"/>
      <w:r w:rsidRPr="0047058F">
        <w:tab/>
        <w:t>Unweighted demographic characteristics in Transitioned and 2015 Regular ADF</w:t>
      </w:r>
      <w:bookmarkEnd w:id="152"/>
      <w:bookmarkEnd w:id="153"/>
      <w:bookmarkEnd w:id="154"/>
      <w:bookmarkEnd w:id="155"/>
      <w:bookmarkEnd w:id="158"/>
    </w:p>
    <w:tbl>
      <w:tblPr>
        <w:tblStyle w:val="TWRPTable"/>
        <w:tblW w:w="5000" w:type="pct"/>
        <w:tblLayout w:type="fixed"/>
        <w:tblLook w:val="04A0" w:firstRow="1" w:lastRow="0" w:firstColumn="1" w:lastColumn="0" w:noHBand="0" w:noVBand="1"/>
        <w:tblDescription w:val="Table 3.1 Unweighted demographic characteristics in Transitioned and 2015 Regular ADF"/>
      </w:tblPr>
      <w:tblGrid>
        <w:gridCol w:w="3438"/>
        <w:gridCol w:w="646"/>
        <w:gridCol w:w="646"/>
        <w:gridCol w:w="646"/>
        <w:gridCol w:w="646"/>
        <w:gridCol w:w="646"/>
        <w:gridCol w:w="647"/>
      </w:tblGrid>
      <w:tr w:rsidR="00A340EE" w:rsidRPr="0047058F" w14:paraId="7AE36181" w14:textId="77777777" w:rsidTr="00BD64A6">
        <w:trPr>
          <w:cnfStyle w:val="100000000000" w:firstRow="1" w:lastRow="0" w:firstColumn="0" w:lastColumn="0" w:oddVBand="0" w:evenVBand="0" w:oddHBand="0" w:evenHBand="0" w:firstRowFirstColumn="0" w:firstRowLastColumn="0" w:lastRowFirstColumn="0" w:lastRowLastColumn="0"/>
          <w:tblHeader/>
        </w:trPr>
        <w:tc>
          <w:tcPr>
            <w:tcW w:w="3438" w:type="dxa"/>
            <w:tcBorders>
              <w:top w:val="single" w:sz="4" w:space="0" w:color="000000"/>
              <w:bottom w:val="nil"/>
            </w:tcBorders>
          </w:tcPr>
          <w:p w14:paraId="63873149" w14:textId="77777777" w:rsidR="00A340EE" w:rsidRPr="0047058F" w:rsidRDefault="00A340EE" w:rsidP="002548A9">
            <w:pPr>
              <w:pStyle w:val="TableText"/>
              <w:spacing w:before="32" w:after="32"/>
            </w:pPr>
          </w:p>
        </w:tc>
        <w:tc>
          <w:tcPr>
            <w:tcW w:w="1292" w:type="dxa"/>
            <w:gridSpan w:val="2"/>
            <w:hideMark/>
          </w:tcPr>
          <w:p w14:paraId="547AB554" w14:textId="77777777" w:rsidR="00A340EE" w:rsidRPr="0047058F" w:rsidRDefault="00A340EE" w:rsidP="002548A9">
            <w:pPr>
              <w:pStyle w:val="TableText"/>
              <w:spacing w:before="32" w:after="32"/>
              <w:jc w:val="center"/>
            </w:pPr>
            <w:r w:rsidRPr="0047058F">
              <w:t>Transitioned ADF</w:t>
            </w:r>
            <w:r w:rsidRPr="0047058F">
              <w:br/>
              <w:t>n = 2334</w:t>
            </w:r>
          </w:p>
        </w:tc>
        <w:tc>
          <w:tcPr>
            <w:tcW w:w="1292" w:type="dxa"/>
            <w:gridSpan w:val="2"/>
          </w:tcPr>
          <w:p w14:paraId="028B425E" w14:textId="77777777" w:rsidR="00A340EE" w:rsidRPr="0047058F" w:rsidRDefault="00A340EE" w:rsidP="002548A9">
            <w:pPr>
              <w:pStyle w:val="TableText"/>
              <w:spacing w:before="32" w:after="32"/>
              <w:jc w:val="center"/>
            </w:pPr>
            <w:r w:rsidRPr="0047058F">
              <w:t>2015 Regular ADF</w:t>
            </w:r>
            <w:r w:rsidRPr="0047058F">
              <w:br/>
              <w:t>n = 6163</w:t>
            </w:r>
          </w:p>
        </w:tc>
        <w:tc>
          <w:tcPr>
            <w:tcW w:w="1293" w:type="dxa"/>
            <w:gridSpan w:val="2"/>
          </w:tcPr>
          <w:p w14:paraId="337DC460" w14:textId="77777777" w:rsidR="00A340EE" w:rsidRPr="0047058F" w:rsidRDefault="00A340EE" w:rsidP="002548A9">
            <w:pPr>
              <w:pStyle w:val="TableText"/>
              <w:spacing w:before="32" w:after="32"/>
              <w:jc w:val="center"/>
            </w:pPr>
            <w:r w:rsidRPr="0047058F">
              <w:t>Total</w:t>
            </w:r>
            <w:r w:rsidRPr="0047058F">
              <w:br/>
              <w:t>n = 8497</w:t>
            </w:r>
          </w:p>
        </w:tc>
      </w:tr>
      <w:tr w:rsidR="00A340EE" w:rsidRPr="0047058F" w14:paraId="17BB3D1B" w14:textId="77777777" w:rsidTr="00BD64A6">
        <w:trPr>
          <w:cnfStyle w:val="100000000000" w:firstRow="1" w:lastRow="0" w:firstColumn="0" w:lastColumn="0" w:oddVBand="0" w:evenVBand="0" w:oddHBand="0" w:evenHBand="0" w:firstRowFirstColumn="0" w:firstRowLastColumn="0" w:lastRowFirstColumn="0" w:lastRowLastColumn="0"/>
          <w:tblHeader/>
        </w:trPr>
        <w:tc>
          <w:tcPr>
            <w:tcW w:w="3438" w:type="dxa"/>
            <w:tcBorders>
              <w:top w:val="nil"/>
            </w:tcBorders>
          </w:tcPr>
          <w:p w14:paraId="00207F6A" w14:textId="77777777" w:rsidR="00A340EE" w:rsidRPr="0047058F" w:rsidRDefault="00A340EE" w:rsidP="002548A9">
            <w:pPr>
              <w:pStyle w:val="TableText"/>
              <w:spacing w:before="32" w:after="32"/>
            </w:pPr>
            <w:r w:rsidRPr="0047058F">
              <w:t>Demographic characteristics</w:t>
            </w:r>
          </w:p>
        </w:tc>
        <w:tc>
          <w:tcPr>
            <w:tcW w:w="646" w:type="dxa"/>
            <w:hideMark/>
          </w:tcPr>
          <w:p w14:paraId="79C4A832" w14:textId="77777777" w:rsidR="00A340EE" w:rsidRPr="0047058F" w:rsidRDefault="00A340EE" w:rsidP="002548A9">
            <w:pPr>
              <w:pStyle w:val="TableText"/>
              <w:spacing w:before="32" w:after="32"/>
              <w:jc w:val="right"/>
            </w:pPr>
            <w:r w:rsidRPr="0047058F">
              <w:t>n</w:t>
            </w:r>
          </w:p>
        </w:tc>
        <w:tc>
          <w:tcPr>
            <w:tcW w:w="646" w:type="dxa"/>
            <w:hideMark/>
          </w:tcPr>
          <w:p w14:paraId="08758A31" w14:textId="77777777" w:rsidR="00A340EE" w:rsidRPr="0047058F" w:rsidRDefault="00A340EE" w:rsidP="002548A9">
            <w:pPr>
              <w:pStyle w:val="TableText"/>
              <w:spacing w:before="32" w:after="32"/>
              <w:jc w:val="right"/>
            </w:pPr>
            <w:r w:rsidRPr="0047058F">
              <w:t>%</w:t>
            </w:r>
          </w:p>
        </w:tc>
        <w:tc>
          <w:tcPr>
            <w:tcW w:w="646" w:type="dxa"/>
            <w:hideMark/>
          </w:tcPr>
          <w:p w14:paraId="20433D9D" w14:textId="77777777" w:rsidR="00A340EE" w:rsidRPr="0047058F" w:rsidRDefault="00A340EE" w:rsidP="002548A9">
            <w:pPr>
              <w:pStyle w:val="TableText"/>
              <w:spacing w:before="32" w:after="32"/>
              <w:jc w:val="right"/>
            </w:pPr>
            <w:r w:rsidRPr="0047058F">
              <w:t>n</w:t>
            </w:r>
          </w:p>
        </w:tc>
        <w:tc>
          <w:tcPr>
            <w:tcW w:w="646" w:type="dxa"/>
            <w:hideMark/>
          </w:tcPr>
          <w:p w14:paraId="4E9F7245" w14:textId="77777777" w:rsidR="00A340EE" w:rsidRPr="0047058F" w:rsidRDefault="00A340EE" w:rsidP="002548A9">
            <w:pPr>
              <w:pStyle w:val="TableText"/>
              <w:spacing w:before="32" w:after="32"/>
              <w:jc w:val="right"/>
            </w:pPr>
            <w:r w:rsidRPr="0047058F">
              <w:t>%</w:t>
            </w:r>
          </w:p>
        </w:tc>
        <w:tc>
          <w:tcPr>
            <w:tcW w:w="646" w:type="dxa"/>
          </w:tcPr>
          <w:p w14:paraId="55EFB0C9" w14:textId="77777777" w:rsidR="00A340EE" w:rsidRPr="0047058F" w:rsidRDefault="00A340EE" w:rsidP="002548A9">
            <w:pPr>
              <w:pStyle w:val="TableText"/>
              <w:spacing w:before="32" w:after="32"/>
              <w:jc w:val="right"/>
            </w:pPr>
            <w:r w:rsidRPr="0047058F">
              <w:t>n</w:t>
            </w:r>
          </w:p>
        </w:tc>
        <w:tc>
          <w:tcPr>
            <w:tcW w:w="647" w:type="dxa"/>
          </w:tcPr>
          <w:p w14:paraId="675DE230" w14:textId="77777777" w:rsidR="00A340EE" w:rsidRPr="0047058F" w:rsidRDefault="00A340EE" w:rsidP="002548A9">
            <w:pPr>
              <w:pStyle w:val="TableText"/>
              <w:spacing w:before="32" w:after="32"/>
              <w:jc w:val="right"/>
            </w:pPr>
            <w:r w:rsidRPr="0047058F">
              <w:t>%</w:t>
            </w:r>
          </w:p>
        </w:tc>
      </w:tr>
      <w:tr w:rsidR="00A340EE" w:rsidRPr="0047058F" w14:paraId="144591CA"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0523FD58" w14:textId="77777777" w:rsidR="00A340EE" w:rsidRPr="0047058F" w:rsidRDefault="00A340EE" w:rsidP="002548A9">
            <w:pPr>
              <w:pStyle w:val="TableText"/>
              <w:spacing w:before="32" w:after="32"/>
              <w:rPr>
                <w:b/>
              </w:rPr>
            </w:pPr>
            <w:r w:rsidRPr="0047058F">
              <w:rPr>
                <w:b/>
              </w:rPr>
              <w:t>Relationship status</w:t>
            </w:r>
          </w:p>
        </w:tc>
        <w:tc>
          <w:tcPr>
            <w:tcW w:w="646" w:type="dxa"/>
          </w:tcPr>
          <w:p w14:paraId="50BAC5DA" w14:textId="77777777" w:rsidR="00A340EE" w:rsidRPr="0047058F" w:rsidRDefault="00A340EE" w:rsidP="002548A9">
            <w:pPr>
              <w:pStyle w:val="TableText"/>
              <w:spacing w:before="32" w:after="32"/>
              <w:jc w:val="right"/>
            </w:pPr>
          </w:p>
        </w:tc>
        <w:tc>
          <w:tcPr>
            <w:tcW w:w="646" w:type="dxa"/>
          </w:tcPr>
          <w:p w14:paraId="28450E78" w14:textId="77777777" w:rsidR="00A340EE" w:rsidRPr="0047058F" w:rsidRDefault="00A340EE" w:rsidP="002548A9">
            <w:pPr>
              <w:pStyle w:val="TableText"/>
              <w:spacing w:before="32" w:after="32"/>
              <w:jc w:val="right"/>
            </w:pPr>
          </w:p>
        </w:tc>
        <w:tc>
          <w:tcPr>
            <w:tcW w:w="646" w:type="dxa"/>
          </w:tcPr>
          <w:p w14:paraId="7C48D600" w14:textId="77777777" w:rsidR="00A340EE" w:rsidRPr="0047058F" w:rsidRDefault="00A340EE" w:rsidP="002548A9">
            <w:pPr>
              <w:pStyle w:val="TableText"/>
              <w:spacing w:before="32" w:after="32"/>
              <w:jc w:val="right"/>
            </w:pPr>
          </w:p>
        </w:tc>
        <w:tc>
          <w:tcPr>
            <w:tcW w:w="646" w:type="dxa"/>
          </w:tcPr>
          <w:p w14:paraId="1146B7FD" w14:textId="77777777" w:rsidR="00A340EE" w:rsidRPr="0047058F" w:rsidRDefault="00A340EE" w:rsidP="002548A9">
            <w:pPr>
              <w:pStyle w:val="TableText"/>
              <w:spacing w:before="32" w:after="32"/>
              <w:jc w:val="right"/>
            </w:pPr>
          </w:p>
        </w:tc>
        <w:tc>
          <w:tcPr>
            <w:tcW w:w="646" w:type="dxa"/>
          </w:tcPr>
          <w:p w14:paraId="610D0D4B" w14:textId="77777777" w:rsidR="00A340EE" w:rsidRPr="0047058F" w:rsidRDefault="00A340EE" w:rsidP="002548A9">
            <w:pPr>
              <w:pStyle w:val="TableText"/>
              <w:spacing w:before="32" w:after="32"/>
              <w:jc w:val="right"/>
            </w:pPr>
          </w:p>
        </w:tc>
        <w:tc>
          <w:tcPr>
            <w:tcW w:w="647" w:type="dxa"/>
          </w:tcPr>
          <w:p w14:paraId="4CC3F2C7" w14:textId="77777777" w:rsidR="00A340EE" w:rsidRPr="0047058F" w:rsidRDefault="00A340EE" w:rsidP="002548A9">
            <w:pPr>
              <w:pStyle w:val="TableText"/>
              <w:spacing w:before="32" w:after="32"/>
              <w:jc w:val="right"/>
            </w:pPr>
          </w:p>
        </w:tc>
      </w:tr>
      <w:tr w:rsidR="00A340EE" w:rsidRPr="0047058F" w14:paraId="2F40E68A" w14:textId="77777777" w:rsidTr="00BD64A6">
        <w:tc>
          <w:tcPr>
            <w:tcW w:w="3438" w:type="dxa"/>
            <w:hideMark/>
          </w:tcPr>
          <w:p w14:paraId="4BF6AF86" w14:textId="77777777" w:rsidR="00A340EE" w:rsidRPr="0047058F" w:rsidRDefault="00A340EE" w:rsidP="002548A9">
            <w:pPr>
              <w:pStyle w:val="TableText"/>
              <w:spacing w:before="32" w:after="32"/>
              <w:rPr>
                <w:rFonts w:cs="Calibri"/>
                <w:szCs w:val="14"/>
              </w:rPr>
            </w:pPr>
            <w:r w:rsidRPr="0047058F">
              <w:rPr>
                <w:rFonts w:cs="Calibri"/>
                <w:szCs w:val="14"/>
              </w:rPr>
              <w:t>In a relationship and living together</w:t>
            </w:r>
          </w:p>
        </w:tc>
        <w:tc>
          <w:tcPr>
            <w:tcW w:w="646" w:type="dxa"/>
          </w:tcPr>
          <w:p w14:paraId="51B889E9" w14:textId="77777777" w:rsidR="00A340EE" w:rsidRPr="0047058F" w:rsidRDefault="00A340EE" w:rsidP="002548A9">
            <w:pPr>
              <w:pStyle w:val="TableText"/>
              <w:spacing w:before="32" w:after="32"/>
              <w:jc w:val="right"/>
            </w:pPr>
            <w:r w:rsidRPr="0047058F">
              <w:t>357</w:t>
            </w:r>
          </w:p>
        </w:tc>
        <w:tc>
          <w:tcPr>
            <w:tcW w:w="646" w:type="dxa"/>
          </w:tcPr>
          <w:p w14:paraId="2F8F8E81" w14:textId="77777777" w:rsidR="00A340EE" w:rsidRPr="0047058F" w:rsidRDefault="00A340EE" w:rsidP="002548A9">
            <w:pPr>
              <w:pStyle w:val="TableText"/>
              <w:spacing w:before="32" w:after="32"/>
              <w:jc w:val="right"/>
            </w:pPr>
            <w:r w:rsidRPr="0047058F">
              <w:t>15.3</w:t>
            </w:r>
          </w:p>
        </w:tc>
        <w:tc>
          <w:tcPr>
            <w:tcW w:w="646" w:type="dxa"/>
          </w:tcPr>
          <w:p w14:paraId="315AC30E" w14:textId="77777777" w:rsidR="00A340EE" w:rsidRPr="0047058F" w:rsidRDefault="00A340EE" w:rsidP="002548A9">
            <w:pPr>
              <w:pStyle w:val="TableText"/>
              <w:spacing w:before="32" w:after="32"/>
              <w:jc w:val="right"/>
            </w:pPr>
            <w:r w:rsidRPr="0047058F">
              <w:t>820</w:t>
            </w:r>
          </w:p>
        </w:tc>
        <w:tc>
          <w:tcPr>
            <w:tcW w:w="646" w:type="dxa"/>
          </w:tcPr>
          <w:p w14:paraId="01F9C1E9" w14:textId="77777777" w:rsidR="00A340EE" w:rsidRPr="0047058F" w:rsidRDefault="00A340EE" w:rsidP="002548A9">
            <w:pPr>
              <w:pStyle w:val="TableText"/>
              <w:spacing w:before="32" w:after="32"/>
              <w:jc w:val="right"/>
            </w:pPr>
            <w:r w:rsidRPr="0047058F">
              <w:t>13.3</w:t>
            </w:r>
          </w:p>
        </w:tc>
        <w:tc>
          <w:tcPr>
            <w:tcW w:w="646" w:type="dxa"/>
          </w:tcPr>
          <w:p w14:paraId="6590C89B" w14:textId="77777777" w:rsidR="00A340EE" w:rsidRPr="0047058F" w:rsidRDefault="00A340EE" w:rsidP="002548A9">
            <w:pPr>
              <w:pStyle w:val="TableText"/>
              <w:spacing w:before="32" w:after="32"/>
              <w:jc w:val="right"/>
            </w:pPr>
            <w:r w:rsidRPr="0047058F">
              <w:t>1177</w:t>
            </w:r>
          </w:p>
        </w:tc>
        <w:tc>
          <w:tcPr>
            <w:tcW w:w="647" w:type="dxa"/>
          </w:tcPr>
          <w:p w14:paraId="7E6CCEA7" w14:textId="77777777" w:rsidR="00A340EE" w:rsidRPr="0047058F" w:rsidRDefault="00A340EE" w:rsidP="002548A9">
            <w:pPr>
              <w:pStyle w:val="TableText"/>
              <w:spacing w:before="32" w:after="32"/>
              <w:jc w:val="right"/>
            </w:pPr>
            <w:r w:rsidRPr="0047058F">
              <w:t>13.9</w:t>
            </w:r>
          </w:p>
        </w:tc>
      </w:tr>
      <w:tr w:rsidR="00A340EE" w:rsidRPr="0047058F" w14:paraId="718E6067"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67D8F800" w14:textId="77777777" w:rsidR="00A340EE" w:rsidRPr="0047058F" w:rsidRDefault="00A340EE" w:rsidP="002548A9">
            <w:pPr>
              <w:pStyle w:val="TableText"/>
              <w:spacing w:before="32" w:after="32"/>
              <w:rPr>
                <w:rFonts w:cs="Calibri"/>
                <w:szCs w:val="14"/>
              </w:rPr>
            </w:pPr>
            <w:r w:rsidRPr="0047058F">
              <w:rPr>
                <w:rFonts w:cs="Calibri"/>
                <w:szCs w:val="14"/>
              </w:rPr>
              <w:t>In a relationship not living together</w:t>
            </w:r>
          </w:p>
        </w:tc>
        <w:tc>
          <w:tcPr>
            <w:tcW w:w="646" w:type="dxa"/>
          </w:tcPr>
          <w:p w14:paraId="09AEF6DD" w14:textId="77777777" w:rsidR="00A340EE" w:rsidRPr="0047058F" w:rsidRDefault="00A340EE" w:rsidP="002548A9">
            <w:pPr>
              <w:pStyle w:val="TableText"/>
              <w:spacing w:before="32" w:after="32"/>
              <w:jc w:val="right"/>
            </w:pPr>
            <w:r w:rsidRPr="0047058F">
              <w:t>1784</w:t>
            </w:r>
          </w:p>
        </w:tc>
        <w:tc>
          <w:tcPr>
            <w:tcW w:w="646" w:type="dxa"/>
          </w:tcPr>
          <w:p w14:paraId="18412E1D" w14:textId="77777777" w:rsidR="00A340EE" w:rsidRPr="0047058F" w:rsidRDefault="00A340EE" w:rsidP="002548A9">
            <w:pPr>
              <w:pStyle w:val="TableText"/>
              <w:spacing w:before="32" w:after="32"/>
              <w:jc w:val="right"/>
            </w:pPr>
            <w:r w:rsidRPr="0047058F">
              <w:t>76.4</w:t>
            </w:r>
          </w:p>
        </w:tc>
        <w:tc>
          <w:tcPr>
            <w:tcW w:w="646" w:type="dxa"/>
          </w:tcPr>
          <w:p w14:paraId="1792E05C" w14:textId="77777777" w:rsidR="00A340EE" w:rsidRPr="0047058F" w:rsidRDefault="00A340EE" w:rsidP="002548A9">
            <w:pPr>
              <w:pStyle w:val="TableText"/>
              <w:spacing w:before="32" w:after="32"/>
              <w:jc w:val="right"/>
            </w:pPr>
            <w:r w:rsidRPr="0047058F">
              <w:t>4502</w:t>
            </w:r>
          </w:p>
        </w:tc>
        <w:tc>
          <w:tcPr>
            <w:tcW w:w="646" w:type="dxa"/>
          </w:tcPr>
          <w:p w14:paraId="78B5EA62" w14:textId="77777777" w:rsidR="00A340EE" w:rsidRPr="0047058F" w:rsidRDefault="00A340EE" w:rsidP="002548A9">
            <w:pPr>
              <w:pStyle w:val="TableText"/>
              <w:spacing w:before="32" w:after="32"/>
              <w:jc w:val="right"/>
            </w:pPr>
            <w:r w:rsidRPr="0047058F">
              <w:t>73.0</w:t>
            </w:r>
          </w:p>
        </w:tc>
        <w:tc>
          <w:tcPr>
            <w:tcW w:w="646" w:type="dxa"/>
          </w:tcPr>
          <w:p w14:paraId="75ED9DF2" w14:textId="77777777" w:rsidR="00A340EE" w:rsidRPr="0047058F" w:rsidRDefault="00A340EE" w:rsidP="002548A9">
            <w:pPr>
              <w:pStyle w:val="TableText"/>
              <w:spacing w:before="32" w:after="32"/>
              <w:jc w:val="right"/>
            </w:pPr>
            <w:r w:rsidRPr="0047058F">
              <w:t>6286</w:t>
            </w:r>
          </w:p>
        </w:tc>
        <w:tc>
          <w:tcPr>
            <w:tcW w:w="647" w:type="dxa"/>
          </w:tcPr>
          <w:p w14:paraId="37D13FEE" w14:textId="77777777" w:rsidR="00A340EE" w:rsidRPr="0047058F" w:rsidRDefault="00A340EE" w:rsidP="002548A9">
            <w:pPr>
              <w:pStyle w:val="TableText"/>
              <w:spacing w:before="32" w:after="32"/>
              <w:jc w:val="right"/>
            </w:pPr>
            <w:r w:rsidRPr="0047058F">
              <w:t>74.0</w:t>
            </w:r>
          </w:p>
        </w:tc>
      </w:tr>
      <w:tr w:rsidR="00A340EE" w:rsidRPr="0047058F" w14:paraId="39B4E1AA" w14:textId="77777777" w:rsidTr="00BD64A6">
        <w:tc>
          <w:tcPr>
            <w:tcW w:w="3438" w:type="dxa"/>
            <w:tcBorders>
              <w:bottom w:val="single" w:sz="4" w:space="0" w:color="000000"/>
            </w:tcBorders>
            <w:hideMark/>
          </w:tcPr>
          <w:p w14:paraId="7E15528A" w14:textId="77777777" w:rsidR="00A340EE" w:rsidRPr="0047058F" w:rsidRDefault="00A340EE" w:rsidP="002548A9">
            <w:pPr>
              <w:pStyle w:val="TableText"/>
              <w:spacing w:before="32" w:after="32"/>
              <w:rPr>
                <w:rFonts w:cs="Calibri"/>
                <w:szCs w:val="14"/>
              </w:rPr>
            </w:pPr>
            <w:r w:rsidRPr="0047058F">
              <w:rPr>
                <w:rFonts w:cs="Calibri"/>
                <w:szCs w:val="14"/>
              </w:rPr>
              <w:t>Not in a relationship</w:t>
            </w:r>
          </w:p>
        </w:tc>
        <w:tc>
          <w:tcPr>
            <w:tcW w:w="646" w:type="dxa"/>
            <w:tcBorders>
              <w:bottom w:val="single" w:sz="4" w:space="0" w:color="000000"/>
            </w:tcBorders>
          </w:tcPr>
          <w:p w14:paraId="130C738B" w14:textId="77777777" w:rsidR="00A340EE" w:rsidRPr="0047058F" w:rsidRDefault="00A340EE" w:rsidP="002548A9">
            <w:pPr>
              <w:pStyle w:val="TableText"/>
              <w:spacing w:before="32" w:after="32"/>
              <w:jc w:val="right"/>
            </w:pPr>
            <w:r w:rsidRPr="0047058F">
              <w:t>147</w:t>
            </w:r>
          </w:p>
        </w:tc>
        <w:tc>
          <w:tcPr>
            <w:tcW w:w="646" w:type="dxa"/>
            <w:tcBorders>
              <w:bottom w:val="single" w:sz="4" w:space="0" w:color="000000"/>
            </w:tcBorders>
          </w:tcPr>
          <w:p w14:paraId="5FB95544" w14:textId="77777777" w:rsidR="00A340EE" w:rsidRPr="0047058F" w:rsidRDefault="00A340EE" w:rsidP="002548A9">
            <w:pPr>
              <w:pStyle w:val="TableText"/>
              <w:spacing w:before="32" w:after="32"/>
              <w:jc w:val="right"/>
            </w:pPr>
            <w:r w:rsidRPr="0047058F">
              <w:t>6.3</w:t>
            </w:r>
          </w:p>
        </w:tc>
        <w:tc>
          <w:tcPr>
            <w:tcW w:w="646" w:type="dxa"/>
            <w:tcBorders>
              <w:bottom w:val="single" w:sz="4" w:space="0" w:color="000000"/>
            </w:tcBorders>
          </w:tcPr>
          <w:p w14:paraId="6408ED43" w14:textId="77777777" w:rsidR="00A340EE" w:rsidRPr="0047058F" w:rsidRDefault="00A340EE" w:rsidP="002548A9">
            <w:pPr>
              <w:pStyle w:val="TableText"/>
              <w:spacing w:before="32" w:after="32"/>
              <w:jc w:val="right"/>
            </w:pPr>
            <w:r w:rsidRPr="0047058F">
              <w:t>752</w:t>
            </w:r>
          </w:p>
        </w:tc>
        <w:tc>
          <w:tcPr>
            <w:tcW w:w="646" w:type="dxa"/>
            <w:tcBorders>
              <w:bottom w:val="single" w:sz="4" w:space="0" w:color="000000"/>
            </w:tcBorders>
          </w:tcPr>
          <w:p w14:paraId="45832232" w14:textId="77777777" w:rsidR="00A340EE" w:rsidRPr="0047058F" w:rsidRDefault="00A340EE" w:rsidP="002548A9">
            <w:pPr>
              <w:pStyle w:val="TableText"/>
              <w:spacing w:before="32" w:after="32"/>
              <w:jc w:val="right"/>
            </w:pPr>
            <w:r w:rsidRPr="0047058F">
              <w:t>12.2</w:t>
            </w:r>
          </w:p>
        </w:tc>
        <w:tc>
          <w:tcPr>
            <w:tcW w:w="646" w:type="dxa"/>
            <w:tcBorders>
              <w:bottom w:val="single" w:sz="4" w:space="0" w:color="000000"/>
            </w:tcBorders>
          </w:tcPr>
          <w:p w14:paraId="52C39F7F" w14:textId="77777777" w:rsidR="00A340EE" w:rsidRPr="0047058F" w:rsidRDefault="00A340EE" w:rsidP="002548A9">
            <w:pPr>
              <w:pStyle w:val="TableText"/>
              <w:spacing w:before="32" w:after="32"/>
              <w:jc w:val="right"/>
            </w:pPr>
            <w:r w:rsidRPr="0047058F">
              <w:t>899</w:t>
            </w:r>
          </w:p>
        </w:tc>
        <w:tc>
          <w:tcPr>
            <w:tcW w:w="647" w:type="dxa"/>
            <w:tcBorders>
              <w:bottom w:val="single" w:sz="4" w:space="0" w:color="000000"/>
            </w:tcBorders>
          </w:tcPr>
          <w:p w14:paraId="35CAA1FB" w14:textId="77777777" w:rsidR="00A340EE" w:rsidRPr="0047058F" w:rsidRDefault="00A340EE" w:rsidP="002548A9">
            <w:pPr>
              <w:pStyle w:val="TableText"/>
              <w:spacing w:before="32" w:after="32"/>
              <w:jc w:val="right"/>
            </w:pPr>
            <w:r w:rsidRPr="0047058F">
              <w:t>10.6</w:t>
            </w:r>
          </w:p>
        </w:tc>
      </w:tr>
      <w:tr w:rsidR="00A340EE" w:rsidRPr="0047058F" w14:paraId="25EB5FBB"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top w:val="single" w:sz="4" w:space="0" w:color="000000"/>
              <w:bottom w:val="nil"/>
            </w:tcBorders>
            <w:hideMark/>
          </w:tcPr>
          <w:p w14:paraId="6B421B89" w14:textId="77777777" w:rsidR="00A340EE" w:rsidRPr="0047058F" w:rsidRDefault="00A340EE" w:rsidP="002548A9">
            <w:pPr>
              <w:pStyle w:val="TableText"/>
              <w:spacing w:before="32" w:after="32"/>
              <w:rPr>
                <w:b/>
              </w:rPr>
            </w:pPr>
            <w:r w:rsidRPr="0047058F">
              <w:rPr>
                <w:b/>
              </w:rPr>
              <w:t>Education</w:t>
            </w:r>
          </w:p>
        </w:tc>
        <w:tc>
          <w:tcPr>
            <w:tcW w:w="646" w:type="dxa"/>
            <w:tcBorders>
              <w:top w:val="single" w:sz="4" w:space="0" w:color="000000"/>
              <w:bottom w:val="nil"/>
            </w:tcBorders>
          </w:tcPr>
          <w:p w14:paraId="62273C5F"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1643EE0B"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470FD431"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454C3E7B"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1905D6FE" w14:textId="77777777" w:rsidR="00A340EE" w:rsidRPr="0047058F" w:rsidRDefault="00A340EE" w:rsidP="002548A9">
            <w:pPr>
              <w:pStyle w:val="TableText"/>
              <w:spacing w:before="32" w:after="32"/>
              <w:jc w:val="right"/>
            </w:pPr>
          </w:p>
        </w:tc>
        <w:tc>
          <w:tcPr>
            <w:tcW w:w="647" w:type="dxa"/>
            <w:tcBorders>
              <w:top w:val="single" w:sz="4" w:space="0" w:color="000000"/>
              <w:bottom w:val="nil"/>
            </w:tcBorders>
          </w:tcPr>
          <w:p w14:paraId="10158DBE" w14:textId="77777777" w:rsidR="00A340EE" w:rsidRPr="0047058F" w:rsidRDefault="00A340EE" w:rsidP="002548A9">
            <w:pPr>
              <w:pStyle w:val="TableText"/>
              <w:spacing w:before="32" w:after="32"/>
              <w:jc w:val="right"/>
            </w:pPr>
          </w:p>
        </w:tc>
      </w:tr>
      <w:tr w:rsidR="00A340EE" w:rsidRPr="0047058F" w14:paraId="60E952DC" w14:textId="77777777" w:rsidTr="00BD64A6">
        <w:tc>
          <w:tcPr>
            <w:tcW w:w="3438" w:type="dxa"/>
            <w:tcBorders>
              <w:top w:val="nil"/>
            </w:tcBorders>
            <w:hideMark/>
          </w:tcPr>
          <w:p w14:paraId="51C45B21" w14:textId="77777777" w:rsidR="00A340EE" w:rsidRPr="0047058F" w:rsidRDefault="00A340EE" w:rsidP="002548A9">
            <w:pPr>
              <w:pStyle w:val="TableText"/>
              <w:spacing w:before="32" w:after="32"/>
              <w:rPr>
                <w:rFonts w:cs="Calibri"/>
                <w:szCs w:val="14"/>
              </w:rPr>
            </w:pPr>
            <w:r w:rsidRPr="0047058F">
              <w:rPr>
                <w:rFonts w:cs="Calibri"/>
                <w:szCs w:val="14"/>
              </w:rPr>
              <w:t>Primary/secondary school</w:t>
            </w:r>
          </w:p>
        </w:tc>
        <w:tc>
          <w:tcPr>
            <w:tcW w:w="646" w:type="dxa"/>
            <w:tcBorders>
              <w:top w:val="nil"/>
            </w:tcBorders>
          </w:tcPr>
          <w:p w14:paraId="74E8E4CA" w14:textId="77777777" w:rsidR="00A340EE" w:rsidRPr="0047058F" w:rsidRDefault="00A340EE" w:rsidP="002548A9">
            <w:pPr>
              <w:pStyle w:val="TableText"/>
              <w:spacing w:before="32" w:after="32"/>
              <w:jc w:val="right"/>
            </w:pPr>
            <w:r w:rsidRPr="0047058F">
              <w:t>493</w:t>
            </w:r>
          </w:p>
        </w:tc>
        <w:tc>
          <w:tcPr>
            <w:tcW w:w="646" w:type="dxa"/>
            <w:tcBorders>
              <w:top w:val="nil"/>
            </w:tcBorders>
          </w:tcPr>
          <w:p w14:paraId="259E177D" w14:textId="77777777" w:rsidR="00A340EE" w:rsidRPr="0047058F" w:rsidRDefault="00A340EE" w:rsidP="002548A9">
            <w:pPr>
              <w:pStyle w:val="TableText"/>
              <w:spacing w:before="32" w:after="32"/>
              <w:jc w:val="right"/>
            </w:pPr>
            <w:r w:rsidRPr="0047058F">
              <w:t>21.1</w:t>
            </w:r>
          </w:p>
        </w:tc>
        <w:tc>
          <w:tcPr>
            <w:tcW w:w="646" w:type="dxa"/>
            <w:tcBorders>
              <w:top w:val="nil"/>
            </w:tcBorders>
          </w:tcPr>
          <w:p w14:paraId="3CF7E4DC" w14:textId="77777777" w:rsidR="00A340EE" w:rsidRPr="0047058F" w:rsidRDefault="00A340EE" w:rsidP="002548A9">
            <w:pPr>
              <w:pStyle w:val="TableText"/>
              <w:spacing w:before="32" w:after="32"/>
              <w:jc w:val="right"/>
            </w:pPr>
            <w:r w:rsidRPr="0047058F">
              <w:t>1267</w:t>
            </w:r>
          </w:p>
        </w:tc>
        <w:tc>
          <w:tcPr>
            <w:tcW w:w="646" w:type="dxa"/>
            <w:tcBorders>
              <w:top w:val="nil"/>
            </w:tcBorders>
          </w:tcPr>
          <w:p w14:paraId="0D13AC95" w14:textId="77777777" w:rsidR="00A340EE" w:rsidRPr="0047058F" w:rsidRDefault="00A340EE" w:rsidP="002548A9">
            <w:pPr>
              <w:pStyle w:val="TableText"/>
              <w:spacing w:before="32" w:after="32"/>
              <w:jc w:val="right"/>
            </w:pPr>
            <w:r w:rsidRPr="0047058F">
              <w:t>20.6</w:t>
            </w:r>
          </w:p>
        </w:tc>
        <w:tc>
          <w:tcPr>
            <w:tcW w:w="646" w:type="dxa"/>
            <w:tcBorders>
              <w:top w:val="nil"/>
            </w:tcBorders>
          </w:tcPr>
          <w:p w14:paraId="46D08FBE" w14:textId="77777777" w:rsidR="00A340EE" w:rsidRPr="0047058F" w:rsidRDefault="00A340EE" w:rsidP="002548A9">
            <w:pPr>
              <w:pStyle w:val="TableText"/>
              <w:spacing w:before="32" w:after="32"/>
              <w:jc w:val="right"/>
            </w:pPr>
            <w:r w:rsidRPr="0047058F">
              <w:t>1760</w:t>
            </w:r>
          </w:p>
        </w:tc>
        <w:tc>
          <w:tcPr>
            <w:tcW w:w="647" w:type="dxa"/>
            <w:tcBorders>
              <w:top w:val="nil"/>
            </w:tcBorders>
          </w:tcPr>
          <w:p w14:paraId="4A274E08" w14:textId="77777777" w:rsidR="00A340EE" w:rsidRPr="0047058F" w:rsidRDefault="00A340EE" w:rsidP="002548A9">
            <w:pPr>
              <w:pStyle w:val="TableText"/>
              <w:spacing w:before="32" w:after="32"/>
              <w:jc w:val="right"/>
            </w:pPr>
            <w:r w:rsidRPr="0047058F">
              <w:t>20.7</w:t>
            </w:r>
          </w:p>
        </w:tc>
      </w:tr>
      <w:tr w:rsidR="00A340EE" w:rsidRPr="0047058F" w14:paraId="5D01FC50"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721CA679" w14:textId="77777777" w:rsidR="00A340EE" w:rsidRPr="0047058F" w:rsidRDefault="00A340EE" w:rsidP="002548A9">
            <w:pPr>
              <w:pStyle w:val="TableText"/>
              <w:spacing w:before="32" w:after="32"/>
              <w:rPr>
                <w:rFonts w:cs="Calibri"/>
                <w:szCs w:val="14"/>
              </w:rPr>
            </w:pPr>
            <w:r w:rsidRPr="0047058F">
              <w:rPr>
                <w:rFonts w:cs="Calibri"/>
                <w:szCs w:val="14"/>
              </w:rPr>
              <w:t>Certificate</w:t>
            </w:r>
          </w:p>
        </w:tc>
        <w:tc>
          <w:tcPr>
            <w:tcW w:w="646" w:type="dxa"/>
          </w:tcPr>
          <w:p w14:paraId="502B6704" w14:textId="77777777" w:rsidR="00A340EE" w:rsidRPr="0047058F" w:rsidRDefault="00A340EE" w:rsidP="002548A9">
            <w:pPr>
              <w:pStyle w:val="TableText"/>
              <w:spacing w:before="32" w:after="32"/>
              <w:jc w:val="right"/>
            </w:pPr>
            <w:r w:rsidRPr="0047058F">
              <w:t>621</w:t>
            </w:r>
          </w:p>
        </w:tc>
        <w:tc>
          <w:tcPr>
            <w:tcW w:w="646" w:type="dxa"/>
          </w:tcPr>
          <w:p w14:paraId="2C1BF66C" w14:textId="77777777" w:rsidR="00A340EE" w:rsidRPr="0047058F" w:rsidRDefault="00A340EE" w:rsidP="002548A9">
            <w:pPr>
              <w:pStyle w:val="TableText"/>
              <w:spacing w:before="32" w:after="32"/>
              <w:jc w:val="right"/>
            </w:pPr>
            <w:r w:rsidRPr="0047058F">
              <w:t>26.6</w:t>
            </w:r>
          </w:p>
        </w:tc>
        <w:tc>
          <w:tcPr>
            <w:tcW w:w="646" w:type="dxa"/>
          </w:tcPr>
          <w:p w14:paraId="47C94B46" w14:textId="77777777" w:rsidR="00A340EE" w:rsidRPr="0047058F" w:rsidRDefault="00A340EE" w:rsidP="002548A9">
            <w:pPr>
              <w:pStyle w:val="TableText"/>
              <w:spacing w:before="32" w:after="32"/>
              <w:jc w:val="right"/>
            </w:pPr>
            <w:r w:rsidRPr="0047058F">
              <w:t>1244</w:t>
            </w:r>
          </w:p>
        </w:tc>
        <w:tc>
          <w:tcPr>
            <w:tcW w:w="646" w:type="dxa"/>
          </w:tcPr>
          <w:p w14:paraId="1059A58F" w14:textId="77777777" w:rsidR="00A340EE" w:rsidRPr="0047058F" w:rsidRDefault="00A340EE" w:rsidP="002548A9">
            <w:pPr>
              <w:pStyle w:val="TableText"/>
              <w:spacing w:before="32" w:after="32"/>
              <w:jc w:val="right"/>
            </w:pPr>
            <w:r w:rsidRPr="0047058F">
              <w:t>20.2</w:t>
            </w:r>
          </w:p>
        </w:tc>
        <w:tc>
          <w:tcPr>
            <w:tcW w:w="646" w:type="dxa"/>
          </w:tcPr>
          <w:p w14:paraId="5A310C5B" w14:textId="77777777" w:rsidR="00A340EE" w:rsidRPr="0047058F" w:rsidRDefault="00A340EE" w:rsidP="002548A9">
            <w:pPr>
              <w:pStyle w:val="TableText"/>
              <w:spacing w:before="32" w:after="32"/>
              <w:jc w:val="right"/>
            </w:pPr>
            <w:r w:rsidRPr="0047058F">
              <w:t>1865</w:t>
            </w:r>
          </w:p>
        </w:tc>
        <w:tc>
          <w:tcPr>
            <w:tcW w:w="647" w:type="dxa"/>
          </w:tcPr>
          <w:p w14:paraId="26B3DBBF" w14:textId="77777777" w:rsidR="00A340EE" w:rsidRPr="0047058F" w:rsidRDefault="00A340EE" w:rsidP="002548A9">
            <w:pPr>
              <w:pStyle w:val="TableText"/>
              <w:spacing w:before="32" w:after="32"/>
              <w:jc w:val="right"/>
            </w:pPr>
            <w:r w:rsidRPr="0047058F">
              <w:t>21.9</w:t>
            </w:r>
          </w:p>
        </w:tc>
      </w:tr>
      <w:tr w:rsidR="00A340EE" w:rsidRPr="0047058F" w14:paraId="63BA271F" w14:textId="77777777" w:rsidTr="00BD64A6">
        <w:tc>
          <w:tcPr>
            <w:tcW w:w="3438" w:type="dxa"/>
            <w:hideMark/>
          </w:tcPr>
          <w:p w14:paraId="30395F4E" w14:textId="77777777" w:rsidR="00A340EE" w:rsidRPr="0047058F" w:rsidRDefault="00A340EE" w:rsidP="002548A9">
            <w:pPr>
              <w:pStyle w:val="TableText"/>
              <w:spacing w:before="32" w:after="32"/>
              <w:rPr>
                <w:rFonts w:cs="Calibri"/>
                <w:szCs w:val="14"/>
              </w:rPr>
            </w:pPr>
            <w:r w:rsidRPr="0047058F">
              <w:rPr>
                <w:rFonts w:cs="Calibri"/>
                <w:szCs w:val="14"/>
              </w:rPr>
              <w:t>Diploma</w:t>
            </w:r>
          </w:p>
        </w:tc>
        <w:tc>
          <w:tcPr>
            <w:tcW w:w="646" w:type="dxa"/>
          </w:tcPr>
          <w:p w14:paraId="240A0FCD" w14:textId="77777777" w:rsidR="00A340EE" w:rsidRPr="0047058F" w:rsidRDefault="00A340EE" w:rsidP="002548A9">
            <w:pPr>
              <w:pStyle w:val="TableText"/>
              <w:spacing w:before="32" w:after="32"/>
              <w:jc w:val="right"/>
            </w:pPr>
            <w:r w:rsidRPr="0047058F">
              <w:t>468</w:t>
            </w:r>
          </w:p>
        </w:tc>
        <w:tc>
          <w:tcPr>
            <w:tcW w:w="646" w:type="dxa"/>
          </w:tcPr>
          <w:p w14:paraId="310CE47F" w14:textId="77777777" w:rsidR="00A340EE" w:rsidRPr="0047058F" w:rsidRDefault="00A340EE" w:rsidP="002548A9">
            <w:pPr>
              <w:pStyle w:val="TableText"/>
              <w:spacing w:before="32" w:after="32"/>
              <w:jc w:val="right"/>
            </w:pPr>
            <w:r w:rsidRPr="0047058F">
              <w:t>20.1</w:t>
            </w:r>
          </w:p>
        </w:tc>
        <w:tc>
          <w:tcPr>
            <w:tcW w:w="646" w:type="dxa"/>
          </w:tcPr>
          <w:p w14:paraId="56A69861" w14:textId="77777777" w:rsidR="00A340EE" w:rsidRPr="0047058F" w:rsidRDefault="00A340EE" w:rsidP="002548A9">
            <w:pPr>
              <w:pStyle w:val="TableText"/>
              <w:spacing w:before="32" w:after="32"/>
              <w:jc w:val="right"/>
            </w:pPr>
            <w:r w:rsidRPr="0047058F">
              <w:t>1410</w:t>
            </w:r>
          </w:p>
        </w:tc>
        <w:tc>
          <w:tcPr>
            <w:tcW w:w="646" w:type="dxa"/>
          </w:tcPr>
          <w:p w14:paraId="50309C93" w14:textId="77777777" w:rsidR="00A340EE" w:rsidRPr="0047058F" w:rsidRDefault="00A340EE" w:rsidP="002548A9">
            <w:pPr>
              <w:pStyle w:val="TableText"/>
              <w:spacing w:before="32" w:after="32"/>
              <w:jc w:val="right"/>
            </w:pPr>
            <w:r w:rsidRPr="0047058F">
              <w:t>22.9</w:t>
            </w:r>
          </w:p>
        </w:tc>
        <w:tc>
          <w:tcPr>
            <w:tcW w:w="646" w:type="dxa"/>
          </w:tcPr>
          <w:p w14:paraId="73F39D59" w14:textId="77777777" w:rsidR="00A340EE" w:rsidRPr="0047058F" w:rsidRDefault="00A340EE" w:rsidP="002548A9">
            <w:pPr>
              <w:pStyle w:val="TableText"/>
              <w:spacing w:before="32" w:after="32"/>
              <w:jc w:val="right"/>
            </w:pPr>
            <w:r w:rsidRPr="0047058F">
              <w:t>1878</w:t>
            </w:r>
          </w:p>
        </w:tc>
        <w:tc>
          <w:tcPr>
            <w:tcW w:w="647" w:type="dxa"/>
          </w:tcPr>
          <w:p w14:paraId="63E85963" w14:textId="77777777" w:rsidR="00A340EE" w:rsidRPr="0047058F" w:rsidRDefault="00A340EE" w:rsidP="002548A9">
            <w:pPr>
              <w:pStyle w:val="TableText"/>
              <w:spacing w:before="32" w:after="32"/>
              <w:jc w:val="right"/>
            </w:pPr>
            <w:r w:rsidRPr="0047058F">
              <w:t>22.1</w:t>
            </w:r>
          </w:p>
        </w:tc>
      </w:tr>
      <w:tr w:rsidR="00A340EE" w:rsidRPr="0047058F" w14:paraId="164CFC4B"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bottom w:val="single" w:sz="4" w:space="0" w:color="000000"/>
            </w:tcBorders>
            <w:hideMark/>
          </w:tcPr>
          <w:p w14:paraId="777BA946" w14:textId="77777777" w:rsidR="00A340EE" w:rsidRPr="0047058F" w:rsidRDefault="00A340EE" w:rsidP="002548A9">
            <w:pPr>
              <w:pStyle w:val="TableText"/>
              <w:spacing w:before="32" w:after="32"/>
              <w:rPr>
                <w:rFonts w:cs="Calibri"/>
                <w:szCs w:val="14"/>
              </w:rPr>
            </w:pPr>
            <w:r w:rsidRPr="0047058F">
              <w:rPr>
                <w:rFonts w:cs="Calibri"/>
                <w:szCs w:val="14"/>
              </w:rPr>
              <w:t>University</w:t>
            </w:r>
          </w:p>
        </w:tc>
        <w:tc>
          <w:tcPr>
            <w:tcW w:w="646" w:type="dxa"/>
            <w:tcBorders>
              <w:bottom w:val="single" w:sz="4" w:space="0" w:color="000000"/>
            </w:tcBorders>
          </w:tcPr>
          <w:p w14:paraId="5E19DA8A" w14:textId="77777777" w:rsidR="00A340EE" w:rsidRPr="0047058F" w:rsidRDefault="00A340EE" w:rsidP="002548A9">
            <w:pPr>
              <w:pStyle w:val="TableText"/>
              <w:spacing w:before="32" w:after="32"/>
              <w:jc w:val="right"/>
            </w:pPr>
            <w:r w:rsidRPr="0047058F">
              <w:t>721</w:t>
            </w:r>
          </w:p>
        </w:tc>
        <w:tc>
          <w:tcPr>
            <w:tcW w:w="646" w:type="dxa"/>
            <w:tcBorders>
              <w:bottom w:val="single" w:sz="4" w:space="0" w:color="000000"/>
            </w:tcBorders>
          </w:tcPr>
          <w:p w14:paraId="20E1C091" w14:textId="77777777" w:rsidR="00A340EE" w:rsidRPr="0047058F" w:rsidRDefault="00A340EE" w:rsidP="002548A9">
            <w:pPr>
              <w:pStyle w:val="TableText"/>
              <w:spacing w:before="32" w:after="32"/>
              <w:jc w:val="right"/>
            </w:pPr>
            <w:r w:rsidRPr="0047058F">
              <w:t>30.9</w:t>
            </w:r>
          </w:p>
        </w:tc>
        <w:tc>
          <w:tcPr>
            <w:tcW w:w="646" w:type="dxa"/>
            <w:tcBorders>
              <w:bottom w:val="single" w:sz="4" w:space="0" w:color="000000"/>
            </w:tcBorders>
          </w:tcPr>
          <w:p w14:paraId="0FA54BC0" w14:textId="77777777" w:rsidR="00A340EE" w:rsidRPr="0047058F" w:rsidRDefault="00A340EE" w:rsidP="002548A9">
            <w:pPr>
              <w:pStyle w:val="TableText"/>
              <w:spacing w:before="32" w:after="32"/>
              <w:jc w:val="right"/>
            </w:pPr>
            <w:r w:rsidRPr="0047058F">
              <w:t>2158</w:t>
            </w:r>
          </w:p>
        </w:tc>
        <w:tc>
          <w:tcPr>
            <w:tcW w:w="646" w:type="dxa"/>
            <w:tcBorders>
              <w:bottom w:val="single" w:sz="4" w:space="0" w:color="000000"/>
            </w:tcBorders>
          </w:tcPr>
          <w:p w14:paraId="5357CCC1" w14:textId="77777777" w:rsidR="00A340EE" w:rsidRPr="0047058F" w:rsidRDefault="00A340EE" w:rsidP="002548A9">
            <w:pPr>
              <w:pStyle w:val="TableText"/>
              <w:spacing w:before="32" w:after="32"/>
              <w:jc w:val="right"/>
            </w:pPr>
            <w:r w:rsidRPr="0047058F">
              <w:t>35.0</w:t>
            </w:r>
          </w:p>
        </w:tc>
        <w:tc>
          <w:tcPr>
            <w:tcW w:w="646" w:type="dxa"/>
            <w:tcBorders>
              <w:bottom w:val="single" w:sz="4" w:space="0" w:color="000000"/>
            </w:tcBorders>
          </w:tcPr>
          <w:p w14:paraId="6A56F74E" w14:textId="77777777" w:rsidR="00A340EE" w:rsidRPr="0047058F" w:rsidRDefault="00A340EE" w:rsidP="002548A9">
            <w:pPr>
              <w:pStyle w:val="TableText"/>
              <w:spacing w:before="32" w:after="32"/>
              <w:jc w:val="right"/>
            </w:pPr>
            <w:r w:rsidRPr="0047058F">
              <w:t>2879</w:t>
            </w:r>
          </w:p>
        </w:tc>
        <w:tc>
          <w:tcPr>
            <w:tcW w:w="647" w:type="dxa"/>
            <w:tcBorders>
              <w:bottom w:val="single" w:sz="4" w:space="0" w:color="000000"/>
            </w:tcBorders>
          </w:tcPr>
          <w:p w14:paraId="255A5A75" w14:textId="77777777" w:rsidR="00A340EE" w:rsidRPr="0047058F" w:rsidRDefault="00A340EE" w:rsidP="002548A9">
            <w:pPr>
              <w:pStyle w:val="TableText"/>
              <w:spacing w:before="32" w:after="32"/>
              <w:jc w:val="right"/>
            </w:pPr>
            <w:r w:rsidRPr="0047058F">
              <w:t>33.9</w:t>
            </w:r>
          </w:p>
        </w:tc>
      </w:tr>
      <w:tr w:rsidR="00A340EE" w:rsidRPr="0047058F" w14:paraId="1A112006" w14:textId="77777777" w:rsidTr="00BD64A6">
        <w:tc>
          <w:tcPr>
            <w:tcW w:w="3438" w:type="dxa"/>
            <w:tcBorders>
              <w:top w:val="single" w:sz="4" w:space="0" w:color="000000"/>
              <w:bottom w:val="nil"/>
            </w:tcBorders>
            <w:hideMark/>
          </w:tcPr>
          <w:p w14:paraId="22778F28" w14:textId="77777777" w:rsidR="00A340EE" w:rsidRPr="0047058F" w:rsidRDefault="00A340EE" w:rsidP="002548A9">
            <w:pPr>
              <w:pStyle w:val="TableText"/>
              <w:spacing w:before="32" w:after="32"/>
              <w:rPr>
                <w:b/>
              </w:rPr>
            </w:pPr>
            <w:r w:rsidRPr="0047058F">
              <w:rPr>
                <w:b/>
              </w:rPr>
              <w:t>Employment status</w:t>
            </w:r>
          </w:p>
        </w:tc>
        <w:tc>
          <w:tcPr>
            <w:tcW w:w="646" w:type="dxa"/>
            <w:tcBorders>
              <w:top w:val="single" w:sz="4" w:space="0" w:color="000000"/>
              <w:bottom w:val="nil"/>
            </w:tcBorders>
          </w:tcPr>
          <w:p w14:paraId="5FBBB710"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3F6AD03B"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7FC34517"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013E8583"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56949355" w14:textId="77777777" w:rsidR="00A340EE" w:rsidRPr="0047058F" w:rsidRDefault="00A340EE" w:rsidP="002548A9">
            <w:pPr>
              <w:pStyle w:val="TableText"/>
              <w:spacing w:before="32" w:after="32"/>
              <w:jc w:val="right"/>
            </w:pPr>
          </w:p>
        </w:tc>
        <w:tc>
          <w:tcPr>
            <w:tcW w:w="647" w:type="dxa"/>
            <w:tcBorders>
              <w:top w:val="single" w:sz="4" w:space="0" w:color="000000"/>
              <w:bottom w:val="nil"/>
            </w:tcBorders>
          </w:tcPr>
          <w:p w14:paraId="1CE50C2F" w14:textId="77777777" w:rsidR="00A340EE" w:rsidRPr="0047058F" w:rsidRDefault="00A340EE" w:rsidP="002548A9">
            <w:pPr>
              <w:pStyle w:val="TableText"/>
              <w:spacing w:before="32" w:after="32"/>
              <w:jc w:val="right"/>
            </w:pPr>
          </w:p>
        </w:tc>
      </w:tr>
      <w:tr w:rsidR="00A340EE" w:rsidRPr="0047058F" w14:paraId="0856CDB7"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top w:val="nil"/>
            </w:tcBorders>
            <w:hideMark/>
          </w:tcPr>
          <w:p w14:paraId="1E063B75" w14:textId="77777777" w:rsidR="00A340EE" w:rsidRPr="0047058F" w:rsidRDefault="00A340EE" w:rsidP="002548A9">
            <w:pPr>
              <w:pStyle w:val="TableText"/>
              <w:spacing w:before="32" w:after="32"/>
              <w:rPr>
                <w:rFonts w:cs="Calibri"/>
                <w:szCs w:val="14"/>
              </w:rPr>
            </w:pPr>
            <w:r w:rsidRPr="0047058F">
              <w:rPr>
                <w:rFonts w:cs="Calibri"/>
                <w:szCs w:val="14"/>
              </w:rPr>
              <w:t>Full-/part-time paid work</w:t>
            </w:r>
          </w:p>
        </w:tc>
        <w:tc>
          <w:tcPr>
            <w:tcW w:w="646" w:type="dxa"/>
            <w:tcBorders>
              <w:top w:val="nil"/>
            </w:tcBorders>
          </w:tcPr>
          <w:p w14:paraId="7023B099" w14:textId="77777777" w:rsidR="00A340EE" w:rsidRPr="0047058F" w:rsidRDefault="00A340EE" w:rsidP="002548A9">
            <w:pPr>
              <w:pStyle w:val="TableText"/>
              <w:spacing w:before="32" w:after="32"/>
              <w:jc w:val="right"/>
            </w:pPr>
            <w:r w:rsidRPr="0047058F">
              <w:t>1574</w:t>
            </w:r>
          </w:p>
        </w:tc>
        <w:tc>
          <w:tcPr>
            <w:tcW w:w="646" w:type="dxa"/>
            <w:tcBorders>
              <w:top w:val="nil"/>
            </w:tcBorders>
          </w:tcPr>
          <w:p w14:paraId="243AC728" w14:textId="77777777" w:rsidR="00A340EE" w:rsidRPr="0047058F" w:rsidRDefault="00A340EE" w:rsidP="002548A9">
            <w:pPr>
              <w:pStyle w:val="TableText"/>
              <w:spacing w:before="32" w:after="32"/>
              <w:jc w:val="right"/>
            </w:pPr>
            <w:r w:rsidRPr="0047058F">
              <w:t>67.4</w:t>
            </w:r>
          </w:p>
        </w:tc>
        <w:tc>
          <w:tcPr>
            <w:tcW w:w="646" w:type="dxa"/>
            <w:tcBorders>
              <w:top w:val="nil"/>
            </w:tcBorders>
          </w:tcPr>
          <w:p w14:paraId="7DF720D2" w14:textId="77777777" w:rsidR="00A340EE" w:rsidRPr="0047058F" w:rsidRDefault="00A340EE" w:rsidP="002548A9">
            <w:pPr>
              <w:pStyle w:val="TableText"/>
              <w:spacing w:before="32" w:after="32"/>
              <w:jc w:val="right"/>
            </w:pPr>
            <w:r w:rsidRPr="0047058F">
              <w:t>6163</w:t>
            </w:r>
          </w:p>
        </w:tc>
        <w:tc>
          <w:tcPr>
            <w:tcW w:w="646" w:type="dxa"/>
            <w:tcBorders>
              <w:top w:val="nil"/>
            </w:tcBorders>
          </w:tcPr>
          <w:p w14:paraId="0CB30996" w14:textId="77777777" w:rsidR="00A340EE" w:rsidRPr="0047058F" w:rsidRDefault="00A340EE" w:rsidP="002548A9">
            <w:pPr>
              <w:pStyle w:val="TableText"/>
              <w:spacing w:before="32" w:after="32"/>
              <w:jc w:val="right"/>
            </w:pPr>
            <w:r w:rsidRPr="0047058F">
              <w:t>100.0</w:t>
            </w:r>
          </w:p>
        </w:tc>
        <w:tc>
          <w:tcPr>
            <w:tcW w:w="646" w:type="dxa"/>
            <w:tcBorders>
              <w:top w:val="nil"/>
            </w:tcBorders>
          </w:tcPr>
          <w:p w14:paraId="4B83652E" w14:textId="77777777" w:rsidR="00A340EE" w:rsidRPr="0047058F" w:rsidRDefault="00A340EE" w:rsidP="002548A9">
            <w:pPr>
              <w:pStyle w:val="TableText"/>
              <w:spacing w:before="32" w:after="32"/>
              <w:jc w:val="right"/>
            </w:pPr>
            <w:r w:rsidRPr="0047058F">
              <w:t>7737</w:t>
            </w:r>
          </w:p>
        </w:tc>
        <w:tc>
          <w:tcPr>
            <w:tcW w:w="647" w:type="dxa"/>
            <w:tcBorders>
              <w:top w:val="nil"/>
            </w:tcBorders>
          </w:tcPr>
          <w:p w14:paraId="0ACD7D91" w14:textId="77777777" w:rsidR="00A340EE" w:rsidRPr="0047058F" w:rsidRDefault="00A340EE" w:rsidP="002548A9">
            <w:pPr>
              <w:pStyle w:val="TableText"/>
              <w:spacing w:before="32" w:after="32"/>
              <w:jc w:val="right"/>
            </w:pPr>
            <w:r w:rsidRPr="0047058F">
              <w:t>91.1</w:t>
            </w:r>
          </w:p>
        </w:tc>
      </w:tr>
      <w:tr w:rsidR="00A340EE" w:rsidRPr="0047058F" w14:paraId="72A2D072" w14:textId="77777777" w:rsidTr="00BD64A6">
        <w:tc>
          <w:tcPr>
            <w:tcW w:w="3438" w:type="dxa"/>
            <w:hideMark/>
          </w:tcPr>
          <w:p w14:paraId="051E9524" w14:textId="77777777" w:rsidR="00A340EE" w:rsidRPr="0047058F" w:rsidRDefault="00A340EE" w:rsidP="002548A9">
            <w:pPr>
              <w:pStyle w:val="TableText"/>
              <w:spacing w:before="32" w:after="32"/>
              <w:rPr>
                <w:rFonts w:cs="Calibri"/>
                <w:szCs w:val="14"/>
              </w:rPr>
            </w:pPr>
            <w:r w:rsidRPr="0047058F">
              <w:rPr>
                <w:rFonts w:cs="Calibri"/>
                <w:szCs w:val="14"/>
              </w:rPr>
              <w:t>Unpaid work</w:t>
            </w:r>
          </w:p>
        </w:tc>
        <w:tc>
          <w:tcPr>
            <w:tcW w:w="646" w:type="dxa"/>
          </w:tcPr>
          <w:p w14:paraId="014C2747" w14:textId="77777777" w:rsidR="00A340EE" w:rsidRPr="0047058F" w:rsidRDefault="00A340EE" w:rsidP="002548A9">
            <w:pPr>
              <w:pStyle w:val="TableText"/>
              <w:spacing w:before="32" w:after="32"/>
              <w:jc w:val="right"/>
            </w:pPr>
            <w:r w:rsidRPr="0047058F">
              <w:t>81</w:t>
            </w:r>
          </w:p>
        </w:tc>
        <w:tc>
          <w:tcPr>
            <w:tcW w:w="646" w:type="dxa"/>
          </w:tcPr>
          <w:p w14:paraId="618B6DD0" w14:textId="77777777" w:rsidR="00A340EE" w:rsidRPr="0047058F" w:rsidRDefault="00A340EE" w:rsidP="002548A9">
            <w:pPr>
              <w:pStyle w:val="TableText"/>
              <w:spacing w:before="32" w:after="32"/>
              <w:jc w:val="right"/>
            </w:pPr>
            <w:r w:rsidRPr="0047058F">
              <w:t>3.5</w:t>
            </w:r>
          </w:p>
        </w:tc>
        <w:tc>
          <w:tcPr>
            <w:tcW w:w="646" w:type="dxa"/>
          </w:tcPr>
          <w:p w14:paraId="3D00A60C" w14:textId="77777777" w:rsidR="00A340EE" w:rsidRPr="0047058F" w:rsidRDefault="00A340EE" w:rsidP="002548A9">
            <w:pPr>
              <w:pStyle w:val="TableText"/>
              <w:spacing w:before="32" w:after="32"/>
              <w:jc w:val="right"/>
            </w:pPr>
            <w:r w:rsidRPr="0047058F">
              <w:t>–</w:t>
            </w:r>
          </w:p>
        </w:tc>
        <w:tc>
          <w:tcPr>
            <w:tcW w:w="646" w:type="dxa"/>
          </w:tcPr>
          <w:p w14:paraId="5CEEE55C" w14:textId="77777777" w:rsidR="00A340EE" w:rsidRPr="0047058F" w:rsidRDefault="00A340EE" w:rsidP="002548A9">
            <w:pPr>
              <w:pStyle w:val="TableText"/>
              <w:spacing w:before="32" w:after="32"/>
              <w:jc w:val="right"/>
            </w:pPr>
            <w:r w:rsidRPr="0047058F">
              <w:t>–</w:t>
            </w:r>
          </w:p>
        </w:tc>
        <w:tc>
          <w:tcPr>
            <w:tcW w:w="646" w:type="dxa"/>
          </w:tcPr>
          <w:p w14:paraId="53E1F3CE" w14:textId="77777777" w:rsidR="00A340EE" w:rsidRPr="0047058F" w:rsidRDefault="00A340EE" w:rsidP="002548A9">
            <w:pPr>
              <w:pStyle w:val="TableText"/>
              <w:spacing w:before="32" w:after="32"/>
              <w:jc w:val="right"/>
            </w:pPr>
            <w:r w:rsidRPr="0047058F">
              <w:t>81</w:t>
            </w:r>
          </w:p>
        </w:tc>
        <w:tc>
          <w:tcPr>
            <w:tcW w:w="647" w:type="dxa"/>
          </w:tcPr>
          <w:p w14:paraId="1E530991" w14:textId="77777777" w:rsidR="00A340EE" w:rsidRPr="0047058F" w:rsidRDefault="00A340EE" w:rsidP="002548A9">
            <w:pPr>
              <w:pStyle w:val="TableText"/>
              <w:spacing w:before="32" w:after="32"/>
              <w:jc w:val="right"/>
            </w:pPr>
            <w:r w:rsidRPr="0047058F">
              <w:t>1.0</w:t>
            </w:r>
          </w:p>
        </w:tc>
      </w:tr>
      <w:tr w:rsidR="00A340EE" w:rsidRPr="0047058F" w14:paraId="487355F7"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6B239E45" w14:textId="77777777" w:rsidR="00A340EE" w:rsidRPr="0047058F" w:rsidRDefault="00A340EE" w:rsidP="002548A9">
            <w:pPr>
              <w:pStyle w:val="TableText"/>
              <w:spacing w:before="32" w:after="32"/>
              <w:rPr>
                <w:rFonts w:cs="Calibri"/>
                <w:szCs w:val="14"/>
              </w:rPr>
            </w:pPr>
            <w:r w:rsidRPr="0047058F">
              <w:rPr>
                <w:rFonts w:cs="Calibri"/>
                <w:szCs w:val="14"/>
              </w:rPr>
              <w:t>Unemployed/looking for work</w:t>
            </w:r>
          </w:p>
        </w:tc>
        <w:tc>
          <w:tcPr>
            <w:tcW w:w="646" w:type="dxa"/>
          </w:tcPr>
          <w:p w14:paraId="507BBCD2" w14:textId="77777777" w:rsidR="00A340EE" w:rsidRPr="0047058F" w:rsidRDefault="00A340EE" w:rsidP="002548A9">
            <w:pPr>
              <w:pStyle w:val="TableText"/>
              <w:spacing w:before="32" w:after="32"/>
              <w:jc w:val="right"/>
            </w:pPr>
            <w:r w:rsidRPr="0047058F">
              <w:t>103</w:t>
            </w:r>
          </w:p>
        </w:tc>
        <w:tc>
          <w:tcPr>
            <w:tcW w:w="646" w:type="dxa"/>
          </w:tcPr>
          <w:p w14:paraId="36079297" w14:textId="77777777" w:rsidR="00A340EE" w:rsidRPr="0047058F" w:rsidRDefault="00A340EE" w:rsidP="002548A9">
            <w:pPr>
              <w:pStyle w:val="TableText"/>
              <w:spacing w:before="32" w:after="32"/>
              <w:jc w:val="right"/>
            </w:pPr>
            <w:r w:rsidRPr="0047058F">
              <w:t>4.4</w:t>
            </w:r>
          </w:p>
        </w:tc>
        <w:tc>
          <w:tcPr>
            <w:tcW w:w="646" w:type="dxa"/>
          </w:tcPr>
          <w:p w14:paraId="5B8F7D93" w14:textId="77777777" w:rsidR="00A340EE" w:rsidRPr="0047058F" w:rsidRDefault="00A340EE" w:rsidP="002548A9">
            <w:pPr>
              <w:pStyle w:val="TableText"/>
              <w:spacing w:before="32" w:after="32"/>
              <w:jc w:val="right"/>
            </w:pPr>
            <w:r w:rsidRPr="0047058F">
              <w:t>–</w:t>
            </w:r>
          </w:p>
        </w:tc>
        <w:tc>
          <w:tcPr>
            <w:tcW w:w="646" w:type="dxa"/>
          </w:tcPr>
          <w:p w14:paraId="2AD15EA0" w14:textId="77777777" w:rsidR="00A340EE" w:rsidRPr="0047058F" w:rsidRDefault="00A340EE" w:rsidP="002548A9">
            <w:pPr>
              <w:pStyle w:val="TableText"/>
              <w:spacing w:before="32" w:after="32"/>
              <w:jc w:val="right"/>
            </w:pPr>
            <w:r w:rsidRPr="0047058F">
              <w:t>–</w:t>
            </w:r>
          </w:p>
        </w:tc>
        <w:tc>
          <w:tcPr>
            <w:tcW w:w="646" w:type="dxa"/>
          </w:tcPr>
          <w:p w14:paraId="3D27DB05" w14:textId="77777777" w:rsidR="00A340EE" w:rsidRPr="0047058F" w:rsidRDefault="00A340EE" w:rsidP="002548A9">
            <w:pPr>
              <w:pStyle w:val="TableText"/>
              <w:spacing w:before="32" w:after="32"/>
              <w:jc w:val="right"/>
            </w:pPr>
            <w:r w:rsidRPr="0047058F">
              <w:t>103</w:t>
            </w:r>
          </w:p>
        </w:tc>
        <w:tc>
          <w:tcPr>
            <w:tcW w:w="647" w:type="dxa"/>
          </w:tcPr>
          <w:p w14:paraId="3D0A1FD0" w14:textId="77777777" w:rsidR="00A340EE" w:rsidRPr="0047058F" w:rsidRDefault="00A340EE" w:rsidP="002548A9">
            <w:pPr>
              <w:pStyle w:val="TableText"/>
              <w:spacing w:before="32" w:after="32"/>
              <w:jc w:val="right"/>
            </w:pPr>
            <w:r w:rsidRPr="0047058F">
              <w:t>1.2</w:t>
            </w:r>
          </w:p>
        </w:tc>
      </w:tr>
      <w:tr w:rsidR="00A340EE" w:rsidRPr="0047058F" w14:paraId="221FAE9C" w14:textId="77777777" w:rsidTr="00BD64A6">
        <w:tc>
          <w:tcPr>
            <w:tcW w:w="3438" w:type="dxa"/>
            <w:hideMark/>
          </w:tcPr>
          <w:p w14:paraId="0BB5B1AF" w14:textId="77777777" w:rsidR="00A340EE" w:rsidRPr="0047058F" w:rsidRDefault="00A340EE" w:rsidP="002548A9">
            <w:pPr>
              <w:pStyle w:val="TableText"/>
              <w:spacing w:before="32" w:after="32"/>
              <w:rPr>
                <w:rFonts w:cs="Calibri"/>
                <w:szCs w:val="14"/>
              </w:rPr>
            </w:pPr>
            <w:r w:rsidRPr="0047058F">
              <w:rPr>
                <w:rFonts w:cs="Calibri"/>
                <w:szCs w:val="14"/>
              </w:rPr>
              <w:t>Unemployed – sickness allowance/disability support pension</w:t>
            </w:r>
          </w:p>
        </w:tc>
        <w:tc>
          <w:tcPr>
            <w:tcW w:w="646" w:type="dxa"/>
          </w:tcPr>
          <w:p w14:paraId="546E4EF4" w14:textId="77777777" w:rsidR="00A340EE" w:rsidRPr="0047058F" w:rsidRDefault="00A340EE" w:rsidP="002548A9">
            <w:pPr>
              <w:pStyle w:val="TableText"/>
              <w:spacing w:before="32" w:after="32"/>
              <w:jc w:val="right"/>
            </w:pPr>
            <w:r w:rsidRPr="0047058F">
              <w:t>195</w:t>
            </w:r>
          </w:p>
        </w:tc>
        <w:tc>
          <w:tcPr>
            <w:tcW w:w="646" w:type="dxa"/>
          </w:tcPr>
          <w:p w14:paraId="26D7D250" w14:textId="77777777" w:rsidR="00A340EE" w:rsidRPr="0047058F" w:rsidRDefault="00A340EE" w:rsidP="002548A9">
            <w:pPr>
              <w:pStyle w:val="TableText"/>
              <w:spacing w:before="32" w:after="32"/>
              <w:jc w:val="right"/>
            </w:pPr>
            <w:r w:rsidRPr="0047058F">
              <w:t>8.4</w:t>
            </w:r>
          </w:p>
        </w:tc>
        <w:tc>
          <w:tcPr>
            <w:tcW w:w="646" w:type="dxa"/>
          </w:tcPr>
          <w:p w14:paraId="40AC2193" w14:textId="77777777" w:rsidR="00A340EE" w:rsidRPr="0047058F" w:rsidRDefault="00A340EE" w:rsidP="002548A9">
            <w:pPr>
              <w:pStyle w:val="TableText"/>
              <w:spacing w:before="32" w:after="32"/>
              <w:jc w:val="right"/>
            </w:pPr>
            <w:r w:rsidRPr="0047058F">
              <w:t>–</w:t>
            </w:r>
          </w:p>
        </w:tc>
        <w:tc>
          <w:tcPr>
            <w:tcW w:w="646" w:type="dxa"/>
          </w:tcPr>
          <w:p w14:paraId="2690EE6E" w14:textId="77777777" w:rsidR="00A340EE" w:rsidRPr="0047058F" w:rsidRDefault="00A340EE" w:rsidP="002548A9">
            <w:pPr>
              <w:pStyle w:val="TableText"/>
              <w:spacing w:before="32" w:after="32"/>
              <w:jc w:val="right"/>
            </w:pPr>
            <w:r w:rsidRPr="0047058F">
              <w:t>–</w:t>
            </w:r>
          </w:p>
        </w:tc>
        <w:tc>
          <w:tcPr>
            <w:tcW w:w="646" w:type="dxa"/>
          </w:tcPr>
          <w:p w14:paraId="2117A643" w14:textId="77777777" w:rsidR="00A340EE" w:rsidRPr="0047058F" w:rsidRDefault="00A340EE" w:rsidP="002548A9">
            <w:pPr>
              <w:pStyle w:val="TableText"/>
              <w:spacing w:before="32" w:after="32"/>
              <w:jc w:val="right"/>
            </w:pPr>
            <w:r w:rsidRPr="0047058F">
              <w:t>195</w:t>
            </w:r>
          </w:p>
        </w:tc>
        <w:tc>
          <w:tcPr>
            <w:tcW w:w="647" w:type="dxa"/>
          </w:tcPr>
          <w:p w14:paraId="235229F0" w14:textId="77777777" w:rsidR="00A340EE" w:rsidRPr="0047058F" w:rsidRDefault="00A340EE" w:rsidP="002548A9">
            <w:pPr>
              <w:pStyle w:val="TableText"/>
              <w:spacing w:before="32" w:after="32"/>
              <w:jc w:val="right"/>
            </w:pPr>
            <w:r w:rsidRPr="0047058F">
              <w:t>2.3</w:t>
            </w:r>
          </w:p>
        </w:tc>
      </w:tr>
      <w:tr w:rsidR="00A340EE" w:rsidRPr="0047058F" w14:paraId="5B1448D7"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347A6905" w14:textId="77777777" w:rsidR="00A340EE" w:rsidRPr="0047058F" w:rsidRDefault="00A340EE" w:rsidP="002548A9">
            <w:pPr>
              <w:pStyle w:val="TableText"/>
              <w:spacing w:before="32" w:after="32"/>
              <w:rPr>
                <w:rFonts w:cs="Calibri"/>
                <w:szCs w:val="14"/>
              </w:rPr>
            </w:pPr>
            <w:r w:rsidRPr="0047058F">
              <w:rPr>
                <w:rFonts w:cs="Calibri"/>
                <w:szCs w:val="14"/>
              </w:rPr>
              <w:t>Student</w:t>
            </w:r>
          </w:p>
        </w:tc>
        <w:tc>
          <w:tcPr>
            <w:tcW w:w="646" w:type="dxa"/>
          </w:tcPr>
          <w:p w14:paraId="571BB031" w14:textId="77777777" w:rsidR="00A340EE" w:rsidRPr="0047058F" w:rsidRDefault="00A340EE" w:rsidP="002548A9">
            <w:pPr>
              <w:pStyle w:val="TableText"/>
              <w:spacing w:before="32" w:after="32"/>
              <w:jc w:val="right"/>
            </w:pPr>
            <w:r w:rsidRPr="0047058F">
              <w:t>66</w:t>
            </w:r>
          </w:p>
        </w:tc>
        <w:tc>
          <w:tcPr>
            <w:tcW w:w="646" w:type="dxa"/>
          </w:tcPr>
          <w:p w14:paraId="5C433DA9" w14:textId="77777777" w:rsidR="00A340EE" w:rsidRPr="0047058F" w:rsidRDefault="00A340EE" w:rsidP="002548A9">
            <w:pPr>
              <w:pStyle w:val="TableText"/>
              <w:spacing w:before="32" w:after="32"/>
              <w:jc w:val="right"/>
            </w:pPr>
            <w:r w:rsidRPr="0047058F">
              <w:t>2.8</w:t>
            </w:r>
          </w:p>
        </w:tc>
        <w:tc>
          <w:tcPr>
            <w:tcW w:w="646" w:type="dxa"/>
          </w:tcPr>
          <w:p w14:paraId="1AA171E2" w14:textId="77777777" w:rsidR="00A340EE" w:rsidRPr="0047058F" w:rsidRDefault="00A340EE" w:rsidP="002548A9">
            <w:pPr>
              <w:pStyle w:val="TableText"/>
              <w:spacing w:before="32" w:after="32"/>
              <w:jc w:val="right"/>
            </w:pPr>
            <w:r w:rsidRPr="0047058F">
              <w:t>–</w:t>
            </w:r>
          </w:p>
        </w:tc>
        <w:tc>
          <w:tcPr>
            <w:tcW w:w="646" w:type="dxa"/>
          </w:tcPr>
          <w:p w14:paraId="3E9ABDBF" w14:textId="77777777" w:rsidR="00A340EE" w:rsidRPr="0047058F" w:rsidRDefault="00A340EE" w:rsidP="002548A9">
            <w:pPr>
              <w:pStyle w:val="TableText"/>
              <w:spacing w:before="32" w:after="32"/>
              <w:jc w:val="right"/>
            </w:pPr>
            <w:r w:rsidRPr="0047058F">
              <w:t>–</w:t>
            </w:r>
          </w:p>
        </w:tc>
        <w:tc>
          <w:tcPr>
            <w:tcW w:w="646" w:type="dxa"/>
          </w:tcPr>
          <w:p w14:paraId="516E2FA3" w14:textId="77777777" w:rsidR="00A340EE" w:rsidRPr="0047058F" w:rsidRDefault="00A340EE" w:rsidP="002548A9">
            <w:pPr>
              <w:pStyle w:val="TableText"/>
              <w:spacing w:before="32" w:after="32"/>
              <w:jc w:val="right"/>
            </w:pPr>
            <w:r w:rsidRPr="0047058F">
              <w:t>66</w:t>
            </w:r>
          </w:p>
        </w:tc>
        <w:tc>
          <w:tcPr>
            <w:tcW w:w="647" w:type="dxa"/>
          </w:tcPr>
          <w:p w14:paraId="0B266599" w14:textId="77777777" w:rsidR="00A340EE" w:rsidRPr="0047058F" w:rsidRDefault="00A340EE" w:rsidP="002548A9">
            <w:pPr>
              <w:pStyle w:val="TableText"/>
              <w:spacing w:before="32" w:after="32"/>
              <w:jc w:val="right"/>
            </w:pPr>
            <w:r w:rsidRPr="0047058F">
              <w:t>0.8</w:t>
            </w:r>
          </w:p>
        </w:tc>
      </w:tr>
      <w:tr w:rsidR="00A340EE" w:rsidRPr="0047058F" w14:paraId="7EA39EB9" w14:textId="77777777" w:rsidTr="00BD64A6">
        <w:tc>
          <w:tcPr>
            <w:tcW w:w="3438" w:type="dxa"/>
            <w:tcBorders>
              <w:bottom w:val="single" w:sz="4" w:space="0" w:color="000000"/>
            </w:tcBorders>
            <w:hideMark/>
          </w:tcPr>
          <w:p w14:paraId="343B4B07" w14:textId="77777777" w:rsidR="00A340EE" w:rsidRPr="0047058F" w:rsidRDefault="00A340EE" w:rsidP="002548A9">
            <w:pPr>
              <w:pStyle w:val="TableText"/>
              <w:spacing w:before="32" w:after="32"/>
              <w:rPr>
                <w:rFonts w:cs="Calibri"/>
                <w:szCs w:val="14"/>
              </w:rPr>
            </w:pPr>
            <w:r w:rsidRPr="0047058F">
              <w:rPr>
                <w:rFonts w:cs="Calibri"/>
                <w:szCs w:val="14"/>
              </w:rPr>
              <w:t>Retired</w:t>
            </w:r>
          </w:p>
        </w:tc>
        <w:tc>
          <w:tcPr>
            <w:tcW w:w="646" w:type="dxa"/>
            <w:tcBorders>
              <w:bottom w:val="single" w:sz="4" w:space="0" w:color="000000"/>
            </w:tcBorders>
          </w:tcPr>
          <w:p w14:paraId="61BA2D19" w14:textId="77777777" w:rsidR="00A340EE" w:rsidRPr="0047058F" w:rsidRDefault="00A340EE" w:rsidP="002548A9">
            <w:pPr>
              <w:pStyle w:val="TableText"/>
              <w:spacing w:before="32" w:after="32"/>
              <w:jc w:val="right"/>
            </w:pPr>
            <w:r w:rsidRPr="0047058F">
              <w:t>281</w:t>
            </w:r>
          </w:p>
        </w:tc>
        <w:tc>
          <w:tcPr>
            <w:tcW w:w="646" w:type="dxa"/>
            <w:tcBorders>
              <w:bottom w:val="single" w:sz="4" w:space="0" w:color="000000"/>
            </w:tcBorders>
          </w:tcPr>
          <w:p w14:paraId="3E6104F4" w14:textId="77777777" w:rsidR="00A340EE" w:rsidRPr="0047058F" w:rsidRDefault="00A340EE" w:rsidP="002548A9">
            <w:pPr>
              <w:pStyle w:val="TableText"/>
              <w:spacing w:before="32" w:after="32"/>
              <w:jc w:val="right"/>
            </w:pPr>
            <w:r w:rsidRPr="0047058F">
              <w:t>12</w:t>
            </w:r>
          </w:p>
        </w:tc>
        <w:tc>
          <w:tcPr>
            <w:tcW w:w="646" w:type="dxa"/>
            <w:tcBorders>
              <w:bottom w:val="single" w:sz="4" w:space="0" w:color="000000"/>
            </w:tcBorders>
          </w:tcPr>
          <w:p w14:paraId="2B07DB8F" w14:textId="77777777" w:rsidR="00A340EE" w:rsidRPr="0047058F" w:rsidRDefault="00A340EE" w:rsidP="002548A9">
            <w:pPr>
              <w:pStyle w:val="TableText"/>
              <w:spacing w:before="32" w:after="32"/>
              <w:jc w:val="right"/>
            </w:pPr>
            <w:r w:rsidRPr="0047058F">
              <w:t>–</w:t>
            </w:r>
          </w:p>
        </w:tc>
        <w:tc>
          <w:tcPr>
            <w:tcW w:w="646" w:type="dxa"/>
            <w:tcBorders>
              <w:bottom w:val="single" w:sz="4" w:space="0" w:color="000000"/>
            </w:tcBorders>
          </w:tcPr>
          <w:p w14:paraId="677ECB66" w14:textId="77777777" w:rsidR="00A340EE" w:rsidRPr="0047058F" w:rsidRDefault="00A340EE" w:rsidP="002548A9">
            <w:pPr>
              <w:pStyle w:val="TableText"/>
              <w:spacing w:before="32" w:after="32"/>
              <w:jc w:val="right"/>
            </w:pPr>
            <w:r w:rsidRPr="0047058F">
              <w:t>–</w:t>
            </w:r>
          </w:p>
        </w:tc>
        <w:tc>
          <w:tcPr>
            <w:tcW w:w="646" w:type="dxa"/>
            <w:tcBorders>
              <w:bottom w:val="single" w:sz="4" w:space="0" w:color="000000"/>
            </w:tcBorders>
          </w:tcPr>
          <w:p w14:paraId="064DE8B7" w14:textId="77777777" w:rsidR="00A340EE" w:rsidRPr="0047058F" w:rsidRDefault="00A340EE" w:rsidP="002548A9">
            <w:pPr>
              <w:pStyle w:val="TableText"/>
              <w:spacing w:before="32" w:after="32"/>
              <w:jc w:val="right"/>
            </w:pPr>
            <w:r w:rsidRPr="0047058F">
              <w:t>281</w:t>
            </w:r>
          </w:p>
        </w:tc>
        <w:tc>
          <w:tcPr>
            <w:tcW w:w="647" w:type="dxa"/>
            <w:tcBorders>
              <w:bottom w:val="single" w:sz="4" w:space="0" w:color="000000"/>
            </w:tcBorders>
          </w:tcPr>
          <w:p w14:paraId="75E57417" w14:textId="77777777" w:rsidR="00A340EE" w:rsidRPr="0047058F" w:rsidRDefault="00A340EE" w:rsidP="002548A9">
            <w:pPr>
              <w:pStyle w:val="TableText"/>
              <w:spacing w:before="32" w:after="32"/>
              <w:jc w:val="right"/>
            </w:pPr>
            <w:r w:rsidRPr="0047058F">
              <w:t>3.3</w:t>
            </w:r>
          </w:p>
        </w:tc>
      </w:tr>
      <w:tr w:rsidR="00A340EE" w:rsidRPr="0047058F" w14:paraId="1D4EB47A"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top w:val="single" w:sz="4" w:space="0" w:color="000000"/>
              <w:bottom w:val="nil"/>
            </w:tcBorders>
            <w:hideMark/>
          </w:tcPr>
          <w:p w14:paraId="660D0F86" w14:textId="77777777" w:rsidR="00A340EE" w:rsidRPr="0047058F" w:rsidRDefault="00A340EE" w:rsidP="002548A9">
            <w:pPr>
              <w:pStyle w:val="TableText"/>
              <w:spacing w:before="32" w:after="32"/>
              <w:rPr>
                <w:b/>
              </w:rPr>
            </w:pPr>
            <w:r w:rsidRPr="0047058F">
              <w:rPr>
                <w:b/>
              </w:rPr>
              <w:t>Main source of income</w:t>
            </w:r>
          </w:p>
        </w:tc>
        <w:tc>
          <w:tcPr>
            <w:tcW w:w="646" w:type="dxa"/>
            <w:tcBorders>
              <w:top w:val="single" w:sz="4" w:space="0" w:color="000000"/>
              <w:bottom w:val="nil"/>
            </w:tcBorders>
          </w:tcPr>
          <w:p w14:paraId="1E196C50"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505CEA5D"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1797DF8F"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38682866"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0EE2946B" w14:textId="77777777" w:rsidR="00A340EE" w:rsidRPr="0047058F" w:rsidRDefault="00A340EE" w:rsidP="002548A9">
            <w:pPr>
              <w:pStyle w:val="TableText"/>
              <w:spacing w:before="32" w:after="32"/>
              <w:jc w:val="right"/>
            </w:pPr>
          </w:p>
        </w:tc>
        <w:tc>
          <w:tcPr>
            <w:tcW w:w="647" w:type="dxa"/>
            <w:tcBorders>
              <w:top w:val="single" w:sz="4" w:space="0" w:color="000000"/>
              <w:bottom w:val="nil"/>
            </w:tcBorders>
          </w:tcPr>
          <w:p w14:paraId="25648BAA" w14:textId="77777777" w:rsidR="00A340EE" w:rsidRPr="0047058F" w:rsidRDefault="00A340EE" w:rsidP="002548A9">
            <w:pPr>
              <w:pStyle w:val="TableText"/>
              <w:spacing w:before="32" w:after="32"/>
              <w:jc w:val="right"/>
            </w:pPr>
          </w:p>
        </w:tc>
      </w:tr>
      <w:tr w:rsidR="00A340EE" w:rsidRPr="0047058F" w14:paraId="29A58E32" w14:textId="77777777" w:rsidTr="00BD64A6">
        <w:tc>
          <w:tcPr>
            <w:tcW w:w="3438" w:type="dxa"/>
            <w:tcBorders>
              <w:top w:val="nil"/>
            </w:tcBorders>
            <w:hideMark/>
          </w:tcPr>
          <w:p w14:paraId="6F6E7D3E" w14:textId="77777777" w:rsidR="00A340EE" w:rsidRPr="0047058F" w:rsidRDefault="00BD64A6" w:rsidP="002548A9">
            <w:pPr>
              <w:pStyle w:val="TableText"/>
              <w:spacing w:before="32" w:after="32"/>
              <w:rPr>
                <w:rFonts w:cs="Calibri"/>
                <w:szCs w:val="14"/>
              </w:rPr>
            </w:pPr>
            <w:r w:rsidRPr="0047058F">
              <w:rPr>
                <w:rFonts w:cs="Calibri"/>
                <w:szCs w:val="14"/>
              </w:rPr>
              <w:t>Wage/salary/own business/</w:t>
            </w:r>
            <w:r w:rsidR="00A340EE" w:rsidRPr="0047058F">
              <w:rPr>
                <w:rFonts w:cs="Calibri"/>
                <w:szCs w:val="14"/>
              </w:rPr>
              <w:t>partnership</w:t>
            </w:r>
          </w:p>
        </w:tc>
        <w:tc>
          <w:tcPr>
            <w:tcW w:w="646" w:type="dxa"/>
            <w:tcBorders>
              <w:top w:val="nil"/>
            </w:tcBorders>
          </w:tcPr>
          <w:p w14:paraId="7CC793F4" w14:textId="77777777" w:rsidR="00A340EE" w:rsidRPr="0047058F" w:rsidRDefault="00A340EE" w:rsidP="002548A9">
            <w:pPr>
              <w:pStyle w:val="TableText"/>
              <w:spacing w:before="32" w:after="32"/>
              <w:jc w:val="right"/>
            </w:pPr>
            <w:r w:rsidRPr="0047058F">
              <w:t>1340</w:t>
            </w:r>
          </w:p>
        </w:tc>
        <w:tc>
          <w:tcPr>
            <w:tcW w:w="646" w:type="dxa"/>
            <w:tcBorders>
              <w:top w:val="nil"/>
            </w:tcBorders>
          </w:tcPr>
          <w:p w14:paraId="0F83EF28" w14:textId="77777777" w:rsidR="00A340EE" w:rsidRPr="0047058F" w:rsidRDefault="00A340EE" w:rsidP="002548A9">
            <w:pPr>
              <w:pStyle w:val="TableText"/>
              <w:spacing w:before="32" w:after="32"/>
              <w:jc w:val="right"/>
            </w:pPr>
            <w:r w:rsidRPr="0047058F">
              <w:t>57.4</w:t>
            </w:r>
          </w:p>
        </w:tc>
        <w:tc>
          <w:tcPr>
            <w:tcW w:w="646" w:type="dxa"/>
            <w:tcBorders>
              <w:top w:val="nil"/>
            </w:tcBorders>
          </w:tcPr>
          <w:p w14:paraId="537A7A37" w14:textId="77777777" w:rsidR="00A340EE" w:rsidRPr="0047058F" w:rsidRDefault="00A340EE" w:rsidP="002548A9">
            <w:pPr>
              <w:pStyle w:val="TableText"/>
              <w:spacing w:before="32" w:after="32"/>
              <w:jc w:val="right"/>
            </w:pPr>
            <w:r w:rsidRPr="0047058F">
              <w:t>6163</w:t>
            </w:r>
          </w:p>
        </w:tc>
        <w:tc>
          <w:tcPr>
            <w:tcW w:w="646" w:type="dxa"/>
            <w:tcBorders>
              <w:top w:val="nil"/>
            </w:tcBorders>
          </w:tcPr>
          <w:p w14:paraId="1CAF8206" w14:textId="77777777" w:rsidR="00A340EE" w:rsidRPr="0047058F" w:rsidRDefault="00A340EE" w:rsidP="002548A9">
            <w:pPr>
              <w:pStyle w:val="TableText"/>
              <w:spacing w:before="32" w:after="32"/>
              <w:jc w:val="right"/>
            </w:pPr>
            <w:r w:rsidRPr="0047058F">
              <w:t>100.0</w:t>
            </w:r>
          </w:p>
        </w:tc>
        <w:tc>
          <w:tcPr>
            <w:tcW w:w="646" w:type="dxa"/>
            <w:tcBorders>
              <w:top w:val="nil"/>
            </w:tcBorders>
          </w:tcPr>
          <w:p w14:paraId="141BE531" w14:textId="77777777" w:rsidR="00A340EE" w:rsidRPr="0047058F" w:rsidRDefault="00A340EE" w:rsidP="002548A9">
            <w:pPr>
              <w:pStyle w:val="TableText"/>
              <w:spacing w:before="32" w:after="32"/>
              <w:jc w:val="right"/>
            </w:pPr>
            <w:r w:rsidRPr="0047058F">
              <w:t>7503</w:t>
            </w:r>
          </w:p>
        </w:tc>
        <w:tc>
          <w:tcPr>
            <w:tcW w:w="647" w:type="dxa"/>
            <w:tcBorders>
              <w:top w:val="nil"/>
            </w:tcBorders>
          </w:tcPr>
          <w:p w14:paraId="0D344772" w14:textId="77777777" w:rsidR="00A340EE" w:rsidRPr="0047058F" w:rsidRDefault="00A340EE" w:rsidP="002548A9">
            <w:pPr>
              <w:pStyle w:val="TableText"/>
              <w:spacing w:before="32" w:after="32"/>
              <w:jc w:val="right"/>
            </w:pPr>
            <w:r w:rsidRPr="0047058F">
              <w:t>88.3</w:t>
            </w:r>
          </w:p>
        </w:tc>
      </w:tr>
      <w:tr w:rsidR="00A340EE" w:rsidRPr="0047058F" w14:paraId="1EA7CE0E"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4F4CED54" w14:textId="77777777" w:rsidR="00A340EE" w:rsidRPr="0047058F" w:rsidRDefault="00A340EE" w:rsidP="002548A9">
            <w:pPr>
              <w:pStyle w:val="TableText"/>
              <w:spacing w:before="32" w:after="32"/>
              <w:rPr>
                <w:rFonts w:cs="Calibri"/>
                <w:szCs w:val="14"/>
              </w:rPr>
            </w:pPr>
            <w:r w:rsidRPr="0047058F">
              <w:rPr>
                <w:rFonts w:cs="Calibri"/>
                <w:szCs w:val="14"/>
              </w:rPr>
              <w:t>Age pension</w:t>
            </w:r>
          </w:p>
        </w:tc>
        <w:tc>
          <w:tcPr>
            <w:tcW w:w="646" w:type="dxa"/>
          </w:tcPr>
          <w:p w14:paraId="55398F33" w14:textId="77777777" w:rsidR="00A340EE" w:rsidRPr="0047058F" w:rsidRDefault="00A340EE" w:rsidP="002548A9">
            <w:pPr>
              <w:pStyle w:val="TableText"/>
              <w:spacing w:before="32" w:after="32"/>
              <w:jc w:val="right"/>
            </w:pPr>
            <w:r w:rsidRPr="0047058F">
              <w:t>196</w:t>
            </w:r>
          </w:p>
        </w:tc>
        <w:tc>
          <w:tcPr>
            <w:tcW w:w="646" w:type="dxa"/>
          </w:tcPr>
          <w:p w14:paraId="1C376FA5" w14:textId="77777777" w:rsidR="00A340EE" w:rsidRPr="0047058F" w:rsidRDefault="00A340EE" w:rsidP="002548A9">
            <w:pPr>
              <w:pStyle w:val="TableText"/>
              <w:spacing w:before="32" w:after="32"/>
              <w:jc w:val="right"/>
            </w:pPr>
            <w:r w:rsidRPr="0047058F">
              <w:t>8.4</w:t>
            </w:r>
          </w:p>
        </w:tc>
        <w:tc>
          <w:tcPr>
            <w:tcW w:w="646" w:type="dxa"/>
          </w:tcPr>
          <w:p w14:paraId="15C2D7CC" w14:textId="77777777" w:rsidR="00A340EE" w:rsidRPr="0047058F" w:rsidRDefault="00A340EE" w:rsidP="002548A9">
            <w:pPr>
              <w:pStyle w:val="TableText"/>
              <w:spacing w:before="32" w:after="32"/>
              <w:jc w:val="right"/>
            </w:pPr>
            <w:r w:rsidRPr="0047058F">
              <w:t>–</w:t>
            </w:r>
          </w:p>
        </w:tc>
        <w:tc>
          <w:tcPr>
            <w:tcW w:w="646" w:type="dxa"/>
          </w:tcPr>
          <w:p w14:paraId="6EDD7231" w14:textId="77777777" w:rsidR="00A340EE" w:rsidRPr="0047058F" w:rsidRDefault="00A340EE" w:rsidP="002548A9">
            <w:pPr>
              <w:pStyle w:val="TableText"/>
              <w:spacing w:before="32" w:after="32"/>
              <w:jc w:val="right"/>
            </w:pPr>
            <w:r w:rsidRPr="0047058F">
              <w:t>–</w:t>
            </w:r>
          </w:p>
        </w:tc>
        <w:tc>
          <w:tcPr>
            <w:tcW w:w="646" w:type="dxa"/>
          </w:tcPr>
          <w:p w14:paraId="4072ADC6" w14:textId="77777777" w:rsidR="00A340EE" w:rsidRPr="0047058F" w:rsidRDefault="00A340EE" w:rsidP="002548A9">
            <w:pPr>
              <w:pStyle w:val="TableText"/>
              <w:spacing w:before="32" w:after="32"/>
              <w:jc w:val="right"/>
            </w:pPr>
            <w:r w:rsidRPr="0047058F">
              <w:t>196</w:t>
            </w:r>
          </w:p>
        </w:tc>
        <w:tc>
          <w:tcPr>
            <w:tcW w:w="647" w:type="dxa"/>
          </w:tcPr>
          <w:p w14:paraId="0A815508" w14:textId="77777777" w:rsidR="00A340EE" w:rsidRPr="0047058F" w:rsidRDefault="00A340EE" w:rsidP="002548A9">
            <w:pPr>
              <w:pStyle w:val="TableText"/>
              <w:spacing w:before="32" w:after="32"/>
              <w:jc w:val="right"/>
            </w:pPr>
            <w:r w:rsidRPr="0047058F">
              <w:t>2.3</w:t>
            </w:r>
          </w:p>
        </w:tc>
      </w:tr>
      <w:tr w:rsidR="00A340EE" w:rsidRPr="0047058F" w14:paraId="6D27BD23" w14:textId="77777777" w:rsidTr="00BD64A6">
        <w:tc>
          <w:tcPr>
            <w:tcW w:w="3438" w:type="dxa"/>
            <w:hideMark/>
          </w:tcPr>
          <w:p w14:paraId="2698A0C4" w14:textId="77777777" w:rsidR="00A340EE" w:rsidRPr="0047058F" w:rsidRDefault="00A340EE" w:rsidP="002548A9">
            <w:pPr>
              <w:pStyle w:val="TableText"/>
              <w:spacing w:before="32" w:after="32"/>
              <w:rPr>
                <w:rFonts w:cs="Calibri"/>
                <w:szCs w:val="14"/>
              </w:rPr>
            </w:pPr>
            <w:r w:rsidRPr="0047058F">
              <w:rPr>
                <w:rFonts w:cs="Calibri"/>
                <w:szCs w:val="14"/>
              </w:rPr>
              <w:t>Invalidity service pension</w:t>
            </w:r>
          </w:p>
        </w:tc>
        <w:tc>
          <w:tcPr>
            <w:tcW w:w="646" w:type="dxa"/>
          </w:tcPr>
          <w:p w14:paraId="485C4317" w14:textId="77777777" w:rsidR="00A340EE" w:rsidRPr="0047058F" w:rsidRDefault="00A340EE" w:rsidP="002548A9">
            <w:pPr>
              <w:pStyle w:val="TableText"/>
              <w:spacing w:before="32" w:after="32"/>
              <w:jc w:val="right"/>
            </w:pPr>
            <w:r w:rsidRPr="0047058F">
              <w:t>133</w:t>
            </w:r>
          </w:p>
        </w:tc>
        <w:tc>
          <w:tcPr>
            <w:tcW w:w="646" w:type="dxa"/>
          </w:tcPr>
          <w:p w14:paraId="16869290" w14:textId="77777777" w:rsidR="00A340EE" w:rsidRPr="0047058F" w:rsidRDefault="00A340EE" w:rsidP="002548A9">
            <w:pPr>
              <w:pStyle w:val="TableText"/>
              <w:spacing w:before="32" w:after="32"/>
              <w:jc w:val="right"/>
            </w:pPr>
            <w:r w:rsidRPr="0047058F">
              <w:t>5.7</w:t>
            </w:r>
          </w:p>
        </w:tc>
        <w:tc>
          <w:tcPr>
            <w:tcW w:w="646" w:type="dxa"/>
          </w:tcPr>
          <w:p w14:paraId="43B1638C" w14:textId="77777777" w:rsidR="00A340EE" w:rsidRPr="0047058F" w:rsidRDefault="00A340EE" w:rsidP="002548A9">
            <w:pPr>
              <w:pStyle w:val="TableText"/>
              <w:spacing w:before="32" w:after="32"/>
              <w:jc w:val="right"/>
            </w:pPr>
            <w:r w:rsidRPr="0047058F">
              <w:t>–</w:t>
            </w:r>
          </w:p>
        </w:tc>
        <w:tc>
          <w:tcPr>
            <w:tcW w:w="646" w:type="dxa"/>
          </w:tcPr>
          <w:p w14:paraId="0744C569" w14:textId="77777777" w:rsidR="00A340EE" w:rsidRPr="0047058F" w:rsidRDefault="00A340EE" w:rsidP="002548A9">
            <w:pPr>
              <w:pStyle w:val="TableText"/>
              <w:spacing w:before="32" w:after="32"/>
              <w:jc w:val="right"/>
            </w:pPr>
            <w:r w:rsidRPr="0047058F">
              <w:t>–</w:t>
            </w:r>
          </w:p>
        </w:tc>
        <w:tc>
          <w:tcPr>
            <w:tcW w:w="646" w:type="dxa"/>
          </w:tcPr>
          <w:p w14:paraId="7455EE8F" w14:textId="77777777" w:rsidR="00A340EE" w:rsidRPr="0047058F" w:rsidRDefault="00A340EE" w:rsidP="002548A9">
            <w:pPr>
              <w:pStyle w:val="TableText"/>
              <w:spacing w:before="32" w:after="32"/>
              <w:jc w:val="right"/>
            </w:pPr>
            <w:r w:rsidRPr="0047058F">
              <w:t>133</w:t>
            </w:r>
          </w:p>
        </w:tc>
        <w:tc>
          <w:tcPr>
            <w:tcW w:w="647" w:type="dxa"/>
          </w:tcPr>
          <w:p w14:paraId="1FADE49A" w14:textId="77777777" w:rsidR="00A340EE" w:rsidRPr="0047058F" w:rsidRDefault="00A340EE" w:rsidP="002548A9">
            <w:pPr>
              <w:pStyle w:val="TableText"/>
              <w:spacing w:before="32" w:after="32"/>
              <w:jc w:val="right"/>
            </w:pPr>
            <w:r w:rsidRPr="0047058F">
              <w:t>1.6</w:t>
            </w:r>
          </w:p>
        </w:tc>
      </w:tr>
      <w:tr w:rsidR="00A340EE" w:rsidRPr="0047058F" w14:paraId="6EEE945E"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288FD5B6" w14:textId="77777777" w:rsidR="00A340EE" w:rsidRPr="0047058F" w:rsidRDefault="00A340EE" w:rsidP="002548A9">
            <w:pPr>
              <w:pStyle w:val="TableText"/>
              <w:spacing w:before="32" w:after="32"/>
              <w:rPr>
                <w:rFonts w:cs="Calibri"/>
                <w:szCs w:val="14"/>
              </w:rPr>
            </w:pPr>
            <w:r w:rsidRPr="0047058F">
              <w:rPr>
                <w:rFonts w:cs="Calibri"/>
                <w:szCs w:val="14"/>
              </w:rPr>
              <w:t>VEA/SRCA/MRCA compensation</w:t>
            </w:r>
          </w:p>
        </w:tc>
        <w:tc>
          <w:tcPr>
            <w:tcW w:w="646" w:type="dxa"/>
          </w:tcPr>
          <w:p w14:paraId="31067378" w14:textId="77777777" w:rsidR="00A340EE" w:rsidRPr="0047058F" w:rsidRDefault="00A340EE" w:rsidP="002548A9">
            <w:pPr>
              <w:pStyle w:val="TableText"/>
              <w:spacing w:before="32" w:after="32"/>
              <w:jc w:val="right"/>
            </w:pPr>
            <w:r w:rsidRPr="0047058F">
              <w:t>74</w:t>
            </w:r>
          </w:p>
        </w:tc>
        <w:tc>
          <w:tcPr>
            <w:tcW w:w="646" w:type="dxa"/>
          </w:tcPr>
          <w:p w14:paraId="5F889FF4" w14:textId="77777777" w:rsidR="00A340EE" w:rsidRPr="0047058F" w:rsidRDefault="00A340EE" w:rsidP="002548A9">
            <w:pPr>
              <w:pStyle w:val="TableText"/>
              <w:spacing w:before="32" w:after="32"/>
              <w:jc w:val="right"/>
            </w:pPr>
            <w:r w:rsidRPr="0047058F">
              <w:t>3.2</w:t>
            </w:r>
          </w:p>
        </w:tc>
        <w:tc>
          <w:tcPr>
            <w:tcW w:w="646" w:type="dxa"/>
          </w:tcPr>
          <w:p w14:paraId="176D39EC" w14:textId="77777777" w:rsidR="00A340EE" w:rsidRPr="0047058F" w:rsidRDefault="00A340EE" w:rsidP="002548A9">
            <w:pPr>
              <w:pStyle w:val="TableText"/>
              <w:spacing w:before="32" w:after="32"/>
              <w:jc w:val="right"/>
            </w:pPr>
            <w:r w:rsidRPr="0047058F">
              <w:t>–</w:t>
            </w:r>
          </w:p>
        </w:tc>
        <w:tc>
          <w:tcPr>
            <w:tcW w:w="646" w:type="dxa"/>
          </w:tcPr>
          <w:p w14:paraId="5453C3E3" w14:textId="77777777" w:rsidR="00A340EE" w:rsidRPr="0047058F" w:rsidRDefault="00A340EE" w:rsidP="002548A9">
            <w:pPr>
              <w:pStyle w:val="TableText"/>
              <w:spacing w:before="32" w:after="32"/>
              <w:jc w:val="right"/>
            </w:pPr>
            <w:r w:rsidRPr="0047058F">
              <w:t>–</w:t>
            </w:r>
          </w:p>
        </w:tc>
        <w:tc>
          <w:tcPr>
            <w:tcW w:w="646" w:type="dxa"/>
          </w:tcPr>
          <w:p w14:paraId="2C8EBB4D" w14:textId="77777777" w:rsidR="00A340EE" w:rsidRPr="0047058F" w:rsidRDefault="00A340EE" w:rsidP="002548A9">
            <w:pPr>
              <w:pStyle w:val="TableText"/>
              <w:spacing w:before="32" w:after="32"/>
              <w:jc w:val="right"/>
            </w:pPr>
            <w:r w:rsidRPr="0047058F">
              <w:t>74</w:t>
            </w:r>
          </w:p>
        </w:tc>
        <w:tc>
          <w:tcPr>
            <w:tcW w:w="647" w:type="dxa"/>
          </w:tcPr>
          <w:p w14:paraId="7AB438A9" w14:textId="77777777" w:rsidR="00A340EE" w:rsidRPr="0047058F" w:rsidRDefault="00A340EE" w:rsidP="002548A9">
            <w:pPr>
              <w:pStyle w:val="TableText"/>
              <w:spacing w:before="32" w:after="32"/>
              <w:jc w:val="right"/>
            </w:pPr>
            <w:r w:rsidRPr="0047058F">
              <w:t>0.9</w:t>
            </w:r>
          </w:p>
        </w:tc>
      </w:tr>
      <w:tr w:rsidR="00A340EE" w:rsidRPr="0047058F" w14:paraId="4635EBD5" w14:textId="77777777" w:rsidTr="00BD64A6">
        <w:tc>
          <w:tcPr>
            <w:tcW w:w="3438" w:type="dxa"/>
            <w:hideMark/>
          </w:tcPr>
          <w:p w14:paraId="51BEC66B" w14:textId="77777777" w:rsidR="00A340EE" w:rsidRPr="0047058F" w:rsidRDefault="00A340EE" w:rsidP="002548A9">
            <w:pPr>
              <w:pStyle w:val="TableText"/>
              <w:spacing w:before="32" w:after="32"/>
              <w:rPr>
                <w:rFonts w:cs="Calibri"/>
                <w:szCs w:val="14"/>
              </w:rPr>
            </w:pPr>
            <w:r w:rsidRPr="0047058F">
              <w:rPr>
                <w:rFonts w:cs="Calibri"/>
                <w:szCs w:val="14"/>
              </w:rPr>
              <w:t>Dividends/interest/investments</w:t>
            </w:r>
          </w:p>
        </w:tc>
        <w:tc>
          <w:tcPr>
            <w:tcW w:w="646" w:type="dxa"/>
          </w:tcPr>
          <w:p w14:paraId="1ECEE2D8" w14:textId="77777777" w:rsidR="00A340EE" w:rsidRPr="0047058F" w:rsidRDefault="00A340EE" w:rsidP="002548A9">
            <w:pPr>
              <w:pStyle w:val="TableText"/>
              <w:spacing w:before="32" w:after="32"/>
              <w:jc w:val="right"/>
            </w:pPr>
            <w:r w:rsidRPr="0047058F">
              <w:t>17</w:t>
            </w:r>
          </w:p>
        </w:tc>
        <w:tc>
          <w:tcPr>
            <w:tcW w:w="646" w:type="dxa"/>
          </w:tcPr>
          <w:p w14:paraId="01E1487F" w14:textId="77777777" w:rsidR="00A340EE" w:rsidRPr="0047058F" w:rsidRDefault="00A340EE" w:rsidP="002548A9">
            <w:pPr>
              <w:pStyle w:val="TableText"/>
              <w:spacing w:before="32" w:after="32"/>
              <w:jc w:val="right"/>
            </w:pPr>
            <w:r w:rsidRPr="0047058F">
              <w:t>0.7</w:t>
            </w:r>
          </w:p>
        </w:tc>
        <w:tc>
          <w:tcPr>
            <w:tcW w:w="646" w:type="dxa"/>
          </w:tcPr>
          <w:p w14:paraId="3AA6E350" w14:textId="77777777" w:rsidR="00A340EE" w:rsidRPr="0047058F" w:rsidRDefault="00A340EE" w:rsidP="002548A9">
            <w:pPr>
              <w:pStyle w:val="TableText"/>
              <w:spacing w:before="32" w:after="32"/>
              <w:jc w:val="right"/>
            </w:pPr>
            <w:r w:rsidRPr="0047058F">
              <w:t>–</w:t>
            </w:r>
          </w:p>
        </w:tc>
        <w:tc>
          <w:tcPr>
            <w:tcW w:w="646" w:type="dxa"/>
          </w:tcPr>
          <w:p w14:paraId="2F6B503A" w14:textId="77777777" w:rsidR="00A340EE" w:rsidRPr="0047058F" w:rsidRDefault="00A340EE" w:rsidP="002548A9">
            <w:pPr>
              <w:pStyle w:val="TableText"/>
              <w:spacing w:before="32" w:after="32"/>
              <w:jc w:val="right"/>
            </w:pPr>
            <w:r w:rsidRPr="0047058F">
              <w:t>–</w:t>
            </w:r>
          </w:p>
        </w:tc>
        <w:tc>
          <w:tcPr>
            <w:tcW w:w="646" w:type="dxa"/>
          </w:tcPr>
          <w:p w14:paraId="42F19B95" w14:textId="77777777" w:rsidR="00A340EE" w:rsidRPr="0047058F" w:rsidRDefault="00A340EE" w:rsidP="002548A9">
            <w:pPr>
              <w:pStyle w:val="TableText"/>
              <w:spacing w:before="32" w:after="32"/>
              <w:jc w:val="right"/>
            </w:pPr>
            <w:r w:rsidRPr="0047058F">
              <w:t>17</w:t>
            </w:r>
          </w:p>
        </w:tc>
        <w:tc>
          <w:tcPr>
            <w:tcW w:w="647" w:type="dxa"/>
          </w:tcPr>
          <w:p w14:paraId="49EA8D27" w14:textId="77777777" w:rsidR="00A340EE" w:rsidRPr="0047058F" w:rsidRDefault="00A340EE" w:rsidP="002548A9">
            <w:pPr>
              <w:pStyle w:val="TableText"/>
              <w:spacing w:before="32" w:after="32"/>
              <w:jc w:val="right"/>
            </w:pPr>
            <w:r w:rsidRPr="0047058F">
              <w:t>0.2</w:t>
            </w:r>
          </w:p>
        </w:tc>
      </w:tr>
      <w:tr w:rsidR="00A340EE" w:rsidRPr="0047058F" w14:paraId="00338A5A"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hideMark/>
          </w:tcPr>
          <w:p w14:paraId="1DA51BFA" w14:textId="77777777" w:rsidR="00A340EE" w:rsidRPr="0047058F" w:rsidRDefault="00A340EE" w:rsidP="002548A9">
            <w:pPr>
              <w:pStyle w:val="TableText"/>
              <w:spacing w:before="32" w:after="32"/>
              <w:rPr>
                <w:rFonts w:cs="Calibri"/>
                <w:szCs w:val="14"/>
              </w:rPr>
            </w:pPr>
            <w:r w:rsidRPr="0047058F">
              <w:rPr>
                <w:rFonts w:cs="Calibri"/>
                <w:szCs w:val="14"/>
              </w:rPr>
              <w:t>Other pension/benefit/allowance</w:t>
            </w:r>
          </w:p>
        </w:tc>
        <w:tc>
          <w:tcPr>
            <w:tcW w:w="646" w:type="dxa"/>
          </w:tcPr>
          <w:p w14:paraId="622F183D" w14:textId="77777777" w:rsidR="00A340EE" w:rsidRPr="0047058F" w:rsidRDefault="00A340EE" w:rsidP="002548A9">
            <w:pPr>
              <w:pStyle w:val="TableText"/>
              <w:spacing w:before="32" w:after="32"/>
              <w:jc w:val="right"/>
            </w:pPr>
            <w:r w:rsidRPr="0047058F">
              <w:t>84</w:t>
            </w:r>
          </w:p>
        </w:tc>
        <w:tc>
          <w:tcPr>
            <w:tcW w:w="646" w:type="dxa"/>
          </w:tcPr>
          <w:p w14:paraId="43C1D4DF" w14:textId="77777777" w:rsidR="00A340EE" w:rsidRPr="0047058F" w:rsidRDefault="00A340EE" w:rsidP="002548A9">
            <w:pPr>
              <w:pStyle w:val="TableText"/>
              <w:spacing w:before="32" w:after="32"/>
              <w:jc w:val="right"/>
            </w:pPr>
            <w:r w:rsidRPr="0047058F">
              <w:t>3.6</w:t>
            </w:r>
          </w:p>
        </w:tc>
        <w:tc>
          <w:tcPr>
            <w:tcW w:w="646" w:type="dxa"/>
          </w:tcPr>
          <w:p w14:paraId="7E103A63" w14:textId="77777777" w:rsidR="00A340EE" w:rsidRPr="0047058F" w:rsidRDefault="00A340EE" w:rsidP="002548A9">
            <w:pPr>
              <w:pStyle w:val="TableText"/>
              <w:spacing w:before="32" w:after="32"/>
              <w:jc w:val="right"/>
            </w:pPr>
            <w:r w:rsidRPr="0047058F">
              <w:t>–</w:t>
            </w:r>
          </w:p>
        </w:tc>
        <w:tc>
          <w:tcPr>
            <w:tcW w:w="646" w:type="dxa"/>
          </w:tcPr>
          <w:p w14:paraId="4F9CDDD4" w14:textId="77777777" w:rsidR="00A340EE" w:rsidRPr="0047058F" w:rsidRDefault="00A340EE" w:rsidP="002548A9">
            <w:pPr>
              <w:pStyle w:val="TableText"/>
              <w:spacing w:before="32" w:after="32"/>
              <w:jc w:val="right"/>
            </w:pPr>
            <w:r w:rsidRPr="0047058F">
              <w:t>–</w:t>
            </w:r>
          </w:p>
        </w:tc>
        <w:tc>
          <w:tcPr>
            <w:tcW w:w="646" w:type="dxa"/>
          </w:tcPr>
          <w:p w14:paraId="4FF6DD37" w14:textId="77777777" w:rsidR="00A340EE" w:rsidRPr="0047058F" w:rsidRDefault="00A340EE" w:rsidP="002548A9">
            <w:pPr>
              <w:pStyle w:val="TableText"/>
              <w:spacing w:before="32" w:after="32"/>
              <w:jc w:val="right"/>
            </w:pPr>
            <w:r w:rsidRPr="0047058F">
              <w:t>84</w:t>
            </w:r>
          </w:p>
        </w:tc>
        <w:tc>
          <w:tcPr>
            <w:tcW w:w="647" w:type="dxa"/>
          </w:tcPr>
          <w:p w14:paraId="4C916098" w14:textId="77777777" w:rsidR="00A340EE" w:rsidRPr="0047058F" w:rsidRDefault="00A340EE" w:rsidP="002548A9">
            <w:pPr>
              <w:pStyle w:val="TableText"/>
              <w:spacing w:before="32" w:after="32"/>
              <w:jc w:val="right"/>
            </w:pPr>
            <w:r w:rsidRPr="0047058F">
              <w:t>1.0</w:t>
            </w:r>
          </w:p>
        </w:tc>
      </w:tr>
      <w:tr w:rsidR="00A340EE" w:rsidRPr="0047058F" w14:paraId="4C3C13D3" w14:textId="77777777" w:rsidTr="00BD64A6">
        <w:tc>
          <w:tcPr>
            <w:tcW w:w="3438" w:type="dxa"/>
            <w:hideMark/>
          </w:tcPr>
          <w:p w14:paraId="544F5E15" w14:textId="77777777" w:rsidR="00A340EE" w:rsidRPr="0047058F" w:rsidRDefault="00A340EE" w:rsidP="002548A9">
            <w:pPr>
              <w:pStyle w:val="TableText"/>
              <w:spacing w:before="32" w:after="32"/>
              <w:rPr>
                <w:rFonts w:cs="Calibri"/>
                <w:szCs w:val="14"/>
              </w:rPr>
            </w:pPr>
            <w:r w:rsidRPr="0047058F">
              <w:rPr>
                <w:rFonts w:cs="Calibri"/>
                <w:szCs w:val="14"/>
              </w:rPr>
              <w:t>Superannuation</w:t>
            </w:r>
          </w:p>
        </w:tc>
        <w:tc>
          <w:tcPr>
            <w:tcW w:w="646" w:type="dxa"/>
          </w:tcPr>
          <w:p w14:paraId="03D93F19" w14:textId="77777777" w:rsidR="00A340EE" w:rsidRPr="0047058F" w:rsidRDefault="00A340EE" w:rsidP="002548A9">
            <w:pPr>
              <w:pStyle w:val="TableText"/>
              <w:spacing w:before="32" w:after="32"/>
              <w:jc w:val="right"/>
            </w:pPr>
            <w:r w:rsidRPr="0047058F">
              <w:t>280</w:t>
            </w:r>
          </w:p>
        </w:tc>
        <w:tc>
          <w:tcPr>
            <w:tcW w:w="646" w:type="dxa"/>
          </w:tcPr>
          <w:p w14:paraId="4056606C" w14:textId="77777777" w:rsidR="00A340EE" w:rsidRPr="0047058F" w:rsidRDefault="00A340EE" w:rsidP="002548A9">
            <w:pPr>
              <w:pStyle w:val="TableText"/>
              <w:spacing w:before="32" w:after="32"/>
              <w:jc w:val="right"/>
            </w:pPr>
            <w:r w:rsidRPr="0047058F">
              <w:t>12.0</w:t>
            </w:r>
          </w:p>
        </w:tc>
        <w:tc>
          <w:tcPr>
            <w:tcW w:w="646" w:type="dxa"/>
          </w:tcPr>
          <w:p w14:paraId="4CBDEDDE" w14:textId="77777777" w:rsidR="00A340EE" w:rsidRPr="0047058F" w:rsidRDefault="00A340EE" w:rsidP="002548A9">
            <w:pPr>
              <w:pStyle w:val="TableText"/>
              <w:spacing w:before="32" w:after="32"/>
              <w:jc w:val="right"/>
            </w:pPr>
            <w:r w:rsidRPr="0047058F">
              <w:t>–</w:t>
            </w:r>
          </w:p>
        </w:tc>
        <w:tc>
          <w:tcPr>
            <w:tcW w:w="646" w:type="dxa"/>
          </w:tcPr>
          <w:p w14:paraId="2D5B474C" w14:textId="77777777" w:rsidR="00A340EE" w:rsidRPr="0047058F" w:rsidRDefault="00A340EE" w:rsidP="002548A9">
            <w:pPr>
              <w:pStyle w:val="TableText"/>
              <w:spacing w:before="32" w:after="32"/>
              <w:jc w:val="right"/>
            </w:pPr>
            <w:r w:rsidRPr="0047058F">
              <w:t>–</w:t>
            </w:r>
          </w:p>
        </w:tc>
        <w:tc>
          <w:tcPr>
            <w:tcW w:w="646" w:type="dxa"/>
          </w:tcPr>
          <w:p w14:paraId="21CB0CCC" w14:textId="77777777" w:rsidR="00A340EE" w:rsidRPr="0047058F" w:rsidRDefault="00A340EE" w:rsidP="002548A9">
            <w:pPr>
              <w:pStyle w:val="TableText"/>
              <w:spacing w:before="32" w:after="32"/>
              <w:jc w:val="right"/>
            </w:pPr>
            <w:r w:rsidRPr="0047058F">
              <w:t>280</w:t>
            </w:r>
          </w:p>
        </w:tc>
        <w:tc>
          <w:tcPr>
            <w:tcW w:w="647" w:type="dxa"/>
          </w:tcPr>
          <w:p w14:paraId="05B6ADF4" w14:textId="77777777" w:rsidR="00A340EE" w:rsidRPr="0047058F" w:rsidRDefault="00A340EE" w:rsidP="002548A9">
            <w:pPr>
              <w:pStyle w:val="TableText"/>
              <w:spacing w:before="32" w:after="32"/>
              <w:jc w:val="right"/>
            </w:pPr>
            <w:r w:rsidRPr="0047058F">
              <w:t>3.3</w:t>
            </w:r>
          </w:p>
        </w:tc>
      </w:tr>
      <w:tr w:rsidR="00A340EE" w:rsidRPr="0047058F" w14:paraId="0CDBF53C"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bottom w:val="single" w:sz="4" w:space="0" w:color="000000"/>
            </w:tcBorders>
            <w:hideMark/>
          </w:tcPr>
          <w:p w14:paraId="37D1699C" w14:textId="77777777" w:rsidR="00A340EE" w:rsidRPr="0047058F" w:rsidRDefault="00A340EE" w:rsidP="002548A9">
            <w:pPr>
              <w:pStyle w:val="TableText"/>
              <w:spacing w:before="32" w:after="32"/>
              <w:rPr>
                <w:rFonts w:cs="Calibri"/>
                <w:szCs w:val="14"/>
              </w:rPr>
            </w:pPr>
            <w:r w:rsidRPr="0047058F">
              <w:rPr>
                <w:rFonts w:cs="Calibri"/>
                <w:szCs w:val="14"/>
              </w:rPr>
              <w:t>Other</w:t>
            </w:r>
          </w:p>
        </w:tc>
        <w:tc>
          <w:tcPr>
            <w:tcW w:w="646" w:type="dxa"/>
            <w:tcBorders>
              <w:bottom w:val="single" w:sz="4" w:space="0" w:color="000000"/>
            </w:tcBorders>
          </w:tcPr>
          <w:p w14:paraId="77CD44FC" w14:textId="77777777" w:rsidR="00A340EE" w:rsidRPr="0047058F" w:rsidRDefault="00A340EE" w:rsidP="002548A9">
            <w:pPr>
              <w:pStyle w:val="TableText"/>
              <w:spacing w:before="32" w:after="32"/>
              <w:jc w:val="right"/>
            </w:pPr>
            <w:r w:rsidRPr="0047058F">
              <w:t>161</w:t>
            </w:r>
          </w:p>
        </w:tc>
        <w:tc>
          <w:tcPr>
            <w:tcW w:w="646" w:type="dxa"/>
            <w:tcBorders>
              <w:bottom w:val="single" w:sz="4" w:space="0" w:color="000000"/>
            </w:tcBorders>
          </w:tcPr>
          <w:p w14:paraId="18DC640C" w14:textId="77777777" w:rsidR="00A340EE" w:rsidRPr="0047058F" w:rsidRDefault="00A340EE" w:rsidP="002548A9">
            <w:pPr>
              <w:pStyle w:val="TableText"/>
              <w:spacing w:before="32" w:after="32"/>
              <w:jc w:val="right"/>
            </w:pPr>
            <w:r w:rsidRPr="0047058F">
              <w:t>6.9</w:t>
            </w:r>
          </w:p>
        </w:tc>
        <w:tc>
          <w:tcPr>
            <w:tcW w:w="646" w:type="dxa"/>
            <w:tcBorders>
              <w:bottom w:val="single" w:sz="4" w:space="0" w:color="000000"/>
            </w:tcBorders>
          </w:tcPr>
          <w:p w14:paraId="59F6D46F" w14:textId="77777777" w:rsidR="00A340EE" w:rsidRPr="0047058F" w:rsidRDefault="00A340EE" w:rsidP="002548A9">
            <w:pPr>
              <w:pStyle w:val="TableText"/>
              <w:spacing w:before="32" w:after="32"/>
              <w:jc w:val="right"/>
            </w:pPr>
            <w:r w:rsidRPr="0047058F">
              <w:t>–</w:t>
            </w:r>
          </w:p>
        </w:tc>
        <w:tc>
          <w:tcPr>
            <w:tcW w:w="646" w:type="dxa"/>
            <w:tcBorders>
              <w:bottom w:val="single" w:sz="4" w:space="0" w:color="000000"/>
            </w:tcBorders>
          </w:tcPr>
          <w:p w14:paraId="6D408961" w14:textId="77777777" w:rsidR="00A340EE" w:rsidRPr="0047058F" w:rsidRDefault="00A340EE" w:rsidP="002548A9">
            <w:pPr>
              <w:pStyle w:val="TableText"/>
              <w:spacing w:before="32" w:after="32"/>
              <w:jc w:val="right"/>
            </w:pPr>
            <w:r w:rsidRPr="0047058F">
              <w:t>–</w:t>
            </w:r>
          </w:p>
        </w:tc>
        <w:tc>
          <w:tcPr>
            <w:tcW w:w="646" w:type="dxa"/>
            <w:tcBorders>
              <w:bottom w:val="single" w:sz="4" w:space="0" w:color="000000"/>
            </w:tcBorders>
          </w:tcPr>
          <w:p w14:paraId="5FE32D05" w14:textId="77777777" w:rsidR="00A340EE" w:rsidRPr="0047058F" w:rsidRDefault="00A340EE" w:rsidP="002548A9">
            <w:pPr>
              <w:pStyle w:val="TableText"/>
              <w:spacing w:before="32" w:after="32"/>
              <w:jc w:val="right"/>
            </w:pPr>
            <w:r w:rsidRPr="0047058F">
              <w:t>161</w:t>
            </w:r>
          </w:p>
        </w:tc>
        <w:tc>
          <w:tcPr>
            <w:tcW w:w="647" w:type="dxa"/>
            <w:tcBorders>
              <w:bottom w:val="single" w:sz="4" w:space="0" w:color="000000"/>
            </w:tcBorders>
          </w:tcPr>
          <w:p w14:paraId="2943107B" w14:textId="77777777" w:rsidR="00A340EE" w:rsidRPr="0047058F" w:rsidRDefault="00A340EE" w:rsidP="002548A9">
            <w:pPr>
              <w:pStyle w:val="TableText"/>
              <w:spacing w:before="32" w:after="32"/>
              <w:jc w:val="right"/>
            </w:pPr>
            <w:r w:rsidRPr="0047058F">
              <w:t>1.9</w:t>
            </w:r>
          </w:p>
        </w:tc>
      </w:tr>
      <w:tr w:rsidR="00A340EE" w:rsidRPr="0047058F" w14:paraId="418C234E" w14:textId="77777777" w:rsidTr="00BD64A6">
        <w:tc>
          <w:tcPr>
            <w:tcW w:w="3438" w:type="dxa"/>
            <w:tcBorders>
              <w:top w:val="single" w:sz="4" w:space="0" w:color="000000"/>
              <w:bottom w:val="nil"/>
            </w:tcBorders>
            <w:hideMark/>
          </w:tcPr>
          <w:p w14:paraId="6D5BBB43" w14:textId="77777777" w:rsidR="00A340EE" w:rsidRPr="0047058F" w:rsidRDefault="00A340EE" w:rsidP="002548A9">
            <w:pPr>
              <w:pStyle w:val="TableText"/>
              <w:spacing w:before="32" w:after="32"/>
              <w:rPr>
                <w:b/>
              </w:rPr>
            </w:pPr>
            <w:r w:rsidRPr="0047058F">
              <w:rPr>
                <w:b/>
              </w:rPr>
              <w:t>Stable housing</w:t>
            </w:r>
          </w:p>
        </w:tc>
        <w:tc>
          <w:tcPr>
            <w:tcW w:w="646" w:type="dxa"/>
            <w:tcBorders>
              <w:top w:val="single" w:sz="4" w:space="0" w:color="000000"/>
              <w:bottom w:val="nil"/>
            </w:tcBorders>
          </w:tcPr>
          <w:p w14:paraId="732BE994"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76ACD6DC"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5FBBBF1D"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409FABDA" w14:textId="77777777" w:rsidR="00A340EE" w:rsidRPr="0047058F" w:rsidRDefault="00A340EE" w:rsidP="002548A9">
            <w:pPr>
              <w:pStyle w:val="TableText"/>
              <w:spacing w:before="32" w:after="32"/>
              <w:jc w:val="right"/>
            </w:pPr>
          </w:p>
        </w:tc>
        <w:tc>
          <w:tcPr>
            <w:tcW w:w="646" w:type="dxa"/>
            <w:tcBorders>
              <w:top w:val="single" w:sz="4" w:space="0" w:color="000000"/>
              <w:bottom w:val="nil"/>
            </w:tcBorders>
          </w:tcPr>
          <w:p w14:paraId="4890AEC0" w14:textId="77777777" w:rsidR="00A340EE" w:rsidRPr="0047058F" w:rsidRDefault="00A340EE" w:rsidP="002548A9">
            <w:pPr>
              <w:pStyle w:val="TableText"/>
              <w:spacing w:before="32" w:after="32"/>
              <w:jc w:val="right"/>
            </w:pPr>
          </w:p>
        </w:tc>
        <w:tc>
          <w:tcPr>
            <w:tcW w:w="647" w:type="dxa"/>
            <w:tcBorders>
              <w:top w:val="single" w:sz="4" w:space="0" w:color="000000"/>
              <w:bottom w:val="nil"/>
            </w:tcBorders>
          </w:tcPr>
          <w:p w14:paraId="718CCC72" w14:textId="77777777" w:rsidR="00A340EE" w:rsidRPr="0047058F" w:rsidRDefault="00A340EE" w:rsidP="002548A9">
            <w:pPr>
              <w:pStyle w:val="TableText"/>
              <w:spacing w:before="32" w:after="32"/>
              <w:jc w:val="right"/>
            </w:pPr>
          </w:p>
        </w:tc>
      </w:tr>
      <w:tr w:rsidR="00A340EE" w:rsidRPr="0047058F" w14:paraId="13F83F4D" w14:textId="77777777" w:rsidTr="00BD64A6">
        <w:trPr>
          <w:cnfStyle w:val="000000100000" w:firstRow="0" w:lastRow="0" w:firstColumn="0" w:lastColumn="0" w:oddVBand="0" w:evenVBand="0" w:oddHBand="1" w:evenHBand="0" w:firstRowFirstColumn="0" w:firstRowLastColumn="0" w:lastRowFirstColumn="0" w:lastRowLastColumn="0"/>
        </w:trPr>
        <w:tc>
          <w:tcPr>
            <w:tcW w:w="3438" w:type="dxa"/>
            <w:tcBorders>
              <w:top w:val="nil"/>
            </w:tcBorders>
            <w:hideMark/>
          </w:tcPr>
          <w:p w14:paraId="383344C6" w14:textId="77777777" w:rsidR="00A340EE" w:rsidRPr="0047058F" w:rsidRDefault="00A340EE" w:rsidP="002548A9">
            <w:pPr>
              <w:pStyle w:val="TableText"/>
              <w:spacing w:before="32" w:after="32"/>
              <w:rPr>
                <w:rFonts w:cs="Calibri"/>
                <w:szCs w:val="14"/>
              </w:rPr>
            </w:pPr>
            <w:r w:rsidRPr="0047058F">
              <w:rPr>
                <w:rFonts w:cs="Calibri"/>
                <w:szCs w:val="14"/>
              </w:rPr>
              <w:t>No</w:t>
            </w:r>
          </w:p>
        </w:tc>
        <w:tc>
          <w:tcPr>
            <w:tcW w:w="646" w:type="dxa"/>
            <w:tcBorders>
              <w:top w:val="nil"/>
            </w:tcBorders>
          </w:tcPr>
          <w:p w14:paraId="21E226D0" w14:textId="77777777" w:rsidR="00A340EE" w:rsidRPr="0047058F" w:rsidRDefault="00A340EE" w:rsidP="002548A9">
            <w:pPr>
              <w:pStyle w:val="TableText"/>
              <w:spacing w:before="32" w:after="32"/>
              <w:jc w:val="right"/>
            </w:pPr>
            <w:r w:rsidRPr="0047058F">
              <w:t>59</w:t>
            </w:r>
          </w:p>
        </w:tc>
        <w:tc>
          <w:tcPr>
            <w:tcW w:w="646" w:type="dxa"/>
            <w:tcBorders>
              <w:top w:val="nil"/>
            </w:tcBorders>
          </w:tcPr>
          <w:p w14:paraId="7BF7CCF4" w14:textId="77777777" w:rsidR="00A340EE" w:rsidRPr="0047058F" w:rsidRDefault="00A340EE" w:rsidP="002548A9">
            <w:pPr>
              <w:pStyle w:val="TableText"/>
              <w:spacing w:before="32" w:after="32"/>
              <w:jc w:val="right"/>
            </w:pPr>
            <w:r w:rsidRPr="0047058F">
              <w:t>2.5</w:t>
            </w:r>
          </w:p>
        </w:tc>
        <w:tc>
          <w:tcPr>
            <w:tcW w:w="646" w:type="dxa"/>
            <w:tcBorders>
              <w:top w:val="nil"/>
            </w:tcBorders>
          </w:tcPr>
          <w:p w14:paraId="6C7EB336" w14:textId="77777777" w:rsidR="00A340EE" w:rsidRPr="0047058F" w:rsidRDefault="00A340EE" w:rsidP="002548A9">
            <w:pPr>
              <w:pStyle w:val="TableText"/>
              <w:spacing w:before="32" w:after="32"/>
              <w:jc w:val="right"/>
            </w:pPr>
            <w:r w:rsidRPr="0047058F">
              <w:t>148</w:t>
            </w:r>
          </w:p>
        </w:tc>
        <w:tc>
          <w:tcPr>
            <w:tcW w:w="646" w:type="dxa"/>
            <w:tcBorders>
              <w:top w:val="nil"/>
            </w:tcBorders>
          </w:tcPr>
          <w:p w14:paraId="53AE0126" w14:textId="77777777" w:rsidR="00A340EE" w:rsidRPr="0047058F" w:rsidRDefault="00A340EE" w:rsidP="002548A9">
            <w:pPr>
              <w:pStyle w:val="TableText"/>
              <w:spacing w:before="32" w:after="32"/>
              <w:jc w:val="right"/>
            </w:pPr>
            <w:r w:rsidRPr="0047058F">
              <w:t>2.4</w:t>
            </w:r>
          </w:p>
        </w:tc>
        <w:tc>
          <w:tcPr>
            <w:tcW w:w="646" w:type="dxa"/>
            <w:tcBorders>
              <w:top w:val="nil"/>
            </w:tcBorders>
          </w:tcPr>
          <w:p w14:paraId="556EE33F" w14:textId="77777777" w:rsidR="00A340EE" w:rsidRPr="0047058F" w:rsidRDefault="00A340EE" w:rsidP="002548A9">
            <w:pPr>
              <w:pStyle w:val="TableText"/>
              <w:spacing w:before="32" w:after="32"/>
              <w:jc w:val="right"/>
            </w:pPr>
            <w:r w:rsidRPr="0047058F">
              <w:t>207</w:t>
            </w:r>
          </w:p>
        </w:tc>
        <w:tc>
          <w:tcPr>
            <w:tcW w:w="647" w:type="dxa"/>
            <w:tcBorders>
              <w:top w:val="nil"/>
            </w:tcBorders>
          </w:tcPr>
          <w:p w14:paraId="1A10DCED" w14:textId="77777777" w:rsidR="00A340EE" w:rsidRPr="0047058F" w:rsidRDefault="00A340EE" w:rsidP="002548A9">
            <w:pPr>
              <w:pStyle w:val="TableText"/>
              <w:spacing w:before="32" w:after="32"/>
              <w:jc w:val="right"/>
            </w:pPr>
            <w:r w:rsidRPr="0047058F">
              <w:t>2.4</w:t>
            </w:r>
          </w:p>
        </w:tc>
      </w:tr>
      <w:tr w:rsidR="00A340EE" w:rsidRPr="0047058F" w14:paraId="3F9B2F40" w14:textId="77777777" w:rsidTr="00BD64A6">
        <w:tc>
          <w:tcPr>
            <w:tcW w:w="3438" w:type="dxa"/>
            <w:hideMark/>
          </w:tcPr>
          <w:p w14:paraId="35A12039" w14:textId="77777777" w:rsidR="00A340EE" w:rsidRPr="0047058F" w:rsidRDefault="00A340EE" w:rsidP="002548A9">
            <w:pPr>
              <w:pStyle w:val="TableText"/>
              <w:spacing w:before="32" w:after="32"/>
              <w:rPr>
                <w:rFonts w:cs="Calibri"/>
                <w:szCs w:val="14"/>
              </w:rPr>
            </w:pPr>
            <w:r w:rsidRPr="0047058F">
              <w:rPr>
                <w:rFonts w:cs="Calibri"/>
                <w:szCs w:val="14"/>
              </w:rPr>
              <w:t>Yes</w:t>
            </w:r>
          </w:p>
        </w:tc>
        <w:tc>
          <w:tcPr>
            <w:tcW w:w="646" w:type="dxa"/>
          </w:tcPr>
          <w:p w14:paraId="015E0DD7" w14:textId="77777777" w:rsidR="00A340EE" w:rsidRPr="0047058F" w:rsidRDefault="00A340EE" w:rsidP="002548A9">
            <w:pPr>
              <w:pStyle w:val="TableText"/>
              <w:spacing w:before="32" w:after="32"/>
              <w:jc w:val="right"/>
            </w:pPr>
            <w:r w:rsidRPr="0047058F">
              <w:t>2217</w:t>
            </w:r>
          </w:p>
        </w:tc>
        <w:tc>
          <w:tcPr>
            <w:tcW w:w="646" w:type="dxa"/>
          </w:tcPr>
          <w:p w14:paraId="1045B07F" w14:textId="77777777" w:rsidR="00A340EE" w:rsidRPr="0047058F" w:rsidRDefault="00A340EE" w:rsidP="002548A9">
            <w:pPr>
              <w:pStyle w:val="TableText"/>
              <w:spacing w:before="32" w:after="32"/>
              <w:jc w:val="right"/>
            </w:pPr>
            <w:r w:rsidRPr="0047058F">
              <w:t>95.0</w:t>
            </w:r>
          </w:p>
        </w:tc>
        <w:tc>
          <w:tcPr>
            <w:tcW w:w="646" w:type="dxa"/>
          </w:tcPr>
          <w:p w14:paraId="5C90C53D" w14:textId="77777777" w:rsidR="00A340EE" w:rsidRPr="0047058F" w:rsidRDefault="00A340EE" w:rsidP="002548A9">
            <w:pPr>
              <w:pStyle w:val="TableText"/>
              <w:spacing w:before="32" w:after="32"/>
              <w:jc w:val="right"/>
            </w:pPr>
            <w:r w:rsidRPr="0047058F">
              <w:t>5896</w:t>
            </w:r>
          </w:p>
        </w:tc>
        <w:tc>
          <w:tcPr>
            <w:tcW w:w="646" w:type="dxa"/>
          </w:tcPr>
          <w:p w14:paraId="38EB96FB" w14:textId="77777777" w:rsidR="00A340EE" w:rsidRPr="0047058F" w:rsidRDefault="00A340EE" w:rsidP="002548A9">
            <w:pPr>
              <w:pStyle w:val="TableText"/>
              <w:spacing w:before="32" w:after="32"/>
              <w:jc w:val="right"/>
            </w:pPr>
            <w:r w:rsidRPr="0047058F">
              <w:t>95.7</w:t>
            </w:r>
          </w:p>
        </w:tc>
        <w:tc>
          <w:tcPr>
            <w:tcW w:w="646" w:type="dxa"/>
          </w:tcPr>
          <w:p w14:paraId="410BE6DD" w14:textId="77777777" w:rsidR="00A340EE" w:rsidRPr="0047058F" w:rsidRDefault="00A340EE" w:rsidP="002548A9">
            <w:pPr>
              <w:pStyle w:val="TableText"/>
              <w:spacing w:before="32" w:after="32"/>
              <w:jc w:val="right"/>
            </w:pPr>
            <w:r w:rsidRPr="0047058F">
              <w:t>8113</w:t>
            </w:r>
          </w:p>
        </w:tc>
        <w:tc>
          <w:tcPr>
            <w:tcW w:w="647" w:type="dxa"/>
          </w:tcPr>
          <w:p w14:paraId="00A4714C" w14:textId="77777777" w:rsidR="00A340EE" w:rsidRPr="0047058F" w:rsidRDefault="00A340EE" w:rsidP="002548A9">
            <w:pPr>
              <w:pStyle w:val="TableText"/>
              <w:spacing w:before="32" w:after="32"/>
              <w:jc w:val="right"/>
            </w:pPr>
            <w:r w:rsidRPr="0047058F">
              <w:t>95.5</w:t>
            </w:r>
          </w:p>
        </w:tc>
      </w:tr>
    </w:tbl>
    <w:p w14:paraId="3F707E65" w14:textId="77777777" w:rsidR="00A340EE" w:rsidRPr="0047058F" w:rsidRDefault="00A340EE" w:rsidP="00A340EE">
      <w:pPr>
        <w:pStyle w:val="TableNotes"/>
      </w:pPr>
      <w:r w:rsidRPr="0047058F">
        <w:t>VEA = Veterans’ Entitlements Act; SRCA = Safety, Rehabilitation and Compensation Act; MRCA = Military Rehabilitation and Compensation Act.</w:t>
      </w:r>
    </w:p>
    <w:p w14:paraId="59ADCD52" w14:textId="783F5D3A" w:rsidR="00A340EE" w:rsidRPr="0047058F" w:rsidRDefault="00A340EE" w:rsidP="00A340EE">
      <w:pPr>
        <w:pStyle w:val="TableNotes"/>
      </w:pPr>
      <w:r w:rsidRPr="0047058F">
        <w:t>Missing: 2015 Regular ADF: Relationship status – 89 (1.4%), Education – 84 (1.4%)</w:t>
      </w:r>
      <w:r w:rsidR="00B47835">
        <w:t>,</w:t>
      </w:r>
      <w:r w:rsidRPr="0047058F">
        <w:t xml:space="preserve"> Stable housing – 119 (1.9%). Transitioned ADF: Relationship status – 46 (2.0%), Education – 31 (1.3%), Employment – 34 (1.5%), Main income – 49 (2.1%), Stable housing – 58 (2.5%).</w:t>
      </w:r>
    </w:p>
    <w:p w14:paraId="67916587" w14:textId="77777777" w:rsidR="00A340EE" w:rsidRPr="0047058F" w:rsidRDefault="00A340EE" w:rsidP="00A340EE">
      <w:pPr>
        <w:pStyle w:val="TableName"/>
      </w:pPr>
      <w:bookmarkStart w:id="159" w:name="_Ref482013497"/>
      <w:bookmarkStart w:id="160" w:name="_Toc479243376"/>
      <w:bookmarkStart w:id="161" w:name="_Toc482023762"/>
      <w:bookmarkStart w:id="162" w:name="_Toc487014248"/>
      <w:bookmarkStart w:id="163" w:name="_Toc529117504"/>
      <w:bookmarkStart w:id="164" w:name="_Toc532473574"/>
      <w:r w:rsidRPr="0047058F">
        <w:t>Table 3.2</w:t>
      </w:r>
      <w:bookmarkEnd w:id="159"/>
      <w:r w:rsidRPr="0047058F">
        <w:tab/>
        <w:t>Unweighted service characteristics in Transitioned and 2015 Regular ADF</w:t>
      </w:r>
      <w:bookmarkEnd w:id="160"/>
      <w:bookmarkEnd w:id="161"/>
      <w:bookmarkEnd w:id="162"/>
      <w:bookmarkEnd w:id="163"/>
      <w:bookmarkEnd w:id="164"/>
    </w:p>
    <w:tbl>
      <w:tblPr>
        <w:tblStyle w:val="TWRPTable"/>
        <w:tblW w:w="5000" w:type="pct"/>
        <w:tblLayout w:type="fixed"/>
        <w:tblLook w:val="04A0" w:firstRow="1" w:lastRow="0" w:firstColumn="1" w:lastColumn="0" w:noHBand="0" w:noVBand="1"/>
        <w:tblDescription w:val="Table 3.2 Unweighted service characteristics in Transitioned and 2015 Regular ADF"/>
      </w:tblPr>
      <w:tblGrid>
        <w:gridCol w:w="1615"/>
        <w:gridCol w:w="949"/>
        <w:gridCol w:w="951"/>
        <w:gridCol w:w="949"/>
        <w:gridCol w:w="951"/>
        <w:gridCol w:w="949"/>
        <w:gridCol w:w="951"/>
      </w:tblGrid>
      <w:tr w:rsidR="00A340EE" w:rsidRPr="0047058F" w14:paraId="066461C1" w14:textId="77777777" w:rsidTr="00055107">
        <w:trPr>
          <w:cnfStyle w:val="100000000000" w:firstRow="1" w:lastRow="0" w:firstColumn="0" w:lastColumn="0" w:oddVBand="0" w:evenVBand="0" w:oddHBand="0" w:evenHBand="0" w:firstRowFirstColumn="0" w:firstRowLastColumn="0" w:lastRowFirstColumn="0" w:lastRowLastColumn="0"/>
          <w:tblHeader/>
        </w:trPr>
        <w:tc>
          <w:tcPr>
            <w:tcW w:w="1103" w:type="pct"/>
            <w:tcBorders>
              <w:top w:val="single" w:sz="4" w:space="0" w:color="000000"/>
              <w:bottom w:val="nil"/>
            </w:tcBorders>
          </w:tcPr>
          <w:p w14:paraId="4FF0DCBC" w14:textId="77777777" w:rsidR="00A340EE" w:rsidRPr="0047058F" w:rsidRDefault="00A340EE" w:rsidP="002548A9">
            <w:pPr>
              <w:pStyle w:val="TableText"/>
              <w:spacing w:before="32" w:after="32"/>
            </w:pPr>
          </w:p>
        </w:tc>
        <w:tc>
          <w:tcPr>
            <w:tcW w:w="1299" w:type="pct"/>
            <w:gridSpan w:val="2"/>
            <w:hideMark/>
          </w:tcPr>
          <w:p w14:paraId="6650F954" w14:textId="77777777" w:rsidR="00A340EE" w:rsidRPr="0047058F" w:rsidRDefault="00A340EE" w:rsidP="002548A9">
            <w:pPr>
              <w:pStyle w:val="TableText"/>
              <w:spacing w:before="32" w:after="32"/>
              <w:jc w:val="center"/>
            </w:pPr>
            <w:r w:rsidRPr="0047058F">
              <w:t>Transitioned ADF</w:t>
            </w:r>
            <w:r w:rsidRPr="0047058F">
              <w:br/>
              <w:t>n = 2334</w:t>
            </w:r>
          </w:p>
        </w:tc>
        <w:tc>
          <w:tcPr>
            <w:tcW w:w="1299" w:type="pct"/>
            <w:gridSpan w:val="2"/>
          </w:tcPr>
          <w:p w14:paraId="4B79EDF9" w14:textId="77777777" w:rsidR="00A340EE" w:rsidRPr="0047058F" w:rsidRDefault="00A340EE" w:rsidP="002548A9">
            <w:pPr>
              <w:pStyle w:val="TableText"/>
              <w:spacing w:before="32" w:after="32"/>
              <w:jc w:val="center"/>
            </w:pPr>
            <w:r w:rsidRPr="0047058F">
              <w:t>2015 Regular ADF</w:t>
            </w:r>
            <w:r w:rsidRPr="0047058F">
              <w:br/>
              <w:t>n = 6163</w:t>
            </w:r>
          </w:p>
        </w:tc>
        <w:tc>
          <w:tcPr>
            <w:tcW w:w="1299" w:type="pct"/>
            <w:gridSpan w:val="2"/>
          </w:tcPr>
          <w:p w14:paraId="1FAB36DC" w14:textId="77777777" w:rsidR="00A340EE" w:rsidRPr="0047058F" w:rsidRDefault="00A340EE" w:rsidP="002548A9">
            <w:pPr>
              <w:pStyle w:val="TableText"/>
              <w:spacing w:before="32" w:after="32"/>
              <w:jc w:val="center"/>
            </w:pPr>
            <w:r w:rsidRPr="0047058F">
              <w:t>Total</w:t>
            </w:r>
            <w:r w:rsidRPr="0047058F">
              <w:br/>
              <w:t>n = 8497</w:t>
            </w:r>
          </w:p>
        </w:tc>
      </w:tr>
      <w:tr w:rsidR="00A340EE" w:rsidRPr="0047058F" w14:paraId="5D70B9F1" w14:textId="77777777" w:rsidTr="00055107">
        <w:trPr>
          <w:cnfStyle w:val="100000000000" w:firstRow="1" w:lastRow="0" w:firstColumn="0" w:lastColumn="0" w:oddVBand="0" w:evenVBand="0" w:oddHBand="0" w:evenHBand="0" w:firstRowFirstColumn="0" w:firstRowLastColumn="0" w:lastRowFirstColumn="0" w:lastRowLastColumn="0"/>
          <w:tblHeader/>
        </w:trPr>
        <w:tc>
          <w:tcPr>
            <w:tcW w:w="1103" w:type="pct"/>
            <w:tcBorders>
              <w:top w:val="nil"/>
            </w:tcBorders>
          </w:tcPr>
          <w:p w14:paraId="5406D5B2" w14:textId="77777777" w:rsidR="00A340EE" w:rsidRPr="0047058F" w:rsidRDefault="00A340EE" w:rsidP="002548A9">
            <w:pPr>
              <w:pStyle w:val="TableText"/>
              <w:spacing w:before="32" w:after="32"/>
            </w:pPr>
            <w:r w:rsidRPr="0047058F">
              <w:rPr>
                <w:rFonts w:cs="Calibri"/>
                <w:szCs w:val="14"/>
              </w:rPr>
              <w:t>Service characteristics</w:t>
            </w:r>
          </w:p>
        </w:tc>
        <w:tc>
          <w:tcPr>
            <w:tcW w:w="649" w:type="pct"/>
            <w:hideMark/>
          </w:tcPr>
          <w:p w14:paraId="2540EA6D" w14:textId="77777777" w:rsidR="00A340EE" w:rsidRPr="0047058F" w:rsidRDefault="00A340EE" w:rsidP="002548A9">
            <w:pPr>
              <w:pStyle w:val="TableText"/>
              <w:spacing w:before="32" w:after="32"/>
              <w:jc w:val="right"/>
            </w:pPr>
            <w:r w:rsidRPr="0047058F">
              <w:t>n</w:t>
            </w:r>
          </w:p>
        </w:tc>
        <w:tc>
          <w:tcPr>
            <w:tcW w:w="649" w:type="pct"/>
            <w:hideMark/>
          </w:tcPr>
          <w:p w14:paraId="466E2C7E" w14:textId="77777777" w:rsidR="00A340EE" w:rsidRPr="0047058F" w:rsidRDefault="00A340EE" w:rsidP="002548A9">
            <w:pPr>
              <w:pStyle w:val="TableText"/>
              <w:spacing w:before="32" w:after="32"/>
              <w:jc w:val="right"/>
            </w:pPr>
            <w:r w:rsidRPr="0047058F">
              <w:t>%</w:t>
            </w:r>
          </w:p>
        </w:tc>
        <w:tc>
          <w:tcPr>
            <w:tcW w:w="649" w:type="pct"/>
            <w:hideMark/>
          </w:tcPr>
          <w:p w14:paraId="0BADAFE6" w14:textId="77777777" w:rsidR="00A340EE" w:rsidRPr="0047058F" w:rsidRDefault="00A340EE" w:rsidP="002548A9">
            <w:pPr>
              <w:pStyle w:val="TableText"/>
              <w:spacing w:before="32" w:after="32"/>
              <w:jc w:val="right"/>
            </w:pPr>
            <w:r w:rsidRPr="0047058F">
              <w:t>n</w:t>
            </w:r>
          </w:p>
        </w:tc>
        <w:tc>
          <w:tcPr>
            <w:tcW w:w="649" w:type="pct"/>
            <w:hideMark/>
          </w:tcPr>
          <w:p w14:paraId="2141C108" w14:textId="77777777" w:rsidR="00A340EE" w:rsidRPr="0047058F" w:rsidRDefault="00A340EE" w:rsidP="002548A9">
            <w:pPr>
              <w:pStyle w:val="TableText"/>
              <w:spacing w:before="32" w:after="32"/>
              <w:jc w:val="right"/>
            </w:pPr>
            <w:r w:rsidRPr="0047058F">
              <w:t>%</w:t>
            </w:r>
          </w:p>
        </w:tc>
        <w:tc>
          <w:tcPr>
            <w:tcW w:w="649" w:type="pct"/>
            <w:hideMark/>
          </w:tcPr>
          <w:p w14:paraId="72970567" w14:textId="77777777" w:rsidR="00A340EE" w:rsidRPr="0047058F" w:rsidRDefault="00A340EE" w:rsidP="002548A9">
            <w:pPr>
              <w:pStyle w:val="TableText"/>
              <w:spacing w:before="32" w:after="32"/>
              <w:jc w:val="right"/>
            </w:pPr>
            <w:r w:rsidRPr="0047058F">
              <w:t>n</w:t>
            </w:r>
          </w:p>
        </w:tc>
        <w:tc>
          <w:tcPr>
            <w:tcW w:w="650" w:type="pct"/>
            <w:hideMark/>
          </w:tcPr>
          <w:p w14:paraId="26B734C9" w14:textId="77777777" w:rsidR="00A340EE" w:rsidRPr="0047058F" w:rsidRDefault="00A340EE" w:rsidP="002548A9">
            <w:pPr>
              <w:pStyle w:val="TableText"/>
              <w:spacing w:before="32" w:after="32"/>
              <w:jc w:val="right"/>
            </w:pPr>
            <w:r w:rsidRPr="0047058F">
              <w:t>%</w:t>
            </w:r>
          </w:p>
        </w:tc>
      </w:tr>
      <w:tr w:rsidR="00A340EE" w:rsidRPr="0047058F" w14:paraId="7FC3DCDD" w14:textId="77777777" w:rsidTr="00055107">
        <w:trPr>
          <w:cnfStyle w:val="000000100000" w:firstRow="0" w:lastRow="0" w:firstColumn="0" w:lastColumn="0" w:oddVBand="0" w:evenVBand="0" w:oddHBand="1" w:evenHBand="0" w:firstRowFirstColumn="0" w:firstRowLastColumn="0" w:lastRowFirstColumn="0" w:lastRowLastColumn="0"/>
        </w:trPr>
        <w:tc>
          <w:tcPr>
            <w:tcW w:w="1103" w:type="pct"/>
            <w:hideMark/>
          </w:tcPr>
          <w:p w14:paraId="489A31DC" w14:textId="77777777" w:rsidR="00A340EE" w:rsidRPr="0047058F" w:rsidRDefault="00A340EE" w:rsidP="002548A9">
            <w:pPr>
              <w:pStyle w:val="TableText"/>
              <w:spacing w:before="32" w:after="32"/>
              <w:rPr>
                <w:b/>
              </w:rPr>
            </w:pPr>
            <w:r w:rsidRPr="0047058F">
              <w:rPr>
                <w:b/>
              </w:rPr>
              <w:t>Time in Regular ADF</w:t>
            </w:r>
          </w:p>
        </w:tc>
        <w:tc>
          <w:tcPr>
            <w:tcW w:w="649" w:type="pct"/>
          </w:tcPr>
          <w:p w14:paraId="5E77A08F" w14:textId="77777777" w:rsidR="00A340EE" w:rsidRPr="0047058F" w:rsidRDefault="00A340EE" w:rsidP="002548A9">
            <w:pPr>
              <w:pStyle w:val="TableText"/>
              <w:spacing w:before="32" w:after="32"/>
              <w:jc w:val="right"/>
            </w:pPr>
          </w:p>
        </w:tc>
        <w:tc>
          <w:tcPr>
            <w:tcW w:w="649" w:type="pct"/>
          </w:tcPr>
          <w:p w14:paraId="2E576D69" w14:textId="77777777" w:rsidR="00A340EE" w:rsidRPr="0047058F" w:rsidRDefault="00A340EE" w:rsidP="002548A9">
            <w:pPr>
              <w:pStyle w:val="TableText"/>
              <w:spacing w:before="32" w:after="32"/>
              <w:jc w:val="right"/>
            </w:pPr>
          </w:p>
        </w:tc>
        <w:tc>
          <w:tcPr>
            <w:tcW w:w="649" w:type="pct"/>
          </w:tcPr>
          <w:p w14:paraId="6B0D185A" w14:textId="77777777" w:rsidR="00A340EE" w:rsidRPr="0047058F" w:rsidRDefault="00A340EE" w:rsidP="002548A9">
            <w:pPr>
              <w:pStyle w:val="TableText"/>
              <w:spacing w:before="32" w:after="32"/>
              <w:jc w:val="right"/>
            </w:pPr>
          </w:p>
        </w:tc>
        <w:tc>
          <w:tcPr>
            <w:tcW w:w="649" w:type="pct"/>
          </w:tcPr>
          <w:p w14:paraId="706C3246" w14:textId="77777777" w:rsidR="00A340EE" w:rsidRPr="0047058F" w:rsidRDefault="00A340EE" w:rsidP="002548A9">
            <w:pPr>
              <w:pStyle w:val="TableText"/>
              <w:spacing w:before="32" w:after="32"/>
              <w:jc w:val="right"/>
            </w:pPr>
          </w:p>
        </w:tc>
        <w:tc>
          <w:tcPr>
            <w:tcW w:w="649" w:type="pct"/>
          </w:tcPr>
          <w:p w14:paraId="01D191C2" w14:textId="77777777" w:rsidR="00A340EE" w:rsidRPr="0047058F" w:rsidRDefault="00A340EE" w:rsidP="002548A9">
            <w:pPr>
              <w:pStyle w:val="TableText"/>
              <w:spacing w:before="32" w:after="32"/>
              <w:jc w:val="right"/>
            </w:pPr>
          </w:p>
        </w:tc>
        <w:tc>
          <w:tcPr>
            <w:tcW w:w="650" w:type="pct"/>
          </w:tcPr>
          <w:p w14:paraId="5FD1695C" w14:textId="77777777" w:rsidR="00A340EE" w:rsidRPr="0047058F" w:rsidRDefault="00A340EE" w:rsidP="002548A9">
            <w:pPr>
              <w:pStyle w:val="TableText"/>
              <w:spacing w:before="32" w:after="32"/>
              <w:jc w:val="right"/>
            </w:pPr>
          </w:p>
        </w:tc>
      </w:tr>
      <w:tr w:rsidR="00A340EE" w:rsidRPr="0047058F" w14:paraId="6506785B" w14:textId="77777777" w:rsidTr="00055107">
        <w:tc>
          <w:tcPr>
            <w:tcW w:w="1103" w:type="pct"/>
            <w:hideMark/>
          </w:tcPr>
          <w:p w14:paraId="17FD1774" w14:textId="77777777" w:rsidR="00A340EE" w:rsidRPr="0047058F" w:rsidRDefault="00A340EE" w:rsidP="002548A9">
            <w:pPr>
              <w:pStyle w:val="TableText"/>
              <w:spacing w:before="32" w:after="32"/>
              <w:rPr>
                <w:rFonts w:cs="Calibri"/>
                <w:szCs w:val="14"/>
              </w:rPr>
            </w:pPr>
            <w:r w:rsidRPr="0047058F">
              <w:rPr>
                <w:rFonts w:cs="Calibri"/>
                <w:szCs w:val="14"/>
              </w:rPr>
              <w:t>1 month – 3.9 years</w:t>
            </w:r>
          </w:p>
        </w:tc>
        <w:tc>
          <w:tcPr>
            <w:tcW w:w="649" w:type="pct"/>
          </w:tcPr>
          <w:p w14:paraId="637978B5" w14:textId="77777777" w:rsidR="00A340EE" w:rsidRPr="0047058F" w:rsidRDefault="00A340EE" w:rsidP="002548A9">
            <w:pPr>
              <w:pStyle w:val="TableText"/>
              <w:spacing w:before="32" w:after="32"/>
              <w:jc w:val="right"/>
            </w:pPr>
            <w:r w:rsidRPr="0047058F">
              <w:t>32</w:t>
            </w:r>
          </w:p>
        </w:tc>
        <w:tc>
          <w:tcPr>
            <w:tcW w:w="649" w:type="pct"/>
          </w:tcPr>
          <w:p w14:paraId="4618A11A" w14:textId="77777777" w:rsidR="00A340EE" w:rsidRPr="0047058F" w:rsidRDefault="00A340EE" w:rsidP="002548A9">
            <w:pPr>
              <w:pStyle w:val="TableText"/>
              <w:spacing w:before="32" w:after="32"/>
              <w:jc w:val="right"/>
            </w:pPr>
            <w:r w:rsidRPr="0047058F">
              <w:t>1.4</w:t>
            </w:r>
          </w:p>
        </w:tc>
        <w:tc>
          <w:tcPr>
            <w:tcW w:w="649" w:type="pct"/>
          </w:tcPr>
          <w:p w14:paraId="39E94B1F" w14:textId="77777777" w:rsidR="00A340EE" w:rsidRPr="0047058F" w:rsidRDefault="00A340EE" w:rsidP="002548A9">
            <w:pPr>
              <w:pStyle w:val="TableText"/>
              <w:spacing w:before="32" w:after="32"/>
              <w:jc w:val="right"/>
            </w:pPr>
            <w:r w:rsidRPr="0047058F">
              <w:rPr>
                <w:rFonts w:cs="Calibri"/>
                <w:szCs w:val="14"/>
              </w:rPr>
              <w:t>–</w:t>
            </w:r>
            <w:r w:rsidRPr="0047058F">
              <w:rPr>
                <w:rFonts w:cs="Calibri"/>
                <w:szCs w:val="14"/>
                <w:vertAlign w:val="superscript"/>
              </w:rPr>
              <w:t>#</w:t>
            </w:r>
          </w:p>
        </w:tc>
        <w:tc>
          <w:tcPr>
            <w:tcW w:w="649" w:type="pct"/>
          </w:tcPr>
          <w:p w14:paraId="45F3B496" w14:textId="77777777" w:rsidR="00A340EE" w:rsidRPr="0047058F" w:rsidRDefault="00A340EE" w:rsidP="002548A9">
            <w:pPr>
              <w:pStyle w:val="TableText"/>
              <w:spacing w:before="32" w:after="32"/>
              <w:jc w:val="right"/>
            </w:pPr>
            <w:r w:rsidRPr="0047058F">
              <w:rPr>
                <w:rFonts w:cs="Calibri"/>
                <w:szCs w:val="14"/>
              </w:rPr>
              <w:t>–</w:t>
            </w:r>
          </w:p>
        </w:tc>
        <w:tc>
          <w:tcPr>
            <w:tcW w:w="649" w:type="pct"/>
          </w:tcPr>
          <w:p w14:paraId="3163AD8B" w14:textId="77777777" w:rsidR="00A340EE" w:rsidRPr="0047058F" w:rsidRDefault="00A340EE" w:rsidP="002548A9">
            <w:pPr>
              <w:pStyle w:val="TableText"/>
              <w:spacing w:before="32" w:after="32"/>
              <w:jc w:val="right"/>
            </w:pPr>
            <w:r w:rsidRPr="0047058F">
              <w:t>35</w:t>
            </w:r>
          </w:p>
        </w:tc>
        <w:tc>
          <w:tcPr>
            <w:tcW w:w="650" w:type="pct"/>
          </w:tcPr>
          <w:p w14:paraId="5805792C" w14:textId="77777777" w:rsidR="00A340EE" w:rsidRPr="0047058F" w:rsidRDefault="00A340EE" w:rsidP="002548A9">
            <w:pPr>
              <w:pStyle w:val="TableText"/>
              <w:spacing w:before="32" w:after="32"/>
              <w:jc w:val="right"/>
            </w:pPr>
            <w:r w:rsidRPr="0047058F">
              <w:t>0.4</w:t>
            </w:r>
          </w:p>
        </w:tc>
      </w:tr>
      <w:tr w:rsidR="00A340EE" w:rsidRPr="0047058F" w14:paraId="7264D404" w14:textId="77777777" w:rsidTr="00055107">
        <w:trPr>
          <w:cnfStyle w:val="000000100000" w:firstRow="0" w:lastRow="0" w:firstColumn="0" w:lastColumn="0" w:oddVBand="0" w:evenVBand="0" w:oddHBand="1" w:evenHBand="0" w:firstRowFirstColumn="0" w:firstRowLastColumn="0" w:lastRowFirstColumn="0" w:lastRowLastColumn="0"/>
        </w:trPr>
        <w:tc>
          <w:tcPr>
            <w:tcW w:w="1103" w:type="pct"/>
            <w:hideMark/>
          </w:tcPr>
          <w:p w14:paraId="44442010" w14:textId="77777777" w:rsidR="00A340EE" w:rsidRPr="0047058F" w:rsidRDefault="00A340EE" w:rsidP="002548A9">
            <w:pPr>
              <w:pStyle w:val="TableText"/>
              <w:spacing w:before="32" w:after="32"/>
              <w:rPr>
                <w:rFonts w:cs="Calibri"/>
                <w:szCs w:val="14"/>
              </w:rPr>
            </w:pPr>
            <w:r w:rsidRPr="0047058F">
              <w:rPr>
                <w:rFonts w:cs="Calibri"/>
                <w:szCs w:val="14"/>
              </w:rPr>
              <w:t>4 – 7.9 years</w:t>
            </w:r>
          </w:p>
        </w:tc>
        <w:tc>
          <w:tcPr>
            <w:tcW w:w="649" w:type="pct"/>
          </w:tcPr>
          <w:p w14:paraId="048ED9F6" w14:textId="77777777" w:rsidR="00A340EE" w:rsidRPr="0047058F" w:rsidRDefault="00A340EE" w:rsidP="002548A9">
            <w:pPr>
              <w:pStyle w:val="TableText"/>
              <w:spacing w:before="32" w:after="32"/>
              <w:jc w:val="right"/>
            </w:pPr>
            <w:r w:rsidRPr="0047058F">
              <w:t>381</w:t>
            </w:r>
          </w:p>
        </w:tc>
        <w:tc>
          <w:tcPr>
            <w:tcW w:w="649" w:type="pct"/>
          </w:tcPr>
          <w:p w14:paraId="774C652A" w14:textId="77777777" w:rsidR="00A340EE" w:rsidRPr="0047058F" w:rsidRDefault="00A340EE" w:rsidP="002548A9">
            <w:pPr>
              <w:pStyle w:val="TableText"/>
              <w:spacing w:before="32" w:after="32"/>
              <w:jc w:val="right"/>
            </w:pPr>
            <w:r w:rsidRPr="0047058F">
              <w:t>16.3</w:t>
            </w:r>
          </w:p>
        </w:tc>
        <w:tc>
          <w:tcPr>
            <w:tcW w:w="649" w:type="pct"/>
          </w:tcPr>
          <w:p w14:paraId="48D2024E" w14:textId="77777777" w:rsidR="00A340EE" w:rsidRPr="0047058F" w:rsidRDefault="00A340EE" w:rsidP="002548A9">
            <w:pPr>
              <w:pStyle w:val="TableText"/>
              <w:spacing w:before="32" w:after="32"/>
              <w:jc w:val="right"/>
            </w:pPr>
            <w:r w:rsidRPr="0047058F">
              <w:t>414</w:t>
            </w:r>
          </w:p>
        </w:tc>
        <w:tc>
          <w:tcPr>
            <w:tcW w:w="649" w:type="pct"/>
          </w:tcPr>
          <w:p w14:paraId="3BAF4287" w14:textId="77777777" w:rsidR="00A340EE" w:rsidRPr="0047058F" w:rsidRDefault="00A340EE" w:rsidP="002548A9">
            <w:pPr>
              <w:pStyle w:val="TableText"/>
              <w:spacing w:before="32" w:after="32"/>
              <w:jc w:val="right"/>
            </w:pPr>
            <w:r w:rsidRPr="0047058F">
              <w:t>6.7</w:t>
            </w:r>
          </w:p>
        </w:tc>
        <w:tc>
          <w:tcPr>
            <w:tcW w:w="649" w:type="pct"/>
          </w:tcPr>
          <w:p w14:paraId="4D9806DD" w14:textId="77777777" w:rsidR="00A340EE" w:rsidRPr="0047058F" w:rsidRDefault="00A340EE" w:rsidP="002548A9">
            <w:pPr>
              <w:pStyle w:val="TableText"/>
              <w:spacing w:before="32" w:after="32"/>
              <w:jc w:val="right"/>
            </w:pPr>
            <w:r w:rsidRPr="0047058F">
              <w:t>795</w:t>
            </w:r>
          </w:p>
        </w:tc>
        <w:tc>
          <w:tcPr>
            <w:tcW w:w="650" w:type="pct"/>
          </w:tcPr>
          <w:p w14:paraId="5C4C339C" w14:textId="77777777" w:rsidR="00A340EE" w:rsidRPr="0047058F" w:rsidRDefault="00A340EE" w:rsidP="002548A9">
            <w:pPr>
              <w:pStyle w:val="TableText"/>
              <w:spacing w:before="32" w:after="32"/>
              <w:jc w:val="right"/>
            </w:pPr>
            <w:r w:rsidRPr="0047058F">
              <w:t>9.4</w:t>
            </w:r>
          </w:p>
        </w:tc>
      </w:tr>
      <w:tr w:rsidR="00A340EE" w:rsidRPr="0047058F" w14:paraId="02F07808" w14:textId="77777777" w:rsidTr="00055107">
        <w:tc>
          <w:tcPr>
            <w:tcW w:w="1103" w:type="pct"/>
            <w:hideMark/>
          </w:tcPr>
          <w:p w14:paraId="21269052" w14:textId="77777777" w:rsidR="00A340EE" w:rsidRPr="0047058F" w:rsidRDefault="00A340EE" w:rsidP="002548A9">
            <w:pPr>
              <w:pStyle w:val="TableText"/>
              <w:spacing w:before="32" w:after="32"/>
              <w:rPr>
                <w:rFonts w:cs="Calibri"/>
                <w:szCs w:val="14"/>
              </w:rPr>
            </w:pPr>
            <w:r w:rsidRPr="0047058F">
              <w:rPr>
                <w:rFonts w:cs="Calibri"/>
                <w:szCs w:val="14"/>
              </w:rPr>
              <w:t>8 – 11.9 years</w:t>
            </w:r>
          </w:p>
        </w:tc>
        <w:tc>
          <w:tcPr>
            <w:tcW w:w="649" w:type="pct"/>
          </w:tcPr>
          <w:p w14:paraId="5F7B5ECC" w14:textId="77777777" w:rsidR="00A340EE" w:rsidRPr="0047058F" w:rsidRDefault="00A340EE" w:rsidP="002548A9">
            <w:pPr>
              <w:pStyle w:val="TableText"/>
              <w:spacing w:before="32" w:after="32"/>
              <w:jc w:val="right"/>
            </w:pPr>
            <w:r w:rsidRPr="0047058F">
              <w:t>321</w:t>
            </w:r>
          </w:p>
        </w:tc>
        <w:tc>
          <w:tcPr>
            <w:tcW w:w="649" w:type="pct"/>
          </w:tcPr>
          <w:p w14:paraId="1AF09D1E" w14:textId="77777777" w:rsidR="00A340EE" w:rsidRPr="0047058F" w:rsidRDefault="00A340EE" w:rsidP="002548A9">
            <w:pPr>
              <w:pStyle w:val="TableText"/>
              <w:spacing w:before="32" w:after="32"/>
              <w:jc w:val="right"/>
            </w:pPr>
            <w:r w:rsidRPr="0047058F">
              <w:t>13.8</w:t>
            </w:r>
          </w:p>
        </w:tc>
        <w:tc>
          <w:tcPr>
            <w:tcW w:w="649" w:type="pct"/>
          </w:tcPr>
          <w:p w14:paraId="1BC835AF" w14:textId="77777777" w:rsidR="00A340EE" w:rsidRPr="0047058F" w:rsidRDefault="00A340EE" w:rsidP="002548A9">
            <w:pPr>
              <w:pStyle w:val="TableText"/>
              <w:spacing w:before="32" w:after="32"/>
              <w:jc w:val="right"/>
            </w:pPr>
            <w:r w:rsidRPr="0047058F">
              <w:t>1041</w:t>
            </w:r>
          </w:p>
        </w:tc>
        <w:tc>
          <w:tcPr>
            <w:tcW w:w="649" w:type="pct"/>
          </w:tcPr>
          <w:p w14:paraId="6AC02D60" w14:textId="77777777" w:rsidR="00A340EE" w:rsidRPr="0047058F" w:rsidRDefault="00A340EE" w:rsidP="002548A9">
            <w:pPr>
              <w:pStyle w:val="TableText"/>
              <w:spacing w:before="32" w:after="32"/>
              <w:jc w:val="right"/>
            </w:pPr>
            <w:r w:rsidRPr="0047058F">
              <w:t>16.9</w:t>
            </w:r>
          </w:p>
        </w:tc>
        <w:tc>
          <w:tcPr>
            <w:tcW w:w="649" w:type="pct"/>
          </w:tcPr>
          <w:p w14:paraId="69999B8E" w14:textId="77777777" w:rsidR="00A340EE" w:rsidRPr="0047058F" w:rsidRDefault="00A340EE" w:rsidP="002548A9">
            <w:pPr>
              <w:pStyle w:val="TableText"/>
              <w:spacing w:before="32" w:after="32"/>
              <w:jc w:val="right"/>
            </w:pPr>
            <w:r w:rsidRPr="0047058F">
              <w:t>1362</w:t>
            </w:r>
          </w:p>
        </w:tc>
        <w:tc>
          <w:tcPr>
            <w:tcW w:w="650" w:type="pct"/>
          </w:tcPr>
          <w:p w14:paraId="44F19511" w14:textId="77777777" w:rsidR="00A340EE" w:rsidRPr="0047058F" w:rsidRDefault="00A340EE" w:rsidP="002548A9">
            <w:pPr>
              <w:pStyle w:val="TableText"/>
              <w:spacing w:before="32" w:after="32"/>
              <w:jc w:val="right"/>
            </w:pPr>
            <w:r w:rsidRPr="0047058F">
              <w:t>16.0</w:t>
            </w:r>
          </w:p>
        </w:tc>
      </w:tr>
      <w:tr w:rsidR="00A340EE" w:rsidRPr="0047058F" w14:paraId="6FADC2A6" w14:textId="77777777" w:rsidTr="00055107">
        <w:trPr>
          <w:cnfStyle w:val="000000100000" w:firstRow="0" w:lastRow="0" w:firstColumn="0" w:lastColumn="0" w:oddVBand="0" w:evenVBand="0" w:oddHBand="1" w:evenHBand="0" w:firstRowFirstColumn="0" w:firstRowLastColumn="0" w:lastRowFirstColumn="0" w:lastRowLastColumn="0"/>
        </w:trPr>
        <w:tc>
          <w:tcPr>
            <w:tcW w:w="1103" w:type="pct"/>
            <w:hideMark/>
          </w:tcPr>
          <w:p w14:paraId="5E398FFD" w14:textId="77777777" w:rsidR="00A340EE" w:rsidRPr="0047058F" w:rsidRDefault="00A340EE" w:rsidP="002548A9">
            <w:pPr>
              <w:pStyle w:val="TableText"/>
              <w:spacing w:before="32" w:after="32"/>
              <w:rPr>
                <w:rFonts w:cs="Calibri"/>
                <w:szCs w:val="14"/>
              </w:rPr>
            </w:pPr>
            <w:r w:rsidRPr="0047058F">
              <w:rPr>
                <w:rFonts w:cs="Calibri"/>
                <w:szCs w:val="14"/>
              </w:rPr>
              <w:t>12 – 15.9 years</w:t>
            </w:r>
          </w:p>
        </w:tc>
        <w:tc>
          <w:tcPr>
            <w:tcW w:w="649" w:type="pct"/>
          </w:tcPr>
          <w:p w14:paraId="6155C8E2" w14:textId="77777777" w:rsidR="00A340EE" w:rsidRPr="0047058F" w:rsidRDefault="00A340EE" w:rsidP="002548A9">
            <w:pPr>
              <w:pStyle w:val="TableText"/>
              <w:spacing w:before="32" w:after="32"/>
              <w:jc w:val="right"/>
            </w:pPr>
            <w:r w:rsidRPr="0047058F">
              <w:t>278</w:t>
            </w:r>
          </w:p>
        </w:tc>
        <w:tc>
          <w:tcPr>
            <w:tcW w:w="649" w:type="pct"/>
          </w:tcPr>
          <w:p w14:paraId="33086D21" w14:textId="77777777" w:rsidR="00A340EE" w:rsidRPr="0047058F" w:rsidRDefault="00A340EE" w:rsidP="002548A9">
            <w:pPr>
              <w:pStyle w:val="TableText"/>
              <w:spacing w:before="32" w:after="32"/>
              <w:jc w:val="right"/>
            </w:pPr>
            <w:r w:rsidRPr="0047058F">
              <w:t>11.9</w:t>
            </w:r>
          </w:p>
        </w:tc>
        <w:tc>
          <w:tcPr>
            <w:tcW w:w="649" w:type="pct"/>
          </w:tcPr>
          <w:p w14:paraId="654F5B76" w14:textId="77777777" w:rsidR="00A340EE" w:rsidRPr="0047058F" w:rsidRDefault="00A340EE" w:rsidP="002548A9">
            <w:pPr>
              <w:pStyle w:val="TableText"/>
              <w:spacing w:before="32" w:after="32"/>
              <w:jc w:val="right"/>
            </w:pPr>
            <w:r w:rsidRPr="0047058F">
              <w:t>1046</w:t>
            </w:r>
          </w:p>
        </w:tc>
        <w:tc>
          <w:tcPr>
            <w:tcW w:w="649" w:type="pct"/>
          </w:tcPr>
          <w:p w14:paraId="30749ADB" w14:textId="77777777" w:rsidR="00A340EE" w:rsidRPr="0047058F" w:rsidRDefault="00A340EE" w:rsidP="002548A9">
            <w:pPr>
              <w:pStyle w:val="TableText"/>
              <w:spacing w:before="32" w:after="32"/>
              <w:jc w:val="right"/>
            </w:pPr>
            <w:r w:rsidRPr="0047058F">
              <w:t>17.0</w:t>
            </w:r>
          </w:p>
        </w:tc>
        <w:tc>
          <w:tcPr>
            <w:tcW w:w="649" w:type="pct"/>
          </w:tcPr>
          <w:p w14:paraId="046586FF" w14:textId="77777777" w:rsidR="00A340EE" w:rsidRPr="0047058F" w:rsidRDefault="00A340EE" w:rsidP="002548A9">
            <w:pPr>
              <w:pStyle w:val="TableText"/>
              <w:spacing w:before="32" w:after="32"/>
              <w:jc w:val="right"/>
            </w:pPr>
            <w:r w:rsidRPr="0047058F">
              <w:t>1324</w:t>
            </w:r>
          </w:p>
        </w:tc>
        <w:tc>
          <w:tcPr>
            <w:tcW w:w="650" w:type="pct"/>
          </w:tcPr>
          <w:p w14:paraId="45F8AA65" w14:textId="77777777" w:rsidR="00A340EE" w:rsidRPr="0047058F" w:rsidRDefault="00A340EE" w:rsidP="002548A9">
            <w:pPr>
              <w:pStyle w:val="TableText"/>
              <w:spacing w:before="32" w:after="32"/>
              <w:jc w:val="right"/>
            </w:pPr>
            <w:r w:rsidRPr="0047058F">
              <w:t>15.6</w:t>
            </w:r>
          </w:p>
        </w:tc>
      </w:tr>
      <w:tr w:rsidR="00A340EE" w:rsidRPr="0047058F" w14:paraId="77CAB9E5" w14:textId="77777777" w:rsidTr="00055107">
        <w:tc>
          <w:tcPr>
            <w:tcW w:w="1103" w:type="pct"/>
            <w:hideMark/>
          </w:tcPr>
          <w:p w14:paraId="781151F6" w14:textId="77777777" w:rsidR="00A340EE" w:rsidRPr="0047058F" w:rsidRDefault="00A340EE" w:rsidP="002548A9">
            <w:pPr>
              <w:pStyle w:val="TableText"/>
              <w:spacing w:before="32" w:after="32"/>
              <w:rPr>
                <w:rFonts w:cs="Calibri"/>
                <w:szCs w:val="14"/>
              </w:rPr>
            </w:pPr>
            <w:r w:rsidRPr="0047058F">
              <w:rPr>
                <w:rFonts w:cs="Calibri"/>
                <w:szCs w:val="14"/>
              </w:rPr>
              <w:t>16 – 19.9 years</w:t>
            </w:r>
          </w:p>
        </w:tc>
        <w:tc>
          <w:tcPr>
            <w:tcW w:w="649" w:type="pct"/>
          </w:tcPr>
          <w:p w14:paraId="4B824DB7" w14:textId="77777777" w:rsidR="00A340EE" w:rsidRPr="0047058F" w:rsidRDefault="00A340EE" w:rsidP="002548A9">
            <w:pPr>
              <w:pStyle w:val="TableText"/>
              <w:spacing w:before="32" w:after="32"/>
              <w:jc w:val="right"/>
            </w:pPr>
            <w:r w:rsidRPr="0047058F">
              <w:t>156</w:t>
            </w:r>
          </w:p>
        </w:tc>
        <w:tc>
          <w:tcPr>
            <w:tcW w:w="649" w:type="pct"/>
          </w:tcPr>
          <w:p w14:paraId="60EC4F5A" w14:textId="77777777" w:rsidR="00A340EE" w:rsidRPr="0047058F" w:rsidRDefault="00A340EE" w:rsidP="002548A9">
            <w:pPr>
              <w:pStyle w:val="TableText"/>
              <w:spacing w:before="32" w:after="32"/>
              <w:jc w:val="right"/>
            </w:pPr>
            <w:r w:rsidRPr="0047058F">
              <w:t>6.7</w:t>
            </w:r>
          </w:p>
        </w:tc>
        <w:tc>
          <w:tcPr>
            <w:tcW w:w="649" w:type="pct"/>
          </w:tcPr>
          <w:p w14:paraId="64AD22C9" w14:textId="77777777" w:rsidR="00A340EE" w:rsidRPr="0047058F" w:rsidRDefault="00A340EE" w:rsidP="002548A9">
            <w:pPr>
              <w:pStyle w:val="TableText"/>
              <w:spacing w:before="32" w:after="32"/>
              <w:jc w:val="right"/>
            </w:pPr>
            <w:r w:rsidRPr="0047058F">
              <w:t>775</w:t>
            </w:r>
          </w:p>
        </w:tc>
        <w:tc>
          <w:tcPr>
            <w:tcW w:w="649" w:type="pct"/>
          </w:tcPr>
          <w:p w14:paraId="611C52DB" w14:textId="77777777" w:rsidR="00A340EE" w:rsidRPr="0047058F" w:rsidRDefault="00A340EE" w:rsidP="002548A9">
            <w:pPr>
              <w:pStyle w:val="TableText"/>
              <w:spacing w:before="32" w:after="32"/>
              <w:jc w:val="right"/>
            </w:pPr>
            <w:r w:rsidRPr="0047058F">
              <w:t>12.6</w:t>
            </w:r>
          </w:p>
        </w:tc>
        <w:tc>
          <w:tcPr>
            <w:tcW w:w="649" w:type="pct"/>
          </w:tcPr>
          <w:p w14:paraId="16A39399" w14:textId="77777777" w:rsidR="00A340EE" w:rsidRPr="0047058F" w:rsidRDefault="00A340EE" w:rsidP="002548A9">
            <w:pPr>
              <w:pStyle w:val="TableText"/>
              <w:spacing w:before="32" w:after="32"/>
              <w:jc w:val="right"/>
            </w:pPr>
            <w:r w:rsidRPr="0047058F">
              <w:t>931</w:t>
            </w:r>
          </w:p>
        </w:tc>
        <w:tc>
          <w:tcPr>
            <w:tcW w:w="650" w:type="pct"/>
          </w:tcPr>
          <w:p w14:paraId="1C62079C" w14:textId="77777777" w:rsidR="00A340EE" w:rsidRPr="0047058F" w:rsidRDefault="00A340EE" w:rsidP="002548A9">
            <w:pPr>
              <w:pStyle w:val="TableText"/>
              <w:spacing w:before="32" w:after="32"/>
              <w:jc w:val="right"/>
            </w:pPr>
            <w:r w:rsidRPr="0047058F">
              <w:t>11.0</w:t>
            </w:r>
          </w:p>
        </w:tc>
      </w:tr>
      <w:tr w:rsidR="00A340EE" w:rsidRPr="0047058F" w14:paraId="1D98214E" w14:textId="77777777" w:rsidTr="00055107">
        <w:trPr>
          <w:cnfStyle w:val="000000100000" w:firstRow="0" w:lastRow="0" w:firstColumn="0" w:lastColumn="0" w:oddVBand="0" w:evenVBand="0" w:oddHBand="1" w:evenHBand="0" w:firstRowFirstColumn="0" w:firstRowLastColumn="0" w:lastRowFirstColumn="0" w:lastRowLastColumn="0"/>
        </w:trPr>
        <w:tc>
          <w:tcPr>
            <w:tcW w:w="1103" w:type="pct"/>
            <w:hideMark/>
          </w:tcPr>
          <w:p w14:paraId="374A784F" w14:textId="77777777" w:rsidR="00A340EE" w:rsidRPr="0047058F" w:rsidRDefault="00A340EE" w:rsidP="002548A9">
            <w:pPr>
              <w:pStyle w:val="TableText"/>
              <w:spacing w:before="32" w:after="32"/>
              <w:rPr>
                <w:rFonts w:cs="Calibri"/>
                <w:szCs w:val="14"/>
              </w:rPr>
            </w:pPr>
            <w:r w:rsidRPr="0047058F">
              <w:rPr>
                <w:rFonts w:cs="Calibri"/>
                <w:szCs w:val="14"/>
              </w:rPr>
              <w:t>20+ years</w:t>
            </w:r>
          </w:p>
        </w:tc>
        <w:tc>
          <w:tcPr>
            <w:tcW w:w="649" w:type="pct"/>
          </w:tcPr>
          <w:p w14:paraId="3EF63AC0" w14:textId="77777777" w:rsidR="00A340EE" w:rsidRPr="0047058F" w:rsidRDefault="00A340EE" w:rsidP="002548A9">
            <w:pPr>
              <w:pStyle w:val="TableText"/>
              <w:spacing w:before="32" w:after="32"/>
              <w:jc w:val="right"/>
            </w:pPr>
            <w:r w:rsidRPr="0047058F">
              <w:t>1123</w:t>
            </w:r>
          </w:p>
        </w:tc>
        <w:tc>
          <w:tcPr>
            <w:tcW w:w="649" w:type="pct"/>
          </w:tcPr>
          <w:p w14:paraId="0738BF9B" w14:textId="77777777" w:rsidR="00A340EE" w:rsidRPr="0047058F" w:rsidRDefault="00A340EE" w:rsidP="002548A9">
            <w:pPr>
              <w:pStyle w:val="TableText"/>
              <w:spacing w:before="32" w:after="32"/>
              <w:jc w:val="right"/>
            </w:pPr>
            <w:r w:rsidRPr="0047058F">
              <w:t>48.1</w:t>
            </w:r>
          </w:p>
        </w:tc>
        <w:tc>
          <w:tcPr>
            <w:tcW w:w="649" w:type="pct"/>
          </w:tcPr>
          <w:p w14:paraId="271B4758" w14:textId="77777777" w:rsidR="00A340EE" w:rsidRPr="0047058F" w:rsidRDefault="00A340EE" w:rsidP="002548A9">
            <w:pPr>
              <w:pStyle w:val="TableText"/>
              <w:spacing w:before="32" w:after="32"/>
              <w:jc w:val="right"/>
            </w:pPr>
            <w:r w:rsidRPr="0047058F">
              <w:t>2804</w:t>
            </w:r>
          </w:p>
        </w:tc>
        <w:tc>
          <w:tcPr>
            <w:tcW w:w="649" w:type="pct"/>
          </w:tcPr>
          <w:p w14:paraId="5C8CD0FC" w14:textId="77777777" w:rsidR="00A340EE" w:rsidRPr="0047058F" w:rsidRDefault="00A340EE" w:rsidP="002548A9">
            <w:pPr>
              <w:pStyle w:val="TableText"/>
              <w:spacing w:before="32" w:after="32"/>
              <w:jc w:val="right"/>
            </w:pPr>
            <w:r w:rsidRPr="0047058F">
              <w:t>45.5</w:t>
            </w:r>
          </w:p>
        </w:tc>
        <w:tc>
          <w:tcPr>
            <w:tcW w:w="649" w:type="pct"/>
          </w:tcPr>
          <w:p w14:paraId="213A4178" w14:textId="77777777" w:rsidR="00A340EE" w:rsidRPr="0047058F" w:rsidRDefault="00A340EE" w:rsidP="002548A9">
            <w:pPr>
              <w:pStyle w:val="TableText"/>
              <w:spacing w:before="32" w:after="32"/>
              <w:jc w:val="right"/>
            </w:pPr>
            <w:r w:rsidRPr="0047058F">
              <w:t>3927</w:t>
            </w:r>
          </w:p>
        </w:tc>
        <w:tc>
          <w:tcPr>
            <w:tcW w:w="650" w:type="pct"/>
          </w:tcPr>
          <w:p w14:paraId="52EE5DFA" w14:textId="77777777" w:rsidR="00A340EE" w:rsidRPr="0047058F" w:rsidRDefault="00A340EE" w:rsidP="002548A9">
            <w:pPr>
              <w:pStyle w:val="TableText"/>
              <w:spacing w:before="32" w:after="32"/>
              <w:jc w:val="right"/>
            </w:pPr>
            <w:r w:rsidRPr="0047058F">
              <w:t>46.2</w:t>
            </w:r>
          </w:p>
        </w:tc>
      </w:tr>
    </w:tbl>
    <w:p w14:paraId="70426CDF" w14:textId="77777777" w:rsidR="00A340EE" w:rsidRPr="0047058F" w:rsidRDefault="00A340EE" w:rsidP="00A340EE">
      <w:pPr>
        <w:pStyle w:val="TableNotes"/>
      </w:pPr>
      <w:bookmarkStart w:id="165" w:name="_Toc341707130"/>
      <w:r w:rsidRPr="0047058F">
        <w:t># Cell size too small to be reported.</w:t>
      </w:r>
    </w:p>
    <w:bookmarkEnd w:id="165"/>
    <w:p w14:paraId="3F57A86A" w14:textId="77777777" w:rsidR="00A340EE" w:rsidRPr="0047058F" w:rsidRDefault="00A340EE" w:rsidP="00A340EE">
      <w:pPr>
        <w:pStyle w:val="TableNotes"/>
      </w:pPr>
      <w:r w:rsidRPr="0047058F">
        <w:t>Missing: 2015 Regular ADF: Time in Regular ADF – 80 (1.3%). Transitioned: Time in Regular ADF – 43 (1.8%).</w:t>
      </w:r>
    </w:p>
    <w:p w14:paraId="16E6E4D0" w14:textId="77777777" w:rsidR="00A340EE" w:rsidRPr="0047058F" w:rsidRDefault="00A340EE" w:rsidP="00A340EE">
      <w:pPr>
        <w:pStyle w:val="TableName"/>
      </w:pPr>
      <w:bookmarkStart w:id="166" w:name="_Ref482013587"/>
      <w:bookmarkStart w:id="167" w:name="_Toc479243377"/>
      <w:bookmarkStart w:id="168" w:name="_Toc482023763"/>
      <w:bookmarkStart w:id="169" w:name="_Toc487014249"/>
      <w:bookmarkStart w:id="170" w:name="_Toc529117505"/>
      <w:bookmarkStart w:id="171" w:name="_Toc532473575"/>
      <w:r w:rsidRPr="0047058F">
        <w:lastRenderedPageBreak/>
        <w:t>Table 3.3</w:t>
      </w:r>
      <w:bookmarkEnd w:id="166"/>
      <w:r w:rsidRPr="0047058F">
        <w:tab/>
        <w:t>Unweighted transition characteristics in Transitioned ADF</w:t>
      </w:r>
      <w:bookmarkEnd w:id="167"/>
      <w:bookmarkEnd w:id="168"/>
      <w:bookmarkEnd w:id="169"/>
      <w:bookmarkEnd w:id="170"/>
      <w:bookmarkEnd w:id="171"/>
    </w:p>
    <w:tbl>
      <w:tblPr>
        <w:tblStyle w:val="TWRPTable"/>
        <w:tblW w:w="5000" w:type="pct"/>
        <w:tblLayout w:type="fixed"/>
        <w:tblLook w:val="04A0" w:firstRow="1" w:lastRow="0" w:firstColumn="1" w:lastColumn="0" w:noHBand="0" w:noVBand="1"/>
        <w:tblDescription w:val="Table 3.3 Unweighted transition characteristics in Transitioned ADF"/>
      </w:tblPr>
      <w:tblGrid>
        <w:gridCol w:w="4517"/>
        <w:gridCol w:w="1399"/>
        <w:gridCol w:w="1399"/>
      </w:tblGrid>
      <w:tr w:rsidR="00A340EE" w:rsidRPr="0047058F" w14:paraId="423D8E25"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3088" w:type="pct"/>
            <w:tcBorders>
              <w:top w:val="single" w:sz="4" w:space="0" w:color="000000"/>
              <w:bottom w:val="nil"/>
            </w:tcBorders>
          </w:tcPr>
          <w:p w14:paraId="32E4B9B6" w14:textId="77777777" w:rsidR="00A340EE" w:rsidRPr="0047058F" w:rsidRDefault="00A340EE" w:rsidP="00055107">
            <w:pPr>
              <w:pStyle w:val="TableText"/>
              <w:spacing w:before="24" w:after="24"/>
            </w:pPr>
          </w:p>
        </w:tc>
        <w:tc>
          <w:tcPr>
            <w:tcW w:w="1912" w:type="pct"/>
            <w:gridSpan w:val="2"/>
            <w:hideMark/>
          </w:tcPr>
          <w:p w14:paraId="0BB5384D" w14:textId="77777777" w:rsidR="00A340EE" w:rsidRPr="0047058F" w:rsidRDefault="00A340EE" w:rsidP="00055107">
            <w:pPr>
              <w:pStyle w:val="TableText"/>
              <w:spacing w:before="24" w:after="24"/>
              <w:jc w:val="center"/>
            </w:pPr>
            <w:r w:rsidRPr="0047058F">
              <w:t>Transitioned ADF</w:t>
            </w:r>
            <w:r w:rsidRPr="0047058F">
              <w:br/>
              <w:t>n = 2334</w:t>
            </w:r>
          </w:p>
        </w:tc>
      </w:tr>
      <w:tr w:rsidR="00A340EE" w:rsidRPr="0047058F" w14:paraId="5C7DC50D"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3088" w:type="pct"/>
            <w:tcBorders>
              <w:top w:val="nil"/>
            </w:tcBorders>
            <w:hideMark/>
          </w:tcPr>
          <w:p w14:paraId="4E82EB0F" w14:textId="77777777" w:rsidR="00A340EE" w:rsidRPr="0047058F" w:rsidRDefault="00A340EE" w:rsidP="00055107">
            <w:pPr>
              <w:pStyle w:val="TableText"/>
              <w:spacing w:before="24" w:after="24"/>
            </w:pPr>
            <w:r w:rsidRPr="0047058F">
              <w:rPr>
                <w:rFonts w:cs="Calibri"/>
                <w:szCs w:val="14"/>
              </w:rPr>
              <w:t>Transition characteristics</w:t>
            </w:r>
          </w:p>
        </w:tc>
        <w:tc>
          <w:tcPr>
            <w:tcW w:w="956" w:type="pct"/>
            <w:hideMark/>
          </w:tcPr>
          <w:p w14:paraId="0F8076DE" w14:textId="77777777" w:rsidR="00A340EE" w:rsidRPr="0047058F" w:rsidRDefault="00A340EE" w:rsidP="00055107">
            <w:pPr>
              <w:pStyle w:val="TableText"/>
              <w:spacing w:before="24" w:after="24"/>
              <w:jc w:val="right"/>
            </w:pPr>
            <w:r w:rsidRPr="0047058F">
              <w:t>n</w:t>
            </w:r>
          </w:p>
        </w:tc>
        <w:tc>
          <w:tcPr>
            <w:tcW w:w="956" w:type="pct"/>
            <w:hideMark/>
          </w:tcPr>
          <w:p w14:paraId="4E5CE303" w14:textId="77777777" w:rsidR="00A340EE" w:rsidRPr="0047058F" w:rsidRDefault="00A340EE" w:rsidP="00055107">
            <w:pPr>
              <w:pStyle w:val="TableText"/>
              <w:spacing w:before="24" w:after="24"/>
              <w:jc w:val="right"/>
            </w:pPr>
            <w:r w:rsidRPr="0047058F">
              <w:t>%</w:t>
            </w:r>
          </w:p>
        </w:tc>
      </w:tr>
      <w:tr w:rsidR="00A340EE" w:rsidRPr="0047058F" w14:paraId="6502A489"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5FFD7131" w14:textId="77777777" w:rsidR="00A340EE" w:rsidRPr="0047058F" w:rsidRDefault="00A340EE" w:rsidP="00055107">
            <w:pPr>
              <w:pStyle w:val="TableText"/>
              <w:spacing w:before="24" w:after="24"/>
              <w:rPr>
                <w:b/>
              </w:rPr>
            </w:pPr>
            <w:r w:rsidRPr="0047058F">
              <w:rPr>
                <w:b/>
              </w:rPr>
              <w:t>Serving status</w:t>
            </w:r>
          </w:p>
        </w:tc>
        <w:tc>
          <w:tcPr>
            <w:tcW w:w="956" w:type="pct"/>
          </w:tcPr>
          <w:p w14:paraId="18EC4D1B" w14:textId="77777777" w:rsidR="00A340EE" w:rsidRPr="0047058F" w:rsidRDefault="00A340EE" w:rsidP="00055107">
            <w:pPr>
              <w:pStyle w:val="TableText"/>
              <w:spacing w:before="24" w:after="24"/>
              <w:jc w:val="right"/>
            </w:pPr>
          </w:p>
        </w:tc>
        <w:tc>
          <w:tcPr>
            <w:tcW w:w="956" w:type="pct"/>
          </w:tcPr>
          <w:p w14:paraId="3C56B24A" w14:textId="77777777" w:rsidR="00A340EE" w:rsidRPr="0047058F" w:rsidRDefault="00A340EE" w:rsidP="00055107">
            <w:pPr>
              <w:pStyle w:val="TableText"/>
              <w:spacing w:before="24" w:after="24"/>
              <w:jc w:val="right"/>
            </w:pPr>
          </w:p>
        </w:tc>
      </w:tr>
      <w:tr w:rsidR="00A340EE" w:rsidRPr="0047058F" w14:paraId="13A34413" w14:textId="77777777" w:rsidTr="001E395F">
        <w:tc>
          <w:tcPr>
            <w:tcW w:w="3088" w:type="pct"/>
            <w:hideMark/>
          </w:tcPr>
          <w:p w14:paraId="316F0BF0" w14:textId="77777777" w:rsidR="00A340EE" w:rsidRPr="0047058F" w:rsidRDefault="00A340EE" w:rsidP="00055107">
            <w:pPr>
              <w:pStyle w:val="TableText"/>
              <w:spacing w:before="24" w:after="24"/>
            </w:pPr>
            <w:r w:rsidRPr="0047058F">
              <w:rPr>
                <w:rFonts w:cs="Calibri"/>
                <w:szCs w:val="14"/>
              </w:rPr>
              <w:t>Ex-serving</w:t>
            </w:r>
          </w:p>
        </w:tc>
        <w:tc>
          <w:tcPr>
            <w:tcW w:w="956" w:type="pct"/>
          </w:tcPr>
          <w:p w14:paraId="0C29CCCF" w14:textId="77777777" w:rsidR="00A340EE" w:rsidRPr="0047058F" w:rsidRDefault="00A340EE" w:rsidP="00055107">
            <w:pPr>
              <w:pStyle w:val="TableText"/>
              <w:spacing w:before="24" w:after="24"/>
              <w:jc w:val="right"/>
            </w:pPr>
            <w:r w:rsidRPr="0047058F">
              <w:t>729</w:t>
            </w:r>
          </w:p>
        </w:tc>
        <w:tc>
          <w:tcPr>
            <w:tcW w:w="956" w:type="pct"/>
          </w:tcPr>
          <w:p w14:paraId="3AA2D3C7" w14:textId="77777777" w:rsidR="00A340EE" w:rsidRPr="0047058F" w:rsidRDefault="00A340EE" w:rsidP="00055107">
            <w:pPr>
              <w:pStyle w:val="TableText"/>
              <w:spacing w:before="24" w:after="24"/>
              <w:jc w:val="right"/>
            </w:pPr>
            <w:r w:rsidRPr="0047058F">
              <w:t>31.2</w:t>
            </w:r>
          </w:p>
        </w:tc>
      </w:tr>
      <w:tr w:rsidR="00A340EE" w:rsidRPr="0047058F" w14:paraId="5014C25D"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79774B04" w14:textId="77777777" w:rsidR="00A340EE" w:rsidRPr="0047058F" w:rsidRDefault="00A340EE" w:rsidP="00055107">
            <w:pPr>
              <w:pStyle w:val="TableText"/>
              <w:spacing w:before="24" w:after="24"/>
            </w:pPr>
            <w:r w:rsidRPr="0047058F">
              <w:t>Reservist</w:t>
            </w:r>
          </w:p>
        </w:tc>
        <w:tc>
          <w:tcPr>
            <w:tcW w:w="956" w:type="pct"/>
          </w:tcPr>
          <w:p w14:paraId="7085C88B" w14:textId="77777777" w:rsidR="00A340EE" w:rsidRPr="0047058F" w:rsidRDefault="00A340EE" w:rsidP="00055107">
            <w:pPr>
              <w:pStyle w:val="TableText"/>
              <w:spacing w:before="24" w:after="24"/>
              <w:jc w:val="right"/>
            </w:pPr>
          </w:p>
        </w:tc>
        <w:tc>
          <w:tcPr>
            <w:tcW w:w="956" w:type="pct"/>
          </w:tcPr>
          <w:p w14:paraId="576B7282" w14:textId="77777777" w:rsidR="00A340EE" w:rsidRPr="0047058F" w:rsidRDefault="00A340EE" w:rsidP="00055107">
            <w:pPr>
              <w:pStyle w:val="TableText"/>
              <w:spacing w:before="24" w:after="24"/>
              <w:jc w:val="right"/>
            </w:pPr>
          </w:p>
        </w:tc>
      </w:tr>
      <w:tr w:rsidR="00A340EE" w:rsidRPr="0047058F" w14:paraId="006926D1" w14:textId="77777777" w:rsidTr="001E395F">
        <w:tc>
          <w:tcPr>
            <w:tcW w:w="3088" w:type="pct"/>
            <w:hideMark/>
          </w:tcPr>
          <w:p w14:paraId="47713B28" w14:textId="77777777" w:rsidR="00A340EE" w:rsidRPr="0047058F" w:rsidRDefault="00A340EE" w:rsidP="00055107">
            <w:pPr>
              <w:pStyle w:val="TableText"/>
              <w:spacing w:before="24" w:after="24"/>
            </w:pPr>
            <w:r w:rsidRPr="0047058F">
              <w:rPr>
                <w:rFonts w:cs="Calibri"/>
                <w:szCs w:val="14"/>
              </w:rPr>
              <w:t>Active Reservist</w:t>
            </w:r>
          </w:p>
        </w:tc>
        <w:tc>
          <w:tcPr>
            <w:tcW w:w="956" w:type="pct"/>
          </w:tcPr>
          <w:p w14:paraId="5DF75169" w14:textId="77777777" w:rsidR="00A340EE" w:rsidRPr="0047058F" w:rsidRDefault="00A340EE" w:rsidP="00055107">
            <w:pPr>
              <w:pStyle w:val="TableText"/>
              <w:spacing w:before="24" w:after="24"/>
              <w:jc w:val="right"/>
            </w:pPr>
            <w:r w:rsidRPr="0047058F">
              <w:t>897</w:t>
            </w:r>
          </w:p>
        </w:tc>
        <w:tc>
          <w:tcPr>
            <w:tcW w:w="956" w:type="pct"/>
          </w:tcPr>
          <w:p w14:paraId="73FB07DA" w14:textId="77777777" w:rsidR="00A340EE" w:rsidRPr="0047058F" w:rsidRDefault="00A340EE" w:rsidP="00055107">
            <w:pPr>
              <w:pStyle w:val="TableText"/>
              <w:spacing w:before="24" w:after="24"/>
              <w:jc w:val="right"/>
            </w:pPr>
            <w:r w:rsidRPr="0047058F">
              <w:t>38.4</w:t>
            </w:r>
          </w:p>
        </w:tc>
      </w:tr>
      <w:tr w:rsidR="00A340EE" w:rsidRPr="0047058F" w14:paraId="7DA1FC97"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bottom w:val="single" w:sz="4" w:space="0" w:color="000000"/>
            </w:tcBorders>
            <w:hideMark/>
          </w:tcPr>
          <w:p w14:paraId="5D02D3B3" w14:textId="77777777" w:rsidR="00A340EE" w:rsidRPr="0047058F" w:rsidRDefault="00A340EE" w:rsidP="00055107">
            <w:pPr>
              <w:pStyle w:val="TableText"/>
              <w:spacing w:before="24" w:after="24"/>
            </w:pPr>
            <w:r w:rsidRPr="0047058F">
              <w:rPr>
                <w:rFonts w:cs="Calibri"/>
                <w:szCs w:val="14"/>
              </w:rPr>
              <w:t>Inactive Reservist</w:t>
            </w:r>
          </w:p>
        </w:tc>
        <w:tc>
          <w:tcPr>
            <w:tcW w:w="956" w:type="pct"/>
            <w:tcBorders>
              <w:bottom w:val="single" w:sz="4" w:space="0" w:color="000000"/>
            </w:tcBorders>
          </w:tcPr>
          <w:p w14:paraId="50806793" w14:textId="77777777" w:rsidR="00A340EE" w:rsidRPr="0047058F" w:rsidRDefault="00A340EE" w:rsidP="00055107">
            <w:pPr>
              <w:pStyle w:val="TableText"/>
              <w:spacing w:before="24" w:after="24"/>
              <w:jc w:val="right"/>
            </w:pPr>
            <w:r w:rsidRPr="0047058F">
              <w:t>702</w:t>
            </w:r>
          </w:p>
        </w:tc>
        <w:tc>
          <w:tcPr>
            <w:tcW w:w="956" w:type="pct"/>
            <w:tcBorders>
              <w:bottom w:val="single" w:sz="4" w:space="0" w:color="000000"/>
            </w:tcBorders>
          </w:tcPr>
          <w:p w14:paraId="691249B1" w14:textId="77777777" w:rsidR="00A340EE" w:rsidRPr="0047058F" w:rsidRDefault="00A340EE" w:rsidP="00055107">
            <w:pPr>
              <w:pStyle w:val="TableText"/>
              <w:spacing w:before="24" w:after="24"/>
              <w:jc w:val="right"/>
            </w:pPr>
            <w:r w:rsidRPr="0047058F">
              <w:t>30.1</w:t>
            </w:r>
          </w:p>
        </w:tc>
      </w:tr>
      <w:tr w:rsidR="00A340EE" w:rsidRPr="0047058F" w14:paraId="741F999F" w14:textId="77777777" w:rsidTr="001E395F">
        <w:tc>
          <w:tcPr>
            <w:tcW w:w="3088" w:type="pct"/>
            <w:tcBorders>
              <w:top w:val="single" w:sz="4" w:space="0" w:color="000000"/>
              <w:bottom w:val="nil"/>
            </w:tcBorders>
            <w:hideMark/>
          </w:tcPr>
          <w:p w14:paraId="4A641F45" w14:textId="77777777" w:rsidR="00A340EE" w:rsidRPr="0047058F" w:rsidRDefault="00A340EE" w:rsidP="00055107">
            <w:pPr>
              <w:pStyle w:val="TableText"/>
              <w:spacing w:before="24" w:after="24"/>
              <w:rPr>
                <w:b/>
              </w:rPr>
            </w:pPr>
            <w:r w:rsidRPr="0047058F">
              <w:rPr>
                <w:b/>
              </w:rPr>
              <w:t>Years since transitioned</w:t>
            </w:r>
          </w:p>
        </w:tc>
        <w:tc>
          <w:tcPr>
            <w:tcW w:w="956" w:type="pct"/>
            <w:tcBorders>
              <w:top w:val="single" w:sz="4" w:space="0" w:color="000000"/>
              <w:bottom w:val="nil"/>
            </w:tcBorders>
          </w:tcPr>
          <w:p w14:paraId="7E1081FD" w14:textId="77777777" w:rsidR="00A340EE" w:rsidRPr="0047058F" w:rsidRDefault="00A340EE" w:rsidP="00055107">
            <w:pPr>
              <w:pStyle w:val="TableText"/>
              <w:spacing w:before="24" w:after="24"/>
              <w:jc w:val="right"/>
            </w:pPr>
          </w:p>
        </w:tc>
        <w:tc>
          <w:tcPr>
            <w:tcW w:w="956" w:type="pct"/>
            <w:tcBorders>
              <w:top w:val="single" w:sz="4" w:space="0" w:color="000000"/>
              <w:bottom w:val="nil"/>
            </w:tcBorders>
          </w:tcPr>
          <w:p w14:paraId="5A57C4A3" w14:textId="77777777" w:rsidR="00A340EE" w:rsidRPr="0047058F" w:rsidRDefault="00A340EE" w:rsidP="00055107">
            <w:pPr>
              <w:pStyle w:val="TableText"/>
              <w:spacing w:before="24" w:after="24"/>
              <w:jc w:val="right"/>
            </w:pPr>
          </w:p>
        </w:tc>
      </w:tr>
      <w:tr w:rsidR="00A340EE" w:rsidRPr="0047058F" w14:paraId="3E315955"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top w:val="nil"/>
            </w:tcBorders>
            <w:hideMark/>
          </w:tcPr>
          <w:p w14:paraId="7B5564FD" w14:textId="77777777" w:rsidR="00A340EE" w:rsidRPr="0047058F" w:rsidRDefault="00A340EE" w:rsidP="00055107">
            <w:pPr>
              <w:pStyle w:val="TableText"/>
              <w:spacing w:before="24" w:after="24"/>
              <w:rPr>
                <w:rFonts w:cs="Calibri"/>
                <w:szCs w:val="14"/>
              </w:rPr>
            </w:pPr>
            <w:r w:rsidRPr="0047058F">
              <w:rPr>
                <w:rFonts w:cs="Calibri"/>
                <w:szCs w:val="14"/>
              </w:rPr>
              <w:t>0</w:t>
            </w:r>
          </w:p>
        </w:tc>
        <w:tc>
          <w:tcPr>
            <w:tcW w:w="956" w:type="pct"/>
            <w:tcBorders>
              <w:top w:val="nil"/>
            </w:tcBorders>
          </w:tcPr>
          <w:p w14:paraId="16104469" w14:textId="77777777" w:rsidR="00A340EE" w:rsidRPr="0047058F" w:rsidRDefault="00A340EE" w:rsidP="00055107">
            <w:pPr>
              <w:pStyle w:val="TableText"/>
              <w:spacing w:before="24" w:after="24"/>
              <w:jc w:val="right"/>
            </w:pPr>
            <w:r w:rsidRPr="0047058F">
              <w:t>226</w:t>
            </w:r>
          </w:p>
        </w:tc>
        <w:tc>
          <w:tcPr>
            <w:tcW w:w="956" w:type="pct"/>
            <w:tcBorders>
              <w:top w:val="nil"/>
            </w:tcBorders>
          </w:tcPr>
          <w:p w14:paraId="091D256C" w14:textId="77777777" w:rsidR="00A340EE" w:rsidRPr="0047058F" w:rsidRDefault="00A340EE" w:rsidP="00055107">
            <w:pPr>
              <w:pStyle w:val="TableText"/>
              <w:spacing w:before="24" w:after="24"/>
              <w:jc w:val="right"/>
            </w:pPr>
            <w:r w:rsidRPr="0047058F">
              <w:t>9.7</w:t>
            </w:r>
          </w:p>
        </w:tc>
      </w:tr>
      <w:tr w:rsidR="00A340EE" w:rsidRPr="0047058F" w14:paraId="1226F8F6" w14:textId="77777777" w:rsidTr="001E395F">
        <w:tc>
          <w:tcPr>
            <w:tcW w:w="3088" w:type="pct"/>
            <w:hideMark/>
          </w:tcPr>
          <w:p w14:paraId="063CD518" w14:textId="77777777" w:rsidR="00A340EE" w:rsidRPr="0047058F" w:rsidRDefault="00A340EE" w:rsidP="00055107">
            <w:pPr>
              <w:pStyle w:val="TableText"/>
              <w:spacing w:before="24" w:after="24"/>
              <w:rPr>
                <w:rFonts w:cs="Calibri"/>
                <w:szCs w:val="14"/>
              </w:rPr>
            </w:pPr>
            <w:r w:rsidRPr="0047058F">
              <w:rPr>
                <w:rFonts w:cs="Calibri"/>
                <w:szCs w:val="14"/>
              </w:rPr>
              <w:t>1</w:t>
            </w:r>
          </w:p>
        </w:tc>
        <w:tc>
          <w:tcPr>
            <w:tcW w:w="956" w:type="pct"/>
          </w:tcPr>
          <w:p w14:paraId="66C7AA92" w14:textId="77777777" w:rsidR="00A340EE" w:rsidRPr="0047058F" w:rsidRDefault="00A340EE" w:rsidP="00055107">
            <w:pPr>
              <w:pStyle w:val="TableText"/>
              <w:spacing w:before="24" w:after="24"/>
              <w:jc w:val="right"/>
            </w:pPr>
            <w:r w:rsidRPr="0047058F">
              <w:t>430</w:t>
            </w:r>
          </w:p>
        </w:tc>
        <w:tc>
          <w:tcPr>
            <w:tcW w:w="956" w:type="pct"/>
          </w:tcPr>
          <w:p w14:paraId="14E78D5E" w14:textId="77777777" w:rsidR="00A340EE" w:rsidRPr="0047058F" w:rsidRDefault="00A340EE" w:rsidP="00055107">
            <w:pPr>
              <w:pStyle w:val="TableText"/>
              <w:spacing w:before="24" w:after="24"/>
              <w:jc w:val="right"/>
            </w:pPr>
            <w:r w:rsidRPr="0047058F">
              <w:t>18.4</w:t>
            </w:r>
          </w:p>
        </w:tc>
      </w:tr>
      <w:tr w:rsidR="00A340EE" w:rsidRPr="0047058F" w14:paraId="712F4CB8"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7C29B67A" w14:textId="77777777" w:rsidR="00A340EE" w:rsidRPr="0047058F" w:rsidRDefault="00A340EE" w:rsidP="00055107">
            <w:pPr>
              <w:pStyle w:val="TableText"/>
              <w:spacing w:before="24" w:after="24"/>
              <w:rPr>
                <w:rFonts w:cs="Calibri"/>
                <w:szCs w:val="14"/>
              </w:rPr>
            </w:pPr>
            <w:r w:rsidRPr="0047058F">
              <w:rPr>
                <w:rFonts w:cs="Calibri"/>
                <w:szCs w:val="14"/>
              </w:rPr>
              <w:t>2</w:t>
            </w:r>
          </w:p>
        </w:tc>
        <w:tc>
          <w:tcPr>
            <w:tcW w:w="956" w:type="pct"/>
          </w:tcPr>
          <w:p w14:paraId="674A609A" w14:textId="77777777" w:rsidR="00A340EE" w:rsidRPr="0047058F" w:rsidRDefault="00A340EE" w:rsidP="00055107">
            <w:pPr>
              <w:pStyle w:val="TableText"/>
              <w:spacing w:before="24" w:after="24"/>
              <w:jc w:val="right"/>
            </w:pPr>
            <w:r w:rsidRPr="0047058F">
              <w:t>419</w:t>
            </w:r>
          </w:p>
        </w:tc>
        <w:tc>
          <w:tcPr>
            <w:tcW w:w="956" w:type="pct"/>
          </w:tcPr>
          <w:p w14:paraId="2B68DE92" w14:textId="77777777" w:rsidR="00A340EE" w:rsidRPr="0047058F" w:rsidRDefault="00A340EE" w:rsidP="00055107">
            <w:pPr>
              <w:pStyle w:val="TableText"/>
              <w:spacing w:before="24" w:after="24"/>
              <w:jc w:val="right"/>
            </w:pPr>
            <w:r w:rsidRPr="0047058F">
              <w:t>18.0</w:t>
            </w:r>
          </w:p>
        </w:tc>
      </w:tr>
      <w:tr w:rsidR="00A340EE" w:rsidRPr="0047058F" w14:paraId="33E10905" w14:textId="77777777" w:rsidTr="001E395F">
        <w:tc>
          <w:tcPr>
            <w:tcW w:w="3088" w:type="pct"/>
            <w:hideMark/>
          </w:tcPr>
          <w:p w14:paraId="3E9F2C33" w14:textId="77777777" w:rsidR="00A340EE" w:rsidRPr="0047058F" w:rsidRDefault="00A340EE" w:rsidP="00055107">
            <w:pPr>
              <w:pStyle w:val="TableText"/>
              <w:spacing w:before="24" w:after="24"/>
              <w:rPr>
                <w:rFonts w:cs="Calibri"/>
                <w:szCs w:val="14"/>
              </w:rPr>
            </w:pPr>
            <w:r w:rsidRPr="0047058F">
              <w:rPr>
                <w:rFonts w:cs="Calibri"/>
                <w:szCs w:val="14"/>
              </w:rPr>
              <w:t>3</w:t>
            </w:r>
          </w:p>
        </w:tc>
        <w:tc>
          <w:tcPr>
            <w:tcW w:w="956" w:type="pct"/>
          </w:tcPr>
          <w:p w14:paraId="7B6F7604" w14:textId="77777777" w:rsidR="00A340EE" w:rsidRPr="0047058F" w:rsidRDefault="00A340EE" w:rsidP="00055107">
            <w:pPr>
              <w:pStyle w:val="TableText"/>
              <w:spacing w:before="24" w:after="24"/>
              <w:jc w:val="right"/>
            </w:pPr>
            <w:r w:rsidRPr="0047058F">
              <w:t>513</w:t>
            </w:r>
          </w:p>
        </w:tc>
        <w:tc>
          <w:tcPr>
            <w:tcW w:w="956" w:type="pct"/>
          </w:tcPr>
          <w:p w14:paraId="7E0F8151" w14:textId="77777777" w:rsidR="00A340EE" w:rsidRPr="0047058F" w:rsidRDefault="00A340EE" w:rsidP="00055107">
            <w:pPr>
              <w:pStyle w:val="TableText"/>
              <w:spacing w:before="24" w:after="24"/>
              <w:jc w:val="right"/>
            </w:pPr>
            <w:r w:rsidRPr="0047058F">
              <w:t>22.0</w:t>
            </w:r>
          </w:p>
        </w:tc>
      </w:tr>
      <w:tr w:rsidR="00A340EE" w:rsidRPr="0047058F" w14:paraId="689122AB"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5B23E3C0" w14:textId="77777777" w:rsidR="00A340EE" w:rsidRPr="0047058F" w:rsidRDefault="00A340EE" w:rsidP="00055107">
            <w:pPr>
              <w:pStyle w:val="TableText"/>
              <w:spacing w:before="24" w:after="24"/>
              <w:rPr>
                <w:rFonts w:cs="Calibri"/>
                <w:szCs w:val="14"/>
              </w:rPr>
            </w:pPr>
            <w:r w:rsidRPr="0047058F">
              <w:rPr>
                <w:rFonts w:cs="Calibri"/>
                <w:szCs w:val="14"/>
              </w:rPr>
              <w:t>4</w:t>
            </w:r>
          </w:p>
        </w:tc>
        <w:tc>
          <w:tcPr>
            <w:tcW w:w="956" w:type="pct"/>
          </w:tcPr>
          <w:p w14:paraId="0AE51BEA" w14:textId="77777777" w:rsidR="00A340EE" w:rsidRPr="0047058F" w:rsidRDefault="00A340EE" w:rsidP="00055107">
            <w:pPr>
              <w:pStyle w:val="TableText"/>
              <w:spacing w:before="24" w:after="24"/>
              <w:jc w:val="right"/>
            </w:pPr>
            <w:r w:rsidRPr="0047058F">
              <w:t>417</w:t>
            </w:r>
          </w:p>
        </w:tc>
        <w:tc>
          <w:tcPr>
            <w:tcW w:w="956" w:type="pct"/>
          </w:tcPr>
          <w:p w14:paraId="126C8759" w14:textId="77777777" w:rsidR="00A340EE" w:rsidRPr="0047058F" w:rsidRDefault="00A340EE" w:rsidP="00055107">
            <w:pPr>
              <w:pStyle w:val="TableText"/>
              <w:spacing w:before="24" w:after="24"/>
              <w:jc w:val="right"/>
            </w:pPr>
            <w:r w:rsidRPr="0047058F">
              <w:t>17.9</w:t>
            </w:r>
          </w:p>
        </w:tc>
      </w:tr>
      <w:tr w:rsidR="00A340EE" w:rsidRPr="0047058F" w14:paraId="11C137F6" w14:textId="77777777" w:rsidTr="001E395F">
        <w:tc>
          <w:tcPr>
            <w:tcW w:w="3088" w:type="pct"/>
            <w:tcBorders>
              <w:bottom w:val="single" w:sz="4" w:space="0" w:color="000000"/>
            </w:tcBorders>
            <w:hideMark/>
          </w:tcPr>
          <w:p w14:paraId="22EBE2F3" w14:textId="77777777" w:rsidR="00A340EE" w:rsidRPr="0047058F" w:rsidRDefault="00A340EE" w:rsidP="00055107">
            <w:pPr>
              <w:pStyle w:val="TableText"/>
              <w:spacing w:before="24" w:after="24"/>
              <w:rPr>
                <w:rFonts w:cs="Calibri"/>
                <w:szCs w:val="14"/>
              </w:rPr>
            </w:pPr>
            <w:r w:rsidRPr="0047058F">
              <w:rPr>
                <w:rFonts w:cs="Calibri"/>
                <w:szCs w:val="14"/>
              </w:rPr>
              <w:t>5+</w:t>
            </w:r>
          </w:p>
        </w:tc>
        <w:tc>
          <w:tcPr>
            <w:tcW w:w="956" w:type="pct"/>
            <w:tcBorders>
              <w:bottom w:val="single" w:sz="4" w:space="0" w:color="000000"/>
            </w:tcBorders>
          </w:tcPr>
          <w:p w14:paraId="4E6E3C2C" w14:textId="77777777" w:rsidR="00A340EE" w:rsidRPr="0047058F" w:rsidRDefault="00A340EE" w:rsidP="00055107">
            <w:pPr>
              <w:pStyle w:val="TableText"/>
              <w:spacing w:before="24" w:after="24"/>
              <w:jc w:val="right"/>
            </w:pPr>
            <w:r w:rsidRPr="0047058F">
              <w:t>221</w:t>
            </w:r>
          </w:p>
        </w:tc>
        <w:tc>
          <w:tcPr>
            <w:tcW w:w="956" w:type="pct"/>
            <w:tcBorders>
              <w:bottom w:val="single" w:sz="4" w:space="0" w:color="000000"/>
            </w:tcBorders>
          </w:tcPr>
          <w:p w14:paraId="76075127" w14:textId="77777777" w:rsidR="00A340EE" w:rsidRPr="0047058F" w:rsidRDefault="00A340EE" w:rsidP="00055107">
            <w:pPr>
              <w:pStyle w:val="TableText"/>
              <w:spacing w:before="24" w:after="24"/>
              <w:jc w:val="right"/>
            </w:pPr>
            <w:r w:rsidRPr="0047058F">
              <w:t>9.5</w:t>
            </w:r>
          </w:p>
        </w:tc>
      </w:tr>
      <w:tr w:rsidR="00A340EE" w:rsidRPr="0047058F" w14:paraId="02F09349"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top w:val="single" w:sz="4" w:space="0" w:color="000000"/>
              <w:bottom w:val="nil"/>
            </w:tcBorders>
            <w:hideMark/>
          </w:tcPr>
          <w:p w14:paraId="3C8C9655" w14:textId="77777777" w:rsidR="00A340EE" w:rsidRPr="0047058F" w:rsidRDefault="00A340EE" w:rsidP="00055107">
            <w:pPr>
              <w:pStyle w:val="TableText"/>
              <w:spacing w:before="24" w:after="24"/>
              <w:rPr>
                <w:b/>
              </w:rPr>
            </w:pPr>
            <w:r w:rsidRPr="0047058F">
              <w:rPr>
                <w:b/>
              </w:rPr>
              <w:t>Type of discharge/resignation</w:t>
            </w:r>
          </w:p>
        </w:tc>
        <w:tc>
          <w:tcPr>
            <w:tcW w:w="956" w:type="pct"/>
            <w:tcBorders>
              <w:top w:val="single" w:sz="4" w:space="0" w:color="000000"/>
              <w:bottom w:val="nil"/>
            </w:tcBorders>
          </w:tcPr>
          <w:p w14:paraId="78701D08" w14:textId="77777777" w:rsidR="00A340EE" w:rsidRPr="0047058F" w:rsidRDefault="00A340EE" w:rsidP="00055107">
            <w:pPr>
              <w:pStyle w:val="TableText"/>
              <w:spacing w:before="24" w:after="24"/>
              <w:jc w:val="right"/>
            </w:pPr>
          </w:p>
        </w:tc>
        <w:tc>
          <w:tcPr>
            <w:tcW w:w="956" w:type="pct"/>
            <w:tcBorders>
              <w:top w:val="single" w:sz="4" w:space="0" w:color="000000"/>
              <w:bottom w:val="nil"/>
            </w:tcBorders>
          </w:tcPr>
          <w:p w14:paraId="0016BA2A" w14:textId="77777777" w:rsidR="00A340EE" w:rsidRPr="0047058F" w:rsidRDefault="00A340EE" w:rsidP="00055107">
            <w:pPr>
              <w:pStyle w:val="TableText"/>
              <w:spacing w:before="24" w:after="24"/>
              <w:jc w:val="right"/>
            </w:pPr>
          </w:p>
        </w:tc>
      </w:tr>
      <w:tr w:rsidR="00A340EE" w:rsidRPr="0047058F" w14:paraId="4972E155" w14:textId="77777777" w:rsidTr="001E395F">
        <w:tc>
          <w:tcPr>
            <w:tcW w:w="3088" w:type="pct"/>
            <w:tcBorders>
              <w:top w:val="nil"/>
            </w:tcBorders>
            <w:hideMark/>
          </w:tcPr>
          <w:p w14:paraId="624F0992" w14:textId="77777777" w:rsidR="00A340EE" w:rsidRPr="0047058F" w:rsidRDefault="00A340EE" w:rsidP="00055107">
            <w:pPr>
              <w:pStyle w:val="TableText"/>
              <w:spacing w:before="24" w:after="24"/>
              <w:rPr>
                <w:rFonts w:cs="Calibri"/>
                <w:szCs w:val="14"/>
              </w:rPr>
            </w:pPr>
            <w:r w:rsidRPr="0047058F">
              <w:rPr>
                <w:rFonts w:cs="Calibri"/>
                <w:szCs w:val="14"/>
              </w:rPr>
              <w:t>Compulsory age</w:t>
            </w:r>
          </w:p>
        </w:tc>
        <w:tc>
          <w:tcPr>
            <w:tcW w:w="956" w:type="pct"/>
            <w:tcBorders>
              <w:top w:val="nil"/>
            </w:tcBorders>
          </w:tcPr>
          <w:p w14:paraId="0D2F1A6D" w14:textId="77777777" w:rsidR="00A340EE" w:rsidRPr="0047058F" w:rsidRDefault="00A340EE" w:rsidP="00055107">
            <w:pPr>
              <w:pStyle w:val="TableText"/>
              <w:spacing w:before="24" w:after="24"/>
              <w:jc w:val="right"/>
            </w:pPr>
            <w:r w:rsidRPr="0047058F">
              <w:t>133</w:t>
            </w:r>
          </w:p>
        </w:tc>
        <w:tc>
          <w:tcPr>
            <w:tcW w:w="956" w:type="pct"/>
            <w:tcBorders>
              <w:top w:val="nil"/>
            </w:tcBorders>
          </w:tcPr>
          <w:p w14:paraId="63157693" w14:textId="77777777" w:rsidR="00A340EE" w:rsidRPr="0047058F" w:rsidRDefault="00A340EE" w:rsidP="00055107">
            <w:pPr>
              <w:pStyle w:val="TableText"/>
              <w:spacing w:before="24" w:after="24"/>
              <w:jc w:val="right"/>
            </w:pPr>
            <w:r w:rsidRPr="0047058F">
              <w:t>5.7</w:t>
            </w:r>
          </w:p>
        </w:tc>
      </w:tr>
      <w:tr w:rsidR="00A340EE" w:rsidRPr="0047058F" w14:paraId="60932B35"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573B645A" w14:textId="77777777" w:rsidR="00A340EE" w:rsidRPr="0047058F" w:rsidRDefault="00A340EE" w:rsidP="00055107">
            <w:pPr>
              <w:pStyle w:val="TableText"/>
              <w:spacing w:before="24" w:after="24"/>
              <w:rPr>
                <w:rFonts w:cs="Calibri"/>
                <w:szCs w:val="14"/>
              </w:rPr>
            </w:pPr>
            <w:r w:rsidRPr="0047058F">
              <w:rPr>
                <w:rFonts w:cs="Calibri"/>
                <w:szCs w:val="14"/>
              </w:rPr>
              <w:t>Own request</w:t>
            </w:r>
          </w:p>
        </w:tc>
        <w:tc>
          <w:tcPr>
            <w:tcW w:w="956" w:type="pct"/>
          </w:tcPr>
          <w:p w14:paraId="1C85AECF" w14:textId="77777777" w:rsidR="00A340EE" w:rsidRPr="0047058F" w:rsidRDefault="00A340EE" w:rsidP="00055107">
            <w:pPr>
              <w:pStyle w:val="TableText"/>
              <w:spacing w:before="24" w:after="24"/>
              <w:jc w:val="right"/>
            </w:pPr>
            <w:r w:rsidRPr="0047058F">
              <w:t>1346</w:t>
            </w:r>
          </w:p>
        </w:tc>
        <w:tc>
          <w:tcPr>
            <w:tcW w:w="956" w:type="pct"/>
          </w:tcPr>
          <w:p w14:paraId="4F8FF412" w14:textId="77777777" w:rsidR="00A340EE" w:rsidRPr="0047058F" w:rsidRDefault="00A340EE" w:rsidP="00055107">
            <w:pPr>
              <w:pStyle w:val="TableText"/>
              <w:spacing w:before="24" w:after="24"/>
              <w:jc w:val="right"/>
            </w:pPr>
            <w:r w:rsidRPr="0047058F">
              <w:t>57.7</w:t>
            </w:r>
          </w:p>
        </w:tc>
      </w:tr>
      <w:tr w:rsidR="00A340EE" w:rsidRPr="0047058F" w14:paraId="3C3BC86E" w14:textId="77777777" w:rsidTr="001E395F">
        <w:tc>
          <w:tcPr>
            <w:tcW w:w="3088" w:type="pct"/>
            <w:hideMark/>
          </w:tcPr>
          <w:p w14:paraId="08ED73D6" w14:textId="77777777" w:rsidR="00A340EE" w:rsidRPr="0047058F" w:rsidRDefault="00A340EE" w:rsidP="00055107">
            <w:pPr>
              <w:pStyle w:val="TableText"/>
              <w:spacing w:before="24" w:after="24"/>
              <w:rPr>
                <w:rFonts w:cs="Calibri"/>
                <w:szCs w:val="14"/>
              </w:rPr>
            </w:pPr>
            <w:r w:rsidRPr="0047058F">
              <w:rPr>
                <w:rFonts w:cs="Calibri"/>
                <w:szCs w:val="14"/>
              </w:rPr>
              <w:t>Unsuitable for further training</w:t>
            </w:r>
          </w:p>
        </w:tc>
        <w:tc>
          <w:tcPr>
            <w:tcW w:w="956" w:type="pct"/>
          </w:tcPr>
          <w:p w14:paraId="18819B95" w14:textId="77777777" w:rsidR="00A340EE" w:rsidRPr="0047058F" w:rsidRDefault="00A340EE" w:rsidP="00055107">
            <w:pPr>
              <w:pStyle w:val="TableText"/>
              <w:spacing w:before="24" w:after="24"/>
              <w:jc w:val="right"/>
            </w:pPr>
            <w:r w:rsidRPr="0047058F">
              <w:t>12</w:t>
            </w:r>
          </w:p>
        </w:tc>
        <w:tc>
          <w:tcPr>
            <w:tcW w:w="956" w:type="pct"/>
          </w:tcPr>
          <w:p w14:paraId="3F3A5781" w14:textId="77777777" w:rsidR="00A340EE" w:rsidRPr="0047058F" w:rsidRDefault="00A340EE" w:rsidP="00055107">
            <w:pPr>
              <w:pStyle w:val="TableText"/>
              <w:spacing w:before="24" w:after="24"/>
              <w:jc w:val="right"/>
            </w:pPr>
            <w:r w:rsidRPr="0047058F">
              <w:t>0.5</w:t>
            </w:r>
          </w:p>
        </w:tc>
      </w:tr>
      <w:tr w:rsidR="00A340EE" w:rsidRPr="0047058F" w14:paraId="5B1D1974"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5C84F242" w14:textId="77777777" w:rsidR="00A340EE" w:rsidRPr="0047058F" w:rsidRDefault="00A340EE" w:rsidP="00055107">
            <w:pPr>
              <w:pStyle w:val="TableText"/>
              <w:spacing w:before="24" w:after="24"/>
              <w:rPr>
                <w:rFonts w:cs="Calibri"/>
                <w:szCs w:val="14"/>
              </w:rPr>
            </w:pPr>
            <w:r w:rsidRPr="0047058F">
              <w:rPr>
                <w:rFonts w:cs="Calibri"/>
                <w:szCs w:val="14"/>
              </w:rPr>
              <w:t>End of fixed period</w:t>
            </w:r>
          </w:p>
        </w:tc>
        <w:tc>
          <w:tcPr>
            <w:tcW w:w="956" w:type="pct"/>
          </w:tcPr>
          <w:p w14:paraId="734EC70F" w14:textId="77777777" w:rsidR="00A340EE" w:rsidRPr="0047058F" w:rsidRDefault="00A340EE" w:rsidP="00055107">
            <w:pPr>
              <w:pStyle w:val="TableText"/>
              <w:spacing w:before="24" w:after="24"/>
              <w:jc w:val="right"/>
            </w:pPr>
            <w:r w:rsidRPr="0047058F">
              <w:t>44</w:t>
            </w:r>
          </w:p>
        </w:tc>
        <w:tc>
          <w:tcPr>
            <w:tcW w:w="956" w:type="pct"/>
          </w:tcPr>
          <w:p w14:paraId="303778AC" w14:textId="77777777" w:rsidR="00A340EE" w:rsidRPr="0047058F" w:rsidRDefault="00A340EE" w:rsidP="00055107">
            <w:pPr>
              <w:pStyle w:val="TableText"/>
              <w:spacing w:before="24" w:after="24"/>
              <w:jc w:val="right"/>
            </w:pPr>
            <w:r w:rsidRPr="0047058F">
              <w:t>1.9</w:t>
            </w:r>
          </w:p>
        </w:tc>
      </w:tr>
      <w:tr w:rsidR="00A340EE" w:rsidRPr="0047058F" w14:paraId="15DE1370" w14:textId="77777777" w:rsidTr="001E395F">
        <w:tc>
          <w:tcPr>
            <w:tcW w:w="3088" w:type="pct"/>
            <w:hideMark/>
          </w:tcPr>
          <w:p w14:paraId="06664F1C" w14:textId="77777777" w:rsidR="00A340EE" w:rsidRPr="0047058F" w:rsidRDefault="00A340EE" w:rsidP="000D2D22">
            <w:pPr>
              <w:pStyle w:val="TableText"/>
              <w:spacing w:before="24" w:after="24"/>
              <w:rPr>
                <w:rFonts w:cs="Calibri"/>
                <w:szCs w:val="14"/>
              </w:rPr>
            </w:pPr>
            <w:r w:rsidRPr="0047058F">
              <w:rPr>
                <w:rFonts w:cs="Calibri"/>
                <w:szCs w:val="14"/>
              </w:rPr>
              <w:t>End of initial enlistment period/return of service obligation</w:t>
            </w:r>
          </w:p>
        </w:tc>
        <w:tc>
          <w:tcPr>
            <w:tcW w:w="956" w:type="pct"/>
          </w:tcPr>
          <w:p w14:paraId="1DF5A217" w14:textId="77777777" w:rsidR="00A340EE" w:rsidRPr="0047058F" w:rsidRDefault="00A340EE" w:rsidP="00055107">
            <w:pPr>
              <w:pStyle w:val="TableText"/>
              <w:spacing w:before="24" w:after="24"/>
              <w:jc w:val="right"/>
            </w:pPr>
            <w:r w:rsidRPr="0047058F">
              <w:t>36</w:t>
            </w:r>
          </w:p>
        </w:tc>
        <w:tc>
          <w:tcPr>
            <w:tcW w:w="956" w:type="pct"/>
          </w:tcPr>
          <w:p w14:paraId="735819AE" w14:textId="77777777" w:rsidR="00A340EE" w:rsidRPr="0047058F" w:rsidRDefault="00A340EE" w:rsidP="00055107">
            <w:pPr>
              <w:pStyle w:val="TableText"/>
              <w:spacing w:before="24" w:after="24"/>
              <w:jc w:val="right"/>
            </w:pPr>
            <w:r w:rsidRPr="0047058F">
              <w:t>1.5</w:t>
            </w:r>
          </w:p>
        </w:tc>
      </w:tr>
      <w:tr w:rsidR="00A340EE" w:rsidRPr="0047058F" w14:paraId="5296B41F"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039C6078" w14:textId="77777777" w:rsidR="00A340EE" w:rsidRPr="0047058F" w:rsidRDefault="00A340EE" w:rsidP="00055107">
            <w:pPr>
              <w:pStyle w:val="TableText"/>
              <w:spacing w:before="24" w:after="24"/>
              <w:rPr>
                <w:rFonts w:cs="Calibri"/>
                <w:szCs w:val="14"/>
              </w:rPr>
            </w:pPr>
            <w:r w:rsidRPr="0047058F">
              <w:rPr>
                <w:rFonts w:cs="Calibri"/>
                <w:szCs w:val="14"/>
              </w:rPr>
              <w:t>Limited tenured appointment (Officers)</w:t>
            </w:r>
          </w:p>
        </w:tc>
        <w:tc>
          <w:tcPr>
            <w:tcW w:w="956" w:type="pct"/>
          </w:tcPr>
          <w:p w14:paraId="212D9896" w14:textId="77777777" w:rsidR="00A340EE" w:rsidRPr="0047058F" w:rsidRDefault="00A340EE" w:rsidP="00055107">
            <w:pPr>
              <w:pStyle w:val="TableText"/>
              <w:spacing w:before="24" w:after="24"/>
              <w:jc w:val="right"/>
            </w:pPr>
            <w:r w:rsidRPr="0047058F">
              <w:t>15</w:t>
            </w:r>
          </w:p>
        </w:tc>
        <w:tc>
          <w:tcPr>
            <w:tcW w:w="956" w:type="pct"/>
          </w:tcPr>
          <w:p w14:paraId="6D4386C9" w14:textId="77777777" w:rsidR="00A340EE" w:rsidRPr="0047058F" w:rsidRDefault="00A340EE" w:rsidP="00055107">
            <w:pPr>
              <w:pStyle w:val="TableText"/>
              <w:spacing w:before="24" w:after="24"/>
              <w:jc w:val="right"/>
            </w:pPr>
            <w:r w:rsidRPr="0047058F">
              <w:t>0.6</w:t>
            </w:r>
          </w:p>
        </w:tc>
      </w:tr>
      <w:tr w:rsidR="00A340EE" w:rsidRPr="0047058F" w14:paraId="292FB470" w14:textId="77777777" w:rsidTr="001E395F">
        <w:tc>
          <w:tcPr>
            <w:tcW w:w="3088" w:type="pct"/>
            <w:hideMark/>
          </w:tcPr>
          <w:p w14:paraId="7A88E0B3" w14:textId="77777777" w:rsidR="00A340EE" w:rsidRPr="0047058F" w:rsidRDefault="00A340EE" w:rsidP="00055107">
            <w:pPr>
              <w:pStyle w:val="TableText"/>
              <w:spacing w:before="24" w:after="24"/>
              <w:rPr>
                <w:rFonts w:cs="Calibri"/>
                <w:szCs w:val="14"/>
              </w:rPr>
            </w:pPr>
            <w:r w:rsidRPr="0047058F">
              <w:rPr>
                <w:rFonts w:cs="Calibri"/>
                <w:szCs w:val="14"/>
              </w:rPr>
              <w:t>Not offered re-engagement</w:t>
            </w:r>
          </w:p>
        </w:tc>
        <w:tc>
          <w:tcPr>
            <w:tcW w:w="956" w:type="pct"/>
          </w:tcPr>
          <w:p w14:paraId="70213241" w14:textId="77777777" w:rsidR="00A340EE" w:rsidRPr="0047058F" w:rsidRDefault="00A340EE" w:rsidP="00055107">
            <w:pPr>
              <w:pStyle w:val="TableText"/>
              <w:spacing w:before="24" w:after="24"/>
              <w:jc w:val="right"/>
            </w:pPr>
            <w:r w:rsidRPr="0047058F">
              <w:t>6</w:t>
            </w:r>
          </w:p>
        </w:tc>
        <w:tc>
          <w:tcPr>
            <w:tcW w:w="956" w:type="pct"/>
          </w:tcPr>
          <w:p w14:paraId="4491D1F0" w14:textId="77777777" w:rsidR="00A340EE" w:rsidRPr="0047058F" w:rsidRDefault="00A340EE" w:rsidP="00055107">
            <w:pPr>
              <w:pStyle w:val="TableText"/>
              <w:spacing w:before="24" w:after="24"/>
              <w:jc w:val="right"/>
            </w:pPr>
            <w:r w:rsidRPr="0047058F">
              <w:t>0.3</w:t>
            </w:r>
          </w:p>
        </w:tc>
      </w:tr>
      <w:tr w:rsidR="00A340EE" w:rsidRPr="0047058F" w14:paraId="11B7942F"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2629F4C5" w14:textId="77777777" w:rsidR="00A340EE" w:rsidRPr="0047058F" w:rsidRDefault="00A340EE" w:rsidP="00055107">
            <w:pPr>
              <w:pStyle w:val="TableText"/>
              <w:spacing w:before="24" w:after="24"/>
              <w:rPr>
                <w:rFonts w:cs="Calibri"/>
                <w:szCs w:val="14"/>
              </w:rPr>
            </w:pPr>
            <w:r w:rsidRPr="0047058F">
              <w:rPr>
                <w:rFonts w:cs="Calibri"/>
                <w:szCs w:val="14"/>
              </w:rPr>
              <w:t>Accepted voluntary redundancy</w:t>
            </w:r>
          </w:p>
        </w:tc>
        <w:tc>
          <w:tcPr>
            <w:tcW w:w="956" w:type="pct"/>
          </w:tcPr>
          <w:p w14:paraId="329FF95E" w14:textId="77777777" w:rsidR="00A340EE" w:rsidRPr="0047058F" w:rsidRDefault="00A340EE" w:rsidP="00055107">
            <w:pPr>
              <w:pStyle w:val="TableText"/>
              <w:spacing w:before="24" w:after="24"/>
              <w:jc w:val="right"/>
            </w:pPr>
            <w:r w:rsidRPr="0047058F">
              <w:t>118</w:t>
            </w:r>
          </w:p>
        </w:tc>
        <w:tc>
          <w:tcPr>
            <w:tcW w:w="956" w:type="pct"/>
          </w:tcPr>
          <w:p w14:paraId="3E2E4FC8" w14:textId="77777777" w:rsidR="00A340EE" w:rsidRPr="0047058F" w:rsidRDefault="00A340EE" w:rsidP="00055107">
            <w:pPr>
              <w:pStyle w:val="TableText"/>
              <w:spacing w:before="24" w:after="24"/>
              <w:jc w:val="right"/>
            </w:pPr>
            <w:r w:rsidRPr="0047058F">
              <w:t>5.1</w:t>
            </w:r>
          </w:p>
        </w:tc>
      </w:tr>
      <w:tr w:rsidR="00A340EE" w:rsidRPr="0047058F" w14:paraId="586348B4" w14:textId="77777777" w:rsidTr="001E395F">
        <w:tc>
          <w:tcPr>
            <w:tcW w:w="3088" w:type="pct"/>
            <w:hideMark/>
          </w:tcPr>
          <w:p w14:paraId="4ABC9176" w14:textId="77777777" w:rsidR="00A340EE" w:rsidRPr="0047058F" w:rsidRDefault="00A340EE" w:rsidP="00055107">
            <w:pPr>
              <w:pStyle w:val="TableText"/>
              <w:spacing w:before="24" w:after="24"/>
              <w:rPr>
                <w:rFonts w:cs="Calibri"/>
                <w:szCs w:val="14"/>
              </w:rPr>
            </w:pPr>
            <w:r w:rsidRPr="0047058F">
              <w:rPr>
                <w:rFonts w:cs="Calibri"/>
                <w:szCs w:val="14"/>
              </w:rPr>
              <w:t>Compassionate grounds</w:t>
            </w:r>
          </w:p>
        </w:tc>
        <w:tc>
          <w:tcPr>
            <w:tcW w:w="956" w:type="pct"/>
          </w:tcPr>
          <w:p w14:paraId="3F253329" w14:textId="77777777" w:rsidR="00A340EE" w:rsidRPr="0047058F" w:rsidRDefault="00A340EE" w:rsidP="00055107">
            <w:pPr>
              <w:pStyle w:val="TableText"/>
              <w:spacing w:before="24" w:after="24"/>
              <w:jc w:val="right"/>
            </w:pPr>
            <w:r w:rsidRPr="0047058F">
              <w:t>10</w:t>
            </w:r>
          </w:p>
        </w:tc>
        <w:tc>
          <w:tcPr>
            <w:tcW w:w="956" w:type="pct"/>
          </w:tcPr>
          <w:p w14:paraId="112876D3" w14:textId="77777777" w:rsidR="00A340EE" w:rsidRPr="0047058F" w:rsidRDefault="00A340EE" w:rsidP="00055107">
            <w:pPr>
              <w:pStyle w:val="TableText"/>
              <w:spacing w:before="24" w:after="24"/>
              <w:jc w:val="right"/>
            </w:pPr>
            <w:r w:rsidRPr="0047058F">
              <w:t>0.4</w:t>
            </w:r>
          </w:p>
        </w:tc>
      </w:tr>
      <w:tr w:rsidR="00A340EE" w:rsidRPr="0047058F" w14:paraId="5C62B18A"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73E9093D" w14:textId="77777777" w:rsidR="00A340EE" w:rsidRPr="0047058F" w:rsidRDefault="00A340EE" w:rsidP="00055107">
            <w:pPr>
              <w:pStyle w:val="TableText"/>
              <w:spacing w:before="24" w:after="24"/>
              <w:rPr>
                <w:rFonts w:cs="Calibri"/>
                <w:szCs w:val="14"/>
              </w:rPr>
            </w:pPr>
            <w:r w:rsidRPr="0047058F">
              <w:rPr>
                <w:rFonts w:cs="Calibri"/>
                <w:szCs w:val="14"/>
              </w:rPr>
              <w:t>Non-voluntary discharge – administrative</w:t>
            </w:r>
          </w:p>
        </w:tc>
        <w:tc>
          <w:tcPr>
            <w:tcW w:w="956" w:type="pct"/>
          </w:tcPr>
          <w:p w14:paraId="4E145FEC" w14:textId="77777777" w:rsidR="00A340EE" w:rsidRPr="0047058F" w:rsidRDefault="00A340EE" w:rsidP="00055107">
            <w:pPr>
              <w:pStyle w:val="TableText"/>
              <w:spacing w:before="24" w:after="24"/>
              <w:jc w:val="right"/>
            </w:pPr>
            <w:r w:rsidRPr="0047058F">
              <w:t>23</w:t>
            </w:r>
          </w:p>
        </w:tc>
        <w:tc>
          <w:tcPr>
            <w:tcW w:w="956" w:type="pct"/>
          </w:tcPr>
          <w:p w14:paraId="7EB0B6D3" w14:textId="77777777" w:rsidR="00A340EE" w:rsidRPr="0047058F" w:rsidRDefault="00A340EE" w:rsidP="00055107">
            <w:pPr>
              <w:pStyle w:val="TableText"/>
              <w:spacing w:before="24" w:after="24"/>
              <w:jc w:val="right"/>
            </w:pPr>
            <w:r w:rsidRPr="0047058F">
              <w:t>1.0</w:t>
            </w:r>
          </w:p>
        </w:tc>
      </w:tr>
      <w:tr w:rsidR="00A340EE" w:rsidRPr="0047058F" w14:paraId="6EED91C5" w14:textId="77777777" w:rsidTr="001E395F">
        <w:tc>
          <w:tcPr>
            <w:tcW w:w="3088" w:type="pct"/>
            <w:hideMark/>
          </w:tcPr>
          <w:p w14:paraId="5141E2C2" w14:textId="77777777" w:rsidR="00A340EE" w:rsidRPr="0047058F" w:rsidRDefault="00A340EE" w:rsidP="00055107">
            <w:pPr>
              <w:pStyle w:val="TableText"/>
              <w:spacing w:before="24" w:after="24"/>
              <w:rPr>
                <w:rFonts w:cs="Calibri"/>
                <w:szCs w:val="14"/>
              </w:rPr>
            </w:pPr>
            <w:r w:rsidRPr="0047058F">
              <w:rPr>
                <w:rFonts w:cs="Calibri"/>
                <w:szCs w:val="14"/>
              </w:rPr>
              <w:t>Medical discharge</w:t>
            </w:r>
          </w:p>
        </w:tc>
        <w:tc>
          <w:tcPr>
            <w:tcW w:w="956" w:type="pct"/>
          </w:tcPr>
          <w:p w14:paraId="67A50E55" w14:textId="77777777" w:rsidR="00A340EE" w:rsidRPr="0047058F" w:rsidRDefault="00A340EE" w:rsidP="00055107">
            <w:pPr>
              <w:pStyle w:val="TableText"/>
              <w:spacing w:before="24" w:after="24"/>
              <w:jc w:val="right"/>
            </w:pPr>
            <w:r w:rsidRPr="0047058F">
              <w:t>435</w:t>
            </w:r>
          </w:p>
        </w:tc>
        <w:tc>
          <w:tcPr>
            <w:tcW w:w="956" w:type="pct"/>
          </w:tcPr>
          <w:p w14:paraId="4223B543" w14:textId="77777777" w:rsidR="00A340EE" w:rsidRPr="0047058F" w:rsidRDefault="00A340EE" w:rsidP="00055107">
            <w:pPr>
              <w:pStyle w:val="TableText"/>
              <w:spacing w:before="24" w:after="24"/>
              <w:jc w:val="right"/>
            </w:pPr>
            <w:r w:rsidRPr="0047058F">
              <w:t>18.6</w:t>
            </w:r>
          </w:p>
        </w:tc>
      </w:tr>
      <w:tr w:rsidR="00A340EE" w:rsidRPr="0047058F" w14:paraId="141A30BA"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bottom w:val="single" w:sz="4" w:space="0" w:color="000000"/>
            </w:tcBorders>
            <w:hideMark/>
          </w:tcPr>
          <w:p w14:paraId="2AFE28E1" w14:textId="77777777" w:rsidR="00A340EE" w:rsidRPr="0047058F" w:rsidRDefault="00A340EE" w:rsidP="00055107">
            <w:pPr>
              <w:pStyle w:val="TableText"/>
              <w:spacing w:before="24" w:after="24"/>
              <w:rPr>
                <w:rFonts w:cs="Calibri"/>
                <w:szCs w:val="14"/>
              </w:rPr>
            </w:pPr>
            <w:r w:rsidRPr="0047058F">
              <w:rPr>
                <w:rFonts w:cs="Calibri"/>
                <w:szCs w:val="14"/>
              </w:rPr>
              <w:t>Other</w:t>
            </w:r>
          </w:p>
        </w:tc>
        <w:tc>
          <w:tcPr>
            <w:tcW w:w="956" w:type="pct"/>
            <w:tcBorders>
              <w:bottom w:val="single" w:sz="4" w:space="0" w:color="000000"/>
            </w:tcBorders>
          </w:tcPr>
          <w:p w14:paraId="73731262" w14:textId="77777777" w:rsidR="00A340EE" w:rsidRPr="0047058F" w:rsidRDefault="00A340EE" w:rsidP="00055107">
            <w:pPr>
              <w:pStyle w:val="TableText"/>
              <w:spacing w:before="24" w:after="24"/>
              <w:jc w:val="right"/>
            </w:pPr>
            <w:r w:rsidRPr="0047058F">
              <w:t>103</w:t>
            </w:r>
          </w:p>
        </w:tc>
        <w:tc>
          <w:tcPr>
            <w:tcW w:w="956" w:type="pct"/>
            <w:tcBorders>
              <w:bottom w:val="single" w:sz="4" w:space="0" w:color="000000"/>
            </w:tcBorders>
          </w:tcPr>
          <w:p w14:paraId="209520DB" w14:textId="77777777" w:rsidR="00A340EE" w:rsidRPr="0047058F" w:rsidRDefault="00A340EE" w:rsidP="00055107">
            <w:pPr>
              <w:pStyle w:val="TableText"/>
              <w:spacing w:before="24" w:after="24"/>
              <w:jc w:val="right"/>
            </w:pPr>
            <w:r w:rsidRPr="0047058F">
              <w:t>4.4</w:t>
            </w:r>
          </w:p>
        </w:tc>
      </w:tr>
      <w:tr w:rsidR="00A340EE" w:rsidRPr="0047058F" w14:paraId="1636679D" w14:textId="77777777" w:rsidTr="001E395F">
        <w:tc>
          <w:tcPr>
            <w:tcW w:w="3088" w:type="pct"/>
            <w:tcBorders>
              <w:top w:val="single" w:sz="4" w:space="0" w:color="000000"/>
              <w:bottom w:val="nil"/>
            </w:tcBorders>
            <w:hideMark/>
          </w:tcPr>
          <w:p w14:paraId="4BCC07C4" w14:textId="77777777" w:rsidR="00A340EE" w:rsidRPr="0047058F" w:rsidRDefault="00A340EE" w:rsidP="00055107">
            <w:pPr>
              <w:pStyle w:val="TableText"/>
              <w:spacing w:before="24" w:after="24"/>
              <w:rPr>
                <w:b/>
              </w:rPr>
            </w:pPr>
            <w:r w:rsidRPr="0047058F">
              <w:rPr>
                <w:b/>
              </w:rPr>
              <w:t>Main reason for transition</w:t>
            </w:r>
          </w:p>
        </w:tc>
        <w:tc>
          <w:tcPr>
            <w:tcW w:w="956" w:type="pct"/>
            <w:tcBorders>
              <w:top w:val="single" w:sz="4" w:space="0" w:color="000000"/>
              <w:bottom w:val="nil"/>
            </w:tcBorders>
          </w:tcPr>
          <w:p w14:paraId="6D52CCE2" w14:textId="77777777" w:rsidR="00A340EE" w:rsidRPr="0047058F" w:rsidRDefault="00A340EE" w:rsidP="00055107">
            <w:pPr>
              <w:pStyle w:val="TableText"/>
              <w:spacing w:before="24" w:after="24"/>
              <w:jc w:val="right"/>
            </w:pPr>
          </w:p>
        </w:tc>
        <w:tc>
          <w:tcPr>
            <w:tcW w:w="956" w:type="pct"/>
            <w:tcBorders>
              <w:top w:val="single" w:sz="4" w:space="0" w:color="000000"/>
              <w:bottom w:val="nil"/>
            </w:tcBorders>
          </w:tcPr>
          <w:p w14:paraId="1C8ADC69" w14:textId="77777777" w:rsidR="00A340EE" w:rsidRPr="0047058F" w:rsidRDefault="00A340EE" w:rsidP="00055107">
            <w:pPr>
              <w:pStyle w:val="TableText"/>
              <w:spacing w:before="24" w:after="24"/>
              <w:jc w:val="right"/>
            </w:pPr>
          </w:p>
        </w:tc>
      </w:tr>
      <w:tr w:rsidR="00A340EE" w:rsidRPr="0047058F" w14:paraId="7178AF8B"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top w:val="nil"/>
            </w:tcBorders>
            <w:hideMark/>
          </w:tcPr>
          <w:p w14:paraId="40319FBE" w14:textId="77777777" w:rsidR="00A340EE" w:rsidRPr="0047058F" w:rsidRDefault="00A340EE" w:rsidP="00055107">
            <w:pPr>
              <w:pStyle w:val="TableText"/>
              <w:spacing w:before="24" w:after="24"/>
              <w:rPr>
                <w:rFonts w:cs="Calibri"/>
                <w:szCs w:val="14"/>
              </w:rPr>
            </w:pPr>
            <w:r w:rsidRPr="0047058F">
              <w:rPr>
                <w:rFonts w:cs="Calibri"/>
                <w:szCs w:val="14"/>
              </w:rPr>
              <w:t>Better employment prospects in civilian life</w:t>
            </w:r>
          </w:p>
        </w:tc>
        <w:tc>
          <w:tcPr>
            <w:tcW w:w="956" w:type="pct"/>
            <w:tcBorders>
              <w:top w:val="nil"/>
            </w:tcBorders>
          </w:tcPr>
          <w:p w14:paraId="4ACA0E38" w14:textId="77777777" w:rsidR="00A340EE" w:rsidRPr="0047058F" w:rsidRDefault="00A340EE" w:rsidP="00055107">
            <w:pPr>
              <w:pStyle w:val="TableText"/>
              <w:spacing w:before="24" w:after="24"/>
              <w:jc w:val="right"/>
            </w:pPr>
            <w:r w:rsidRPr="0047058F">
              <w:t>144</w:t>
            </w:r>
          </w:p>
        </w:tc>
        <w:tc>
          <w:tcPr>
            <w:tcW w:w="956" w:type="pct"/>
            <w:tcBorders>
              <w:top w:val="nil"/>
            </w:tcBorders>
          </w:tcPr>
          <w:p w14:paraId="44905E26" w14:textId="77777777" w:rsidR="00A340EE" w:rsidRPr="0047058F" w:rsidRDefault="00A340EE" w:rsidP="00055107">
            <w:pPr>
              <w:pStyle w:val="TableText"/>
              <w:spacing w:before="24" w:after="24"/>
              <w:jc w:val="right"/>
            </w:pPr>
            <w:r w:rsidRPr="0047058F">
              <w:t>6.2</w:t>
            </w:r>
          </w:p>
        </w:tc>
      </w:tr>
      <w:tr w:rsidR="00A340EE" w:rsidRPr="0047058F" w14:paraId="756BFEDA" w14:textId="77777777" w:rsidTr="001E395F">
        <w:tc>
          <w:tcPr>
            <w:tcW w:w="3088" w:type="pct"/>
            <w:hideMark/>
          </w:tcPr>
          <w:p w14:paraId="3DF35C3C" w14:textId="77777777" w:rsidR="00A340EE" w:rsidRPr="0047058F" w:rsidRDefault="00A340EE" w:rsidP="00055107">
            <w:pPr>
              <w:pStyle w:val="TableText"/>
              <w:spacing w:before="24" w:after="24"/>
              <w:rPr>
                <w:rFonts w:cs="Calibri"/>
                <w:szCs w:val="14"/>
              </w:rPr>
            </w:pPr>
            <w:r w:rsidRPr="0047058F">
              <w:rPr>
                <w:rFonts w:cs="Calibri"/>
                <w:szCs w:val="14"/>
              </w:rPr>
              <w:t>Lack of promotion prospects</w:t>
            </w:r>
          </w:p>
        </w:tc>
        <w:tc>
          <w:tcPr>
            <w:tcW w:w="956" w:type="pct"/>
          </w:tcPr>
          <w:p w14:paraId="3C2643A3" w14:textId="77777777" w:rsidR="00A340EE" w:rsidRPr="0047058F" w:rsidRDefault="00A340EE" w:rsidP="00055107">
            <w:pPr>
              <w:pStyle w:val="TableText"/>
              <w:spacing w:before="24" w:after="24"/>
              <w:jc w:val="right"/>
            </w:pPr>
            <w:r w:rsidRPr="0047058F">
              <w:t>91</w:t>
            </w:r>
          </w:p>
        </w:tc>
        <w:tc>
          <w:tcPr>
            <w:tcW w:w="956" w:type="pct"/>
          </w:tcPr>
          <w:p w14:paraId="22FD95E4" w14:textId="77777777" w:rsidR="00A340EE" w:rsidRPr="0047058F" w:rsidRDefault="00A340EE" w:rsidP="00055107">
            <w:pPr>
              <w:pStyle w:val="TableText"/>
              <w:spacing w:before="24" w:after="24"/>
              <w:jc w:val="right"/>
            </w:pPr>
            <w:r w:rsidRPr="0047058F">
              <w:t>3.9</w:t>
            </w:r>
          </w:p>
        </w:tc>
      </w:tr>
      <w:tr w:rsidR="00A340EE" w:rsidRPr="0047058F" w14:paraId="2A33132A"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4B1CE5C9" w14:textId="77777777" w:rsidR="00A340EE" w:rsidRPr="0047058F" w:rsidRDefault="00A340EE" w:rsidP="00055107">
            <w:pPr>
              <w:pStyle w:val="TableText"/>
              <w:spacing w:before="24" w:after="24"/>
              <w:rPr>
                <w:rFonts w:cs="Calibri"/>
                <w:szCs w:val="14"/>
              </w:rPr>
            </w:pPr>
            <w:r w:rsidRPr="0047058F">
              <w:rPr>
                <w:rFonts w:cs="Calibri"/>
                <w:szCs w:val="14"/>
              </w:rPr>
              <w:t>Inability to plan life outside of work</w:t>
            </w:r>
          </w:p>
        </w:tc>
        <w:tc>
          <w:tcPr>
            <w:tcW w:w="956" w:type="pct"/>
          </w:tcPr>
          <w:p w14:paraId="2EA81BC6" w14:textId="77777777" w:rsidR="00A340EE" w:rsidRPr="0047058F" w:rsidRDefault="00A340EE" w:rsidP="00055107">
            <w:pPr>
              <w:pStyle w:val="TableText"/>
              <w:spacing w:before="24" w:after="24"/>
              <w:jc w:val="right"/>
            </w:pPr>
            <w:r w:rsidRPr="0047058F">
              <w:t>32</w:t>
            </w:r>
          </w:p>
        </w:tc>
        <w:tc>
          <w:tcPr>
            <w:tcW w:w="956" w:type="pct"/>
          </w:tcPr>
          <w:p w14:paraId="023E46E9" w14:textId="77777777" w:rsidR="00A340EE" w:rsidRPr="0047058F" w:rsidRDefault="00A340EE" w:rsidP="00055107">
            <w:pPr>
              <w:pStyle w:val="TableText"/>
              <w:spacing w:before="24" w:after="24"/>
              <w:jc w:val="right"/>
            </w:pPr>
            <w:r w:rsidRPr="0047058F">
              <w:t>1.4</w:t>
            </w:r>
          </w:p>
        </w:tc>
      </w:tr>
      <w:tr w:rsidR="00A340EE" w:rsidRPr="0047058F" w14:paraId="46C1BE20" w14:textId="77777777" w:rsidTr="001E395F">
        <w:tc>
          <w:tcPr>
            <w:tcW w:w="3088" w:type="pct"/>
            <w:hideMark/>
          </w:tcPr>
          <w:p w14:paraId="047306C9" w14:textId="77777777" w:rsidR="00A340EE" w:rsidRPr="0047058F" w:rsidRDefault="00A340EE" w:rsidP="00055107">
            <w:pPr>
              <w:pStyle w:val="TableText"/>
              <w:spacing w:before="24" w:after="24"/>
              <w:rPr>
                <w:rFonts w:cs="Calibri"/>
                <w:szCs w:val="14"/>
              </w:rPr>
            </w:pPr>
            <w:r w:rsidRPr="0047058F">
              <w:rPr>
                <w:rFonts w:cs="Calibri"/>
                <w:szCs w:val="14"/>
              </w:rPr>
              <w:t>Impact of service life on family</w:t>
            </w:r>
          </w:p>
        </w:tc>
        <w:tc>
          <w:tcPr>
            <w:tcW w:w="956" w:type="pct"/>
          </w:tcPr>
          <w:p w14:paraId="4BD7ECF0" w14:textId="77777777" w:rsidR="00A340EE" w:rsidRPr="0047058F" w:rsidRDefault="00A340EE" w:rsidP="00055107">
            <w:pPr>
              <w:pStyle w:val="TableText"/>
              <w:spacing w:before="24" w:after="24"/>
              <w:jc w:val="right"/>
            </w:pPr>
            <w:r w:rsidRPr="0047058F">
              <w:t>257</w:t>
            </w:r>
          </w:p>
        </w:tc>
        <w:tc>
          <w:tcPr>
            <w:tcW w:w="956" w:type="pct"/>
          </w:tcPr>
          <w:p w14:paraId="35A99B90" w14:textId="77777777" w:rsidR="00A340EE" w:rsidRPr="0047058F" w:rsidRDefault="00A340EE" w:rsidP="00055107">
            <w:pPr>
              <w:pStyle w:val="TableText"/>
              <w:spacing w:before="24" w:after="24"/>
              <w:jc w:val="right"/>
            </w:pPr>
            <w:r w:rsidRPr="0047058F">
              <w:t>11.0</w:t>
            </w:r>
          </w:p>
        </w:tc>
      </w:tr>
      <w:tr w:rsidR="00A340EE" w:rsidRPr="0047058F" w14:paraId="0E255C57"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11A7B129" w14:textId="77777777" w:rsidR="00A340EE" w:rsidRPr="0047058F" w:rsidRDefault="00A340EE" w:rsidP="00055107">
            <w:pPr>
              <w:pStyle w:val="TableText"/>
              <w:spacing w:before="24" w:after="24"/>
              <w:rPr>
                <w:rFonts w:cs="Calibri"/>
                <w:szCs w:val="14"/>
              </w:rPr>
            </w:pPr>
            <w:r w:rsidRPr="0047058F">
              <w:rPr>
                <w:rFonts w:cs="Calibri"/>
                <w:szCs w:val="14"/>
              </w:rPr>
              <w:t>Pressure from family</w:t>
            </w:r>
          </w:p>
        </w:tc>
        <w:tc>
          <w:tcPr>
            <w:tcW w:w="956" w:type="pct"/>
          </w:tcPr>
          <w:p w14:paraId="69443C12" w14:textId="77777777" w:rsidR="00A340EE" w:rsidRPr="0047058F" w:rsidRDefault="00A340EE" w:rsidP="00055107">
            <w:pPr>
              <w:pStyle w:val="TableText"/>
              <w:spacing w:before="24" w:after="24"/>
              <w:jc w:val="right"/>
            </w:pPr>
            <w:r w:rsidRPr="0047058F">
              <w:t>24</w:t>
            </w:r>
          </w:p>
        </w:tc>
        <w:tc>
          <w:tcPr>
            <w:tcW w:w="956" w:type="pct"/>
          </w:tcPr>
          <w:p w14:paraId="79C177FF" w14:textId="77777777" w:rsidR="00A340EE" w:rsidRPr="0047058F" w:rsidRDefault="00A340EE" w:rsidP="00055107">
            <w:pPr>
              <w:pStyle w:val="TableText"/>
              <w:spacing w:before="24" w:after="24"/>
              <w:jc w:val="right"/>
            </w:pPr>
            <w:r w:rsidRPr="0047058F">
              <w:t>1.0</w:t>
            </w:r>
          </w:p>
        </w:tc>
      </w:tr>
      <w:tr w:rsidR="00A340EE" w:rsidRPr="0047058F" w14:paraId="1DC24D53" w14:textId="77777777" w:rsidTr="001E395F">
        <w:tc>
          <w:tcPr>
            <w:tcW w:w="3088" w:type="pct"/>
            <w:hideMark/>
          </w:tcPr>
          <w:p w14:paraId="4A541BE5" w14:textId="77777777" w:rsidR="00A340EE" w:rsidRPr="0047058F" w:rsidRDefault="00A340EE" w:rsidP="00055107">
            <w:pPr>
              <w:pStyle w:val="TableText"/>
              <w:spacing w:before="24" w:after="24"/>
              <w:rPr>
                <w:rFonts w:cs="Calibri"/>
                <w:szCs w:val="14"/>
              </w:rPr>
            </w:pPr>
            <w:r w:rsidRPr="0047058F">
              <w:rPr>
                <w:rFonts w:cs="Calibri"/>
                <w:szCs w:val="14"/>
              </w:rPr>
              <w:t>Didn’t want to be away from home</w:t>
            </w:r>
          </w:p>
        </w:tc>
        <w:tc>
          <w:tcPr>
            <w:tcW w:w="956" w:type="pct"/>
          </w:tcPr>
          <w:p w14:paraId="17BEF311" w14:textId="77777777" w:rsidR="00A340EE" w:rsidRPr="0047058F" w:rsidRDefault="00A340EE" w:rsidP="00055107">
            <w:pPr>
              <w:pStyle w:val="TableText"/>
              <w:spacing w:before="24" w:after="24"/>
              <w:jc w:val="right"/>
            </w:pPr>
            <w:r w:rsidRPr="0047058F">
              <w:t>65</w:t>
            </w:r>
          </w:p>
        </w:tc>
        <w:tc>
          <w:tcPr>
            <w:tcW w:w="956" w:type="pct"/>
          </w:tcPr>
          <w:p w14:paraId="137F829C" w14:textId="77777777" w:rsidR="00A340EE" w:rsidRPr="0047058F" w:rsidRDefault="00A340EE" w:rsidP="00055107">
            <w:pPr>
              <w:pStyle w:val="TableText"/>
              <w:spacing w:before="24" w:after="24"/>
              <w:jc w:val="right"/>
            </w:pPr>
            <w:r w:rsidRPr="0047058F">
              <w:t>2.8</w:t>
            </w:r>
          </w:p>
        </w:tc>
      </w:tr>
      <w:tr w:rsidR="00A340EE" w:rsidRPr="0047058F" w14:paraId="383E24BD"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421D3AE6" w14:textId="77777777" w:rsidR="00A340EE" w:rsidRPr="0047058F" w:rsidRDefault="00A340EE" w:rsidP="00055107">
            <w:pPr>
              <w:pStyle w:val="TableText"/>
              <w:spacing w:before="24" w:after="24"/>
              <w:rPr>
                <w:rFonts w:cs="Calibri"/>
                <w:szCs w:val="14"/>
              </w:rPr>
            </w:pPr>
            <w:r w:rsidRPr="0047058F">
              <w:rPr>
                <w:rFonts w:cs="Calibri"/>
                <w:szCs w:val="14"/>
              </w:rPr>
              <w:t>Pregnancy</w:t>
            </w:r>
          </w:p>
        </w:tc>
        <w:tc>
          <w:tcPr>
            <w:tcW w:w="956" w:type="pct"/>
          </w:tcPr>
          <w:p w14:paraId="766969E9" w14:textId="77777777" w:rsidR="00A340EE" w:rsidRPr="0047058F" w:rsidRDefault="00A340EE" w:rsidP="00055107">
            <w:pPr>
              <w:pStyle w:val="TableText"/>
              <w:spacing w:before="24" w:after="24"/>
              <w:jc w:val="right"/>
            </w:pPr>
            <w:r w:rsidRPr="0047058F">
              <w:rPr>
                <w:rFonts w:cs="Calibri"/>
                <w:szCs w:val="14"/>
              </w:rPr>
              <w:t>–</w:t>
            </w:r>
            <w:r w:rsidRPr="0047058F">
              <w:rPr>
                <w:rFonts w:cs="Calibri"/>
                <w:szCs w:val="14"/>
                <w:vertAlign w:val="superscript"/>
              </w:rPr>
              <w:t>#</w:t>
            </w:r>
          </w:p>
        </w:tc>
        <w:tc>
          <w:tcPr>
            <w:tcW w:w="956" w:type="pct"/>
          </w:tcPr>
          <w:p w14:paraId="4511001D" w14:textId="77777777" w:rsidR="00A340EE" w:rsidRPr="0047058F" w:rsidRDefault="00A340EE" w:rsidP="00055107">
            <w:pPr>
              <w:pStyle w:val="TableText"/>
              <w:spacing w:before="24" w:after="24"/>
              <w:jc w:val="right"/>
            </w:pPr>
            <w:r w:rsidRPr="0047058F">
              <w:rPr>
                <w:rFonts w:cs="Calibri"/>
                <w:szCs w:val="14"/>
              </w:rPr>
              <w:t>–</w:t>
            </w:r>
          </w:p>
        </w:tc>
      </w:tr>
      <w:tr w:rsidR="00A340EE" w:rsidRPr="0047058F" w14:paraId="5706F210" w14:textId="77777777" w:rsidTr="001E395F">
        <w:tc>
          <w:tcPr>
            <w:tcW w:w="3088" w:type="pct"/>
            <w:hideMark/>
          </w:tcPr>
          <w:p w14:paraId="43143616" w14:textId="77777777" w:rsidR="00A340EE" w:rsidRPr="0047058F" w:rsidRDefault="00A340EE" w:rsidP="00055107">
            <w:pPr>
              <w:pStyle w:val="TableText"/>
              <w:spacing w:before="24" w:after="24"/>
              <w:rPr>
                <w:rFonts w:cs="Calibri"/>
                <w:szCs w:val="14"/>
              </w:rPr>
            </w:pPr>
            <w:r w:rsidRPr="0047058F">
              <w:rPr>
                <w:rFonts w:cs="Calibri"/>
                <w:szCs w:val="14"/>
              </w:rPr>
              <w:t>Posting issues (i.e. unhappy with location or nature of postings)</w:t>
            </w:r>
          </w:p>
        </w:tc>
        <w:tc>
          <w:tcPr>
            <w:tcW w:w="956" w:type="pct"/>
          </w:tcPr>
          <w:p w14:paraId="796BB225" w14:textId="77777777" w:rsidR="00A340EE" w:rsidRPr="0047058F" w:rsidRDefault="00A340EE" w:rsidP="00055107">
            <w:pPr>
              <w:pStyle w:val="TableText"/>
              <w:spacing w:before="24" w:after="24"/>
              <w:jc w:val="right"/>
            </w:pPr>
            <w:r w:rsidRPr="0047058F">
              <w:t>142</w:t>
            </w:r>
          </w:p>
        </w:tc>
        <w:tc>
          <w:tcPr>
            <w:tcW w:w="956" w:type="pct"/>
          </w:tcPr>
          <w:p w14:paraId="339E3293" w14:textId="77777777" w:rsidR="00A340EE" w:rsidRPr="0047058F" w:rsidRDefault="00A340EE" w:rsidP="00055107">
            <w:pPr>
              <w:pStyle w:val="TableText"/>
              <w:spacing w:before="24" w:after="24"/>
              <w:jc w:val="right"/>
            </w:pPr>
            <w:r w:rsidRPr="0047058F">
              <w:t>6.1</w:t>
            </w:r>
          </w:p>
        </w:tc>
      </w:tr>
      <w:tr w:rsidR="00A340EE" w:rsidRPr="0047058F" w14:paraId="263FC256"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408146A6" w14:textId="77777777" w:rsidR="00A340EE" w:rsidRPr="0047058F" w:rsidRDefault="00A340EE" w:rsidP="00055107">
            <w:pPr>
              <w:pStyle w:val="TableText"/>
              <w:spacing w:before="24" w:after="24"/>
              <w:rPr>
                <w:rFonts w:cs="Calibri"/>
                <w:szCs w:val="14"/>
              </w:rPr>
            </w:pPr>
            <w:r w:rsidRPr="0047058F">
              <w:rPr>
                <w:rFonts w:cs="Calibri"/>
                <w:szCs w:val="14"/>
              </w:rPr>
              <w:t>Too many deployments</w:t>
            </w:r>
          </w:p>
        </w:tc>
        <w:tc>
          <w:tcPr>
            <w:tcW w:w="956" w:type="pct"/>
          </w:tcPr>
          <w:p w14:paraId="3A802B4B" w14:textId="77777777" w:rsidR="00A340EE" w:rsidRPr="0047058F" w:rsidRDefault="00A340EE" w:rsidP="00055107">
            <w:pPr>
              <w:pStyle w:val="TableText"/>
              <w:spacing w:before="24" w:after="24"/>
              <w:jc w:val="right"/>
            </w:pPr>
            <w:r w:rsidRPr="0047058F">
              <w:rPr>
                <w:rFonts w:cs="Calibri"/>
                <w:szCs w:val="14"/>
              </w:rPr>
              <w:t>–</w:t>
            </w:r>
            <w:r w:rsidRPr="0047058F">
              <w:rPr>
                <w:rFonts w:cs="Calibri"/>
                <w:szCs w:val="14"/>
                <w:vertAlign w:val="superscript"/>
              </w:rPr>
              <w:t>#</w:t>
            </w:r>
          </w:p>
        </w:tc>
        <w:tc>
          <w:tcPr>
            <w:tcW w:w="956" w:type="pct"/>
          </w:tcPr>
          <w:p w14:paraId="62099FAE" w14:textId="77777777" w:rsidR="00A340EE" w:rsidRPr="0047058F" w:rsidRDefault="00A340EE" w:rsidP="00055107">
            <w:pPr>
              <w:pStyle w:val="TableText"/>
              <w:spacing w:before="24" w:after="24"/>
              <w:jc w:val="right"/>
            </w:pPr>
            <w:r w:rsidRPr="0047058F">
              <w:rPr>
                <w:rFonts w:cs="Calibri"/>
                <w:szCs w:val="14"/>
              </w:rPr>
              <w:t>–</w:t>
            </w:r>
          </w:p>
        </w:tc>
      </w:tr>
      <w:tr w:rsidR="00A340EE" w:rsidRPr="0047058F" w14:paraId="0B986A38" w14:textId="77777777" w:rsidTr="001E395F">
        <w:tc>
          <w:tcPr>
            <w:tcW w:w="3088" w:type="pct"/>
            <w:hideMark/>
          </w:tcPr>
          <w:p w14:paraId="770F14D6" w14:textId="77777777" w:rsidR="00A340EE" w:rsidRPr="0047058F" w:rsidRDefault="00A340EE" w:rsidP="00055107">
            <w:pPr>
              <w:pStyle w:val="TableText"/>
              <w:spacing w:before="24" w:after="24"/>
              <w:rPr>
                <w:rFonts w:cs="Calibri"/>
                <w:szCs w:val="14"/>
              </w:rPr>
            </w:pPr>
            <w:r w:rsidRPr="0047058F">
              <w:rPr>
                <w:rFonts w:cs="Calibri"/>
                <w:szCs w:val="14"/>
              </w:rPr>
              <w:t>Not enough deployments</w:t>
            </w:r>
          </w:p>
        </w:tc>
        <w:tc>
          <w:tcPr>
            <w:tcW w:w="956" w:type="pct"/>
          </w:tcPr>
          <w:p w14:paraId="189F4D68" w14:textId="77777777" w:rsidR="00A340EE" w:rsidRPr="0047058F" w:rsidRDefault="00A340EE" w:rsidP="00055107">
            <w:pPr>
              <w:pStyle w:val="TableText"/>
              <w:spacing w:before="24" w:after="24"/>
              <w:jc w:val="right"/>
            </w:pPr>
            <w:r w:rsidRPr="0047058F">
              <w:t>22</w:t>
            </w:r>
          </w:p>
        </w:tc>
        <w:tc>
          <w:tcPr>
            <w:tcW w:w="956" w:type="pct"/>
          </w:tcPr>
          <w:p w14:paraId="32694568" w14:textId="77777777" w:rsidR="00A340EE" w:rsidRPr="0047058F" w:rsidRDefault="00A340EE" w:rsidP="00055107">
            <w:pPr>
              <w:pStyle w:val="TableText"/>
              <w:spacing w:before="24" w:after="24"/>
              <w:jc w:val="right"/>
            </w:pPr>
            <w:r w:rsidRPr="0047058F">
              <w:t>0.9</w:t>
            </w:r>
          </w:p>
        </w:tc>
      </w:tr>
      <w:tr w:rsidR="00A340EE" w:rsidRPr="0047058F" w14:paraId="011F7DEC"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712FAC19" w14:textId="77777777" w:rsidR="00A340EE" w:rsidRPr="0047058F" w:rsidRDefault="00A340EE" w:rsidP="00055107">
            <w:pPr>
              <w:pStyle w:val="TableText"/>
              <w:spacing w:before="24" w:after="24"/>
              <w:rPr>
                <w:rFonts w:cs="Calibri"/>
                <w:szCs w:val="14"/>
              </w:rPr>
            </w:pPr>
            <w:r w:rsidRPr="0047058F">
              <w:rPr>
                <w:rFonts w:cs="Calibri"/>
                <w:szCs w:val="14"/>
              </w:rPr>
              <w:t>Because of my experiences on deployment</w:t>
            </w:r>
          </w:p>
        </w:tc>
        <w:tc>
          <w:tcPr>
            <w:tcW w:w="956" w:type="pct"/>
          </w:tcPr>
          <w:p w14:paraId="4CEA3F68" w14:textId="77777777" w:rsidR="00A340EE" w:rsidRPr="0047058F" w:rsidRDefault="00A340EE" w:rsidP="00055107">
            <w:pPr>
              <w:pStyle w:val="TableText"/>
              <w:spacing w:before="24" w:after="24"/>
              <w:jc w:val="right"/>
            </w:pPr>
            <w:r w:rsidRPr="0047058F">
              <w:t>16</w:t>
            </w:r>
          </w:p>
        </w:tc>
        <w:tc>
          <w:tcPr>
            <w:tcW w:w="956" w:type="pct"/>
          </w:tcPr>
          <w:p w14:paraId="518F4A3A" w14:textId="77777777" w:rsidR="00A340EE" w:rsidRPr="0047058F" w:rsidRDefault="00A340EE" w:rsidP="00055107">
            <w:pPr>
              <w:pStyle w:val="TableText"/>
              <w:spacing w:before="24" w:after="24"/>
              <w:jc w:val="right"/>
            </w:pPr>
            <w:r w:rsidRPr="0047058F">
              <w:t>0.7</w:t>
            </w:r>
          </w:p>
        </w:tc>
      </w:tr>
      <w:tr w:rsidR="00A340EE" w:rsidRPr="0047058F" w14:paraId="7BC62CD4" w14:textId="77777777" w:rsidTr="001E395F">
        <w:tc>
          <w:tcPr>
            <w:tcW w:w="3088" w:type="pct"/>
            <w:hideMark/>
          </w:tcPr>
          <w:p w14:paraId="302E7AF6" w14:textId="77777777" w:rsidR="00A340EE" w:rsidRPr="0047058F" w:rsidRDefault="00A340EE" w:rsidP="00055107">
            <w:pPr>
              <w:pStyle w:val="TableText"/>
              <w:spacing w:before="24" w:after="24"/>
              <w:rPr>
                <w:rFonts w:cs="Calibri"/>
                <w:szCs w:val="14"/>
              </w:rPr>
            </w:pPr>
            <w:r w:rsidRPr="0047058F">
              <w:rPr>
                <w:rFonts w:cs="Calibri"/>
                <w:szCs w:val="14"/>
              </w:rPr>
              <w:t>Work not exciting or challenging enough</w:t>
            </w:r>
          </w:p>
        </w:tc>
        <w:tc>
          <w:tcPr>
            <w:tcW w:w="956" w:type="pct"/>
          </w:tcPr>
          <w:p w14:paraId="022FFA00" w14:textId="77777777" w:rsidR="00A340EE" w:rsidRPr="0047058F" w:rsidRDefault="00A340EE" w:rsidP="00055107">
            <w:pPr>
              <w:pStyle w:val="TableText"/>
              <w:spacing w:before="24" w:after="24"/>
              <w:jc w:val="right"/>
            </w:pPr>
            <w:r w:rsidRPr="0047058F">
              <w:t>41</w:t>
            </w:r>
          </w:p>
        </w:tc>
        <w:tc>
          <w:tcPr>
            <w:tcW w:w="956" w:type="pct"/>
          </w:tcPr>
          <w:p w14:paraId="05968DAF" w14:textId="77777777" w:rsidR="00A340EE" w:rsidRPr="0047058F" w:rsidRDefault="00A340EE" w:rsidP="00055107">
            <w:pPr>
              <w:pStyle w:val="TableText"/>
              <w:spacing w:before="24" w:after="24"/>
              <w:jc w:val="right"/>
            </w:pPr>
            <w:r w:rsidRPr="0047058F">
              <w:t>1.8</w:t>
            </w:r>
          </w:p>
        </w:tc>
      </w:tr>
      <w:tr w:rsidR="00A340EE" w:rsidRPr="0047058F" w14:paraId="704B0E9C"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7CB2CDAE" w14:textId="77777777" w:rsidR="00A340EE" w:rsidRPr="0047058F" w:rsidRDefault="00A340EE" w:rsidP="00055107">
            <w:pPr>
              <w:pStyle w:val="TableText"/>
              <w:spacing w:before="24" w:after="24"/>
              <w:rPr>
                <w:rFonts w:cs="Calibri"/>
                <w:szCs w:val="14"/>
              </w:rPr>
            </w:pPr>
            <w:r w:rsidRPr="0047058F">
              <w:rPr>
                <w:rFonts w:cs="Calibri"/>
                <w:szCs w:val="14"/>
              </w:rPr>
              <w:t>Dissatisfaction with pay</w:t>
            </w:r>
          </w:p>
        </w:tc>
        <w:tc>
          <w:tcPr>
            <w:tcW w:w="956" w:type="pct"/>
          </w:tcPr>
          <w:p w14:paraId="72899181" w14:textId="77777777" w:rsidR="00A340EE" w:rsidRPr="0047058F" w:rsidRDefault="00A340EE" w:rsidP="00055107">
            <w:pPr>
              <w:pStyle w:val="TableText"/>
              <w:spacing w:before="24" w:after="24"/>
              <w:jc w:val="right"/>
            </w:pPr>
            <w:r w:rsidRPr="0047058F">
              <w:t>16</w:t>
            </w:r>
          </w:p>
        </w:tc>
        <w:tc>
          <w:tcPr>
            <w:tcW w:w="956" w:type="pct"/>
          </w:tcPr>
          <w:p w14:paraId="22A00776" w14:textId="77777777" w:rsidR="00A340EE" w:rsidRPr="0047058F" w:rsidRDefault="00A340EE" w:rsidP="00055107">
            <w:pPr>
              <w:pStyle w:val="TableText"/>
              <w:spacing w:before="24" w:after="24"/>
              <w:jc w:val="right"/>
            </w:pPr>
            <w:r w:rsidRPr="0047058F">
              <w:t>0.7</w:t>
            </w:r>
          </w:p>
        </w:tc>
      </w:tr>
      <w:tr w:rsidR="00A340EE" w:rsidRPr="0047058F" w14:paraId="6580D728" w14:textId="77777777" w:rsidTr="001E395F">
        <w:tc>
          <w:tcPr>
            <w:tcW w:w="3088" w:type="pct"/>
            <w:hideMark/>
          </w:tcPr>
          <w:p w14:paraId="0A7C6139" w14:textId="77777777" w:rsidR="00A340EE" w:rsidRPr="0047058F" w:rsidRDefault="00A340EE" w:rsidP="00055107">
            <w:pPr>
              <w:pStyle w:val="TableText"/>
              <w:spacing w:before="24" w:after="24"/>
              <w:rPr>
                <w:rFonts w:cs="Calibri"/>
                <w:szCs w:val="14"/>
              </w:rPr>
            </w:pPr>
            <w:r w:rsidRPr="0047058F">
              <w:rPr>
                <w:rFonts w:cs="Calibri"/>
                <w:szCs w:val="14"/>
              </w:rPr>
              <w:t>Personal experience of harassment/bullying/discrimination in the ADF</w:t>
            </w:r>
          </w:p>
        </w:tc>
        <w:tc>
          <w:tcPr>
            <w:tcW w:w="956" w:type="pct"/>
          </w:tcPr>
          <w:p w14:paraId="60AA8692" w14:textId="77777777" w:rsidR="00A340EE" w:rsidRPr="0047058F" w:rsidRDefault="00A340EE" w:rsidP="00055107">
            <w:pPr>
              <w:pStyle w:val="TableText"/>
              <w:spacing w:before="24" w:after="24"/>
              <w:jc w:val="right"/>
            </w:pPr>
            <w:r w:rsidRPr="0047058F">
              <w:t>73</w:t>
            </w:r>
          </w:p>
        </w:tc>
        <w:tc>
          <w:tcPr>
            <w:tcW w:w="956" w:type="pct"/>
          </w:tcPr>
          <w:p w14:paraId="08F97818" w14:textId="77777777" w:rsidR="00A340EE" w:rsidRPr="0047058F" w:rsidRDefault="00A340EE" w:rsidP="00055107">
            <w:pPr>
              <w:pStyle w:val="TableText"/>
              <w:spacing w:before="24" w:after="24"/>
              <w:jc w:val="right"/>
            </w:pPr>
            <w:r w:rsidRPr="0047058F">
              <w:t>3.1</w:t>
            </w:r>
          </w:p>
        </w:tc>
      </w:tr>
      <w:tr w:rsidR="00A340EE" w:rsidRPr="0047058F" w14:paraId="284C5777"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1ACAFA57" w14:textId="77777777" w:rsidR="00A340EE" w:rsidRPr="0047058F" w:rsidRDefault="00A340EE" w:rsidP="00055107">
            <w:pPr>
              <w:pStyle w:val="TableText"/>
              <w:spacing w:before="24" w:after="24"/>
              <w:rPr>
                <w:rFonts w:cs="Calibri"/>
                <w:szCs w:val="14"/>
              </w:rPr>
            </w:pPr>
            <w:r w:rsidRPr="0047058F">
              <w:rPr>
                <w:rFonts w:cs="Calibri"/>
                <w:szCs w:val="14"/>
              </w:rPr>
              <w:t>Personal experience of violence in the ADF</w:t>
            </w:r>
          </w:p>
        </w:tc>
        <w:tc>
          <w:tcPr>
            <w:tcW w:w="956" w:type="pct"/>
          </w:tcPr>
          <w:p w14:paraId="77F2A927" w14:textId="77777777" w:rsidR="00A340EE" w:rsidRPr="0047058F" w:rsidRDefault="00A340EE" w:rsidP="00055107">
            <w:pPr>
              <w:pStyle w:val="TableText"/>
              <w:spacing w:before="24" w:after="24"/>
              <w:jc w:val="right"/>
            </w:pPr>
            <w:r w:rsidRPr="0047058F">
              <w:rPr>
                <w:rFonts w:cs="Calibri"/>
                <w:szCs w:val="14"/>
              </w:rPr>
              <w:t>–</w:t>
            </w:r>
            <w:r w:rsidRPr="0047058F">
              <w:rPr>
                <w:rFonts w:cs="Calibri"/>
                <w:szCs w:val="14"/>
                <w:vertAlign w:val="superscript"/>
              </w:rPr>
              <w:t>#</w:t>
            </w:r>
          </w:p>
        </w:tc>
        <w:tc>
          <w:tcPr>
            <w:tcW w:w="956" w:type="pct"/>
          </w:tcPr>
          <w:p w14:paraId="33503D4C" w14:textId="77777777" w:rsidR="00A340EE" w:rsidRPr="0047058F" w:rsidRDefault="00A340EE" w:rsidP="00055107">
            <w:pPr>
              <w:pStyle w:val="TableText"/>
              <w:spacing w:before="24" w:after="24"/>
              <w:jc w:val="right"/>
            </w:pPr>
            <w:r w:rsidRPr="0047058F">
              <w:rPr>
                <w:rFonts w:cs="Calibri"/>
                <w:szCs w:val="14"/>
              </w:rPr>
              <w:t>–</w:t>
            </w:r>
          </w:p>
        </w:tc>
      </w:tr>
      <w:tr w:rsidR="00A340EE" w:rsidRPr="0047058F" w14:paraId="6623F5C9" w14:textId="77777777" w:rsidTr="001E395F">
        <w:tc>
          <w:tcPr>
            <w:tcW w:w="3088" w:type="pct"/>
            <w:hideMark/>
          </w:tcPr>
          <w:p w14:paraId="13C43551" w14:textId="77777777" w:rsidR="00A340EE" w:rsidRPr="0047058F" w:rsidRDefault="00A340EE" w:rsidP="00055107">
            <w:pPr>
              <w:pStyle w:val="TableText"/>
              <w:spacing w:before="24" w:after="24"/>
              <w:rPr>
                <w:rFonts w:cs="Calibri"/>
                <w:szCs w:val="14"/>
              </w:rPr>
            </w:pPr>
            <w:r w:rsidRPr="0047058F">
              <w:rPr>
                <w:rFonts w:cs="Calibri"/>
                <w:szCs w:val="14"/>
              </w:rPr>
              <w:t>Disciplinary action or criminal offence</w:t>
            </w:r>
          </w:p>
        </w:tc>
        <w:tc>
          <w:tcPr>
            <w:tcW w:w="956" w:type="pct"/>
          </w:tcPr>
          <w:p w14:paraId="693E2A08" w14:textId="77777777" w:rsidR="00A340EE" w:rsidRPr="0047058F" w:rsidRDefault="00A340EE" w:rsidP="00055107">
            <w:pPr>
              <w:pStyle w:val="TableText"/>
              <w:spacing w:before="24" w:after="24"/>
              <w:jc w:val="right"/>
            </w:pPr>
            <w:r w:rsidRPr="0047058F">
              <w:rPr>
                <w:rFonts w:cs="Calibri"/>
                <w:szCs w:val="14"/>
              </w:rPr>
              <w:t>–</w:t>
            </w:r>
            <w:r w:rsidRPr="0047058F">
              <w:rPr>
                <w:rFonts w:cs="Calibri"/>
                <w:szCs w:val="14"/>
                <w:vertAlign w:val="superscript"/>
              </w:rPr>
              <w:t>#</w:t>
            </w:r>
          </w:p>
        </w:tc>
        <w:tc>
          <w:tcPr>
            <w:tcW w:w="956" w:type="pct"/>
          </w:tcPr>
          <w:p w14:paraId="10DF6B4C" w14:textId="77777777" w:rsidR="00A340EE" w:rsidRPr="0047058F" w:rsidRDefault="00A340EE" w:rsidP="00055107">
            <w:pPr>
              <w:pStyle w:val="TableText"/>
              <w:spacing w:before="24" w:after="24"/>
              <w:jc w:val="right"/>
            </w:pPr>
            <w:r w:rsidRPr="0047058F">
              <w:rPr>
                <w:rFonts w:cs="Calibri"/>
                <w:szCs w:val="14"/>
              </w:rPr>
              <w:t>–</w:t>
            </w:r>
          </w:p>
        </w:tc>
      </w:tr>
      <w:tr w:rsidR="00A340EE" w:rsidRPr="0047058F" w14:paraId="3EEFB32F"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0C98FC2F" w14:textId="77777777" w:rsidR="00A340EE" w:rsidRPr="0047058F" w:rsidRDefault="00A340EE" w:rsidP="00055107">
            <w:pPr>
              <w:pStyle w:val="TableText"/>
              <w:spacing w:before="24" w:after="24"/>
              <w:rPr>
                <w:rFonts w:cs="Calibri"/>
                <w:szCs w:val="14"/>
              </w:rPr>
            </w:pPr>
            <w:r w:rsidRPr="0047058F">
              <w:rPr>
                <w:rFonts w:cs="Calibri"/>
                <w:szCs w:val="14"/>
              </w:rPr>
              <w:t>My service was terminated</w:t>
            </w:r>
          </w:p>
        </w:tc>
        <w:tc>
          <w:tcPr>
            <w:tcW w:w="956" w:type="pct"/>
          </w:tcPr>
          <w:p w14:paraId="640F5A95" w14:textId="77777777" w:rsidR="00A340EE" w:rsidRPr="0047058F" w:rsidRDefault="00A340EE" w:rsidP="00055107">
            <w:pPr>
              <w:pStyle w:val="TableText"/>
              <w:spacing w:before="24" w:after="24"/>
              <w:jc w:val="right"/>
            </w:pPr>
            <w:r w:rsidRPr="0047058F">
              <w:t>54</w:t>
            </w:r>
          </w:p>
        </w:tc>
        <w:tc>
          <w:tcPr>
            <w:tcW w:w="956" w:type="pct"/>
          </w:tcPr>
          <w:p w14:paraId="3C12F938" w14:textId="77777777" w:rsidR="00A340EE" w:rsidRPr="0047058F" w:rsidRDefault="00A340EE" w:rsidP="00055107">
            <w:pPr>
              <w:pStyle w:val="TableText"/>
              <w:spacing w:before="24" w:after="24"/>
              <w:jc w:val="right"/>
            </w:pPr>
            <w:r w:rsidRPr="0047058F">
              <w:t>2.3</w:t>
            </w:r>
          </w:p>
        </w:tc>
      </w:tr>
      <w:tr w:rsidR="00A340EE" w:rsidRPr="0047058F" w14:paraId="587D8111" w14:textId="77777777" w:rsidTr="001E395F">
        <w:tc>
          <w:tcPr>
            <w:tcW w:w="3088" w:type="pct"/>
            <w:hideMark/>
          </w:tcPr>
          <w:p w14:paraId="0CB9E3C0" w14:textId="77777777" w:rsidR="00A340EE" w:rsidRPr="0047058F" w:rsidRDefault="00A340EE" w:rsidP="00055107">
            <w:pPr>
              <w:pStyle w:val="TableText"/>
              <w:spacing w:before="24" w:after="24"/>
              <w:rPr>
                <w:rFonts w:cs="Calibri"/>
                <w:szCs w:val="14"/>
              </w:rPr>
            </w:pPr>
            <w:r w:rsidRPr="0047058F">
              <w:rPr>
                <w:rFonts w:cs="Calibri"/>
                <w:szCs w:val="14"/>
              </w:rPr>
              <w:t>Physical health problems</w:t>
            </w:r>
          </w:p>
        </w:tc>
        <w:tc>
          <w:tcPr>
            <w:tcW w:w="956" w:type="pct"/>
          </w:tcPr>
          <w:p w14:paraId="5262EFC6" w14:textId="77777777" w:rsidR="00A340EE" w:rsidRPr="0047058F" w:rsidRDefault="00A340EE" w:rsidP="00055107">
            <w:pPr>
              <w:pStyle w:val="TableText"/>
              <w:spacing w:before="24" w:after="24"/>
              <w:jc w:val="right"/>
            </w:pPr>
            <w:r w:rsidRPr="0047058F">
              <w:t>143</w:t>
            </w:r>
          </w:p>
        </w:tc>
        <w:tc>
          <w:tcPr>
            <w:tcW w:w="956" w:type="pct"/>
          </w:tcPr>
          <w:p w14:paraId="38957385" w14:textId="77777777" w:rsidR="00A340EE" w:rsidRPr="0047058F" w:rsidRDefault="00A340EE" w:rsidP="00055107">
            <w:pPr>
              <w:pStyle w:val="TableText"/>
              <w:spacing w:before="24" w:after="24"/>
              <w:jc w:val="right"/>
            </w:pPr>
            <w:r w:rsidRPr="0047058F">
              <w:t>6.1</w:t>
            </w:r>
          </w:p>
        </w:tc>
      </w:tr>
      <w:tr w:rsidR="00A340EE" w:rsidRPr="0047058F" w14:paraId="3E511CFC"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61CD5B84" w14:textId="77777777" w:rsidR="00A340EE" w:rsidRPr="0047058F" w:rsidRDefault="00A340EE" w:rsidP="00055107">
            <w:pPr>
              <w:pStyle w:val="TableText"/>
              <w:spacing w:before="24" w:after="24"/>
              <w:rPr>
                <w:rFonts w:cs="Calibri"/>
                <w:szCs w:val="14"/>
              </w:rPr>
            </w:pPr>
            <w:r w:rsidRPr="0047058F">
              <w:rPr>
                <w:rFonts w:cs="Calibri"/>
                <w:szCs w:val="14"/>
              </w:rPr>
              <w:t>Mental health problems</w:t>
            </w:r>
          </w:p>
        </w:tc>
        <w:tc>
          <w:tcPr>
            <w:tcW w:w="956" w:type="pct"/>
          </w:tcPr>
          <w:p w14:paraId="1E3CB7D6" w14:textId="77777777" w:rsidR="00A340EE" w:rsidRPr="0047058F" w:rsidRDefault="00A340EE" w:rsidP="00055107">
            <w:pPr>
              <w:pStyle w:val="TableText"/>
              <w:spacing w:before="24" w:after="24"/>
              <w:jc w:val="right"/>
            </w:pPr>
            <w:r w:rsidRPr="0047058F">
              <w:t>138</w:t>
            </w:r>
          </w:p>
        </w:tc>
        <w:tc>
          <w:tcPr>
            <w:tcW w:w="956" w:type="pct"/>
          </w:tcPr>
          <w:p w14:paraId="1A656144" w14:textId="77777777" w:rsidR="00A340EE" w:rsidRPr="0047058F" w:rsidRDefault="00A340EE" w:rsidP="00055107">
            <w:pPr>
              <w:pStyle w:val="TableText"/>
              <w:spacing w:before="24" w:after="24"/>
              <w:jc w:val="right"/>
            </w:pPr>
            <w:r w:rsidRPr="0047058F">
              <w:t>5.9</w:t>
            </w:r>
          </w:p>
        </w:tc>
      </w:tr>
      <w:tr w:rsidR="00A340EE" w:rsidRPr="0047058F" w14:paraId="3E7ACA97" w14:textId="77777777" w:rsidTr="001E395F">
        <w:tc>
          <w:tcPr>
            <w:tcW w:w="3088" w:type="pct"/>
            <w:hideMark/>
          </w:tcPr>
          <w:p w14:paraId="48D1BAA0" w14:textId="77777777" w:rsidR="00A340EE" w:rsidRPr="0047058F" w:rsidRDefault="00A340EE" w:rsidP="00055107">
            <w:pPr>
              <w:pStyle w:val="TableText"/>
              <w:spacing w:before="24" w:after="24"/>
              <w:rPr>
                <w:rFonts w:cs="Calibri"/>
                <w:szCs w:val="14"/>
              </w:rPr>
            </w:pPr>
            <w:r w:rsidRPr="0047058F">
              <w:rPr>
                <w:rFonts w:cs="Calibri"/>
                <w:szCs w:val="14"/>
              </w:rPr>
              <w:t>Other</w:t>
            </w:r>
          </w:p>
        </w:tc>
        <w:tc>
          <w:tcPr>
            <w:tcW w:w="956" w:type="pct"/>
          </w:tcPr>
          <w:p w14:paraId="30F1661D" w14:textId="77777777" w:rsidR="00A340EE" w:rsidRPr="0047058F" w:rsidRDefault="00A340EE" w:rsidP="00055107">
            <w:pPr>
              <w:pStyle w:val="TableText"/>
              <w:spacing w:before="24" w:after="24"/>
              <w:jc w:val="right"/>
            </w:pPr>
            <w:r w:rsidRPr="0047058F">
              <w:t>95</w:t>
            </w:r>
          </w:p>
        </w:tc>
        <w:tc>
          <w:tcPr>
            <w:tcW w:w="956" w:type="pct"/>
          </w:tcPr>
          <w:p w14:paraId="37E74625" w14:textId="77777777" w:rsidR="00A340EE" w:rsidRPr="0047058F" w:rsidRDefault="00A340EE" w:rsidP="00055107">
            <w:pPr>
              <w:pStyle w:val="TableText"/>
              <w:spacing w:before="24" w:after="24"/>
              <w:jc w:val="right"/>
            </w:pPr>
            <w:r w:rsidRPr="0047058F">
              <w:t>4.1</w:t>
            </w:r>
          </w:p>
        </w:tc>
      </w:tr>
    </w:tbl>
    <w:p w14:paraId="07BAD1D5" w14:textId="77777777" w:rsidR="00A340EE" w:rsidRPr="0047058F" w:rsidRDefault="00A340EE" w:rsidP="00A340EE">
      <w:pPr>
        <w:pStyle w:val="TableNotes"/>
      </w:pPr>
      <w:r w:rsidRPr="0047058F">
        <w:t># Cell size too small to be reported.</w:t>
      </w:r>
    </w:p>
    <w:p w14:paraId="25109D17" w14:textId="1082F068" w:rsidR="00A340EE" w:rsidRPr="0047058F" w:rsidRDefault="00A340EE" w:rsidP="00A340EE">
      <w:pPr>
        <w:pStyle w:val="TableNotes"/>
      </w:pPr>
      <w:r w:rsidRPr="0047058F">
        <w:t>Missing: Serving status – 6 (0.3%), Years since transition</w:t>
      </w:r>
      <w:r w:rsidR="0076220C">
        <w:t>ed</w:t>
      </w:r>
      <w:r w:rsidRPr="0047058F">
        <w:t xml:space="preserve"> – 106 (4.6%), Type of discharge – 53 (2.3%), Main reason – 973 (41.7%).</w:t>
      </w:r>
    </w:p>
    <w:p w14:paraId="0967447D" w14:textId="77777777" w:rsidR="00A340EE" w:rsidRPr="0047058F" w:rsidRDefault="00A340EE" w:rsidP="001E395F">
      <w:r w:rsidRPr="0047058F">
        <w:t>Table 3.4 summarises employment and Department of Veterans’ Affairs (DVA) support characteristics for Transitioned ADF members. Just over half of the Transitioned ADF responders reported being engaged in civilian employment (55.3%). For those individuals, the most common industries of employment were government administration and defence (29.0%), transport and storage (9.1%), and health and community services (9.0%). Industry of employment was not reported for 1.4%. Of those who were not engaged in civilian employment, a considerable proportion reported a period of three months or longer in which they were unemployed (38.8%) since transitioning from the Regular ADF. Over 45% of Transitioned ADF members reported accessing DVA-funded treatment through either a DVA White Card (39.3%) or DVA Gold Card (5.9%).</w:t>
      </w:r>
    </w:p>
    <w:p w14:paraId="59BB2DAD" w14:textId="77777777" w:rsidR="001E395F" w:rsidRPr="0047058F" w:rsidRDefault="001E395F" w:rsidP="00A340EE">
      <w:bookmarkStart w:id="172" w:name="_Ref484433313"/>
      <w:bookmarkStart w:id="173" w:name="_Toc479243378"/>
      <w:bookmarkStart w:id="174" w:name="_Toc482023764"/>
      <w:bookmarkStart w:id="175" w:name="_Toc487014250"/>
      <w:bookmarkStart w:id="176" w:name="_Toc529117506"/>
      <w:r w:rsidRPr="0047058F">
        <w:t>As seen in Table 3.5, just under half of the Transitioned ADF reported joining an ex-service organisation or voluntary group. An extremely small proportion of the Transitioned ADF reported having been arrested (1.1%) or convicted (0.9%) since transitioning from Regular ADF service.</w:t>
      </w:r>
    </w:p>
    <w:p w14:paraId="7CD41D83" w14:textId="77777777" w:rsidR="00A340EE" w:rsidRPr="0047058F" w:rsidRDefault="00A340EE" w:rsidP="00A340EE">
      <w:pPr>
        <w:pStyle w:val="TableName"/>
        <w:rPr>
          <w:rFonts w:cs="Calibri"/>
        </w:rPr>
      </w:pPr>
      <w:bookmarkStart w:id="177" w:name="_Toc532473576"/>
      <w:r w:rsidRPr="0047058F">
        <w:t>Table 3.4</w:t>
      </w:r>
      <w:bookmarkEnd w:id="172"/>
      <w:r w:rsidRPr="0047058F">
        <w:tab/>
        <w:t>Unweighted civilian employment and DVA support in Transitioned ADF</w:t>
      </w:r>
      <w:bookmarkEnd w:id="173"/>
      <w:bookmarkEnd w:id="174"/>
      <w:bookmarkEnd w:id="175"/>
      <w:bookmarkEnd w:id="176"/>
      <w:bookmarkEnd w:id="177"/>
    </w:p>
    <w:tbl>
      <w:tblPr>
        <w:tblStyle w:val="TWRPTable"/>
        <w:tblW w:w="5000" w:type="pct"/>
        <w:tblLayout w:type="fixed"/>
        <w:tblLook w:val="04A0" w:firstRow="1" w:lastRow="0" w:firstColumn="1" w:lastColumn="0" w:noHBand="0" w:noVBand="1"/>
        <w:tblDescription w:val="Table 3.4 Unweighted civilian employment and DVA support in Transitioned ADF"/>
      </w:tblPr>
      <w:tblGrid>
        <w:gridCol w:w="4518"/>
        <w:gridCol w:w="1398"/>
        <w:gridCol w:w="1399"/>
      </w:tblGrid>
      <w:tr w:rsidR="00A340EE" w:rsidRPr="0047058F" w14:paraId="7D812419"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4518" w:type="dxa"/>
            <w:tcBorders>
              <w:top w:val="single" w:sz="4" w:space="0" w:color="000000"/>
              <w:bottom w:val="nil"/>
            </w:tcBorders>
          </w:tcPr>
          <w:p w14:paraId="707D185B" w14:textId="77777777" w:rsidR="00A340EE" w:rsidRPr="0047058F" w:rsidRDefault="00A340EE" w:rsidP="001E395F">
            <w:pPr>
              <w:pStyle w:val="TableText"/>
            </w:pPr>
          </w:p>
        </w:tc>
        <w:tc>
          <w:tcPr>
            <w:tcW w:w="2797" w:type="dxa"/>
            <w:gridSpan w:val="2"/>
            <w:hideMark/>
          </w:tcPr>
          <w:p w14:paraId="0A1C5F50" w14:textId="77777777" w:rsidR="00A340EE" w:rsidRPr="0047058F" w:rsidRDefault="00A340EE" w:rsidP="001E395F">
            <w:pPr>
              <w:pStyle w:val="TableText"/>
              <w:jc w:val="center"/>
            </w:pPr>
            <w:r w:rsidRPr="0047058F">
              <w:t>Transitioned ADF</w:t>
            </w:r>
            <w:r w:rsidRPr="0047058F">
              <w:br/>
              <w:t>n = 2334</w:t>
            </w:r>
          </w:p>
        </w:tc>
      </w:tr>
      <w:tr w:rsidR="00A340EE" w:rsidRPr="0047058F" w14:paraId="635E9A59"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4518" w:type="dxa"/>
            <w:tcBorders>
              <w:top w:val="nil"/>
            </w:tcBorders>
            <w:hideMark/>
          </w:tcPr>
          <w:p w14:paraId="5E52E172" w14:textId="77777777" w:rsidR="00A340EE" w:rsidRPr="0047058F" w:rsidRDefault="00A340EE" w:rsidP="001E395F">
            <w:pPr>
              <w:pStyle w:val="TableText"/>
            </w:pPr>
            <w:r w:rsidRPr="0047058F">
              <w:t>Civilian employment and DVA support</w:t>
            </w:r>
          </w:p>
        </w:tc>
        <w:tc>
          <w:tcPr>
            <w:tcW w:w="1398" w:type="dxa"/>
            <w:hideMark/>
          </w:tcPr>
          <w:p w14:paraId="2C9FB0C0" w14:textId="77777777" w:rsidR="00A340EE" w:rsidRPr="0047058F" w:rsidRDefault="00A340EE" w:rsidP="001E395F">
            <w:pPr>
              <w:pStyle w:val="TableText"/>
              <w:jc w:val="right"/>
            </w:pPr>
            <w:r w:rsidRPr="0047058F">
              <w:t>n</w:t>
            </w:r>
          </w:p>
        </w:tc>
        <w:tc>
          <w:tcPr>
            <w:tcW w:w="1399" w:type="dxa"/>
            <w:hideMark/>
          </w:tcPr>
          <w:p w14:paraId="054C8388" w14:textId="77777777" w:rsidR="00A340EE" w:rsidRPr="0047058F" w:rsidRDefault="00A340EE" w:rsidP="001E395F">
            <w:pPr>
              <w:pStyle w:val="TableText"/>
              <w:jc w:val="right"/>
            </w:pPr>
            <w:r w:rsidRPr="0047058F">
              <w:t>%</w:t>
            </w:r>
          </w:p>
        </w:tc>
      </w:tr>
      <w:tr w:rsidR="00A340EE" w:rsidRPr="0047058F" w14:paraId="6601B3DC"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3F542D09" w14:textId="77777777" w:rsidR="00A340EE" w:rsidRPr="0047058F" w:rsidRDefault="00A340EE" w:rsidP="001E395F">
            <w:pPr>
              <w:pStyle w:val="TableText"/>
              <w:rPr>
                <w:b/>
              </w:rPr>
            </w:pPr>
            <w:r w:rsidRPr="0047058F">
              <w:rPr>
                <w:b/>
              </w:rPr>
              <w:t>Civilian employment</w:t>
            </w:r>
          </w:p>
        </w:tc>
        <w:tc>
          <w:tcPr>
            <w:tcW w:w="1398" w:type="dxa"/>
          </w:tcPr>
          <w:p w14:paraId="1B5090E8" w14:textId="77777777" w:rsidR="00A340EE" w:rsidRPr="0047058F" w:rsidRDefault="00A340EE" w:rsidP="001E395F">
            <w:pPr>
              <w:pStyle w:val="TableText"/>
              <w:jc w:val="right"/>
            </w:pPr>
          </w:p>
        </w:tc>
        <w:tc>
          <w:tcPr>
            <w:tcW w:w="1399" w:type="dxa"/>
          </w:tcPr>
          <w:p w14:paraId="7CD3D790" w14:textId="77777777" w:rsidR="00A340EE" w:rsidRPr="0047058F" w:rsidRDefault="00A340EE" w:rsidP="001E395F">
            <w:pPr>
              <w:pStyle w:val="TableText"/>
              <w:jc w:val="right"/>
            </w:pPr>
          </w:p>
        </w:tc>
      </w:tr>
      <w:tr w:rsidR="00A340EE" w:rsidRPr="0047058F" w14:paraId="2B8FD112" w14:textId="77777777" w:rsidTr="001E395F">
        <w:tc>
          <w:tcPr>
            <w:tcW w:w="4518" w:type="dxa"/>
            <w:hideMark/>
          </w:tcPr>
          <w:p w14:paraId="6A5DE532" w14:textId="77777777" w:rsidR="00A340EE" w:rsidRPr="0047058F" w:rsidRDefault="00A340EE" w:rsidP="001E395F">
            <w:pPr>
              <w:pStyle w:val="TableText"/>
              <w:rPr>
                <w:rFonts w:cs="Calibri"/>
                <w:szCs w:val="14"/>
              </w:rPr>
            </w:pPr>
            <w:r w:rsidRPr="0047058F">
              <w:rPr>
                <w:rFonts w:cs="Calibri"/>
                <w:szCs w:val="14"/>
              </w:rPr>
              <w:t>Employed</w:t>
            </w:r>
          </w:p>
        </w:tc>
        <w:tc>
          <w:tcPr>
            <w:tcW w:w="1398" w:type="dxa"/>
          </w:tcPr>
          <w:p w14:paraId="2F2EAD0C" w14:textId="77777777" w:rsidR="00A340EE" w:rsidRPr="0047058F" w:rsidRDefault="00A340EE" w:rsidP="001E395F">
            <w:pPr>
              <w:pStyle w:val="TableText"/>
              <w:jc w:val="right"/>
            </w:pPr>
            <w:r w:rsidRPr="0047058F">
              <w:t>1291</w:t>
            </w:r>
          </w:p>
        </w:tc>
        <w:tc>
          <w:tcPr>
            <w:tcW w:w="1399" w:type="dxa"/>
          </w:tcPr>
          <w:p w14:paraId="2CB15ED5" w14:textId="77777777" w:rsidR="00A340EE" w:rsidRPr="0047058F" w:rsidRDefault="00A340EE" w:rsidP="001E395F">
            <w:pPr>
              <w:pStyle w:val="TableText"/>
              <w:jc w:val="right"/>
            </w:pPr>
            <w:r w:rsidRPr="0047058F">
              <w:t>55.3</w:t>
            </w:r>
          </w:p>
        </w:tc>
      </w:tr>
      <w:tr w:rsidR="00A340EE" w:rsidRPr="0047058F" w14:paraId="523143A3"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bottom w:val="single" w:sz="4" w:space="0" w:color="000000"/>
            </w:tcBorders>
            <w:hideMark/>
          </w:tcPr>
          <w:p w14:paraId="47546226" w14:textId="77777777" w:rsidR="00A340EE" w:rsidRPr="0047058F" w:rsidRDefault="00A340EE" w:rsidP="001E395F">
            <w:pPr>
              <w:pStyle w:val="TableText"/>
              <w:rPr>
                <w:rFonts w:cs="Calibri"/>
                <w:szCs w:val="14"/>
              </w:rPr>
            </w:pPr>
            <w:r w:rsidRPr="0047058F">
              <w:rPr>
                <w:rFonts w:cs="Calibri"/>
                <w:szCs w:val="14"/>
              </w:rPr>
              <w:t>Not employed</w:t>
            </w:r>
          </w:p>
        </w:tc>
        <w:tc>
          <w:tcPr>
            <w:tcW w:w="1398" w:type="dxa"/>
            <w:tcBorders>
              <w:bottom w:val="single" w:sz="4" w:space="0" w:color="000000"/>
            </w:tcBorders>
          </w:tcPr>
          <w:p w14:paraId="0B463801" w14:textId="77777777" w:rsidR="00A340EE" w:rsidRPr="0047058F" w:rsidRDefault="00A340EE" w:rsidP="001E395F">
            <w:pPr>
              <w:pStyle w:val="TableText"/>
              <w:jc w:val="right"/>
            </w:pPr>
            <w:r w:rsidRPr="0047058F">
              <w:t>1006</w:t>
            </w:r>
          </w:p>
        </w:tc>
        <w:tc>
          <w:tcPr>
            <w:tcW w:w="1399" w:type="dxa"/>
            <w:tcBorders>
              <w:bottom w:val="single" w:sz="4" w:space="0" w:color="000000"/>
            </w:tcBorders>
          </w:tcPr>
          <w:p w14:paraId="1FDF3CEE" w14:textId="77777777" w:rsidR="00A340EE" w:rsidRPr="0047058F" w:rsidRDefault="00A340EE" w:rsidP="001E395F">
            <w:pPr>
              <w:pStyle w:val="TableText"/>
              <w:jc w:val="right"/>
            </w:pPr>
            <w:r w:rsidRPr="0047058F">
              <w:t>43.1</w:t>
            </w:r>
          </w:p>
        </w:tc>
      </w:tr>
      <w:tr w:rsidR="00A340EE" w:rsidRPr="0047058F" w14:paraId="19D7AB34" w14:textId="77777777" w:rsidTr="001E395F">
        <w:tc>
          <w:tcPr>
            <w:tcW w:w="4518" w:type="dxa"/>
            <w:tcBorders>
              <w:top w:val="single" w:sz="4" w:space="0" w:color="000000"/>
              <w:bottom w:val="nil"/>
            </w:tcBorders>
            <w:hideMark/>
          </w:tcPr>
          <w:p w14:paraId="46FCA180" w14:textId="77777777" w:rsidR="00A340EE" w:rsidRPr="0047058F" w:rsidRDefault="00A340EE" w:rsidP="001E395F">
            <w:pPr>
              <w:pStyle w:val="TableText"/>
              <w:rPr>
                <w:b/>
              </w:rPr>
            </w:pPr>
            <w:r w:rsidRPr="0047058F">
              <w:rPr>
                <w:b/>
              </w:rPr>
              <w:t>Hours worked in past week</w:t>
            </w:r>
            <w:r w:rsidRPr="0047058F">
              <w:rPr>
                <w:b/>
                <w:vertAlign w:val="superscript"/>
              </w:rPr>
              <w:t>#</w:t>
            </w:r>
          </w:p>
        </w:tc>
        <w:tc>
          <w:tcPr>
            <w:tcW w:w="1398" w:type="dxa"/>
            <w:tcBorders>
              <w:top w:val="single" w:sz="4" w:space="0" w:color="000000"/>
              <w:bottom w:val="nil"/>
            </w:tcBorders>
          </w:tcPr>
          <w:p w14:paraId="64CC8ACF" w14:textId="77777777" w:rsidR="00A340EE" w:rsidRPr="0047058F" w:rsidRDefault="00A340EE" w:rsidP="001E395F">
            <w:pPr>
              <w:pStyle w:val="TableText"/>
              <w:jc w:val="right"/>
            </w:pPr>
          </w:p>
        </w:tc>
        <w:tc>
          <w:tcPr>
            <w:tcW w:w="1399" w:type="dxa"/>
            <w:tcBorders>
              <w:top w:val="single" w:sz="4" w:space="0" w:color="000000"/>
              <w:bottom w:val="nil"/>
            </w:tcBorders>
          </w:tcPr>
          <w:p w14:paraId="15F602D7" w14:textId="77777777" w:rsidR="00A340EE" w:rsidRPr="0047058F" w:rsidRDefault="00A340EE" w:rsidP="001E395F">
            <w:pPr>
              <w:pStyle w:val="TableText"/>
              <w:jc w:val="right"/>
            </w:pPr>
          </w:p>
        </w:tc>
      </w:tr>
      <w:tr w:rsidR="00A340EE" w:rsidRPr="0047058F" w14:paraId="6340A005"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top w:val="nil"/>
            </w:tcBorders>
            <w:hideMark/>
          </w:tcPr>
          <w:p w14:paraId="01CFAD1B" w14:textId="77777777" w:rsidR="00A340EE" w:rsidRPr="0047058F" w:rsidRDefault="00A340EE" w:rsidP="001E395F">
            <w:pPr>
              <w:pStyle w:val="TableText"/>
              <w:rPr>
                <w:rFonts w:cs="Calibri"/>
                <w:szCs w:val="14"/>
              </w:rPr>
            </w:pPr>
            <w:r w:rsidRPr="0047058F">
              <w:rPr>
                <w:rFonts w:cs="Calibri"/>
                <w:szCs w:val="14"/>
              </w:rPr>
              <w:t>0–20 hours</w:t>
            </w:r>
          </w:p>
        </w:tc>
        <w:tc>
          <w:tcPr>
            <w:tcW w:w="1398" w:type="dxa"/>
            <w:tcBorders>
              <w:top w:val="nil"/>
            </w:tcBorders>
          </w:tcPr>
          <w:p w14:paraId="173095AA" w14:textId="77777777" w:rsidR="00A340EE" w:rsidRPr="0047058F" w:rsidRDefault="00A340EE" w:rsidP="001E395F">
            <w:pPr>
              <w:pStyle w:val="TableText"/>
              <w:jc w:val="right"/>
            </w:pPr>
            <w:r w:rsidRPr="0047058F">
              <w:t>119</w:t>
            </w:r>
          </w:p>
        </w:tc>
        <w:tc>
          <w:tcPr>
            <w:tcW w:w="1399" w:type="dxa"/>
            <w:tcBorders>
              <w:top w:val="nil"/>
            </w:tcBorders>
          </w:tcPr>
          <w:p w14:paraId="3DEA5EB8" w14:textId="77777777" w:rsidR="00A340EE" w:rsidRPr="0047058F" w:rsidRDefault="00A340EE" w:rsidP="001E395F">
            <w:pPr>
              <w:pStyle w:val="TableText"/>
              <w:jc w:val="right"/>
            </w:pPr>
            <w:r w:rsidRPr="0047058F">
              <w:t>9.2</w:t>
            </w:r>
          </w:p>
        </w:tc>
      </w:tr>
      <w:tr w:rsidR="00A340EE" w:rsidRPr="0047058F" w14:paraId="54463866" w14:textId="77777777" w:rsidTr="001E395F">
        <w:tc>
          <w:tcPr>
            <w:tcW w:w="4518" w:type="dxa"/>
            <w:hideMark/>
          </w:tcPr>
          <w:p w14:paraId="4147BE3A" w14:textId="77777777" w:rsidR="00A340EE" w:rsidRPr="0047058F" w:rsidRDefault="00A340EE" w:rsidP="001E395F">
            <w:pPr>
              <w:pStyle w:val="TableText"/>
              <w:rPr>
                <w:rFonts w:cs="Calibri"/>
                <w:szCs w:val="14"/>
              </w:rPr>
            </w:pPr>
            <w:r w:rsidRPr="0047058F">
              <w:rPr>
                <w:rFonts w:cs="Calibri"/>
                <w:szCs w:val="14"/>
              </w:rPr>
              <w:t>21–40 hours</w:t>
            </w:r>
          </w:p>
        </w:tc>
        <w:tc>
          <w:tcPr>
            <w:tcW w:w="1398" w:type="dxa"/>
          </w:tcPr>
          <w:p w14:paraId="78598BD0" w14:textId="77777777" w:rsidR="00A340EE" w:rsidRPr="0047058F" w:rsidRDefault="00A340EE" w:rsidP="001E395F">
            <w:pPr>
              <w:pStyle w:val="TableText"/>
              <w:jc w:val="right"/>
            </w:pPr>
            <w:r w:rsidRPr="0047058F">
              <w:t>611</w:t>
            </w:r>
          </w:p>
        </w:tc>
        <w:tc>
          <w:tcPr>
            <w:tcW w:w="1399" w:type="dxa"/>
          </w:tcPr>
          <w:p w14:paraId="1E55951D" w14:textId="77777777" w:rsidR="00A340EE" w:rsidRPr="0047058F" w:rsidRDefault="00A340EE" w:rsidP="001E395F">
            <w:pPr>
              <w:pStyle w:val="TableText"/>
              <w:jc w:val="right"/>
            </w:pPr>
            <w:r w:rsidRPr="0047058F">
              <w:t>47.3</w:t>
            </w:r>
          </w:p>
        </w:tc>
      </w:tr>
      <w:tr w:rsidR="00A340EE" w:rsidRPr="0047058F" w14:paraId="031B233D"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24EE8A1B" w14:textId="77777777" w:rsidR="00A340EE" w:rsidRPr="0047058F" w:rsidRDefault="00A340EE" w:rsidP="001E395F">
            <w:pPr>
              <w:pStyle w:val="TableText"/>
              <w:rPr>
                <w:rFonts w:cs="Calibri"/>
                <w:szCs w:val="14"/>
              </w:rPr>
            </w:pPr>
            <w:r w:rsidRPr="0047058F">
              <w:rPr>
                <w:rFonts w:cs="Calibri"/>
                <w:szCs w:val="14"/>
              </w:rPr>
              <w:t>41–60 hours</w:t>
            </w:r>
          </w:p>
        </w:tc>
        <w:tc>
          <w:tcPr>
            <w:tcW w:w="1398" w:type="dxa"/>
          </w:tcPr>
          <w:p w14:paraId="6E34FA9C" w14:textId="77777777" w:rsidR="00A340EE" w:rsidRPr="0047058F" w:rsidRDefault="00A340EE" w:rsidP="001E395F">
            <w:pPr>
              <w:pStyle w:val="TableText"/>
              <w:jc w:val="right"/>
            </w:pPr>
            <w:r w:rsidRPr="0047058F">
              <w:t>428</w:t>
            </w:r>
          </w:p>
        </w:tc>
        <w:tc>
          <w:tcPr>
            <w:tcW w:w="1399" w:type="dxa"/>
          </w:tcPr>
          <w:p w14:paraId="017F137C" w14:textId="77777777" w:rsidR="00A340EE" w:rsidRPr="0047058F" w:rsidRDefault="00A340EE" w:rsidP="001E395F">
            <w:pPr>
              <w:pStyle w:val="TableText"/>
              <w:jc w:val="right"/>
            </w:pPr>
            <w:r w:rsidRPr="0047058F">
              <w:t>33.2</w:t>
            </w:r>
          </w:p>
        </w:tc>
      </w:tr>
      <w:tr w:rsidR="00A340EE" w:rsidRPr="0047058F" w14:paraId="3A228270" w14:textId="77777777" w:rsidTr="001E395F">
        <w:tc>
          <w:tcPr>
            <w:tcW w:w="4518" w:type="dxa"/>
            <w:hideMark/>
          </w:tcPr>
          <w:p w14:paraId="43238E90" w14:textId="77777777" w:rsidR="00A340EE" w:rsidRPr="0047058F" w:rsidRDefault="00A340EE" w:rsidP="001E395F">
            <w:pPr>
              <w:pStyle w:val="TableText"/>
              <w:rPr>
                <w:rFonts w:cs="Calibri"/>
                <w:szCs w:val="14"/>
              </w:rPr>
            </w:pPr>
            <w:r w:rsidRPr="0047058F">
              <w:rPr>
                <w:rFonts w:cs="Calibri"/>
                <w:szCs w:val="14"/>
              </w:rPr>
              <w:t>61–80 hours</w:t>
            </w:r>
          </w:p>
        </w:tc>
        <w:tc>
          <w:tcPr>
            <w:tcW w:w="1398" w:type="dxa"/>
          </w:tcPr>
          <w:p w14:paraId="46210084" w14:textId="77777777" w:rsidR="00A340EE" w:rsidRPr="0047058F" w:rsidRDefault="00A340EE" w:rsidP="001E395F">
            <w:pPr>
              <w:pStyle w:val="TableText"/>
              <w:jc w:val="right"/>
            </w:pPr>
            <w:r w:rsidRPr="0047058F">
              <w:t>48</w:t>
            </w:r>
          </w:p>
        </w:tc>
        <w:tc>
          <w:tcPr>
            <w:tcW w:w="1399" w:type="dxa"/>
          </w:tcPr>
          <w:p w14:paraId="7B1D9D25" w14:textId="77777777" w:rsidR="00A340EE" w:rsidRPr="0047058F" w:rsidRDefault="00A340EE" w:rsidP="001E395F">
            <w:pPr>
              <w:pStyle w:val="TableText"/>
              <w:jc w:val="right"/>
            </w:pPr>
            <w:r w:rsidRPr="0047058F">
              <w:t>3.7</w:t>
            </w:r>
          </w:p>
        </w:tc>
      </w:tr>
      <w:tr w:rsidR="00A340EE" w:rsidRPr="0047058F" w14:paraId="14D19DD1"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bottom w:val="single" w:sz="4" w:space="0" w:color="000000"/>
            </w:tcBorders>
            <w:hideMark/>
          </w:tcPr>
          <w:p w14:paraId="58F2CF0A" w14:textId="77777777" w:rsidR="00A340EE" w:rsidRPr="0047058F" w:rsidRDefault="00A340EE" w:rsidP="001E395F">
            <w:pPr>
              <w:pStyle w:val="TableText"/>
              <w:rPr>
                <w:rFonts w:cs="Calibri"/>
                <w:szCs w:val="14"/>
              </w:rPr>
            </w:pPr>
            <w:r w:rsidRPr="0047058F">
              <w:rPr>
                <w:rFonts w:cs="Calibri"/>
                <w:szCs w:val="14"/>
              </w:rPr>
              <w:t>80+ hours</w:t>
            </w:r>
          </w:p>
        </w:tc>
        <w:tc>
          <w:tcPr>
            <w:tcW w:w="1398" w:type="dxa"/>
            <w:tcBorders>
              <w:bottom w:val="single" w:sz="4" w:space="0" w:color="000000"/>
            </w:tcBorders>
          </w:tcPr>
          <w:p w14:paraId="75FD8FFE" w14:textId="77777777" w:rsidR="00A340EE" w:rsidRPr="0047058F" w:rsidRDefault="00A340EE" w:rsidP="001E395F">
            <w:pPr>
              <w:pStyle w:val="TableText"/>
              <w:jc w:val="right"/>
            </w:pPr>
            <w:r w:rsidRPr="0047058F">
              <w:t>51</w:t>
            </w:r>
          </w:p>
        </w:tc>
        <w:tc>
          <w:tcPr>
            <w:tcW w:w="1399" w:type="dxa"/>
            <w:tcBorders>
              <w:bottom w:val="single" w:sz="4" w:space="0" w:color="000000"/>
            </w:tcBorders>
          </w:tcPr>
          <w:p w14:paraId="1B89E98E" w14:textId="77777777" w:rsidR="00A340EE" w:rsidRPr="0047058F" w:rsidRDefault="00A340EE" w:rsidP="001E395F">
            <w:pPr>
              <w:pStyle w:val="TableText"/>
              <w:jc w:val="right"/>
            </w:pPr>
            <w:r w:rsidRPr="0047058F">
              <w:t>4.0</w:t>
            </w:r>
          </w:p>
        </w:tc>
      </w:tr>
      <w:tr w:rsidR="00A340EE" w:rsidRPr="0047058F" w14:paraId="3A052EB1" w14:textId="77777777" w:rsidTr="001E395F">
        <w:tc>
          <w:tcPr>
            <w:tcW w:w="4518" w:type="dxa"/>
            <w:tcBorders>
              <w:top w:val="single" w:sz="4" w:space="0" w:color="000000"/>
              <w:bottom w:val="nil"/>
            </w:tcBorders>
            <w:hideMark/>
          </w:tcPr>
          <w:p w14:paraId="48A01B5D" w14:textId="77777777" w:rsidR="00A340EE" w:rsidRPr="0047058F" w:rsidRDefault="00A340EE" w:rsidP="001E395F">
            <w:pPr>
              <w:pStyle w:val="TableText"/>
              <w:rPr>
                <w:b/>
              </w:rPr>
            </w:pPr>
            <w:r w:rsidRPr="0047058F">
              <w:rPr>
                <w:b/>
              </w:rPr>
              <w:t>Civilian employment industry</w:t>
            </w:r>
            <w:r w:rsidRPr="0047058F">
              <w:rPr>
                <w:b/>
                <w:vertAlign w:val="superscript"/>
              </w:rPr>
              <w:t>#</w:t>
            </w:r>
          </w:p>
        </w:tc>
        <w:tc>
          <w:tcPr>
            <w:tcW w:w="1398" w:type="dxa"/>
            <w:tcBorders>
              <w:top w:val="single" w:sz="4" w:space="0" w:color="000000"/>
              <w:bottom w:val="nil"/>
            </w:tcBorders>
          </w:tcPr>
          <w:p w14:paraId="4146A0B7" w14:textId="77777777" w:rsidR="00A340EE" w:rsidRPr="0047058F" w:rsidRDefault="00A340EE" w:rsidP="001E395F">
            <w:pPr>
              <w:pStyle w:val="TableText"/>
              <w:jc w:val="right"/>
            </w:pPr>
          </w:p>
        </w:tc>
        <w:tc>
          <w:tcPr>
            <w:tcW w:w="1399" w:type="dxa"/>
            <w:tcBorders>
              <w:top w:val="single" w:sz="4" w:space="0" w:color="000000"/>
              <w:bottom w:val="nil"/>
            </w:tcBorders>
          </w:tcPr>
          <w:p w14:paraId="4D9075D4" w14:textId="77777777" w:rsidR="00A340EE" w:rsidRPr="0047058F" w:rsidRDefault="00A340EE" w:rsidP="001E395F">
            <w:pPr>
              <w:pStyle w:val="TableText"/>
              <w:jc w:val="right"/>
            </w:pPr>
          </w:p>
        </w:tc>
      </w:tr>
      <w:tr w:rsidR="00A340EE" w:rsidRPr="0047058F" w14:paraId="1F9DE06D"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top w:val="nil"/>
            </w:tcBorders>
            <w:hideMark/>
          </w:tcPr>
          <w:p w14:paraId="73DD0C9F" w14:textId="77777777" w:rsidR="00A340EE" w:rsidRPr="0047058F" w:rsidRDefault="00A340EE" w:rsidP="001E395F">
            <w:pPr>
              <w:pStyle w:val="TableText"/>
              <w:rPr>
                <w:rFonts w:cs="Calibri"/>
                <w:szCs w:val="14"/>
              </w:rPr>
            </w:pPr>
            <w:r w:rsidRPr="0047058F">
              <w:rPr>
                <w:rFonts w:cs="Calibri"/>
                <w:szCs w:val="14"/>
              </w:rPr>
              <w:t>Agriculture, forestry and fishing</w:t>
            </w:r>
          </w:p>
        </w:tc>
        <w:tc>
          <w:tcPr>
            <w:tcW w:w="1398" w:type="dxa"/>
            <w:tcBorders>
              <w:top w:val="nil"/>
            </w:tcBorders>
          </w:tcPr>
          <w:p w14:paraId="023A252E" w14:textId="77777777" w:rsidR="00A340EE" w:rsidRPr="0047058F" w:rsidRDefault="00A340EE" w:rsidP="001E395F">
            <w:pPr>
              <w:pStyle w:val="TableText"/>
              <w:jc w:val="right"/>
            </w:pPr>
            <w:r w:rsidRPr="0047058F">
              <w:t>22</w:t>
            </w:r>
          </w:p>
        </w:tc>
        <w:tc>
          <w:tcPr>
            <w:tcW w:w="1399" w:type="dxa"/>
            <w:tcBorders>
              <w:top w:val="nil"/>
            </w:tcBorders>
          </w:tcPr>
          <w:p w14:paraId="0BB0FB1B" w14:textId="77777777" w:rsidR="00A340EE" w:rsidRPr="0047058F" w:rsidRDefault="00A340EE" w:rsidP="001E395F">
            <w:pPr>
              <w:pStyle w:val="TableText"/>
              <w:jc w:val="right"/>
            </w:pPr>
            <w:r w:rsidRPr="0047058F">
              <w:t>1.7</w:t>
            </w:r>
          </w:p>
        </w:tc>
      </w:tr>
      <w:tr w:rsidR="00A340EE" w:rsidRPr="0047058F" w14:paraId="286B0588" w14:textId="77777777" w:rsidTr="001E395F">
        <w:tc>
          <w:tcPr>
            <w:tcW w:w="4518" w:type="dxa"/>
            <w:hideMark/>
          </w:tcPr>
          <w:p w14:paraId="06B7871D" w14:textId="77777777" w:rsidR="00A340EE" w:rsidRPr="0047058F" w:rsidRDefault="00A340EE" w:rsidP="001E395F">
            <w:pPr>
              <w:pStyle w:val="TableText"/>
              <w:rPr>
                <w:rFonts w:cs="Calibri"/>
                <w:szCs w:val="14"/>
              </w:rPr>
            </w:pPr>
            <w:r w:rsidRPr="0047058F">
              <w:rPr>
                <w:rFonts w:cs="Calibri"/>
                <w:szCs w:val="14"/>
              </w:rPr>
              <w:t>Mining</w:t>
            </w:r>
          </w:p>
        </w:tc>
        <w:tc>
          <w:tcPr>
            <w:tcW w:w="1398" w:type="dxa"/>
          </w:tcPr>
          <w:p w14:paraId="49C71FBD" w14:textId="77777777" w:rsidR="00A340EE" w:rsidRPr="0047058F" w:rsidRDefault="00A340EE" w:rsidP="001E395F">
            <w:pPr>
              <w:pStyle w:val="TableText"/>
              <w:jc w:val="right"/>
            </w:pPr>
            <w:r w:rsidRPr="0047058F">
              <w:t>102</w:t>
            </w:r>
          </w:p>
        </w:tc>
        <w:tc>
          <w:tcPr>
            <w:tcW w:w="1399" w:type="dxa"/>
          </w:tcPr>
          <w:p w14:paraId="771980B1" w14:textId="77777777" w:rsidR="00A340EE" w:rsidRPr="0047058F" w:rsidRDefault="00A340EE" w:rsidP="001E395F">
            <w:pPr>
              <w:pStyle w:val="TableText"/>
              <w:jc w:val="right"/>
            </w:pPr>
            <w:r w:rsidRPr="0047058F">
              <w:t>7.9</w:t>
            </w:r>
          </w:p>
        </w:tc>
      </w:tr>
      <w:tr w:rsidR="00A340EE" w:rsidRPr="0047058F" w14:paraId="086035A0"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2CBFF65E" w14:textId="77777777" w:rsidR="00A340EE" w:rsidRPr="0047058F" w:rsidRDefault="00A340EE" w:rsidP="001E395F">
            <w:pPr>
              <w:pStyle w:val="TableText"/>
              <w:rPr>
                <w:rFonts w:cs="Calibri"/>
                <w:szCs w:val="14"/>
              </w:rPr>
            </w:pPr>
            <w:r w:rsidRPr="0047058F">
              <w:rPr>
                <w:rFonts w:cs="Calibri"/>
                <w:szCs w:val="14"/>
              </w:rPr>
              <w:t>Manufacturing</w:t>
            </w:r>
          </w:p>
        </w:tc>
        <w:tc>
          <w:tcPr>
            <w:tcW w:w="1398" w:type="dxa"/>
          </w:tcPr>
          <w:p w14:paraId="5B5B4452" w14:textId="77777777" w:rsidR="00A340EE" w:rsidRPr="0047058F" w:rsidRDefault="00A340EE" w:rsidP="001E395F">
            <w:pPr>
              <w:pStyle w:val="TableText"/>
              <w:jc w:val="right"/>
            </w:pPr>
            <w:r w:rsidRPr="0047058F">
              <w:t>47</w:t>
            </w:r>
          </w:p>
        </w:tc>
        <w:tc>
          <w:tcPr>
            <w:tcW w:w="1399" w:type="dxa"/>
          </w:tcPr>
          <w:p w14:paraId="5758E544" w14:textId="77777777" w:rsidR="00A340EE" w:rsidRPr="0047058F" w:rsidRDefault="00A340EE" w:rsidP="001E395F">
            <w:pPr>
              <w:pStyle w:val="TableText"/>
              <w:jc w:val="right"/>
            </w:pPr>
            <w:r w:rsidRPr="0047058F">
              <w:t>3.6</w:t>
            </w:r>
          </w:p>
        </w:tc>
      </w:tr>
      <w:tr w:rsidR="00A340EE" w:rsidRPr="0047058F" w14:paraId="621D21C4" w14:textId="77777777" w:rsidTr="001E395F">
        <w:tc>
          <w:tcPr>
            <w:tcW w:w="4518" w:type="dxa"/>
            <w:hideMark/>
          </w:tcPr>
          <w:p w14:paraId="6DF5FF62" w14:textId="77777777" w:rsidR="00A340EE" w:rsidRPr="0047058F" w:rsidRDefault="00A340EE" w:rsidP="001E395F">
            <w:pPr>
              <w:pStyle w:val="TableText"/>
              <w:rPr>
                <w:rFonts w:cs="Calibri"/>
                <w:szCs w:val="14"/>
              </w:rPr>
            </w:pPr>
            <w:r w:rsidRPr="0047058F">
              <w:rPr>
                <w:rFonts w:cs="Calibri"/>
                <w:szCs w:val="14"/>
              </w:rPr>
              <w:t>Electricity, gas and water supply</w:t>
            </w:r>
          </w:p>
        </w:tc>
        <w:tc>
          <w:tcPr>
            <w:tcW w:w="1398" w:type="dxa"/>
          </w:tcPr>
          <w:p w14:paraId="11533EA7" w14:textId="77777777" w:rsidR="00A340EE" w:rsidRPr="0047058F" w:rsidRDefault="00A340EE" w:rsidP="001E395F">
            <w:pPr>
              <w:pStyle w:val="TableText"/>
              <w:jc w:val="right"/>
            </w:pPr>
            <w:r w:rsidRPr="0047058F">
              <w:t>33</w:t>
            </w:r>
          </w:p>
        </w:tc>
        <w:tc>
          <w:tcPr>
            <w:tcW w:w="1399" w:type="dxa"/>
          </w:tcPr>
          <w:p w14:paraId="41973D72" w14:textId="77777777" w:rsidR="00A340EE" w:rsidRPr="0047058F" w:rsidRDefault="00A340EE" w:rsidP="001E395F">
            <w:pPr>
              <w:pStyle w:val="TableText"/>
              <w:jc w:val="right"/>
            </w:pPr>
            <w:r w:rsidRPr="0047058F">
              <w:t>2.6</w:t>
            </w:r>
          </w:p>
        </w:tc>
      </w:tr>
      <w:tr w:rsidR="00A340EE" w:rsidRPr="0047058F" w14:paraId="79421AB3"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12A556DD" w14:textId="77777777" w:rsidR="00A340EE" w:rsidRPr="0047058F" w:rsidRDefault="00A340EE" w:rsidP="001E395F">
            <w:pPr>
              <w:pStyle w:val="TableText"/>
              <w:rPr>
                <w:rFonts w:cs="Calibri"/>
                <w:szCs w:val="14"/>
              </w:rPr>
            </w:pPr>
            <w:r w:rsidRPr="0047058F">
              <w:rPr>
                <w:rFonts w:cs="Calibri"/>
                <w:szCs w:val="14"/>
              </w:rPr>
              <w:t>Construction</w:t>
            </w:r>
          </w:p>
        </w:tc>
        <w:tc>
          <w:tcPr>
            <w:tcW w:w="1398" w:type="dxa"/>
          </w:tcPr>
          <w:p w14:paraId="6C021D05" w14:textId="77777777" w:rsidR="00A340EE" w:rsidRPr="0047058F" w:rsidRDefault="00A340EE" w:rsidP="001E395F">
            <w:pPr>
              <w:pStyle w:val="TableText"/>
              <w:jc w:val="right"/>
            </w:pPr>
            <w:r w:rsidRPr="0047058F">
              <w:t>68</w:t>
            </w:r>
          </w:p>
        </w:tc>
        <w:tc>
          <w:tcPr>
            <w:tcW w:w="1399" w:type="dxa"/>
          </w:tcPr>
          <w:p w14:paraId="2820469F" w14:textId="77777777" w:rsidR="00A340EE" w:rsidRPr="0047058F" w:rsidRDefault="00A340EE" w:rsidP="001E395F">
            <w:pPr>
              <w:pStyle w:val="TableText"/>
              <w:jc w:val="right"/>
            </w:pPr>
            <w:r w:rsidRPr="0047058F">
              <w:t>5.3</w:t>
            </w:r>
          </w:p>
        </w:tc>
      </w:tr>
      <w:tr w:rsidR="00A340EE" w:rsidRPr="0047058F" w14:paraId="75AD68A5" w14:textId="77777777" w:rsidTr="001E395F">
        <w:tc>
          <w:tcPr>
            <w:tcW w:w="4518" w:type="dxa"/>
            <w:hideMark/>
          </w:tcPr>
          <w:p w14:paraId="7807362A" w14:textId="77777777" w:rsidR="00A340EE" w:rsidRPr="0047058F" w:rsidRDefault="00A340EE" w:rsidP="001E395F">
            <w:pPr>
              <w:pStyle w:val="TableText"/>
              <w:rPr>
                <w:rFonts w:cs="Calibri"/>
                <w:szCs w:val="14"/>
              </w:rPr>
            </w:pPr>
            <w:r w:rsidRPr="0047058F">
              <w:rPr>
                <w:rFonts w:cs="Calibri"/>
                <w:szCs w:val="14"/>
              </w:rPr>
              <w:t>Wholesale trade</w:t>
            </w:r>
          </w:p>
        </w:tc>
        <w:tc>
          <w:tcPr>
            <w:tcW w:w="1398" w:type="dxa"/>
          </w:tcPr>
          <w:p w14:paraId="47B5F440" w14:textId="77777777" w:rsidR="00A340EE" w:rsidRPr="0047058F" w:rsidRDefault="00A340EE" w:rsidP="001E395F">
            <w:pPr>
              <w:pStyle w:val="TableText"/>
              <w:jc w:val="right"/>
            </w:pPr>
            <w:r w:rsidRPr="0047058F">
              <w:t>9</w:t>
            </w:r>
          </w:p>
        </w:tc>
        <w:tc>
          <w:tcPr>
            <w:tcW w:w="1399" w:type="dxa"/>
          </w:tcPr>
          <w:p w14:paraId="2A6812FE" w14:textId="77777777" w:rsidR="00A340EE" w:rsidRPr="0047058F" w:rsidRDefault="00A340EE" w:rsidP="001E395F">
            <w:pPr>
              <w:pStyle w:val="TableText"/>
              <w:jc w:val="right"/>
            </w:pPr>
            <w:r w:rsidRPr="0047058F">
              <w:t>0.7</w:t>
            </w:r>
          </w:p>
        </w:tc>
      </w:tr>
      <w:tr w:rsidR="00A340EE" w:rsidRPr="0047058F" w14:paraId="3EED77CF"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189481FF" w14:textId="77777777" w:rsidR="00A340EE" w:rsidRPr="0047058F" w:rsidRDefault="00A340EE" w:rsidP="001E395F">
            <w:pPr>
              <w:pStyle w:val="TableText"/>
              <w:rPr>
                <w:rFonts w:cs="Calibri"/>
                <w:szCs w:val="14"/>
              </w:rPr>
            </w:pPr>
            <w:r w:rsidRPr="0047058F">
              <w:rPr>
                <w:rFonts w:cs="Calibri"/>
                <w:szCs w:val="14"/>
              </w:rPr>
              <w:t>Retail trade</w:t>
            </w:r>
          </w:p>
        </w:tc>
        <w:tc>
          <w:tcPr>
            <w:tcW w:w="1398" w:type="dxa"/>
          </w:tcPr>
          <w:p w14:paraId="144BD773" w14:textId="77777777" w:rsidR="00A340EE" w:rsidRPr="0047058F" w:rsidRDefault="00A340EE" w:rsidP="001E395F">
            <w:pPr>
              <w:pStyle w:val="TableText"/>
              <w:jc w:val="right"/>
            </w:pPr>
            <w:r w:rsidRPr="0047058F">
              <w:t>53</w:t>
            </w:r>
          </w:p>
        </w:tc>
        <w:tc>
          <w:tcPr>
            <w:tcW w:w="1399" w:type="dxa"/>
          </w:tcPr>
          <w:p w14:paraId="3C951904" w14:textId="77777777" w:rsidR="00A340EE" w:rsidRPr="0047058F" w:rsidRDefault="00A340EE" w:rsidP="001E395F">
            <w:pPr>
              <w:pStyle w:val="TableText"/>
              <w:jc w:val="right"/>
            </w:pPr>
            <w:r w:rsidRPr="0047058F">
              <w:t>4.1</w:t>
            </w:r>
          </w:p>
        </w:tc>
      </w:tr>
      <w:tr w:rsidR="00A340EE" w:rsidRPr="0047058F" w14:paraId="16BDABC1" w14:textId="77777777" w:rsidTr="001E395F">
        <w:tc>
          <w:tcPr>
            <w:tcW w:w="4518" w:type="dxa"/>
            <w:hideMark/>
          </w:tcPr>
          <w:p w14:paraId="371A135F" w14:textId="77777777" w:rsidR="00A340EE" w:rsidRPr="0047058F" w:rsidRDefault="00A340EE" w:rsidP="001E395F">
            <w:pPr>
              <w:pStyle w:val="TableText"/>
              <w:rPr>
                <w:rFonts w:cs="Calibri"/>
                <w:szCs w:val="14"/>
              </w:rPr>
            </w:pPr>
            <w:r w:rsidRPr="0047058F">
              <w:rPr>
                <w:rFonts w:cs="Calibri"/>
                <w:szCs w:val="14"/>
              </w:rPr>
              <w:t>Accommodation, cafes and restaurants</w:t>
            </w:r>
          </w:p>
        </w:tc>
        <w:tc>
          <w:tcPr>
            <w:tcW w:w="1398" w:type="dxa"/>
          </w:tcPr>
          <w:p w14:paraId="7E65EED0" w14:textId="77777777" w:rsidR="00A340EE" w:rsidRPr="0047058F" w:rsidRDefault="00A340EE" w:rsidP="001E395F">
            <w:pPr>
              <w:pStyle w:val="TableText"/>
              <w:jc w:val="right"/>
            </w:pPr>
            <w:r w:rsidRPr="0047058F">
              <w:t>18</w:t>
            </w:r>
          </w:p>
        </w:tc>
        <w:tc>
          <w:tcPr>
            <w:tcW w:w="1399" w:type="dxa"/>
          </w:tcPr>
          <w:p w14:paraId="27879075" w14:textId="77777777" w:rsidR="00A340EE" w:rsidRPr="0047058F" w:rsidRDefault="00A340EE" w:rsidP="001E395F">
            <w:pPr>
              <w:pStyle w:val="TableText"/>
              <w:jc w:val="right"/>
            </w:pPr>
            <w:r w:rsidRPr="0047058F">
              <w:t>1.4</w:t>
            </w:r>
          </w:p>
        </w:tc>
      </w:tr>
      <w:tr w:rsidR="00A340EE" w:rsidRPr="0047058F" w14:paraId="73AA4811"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0572B706" w14:textId="77777777" w:rsidR="00A340EE" w:rsidRPr="0047058F" w:rsidRDefault="00A340EE" w:rsidP="001E395F">
            <w:pPr>
              <w:pStyle w:val="TableText"/>
              <w:rPr>
                <w:rFonts w:cs="Calibri"/>
                <w:szCs w:val="14"/>
              </w:rPr>
            </w:pPr>
            <w:r w:rsidRPr="0047058F">
              <w:rPr>
                <w:rFonts w:cs="Calibri"/>
                <w:szCs w:val="14"/>
              </w:rPr>
              <w:t>Transport and storage</w:t>
            </w:r>
          </w:p>
        </w:tc>
        <w:tc>
          <w:tcPr>
            <w:tcW w:w="1398" w:type="dxa"/>
          </w:tcPr>
          <w:p w14:paraId="1CE42597" w14:textId="77777777" w:rsidR="00A340EE" w:rsidRPr="0047058F" w:rsidRDefault="00A340EE" w:rsidP="001E395F">
            <w:pPr>
              <w:pStyle w:val="TableText"/>
              <w:jc w:val="right"/>
            </w:pPr>
            <w:r w:rsidRPr="0047058F">
              <w:t>117</w:t>
            </w:r>
          </w:p>
        </w:tc>
        <w:tc>
          <w:tcPr>
            <w:tcW w:w="1399" w:type="dxa"/>
          </w:tcPr>
          <w:p w14:paraId="7782E579" w14:textId="77777777" w:rsidR="00A340EE" w:rsidRPr="0047058F" w:rsidRDefault="00A340EE" w:rsidP="001E395F">
            <w:pPr>
              <w:pStyle w:val="TableText"/>
              <w:jc w:val="right"/>
            </w:pPr>
            <w:r w:rsidRPr="0047058F">
              <w:t>9.1</w:t>
            </w:r>
          </w:p>
        </w:tc>
      </w:tr>
      <w:tr w:rsidR="00A340EE" w:rsidRPr="0047058F" w14:paraId="040DE9CE" w14:textId="77777777" w:rsidTr="001E395F">
        <w:tc>
          <w:tcPr>
            <w:tcW w:w="4518" w:type="dxa"/>
            <w:hideMark/>
          </w:tcPr>
          <w:p w14:paraId="669BB0C8" w14:textId="77777777" w:rsidR="00A340EE" w:rsidRPr="0047058F" w:rsidRDefault="00A340EE" w:rsidP="001E395F">
            <w:pPr>
              <w:pStyle w:val="TableText"/>
              <w:rPr>
                <w:rFonts w:cs="Calibri"/>
                <w:szCs w:val="14"/>
              </w:rPr>
            </w:pPr>
            <w:r w:rsidRPr="0047058F">
              <w:rPr>
                <w:rFonts w:cs="Calibri"/>
                <w:szCs w:val="14"/>
              </w:rPr>
              <w:t>Communication services</w:t>
            </w:r>
          </w:p>
        </w:tc>
        <w:tc>
          <w:tcPr>
            <w:tcW w:w="1398" w:type="dxa"/>
          </w:tcPr>
          <w:p w14:paraId="7DD9C530" w14:textId="77777777" w:rsidR="00A340EE" w:rsidRPr="0047058F" w:rsidRDefault="00A340EE" w:rsidP="001E395F">
            <w:pPr>
              <w:pStyle w:val="TableText"/>
              <w:jc w:val="right"/>
            </w:pPr>
            <w:r w:rsidRPr="0047058F">
              <w:t>56</w:t>
            </w:r>
          </w:p>
        </w:tc>
        <w:tc>
          <w:tcPr>
            <w:tcW w:w="1399" w:type="dxa"/>
          </w:tcPr>
          <w:p w14:paraId="266ECF28" w14:textId="77777777" w:rsidR="00A340EE" w:rsidRPr="0047058F" w:rsidRDefault="00A340EE" w:rsidP="001E395F">
            <w:pPr>
              <w:pStyle w:val="TableText"/>
              <w:jc w:val="right"/>
            </w:pPr>
            <w:r w:rsidRPr="0047058F">
              <w:t>4.3</w:t>
            </w:r>
          </w:p>
        </w:tc>
      </w:tr>
      <w:tr w:rsidR="00A340EE" w:rsidRPr="0047058F" w14:paraId="0045EAF3"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24CF4720" w14:textId="77777777" w:rsidR="00A340EE" w:rsidRPr="0047058F" w:rsidRDefault="00A340EE" w:rsidP="001E395F">
            <w:pPr>
              <w:pStyle w:val="TableText"/>
              <w:rPr>
                <w:rFonts w:cs="Calibri"/>
                <w:szCs w:val="14"/>
              </w:rPr>
            </w:pPr>
            <w:r w:rsidRPr="0047058F">
              <w:rPr>
                <w:rFonts w:cs="Calibri"/>
                <w:szCs w:val="14"/>
              </w:rPr>
              <w:t>Finance and insurance</w:t>
            </w:r>
          </w:p>
        </w:tc>
        <w:tc>
          <w:tcPr>
            <w:tcW w:w="1398" w:type="dxa"/>
          </w:tcPr>
          <w:p w14:paraId="3EE84E72" w14:textId="77777777" w:rsidR="00A340EE" w:rsidRPr="0047058F" w:rsidRDefault="00A340EE" w:rsidP="001E395F">
            <w:pPr>
              <w:pStyle w:val="TableText"/>
              <w:jc w:val="right"/>
            </w:pPr>
            <w:r w:rsidRPr="0047058F">
              <w:t>16</w:t>
            </w:r>
          </w:p>
        </w:tc>
        <w:tc>
          <w:tcPr>
            <w:tcW w:w="1399" w:type="dxa"/>
          </w:tcPr>
          <w:p w14:paraId="7116519D" w14:textId="77777777" w:rsidR="00A340EE" w:rsidRPr="0047058F" w:rsidRDefault="00A340EE" w:rsidP="001E395F">
            <w:pPr>
              <w:pStyle w:val="TableText"/>
              <w:jc w:val="right"/>
            </w:pPr>
            <w:r w:rsidRPr="0047058F">
              <w:t>1.2</w:t>
            </w:r>
          </w:p>
        </w:tc>
      </w:tr>
      <w:tr w:rsidR="00A340EE" w:rsidRPr="0047058F" w14:paraId="2C606D2B" w14:textId="77777777" w:rsidTr="001E395F">
        <w:tc>
          <w:tcPr>
            <w:tcW w:w="4518" w:type="dxa"/>
            <w:hideMark/>
          </w:tcPr>
          <w:p w14:paraId="155329F2" w14:textId="77777777" w:rsidR="00A340EE" w:rsidRPr="0047058F" w:rsidRDefault="00A340EE" w:rsidP="001E395F">
            <w:pPr>
              <w:pStyle w:val="TableText"/>
              <w:rPr>
                <w:rFonts w:cs="Calibri"/>
                <w:szCs w:val="14"/>
              </w:rPr>
            </w:pPr>
            <w:r w:rsidRPr="0047058F">
              <w:rPr>
                <w:rFonts w:cs="Calibri"/>
                <w:szCs w:val="14"/>
              </w:rPr>
              <w:t>Property and business services</w:t>
            </w:r>
          </w:p>
        </w:tc>
        <w:tc>
          <w:tcPr>
            <w:tcW w:w="1398" w:type="dxa"/>
          </w:tcPr>
          <w:p w14:paraId="327CEF33" w14:textId="77777777" w:rsidR="00A340EE" w:rsidRPr="0047058F" w:rsidRDefault="00A340EE" w:rsidP="001E395F">
            <w:pPr>
              <w:pStyle w:val="TableText"/>
              <w:jc w:val="right"/>
            </w:pPr>
            <w:r w:rsidRPr="0047058F">
              <w:t>36</w:t>
            </w:r>
          </w:p>
        </w:tc>
        <w:tc>
          <w:tcPr>
            <w:tcW w:w="1399" w:type="dxa"/>
          </w:tcPr>
          <w:p w14:paraId="7DF147E7" w14:textId="77777777" w:rsidR="00A340EE" w:rsidRPr="0047058F" w:rsidRDefault="00A340EE" w:rsidP="001E395F">
            <w:pPr>
              <w:pStyle w:val="TableText"/>
              <w:jc w:val="right"/>
            </w:pPr>
            <w:r w:rsidRPr="0047058F">
              <w:t>2.8</w:t>
            </w:r>
          </w:p>
        </w:tc>
      </w:tr>
      <w:tr w:rsidR="00A340EE" w:rsidRPr="0047058F" w14:paraId="29EF5823"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0A48D507" w14:textId="77777777" w:rsidR="00A340EE" w:rsidRPr="0047058F" w:rsidRDefault="00A340EE" w:rsidP="001E395F">
            <w:pPr>
              <w:pStyle w:val="TableText"/>
              <w:rPr>
                <w:rFonts w:cs="Calibri"/>
                <w:szCs w:val="14"/>
              </w:rPr>
            </w:pPr>
            <w:r w:rsidRPr="0047058F">
              <w:rPr>
                <w:rFonts w:cs="Calibri"/>
                <w:szCs w:val="14"/>
              </w:rPr>
              <w:t>Government administration and defence</w:t>
            </w:r>
          </w:p>
        </w:tc>
        <w:tc>
          <w:tcPr>
            <w:tcW w:w="1398" w:type="dxa"/>
          </w:tcPr>
          <w:p w14:paraId="27212F2F" w14:textId="77777777" w:rsidR="00A340EE" w:rsidRPr="0047058F" w:rsidRDefault="00A340EE" w:rsidP="001E395F">
            <w:pPr>
              <w:pStyle w:val="TableText"/>
              <w:jc w:val="right"/>
            </w:pPr>
            <w:r w:rsidRPr="0047058F">
              <w:t>374</w:t>
            </w:r>
          </w:p>
        </w:tc>
        <w:tc>
          <w:tcPr>
            <w:tcW w:w="1399" w:type="dxa"/>
          </w:tcPr>
          <w:p w14:paraId="3F1BD60C" w14:textId="77777777" w:rsidR="00A340EE" w:rsidRPr="0047058F" w:rsidRDefault="00A340EE" w:rsidP="001E395F">
            <w:pPr>
              <w:pStyle w:val="TableText"/>
              <w:jc w:val="right"/>
            </w:pPr>
            <w:r w:rsidRPr="0047058F">
              <w:t>29.0</w:t>
            </w:r>
          </w:p>
        </w:tc>
      </w:tr>
      <w:tr w:rsidR="00A340EE" w:rsidRPr="0047058F" w14:paraId="6ACE2EED" w14:textId="77777777" w:rsidTr="001E395F">
        <w:tc>
          <w:tcPr>
            <w:tcW w:w="4518" w:type="dxa"/>
            <w:hideMark/>
          </w:tcPr>
          <w:p w14:paraId="5E14FF05" w14:textId="77777777" w:rsidR="00A340EE" w:rsidRPr="0047058F" w:rsidRDefault="00A340EE" w:rsidP="001E395F">
            <w:pPr>
              <w:pStyle w:val="TableText"/>
              <w:rPr>
                <w:rFonts w:cs="Calibri"/>
                <w:szCs w:val="14"/>
              </w:rPr>
            </w:pPr>
            <w:r w:rsidRPr="0047058F">
              <w:rPr>
                <w:rFonts w:cs="Calibri"/>
                <w:szCs w:val="14"/>
              </w:rPr>
              <w:t>Education</w:t>
            </w:r>
          </w:p>
        </w:tc>
        <w:tc>
          <w:tcPr>
            <w:tcW w:w="1398" w:type="dxa"/>
          </w:tcPr>
          <w:p w14:paraId="66884785" w14:textId="77777777" w:rsidR="00A340EE" w:rsidRPr="0047058F" w:rsidRDefault="00A340EE" w:rsidP="001E395F">
            <w:pPr>
              <w:pStyle w:val="TableText"/>
              <w:jc w:val="right"/>
            </w:pPr>
            <w:r w:rsidRPr="0047058F">
              <w:t>61</w:t>
            </w:r>
          </w:p>
        </w:tc>
        <w:tc>
          <w:tcPr>
            <w:tcW w:w="1399" w:type="dxa"/>
          </w:tcPr>
          <w:p w14:paraId="152C97F4" w14:textId="77777777" w:rsidR="00A340EE" w:rsidRPr="0047058F" w:rsidRDefault="00A340EE" w:rsidP="001E395F">
            <w:pPr>
              <w:pStyle w:val="TableText"/>
              <w:jc w:val="right"/>
            </w:pPr>
            <w:r w:rsidRPr="0047058F">
              <w:t>4.7</w:t>
            </w:r>
          </w:p>
        </w:tc>
      </w:tr>
      <w:tr w:rsidR="00A340EE" w:rsidRPr="0047058F" w14:paraId="68B8CBF1"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02EB1849" w14:textId="77777777" w:rsidR="00A340EE" w:rsidRPr="0047058F" w:rsidRDefault="00A340EE" w:rsidP="001E395F">
            <w:pPr>
              <w:pStyle w:val="TableText"/>
              <w:rPr>
                <w:rFonts w:cs="Calibri"/>
                <w:szCs w:val="14"/>
              </w:rPr>
            </w:pPr>
            <w:r w:rsidRPr="0047058F">
              <w:rPr>
                <w:rFonts w:cs="Calibri"/>
                <w:szCs w:val="14"/>
              </w:rPr>
              <w:t>Health and community services</w:t>
            </w:r>
          </w:p>
        </w:tc>
        <w:tc>
          <w:tcPr>
            <w:tcW w:w="1398" w:type="dxa"/>
          </w:tcPr>
          <w:p w14:paraId="100F6870" w14:textId="77777777" w:rsidR="00A340EE" w:rsidRPr="0047058F" w:rsidRDefault="00A340EE" w:rsidP="001E395F">
            <w:pPr>
              <w:pStyle w:val="TableText"/>
              <w:jc w:val="right"/>
            </w:pPr>
            <w:r w:rsidRPr="0047058F">
              <w:t>116</w:t>
            </w:r>
          </w:p>
        </w:tc>
        <w:tc>
          <w:tcPr>
            <w:tcW w:w="1399" w:type="dxa"/>
          </w:tcPr>
          <w:p w14:paraId="3A2641D8" w14:textId="77777777" w:rsidR="00A340EE" w:rsidRPr="0047058F" w:rsidRDefault="00A340EE" w:rsidP="001E395F">
            <w:pPr>
              <w:pStyle w:val="TableText"/>
              <w:jc w:val="right"/>
            </w:pPr>
            <w:r w:rsidRPr="0047058F">
              <w:t>9.0</w:t>
            </w:r>
          </w:p>
        </w:tc>
      </w:tr>
      <w:tr w:rsidR="00A340EE" w:rsidRPr="0047058F" w14:paraId="79E41411" w14:textId="77777777" w:rsidTr="001E395F">
        <w:tc>
          <w:tcPr>
            <w:tcW w:w="4518" w:type="dxa"/>
            <w:hideMark/>
          </w:tcPr>
          <w:p w14:paraId="1474B98A" w14:textId="77777777" w:rsidR="00A340EE" w:rsidRPr="0047058F" w:rsidRDefault="00A340EE" w:rsidP="001E395F">
            <w:pPr>
              <w:pStyle w:val="TableText"/>
              <w:rPr>
                <w:rFonts w:cs="Calibri"/>
                <w:szCs w:val="14"/>
              </w:rPr>
            </w:pPr>
            <w:r w:rsidRPr="0047058F">
              <w:rPr>
                <w:rFonts w:cs="Calibri"/>
                <w:szCs w:val="14"/>
              </w:rPr>
              <w:t>Cultural and recreational services</w:t>
            </w:r>
          </w:p>
        </w:tc>
        <w:tc>
          <w:tcPr>
            <w:tcW w:w="1398" w:type="dxa"/>
          </w:tcPr>
          <w:p w14:paraId="5CFEA691" w14:textId="77777777" w:rsidR="00A340EE" w:rsidRPr="0047058F" w:rsidRDefault="00A340EE" w:rsidP="001E395F">
            <w:pPr>
              <w:pStyle w:val="TableText"/>
              <w:jc w:val="right"/>
            </w:pPr>
            <w:r w:rsidRPr="0047058F">
              <w:t>15</w:t>
            </w:r>
          </w:p>
        </w:tc>
        <w:tc>
          <w:tcPr>
            <w:tcW w:w="1399" w:type="dxa"/>
          </w:tcPr>
          <w:p w14:paraId="3048F4CC" w14:textId="77777777" w:rsidR="00A340EE" w:rsidRPr="0047058F" w:rsidRDefault="00A340EE" w:rsidP="001E395F">
            <w:pPr>
              <w:pStyle w:val="TableText"/>
              <w:jc w:val="right"/>
            </w:pPr>
            <w:r w:rsidRPr="0047058F">
              <w:t>1.2</w:t>
            </w:r>
          </w:p>
        </w:tc>
      </w:tr>
      <w:tr w:rsidR="00A340EE" w:rsidRPr="0047058F" w14:paraId="00A4C846"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3DE2C7D6" w14:textId="77777777" w:rsidR="00A340EE" w:rsidRPr="0047058F" w:rsidRDefault="00A340EE" w:rsidP="001E395F">
            <w:pPr>
              <w:pStyle w:val="TableText"/>
              <w:rPr>
                <w:rFonts w:cs="Calibri"/>
                <w:szCs w:val="14"/>
              </w:rPr>
            </w:pPr>
            <w:r w:rsidRPr="0047058F">
              <w:rPr>
                <w:rFonts w:cs="Calibri"/>
                <w:szCs w:val="14"/>
              </w:rPr>
              <w:t>Personal and other services</w:t>
            </w:r>
          </w:p>
        </w:tc>
        <w:tc>
          <w:tcPr>
            <w:tcW w:w="1398" w:type="dxa"/>
          </w:tcPr>
          <w:p w14:paraId="401939BB" w14:textId="77777777" w:rsidR="00A340EE" w:rsidRPr="0047058F" w:rsidRDefault="00A340EE" w:rsidP="001E395F">
            <w:pPr>
              <w:pStyle w:val="TableText"/>
              <w:jc w:val="right"/>
            </w:pPr>
            <w:r w:rsidRPr="0047058F">
              <w:t>73</w:t>
            </w:r>
          </w:p>
        </w:tc>
        <w:tc>
          <w:tcPr>
            <w:tcW w:w="1399" w:type="dxa"/>
          </w:tcPr>
          <w:p w14:paraId="22C87E5F" w14:textId="77777777" w:rsidR="00A340EE" w:rsidRPr="0047058F" w:rsidRDefault="00A340EE" w:rsidP="001E395F">
            <w:pPr>
              <w:pStyle w:val="TableText"/>
              <w:jc w:val="right"/>
            </w:pPr>
            <w:r w:rsidRPr="0047058F">
              <w:t>5.7</w:t>
            </w:r>
          </w:p>
        </w:tc>
      </w:tr>
      <w:tr w:rsidR="00A340EE" w:rsidRPr="0047058F" w14:paraId="352ABF7F" w14:textId="77777777" w:rsidTr="001E395F">
        <w:tc>
          <w:tcPr>
            <w:tcW w:w="4518" w:type="dxa"/>
            <w:tcBorders>
              <w:bottom w:val="single" w:sz="4" w:space="0" w:color="000000"/>
            </w:tcBorders>
            <w:hideMark/>
          </w:tcPr>
          <w:p w14:paraId="4CA3DD07" w14:textId="77777777" w:rsidR="00A340EE" w:rsidRPr="0047058F" w:rsidRDefault="00A340EE" w:rsidP="001E395F">
            <w:pPr>
              <w:pStyle w:val="TableText"/>
              <w:rPr>
                <w:rFonts w:cs="Calibri"/>
                <w:szCs w:val="14"/>
              </w:rPr>
            </w:pPr>
            <w:r w:rsidRPr="0047058F">
              <w:rPr>
                <w:rFonts w:cs="Calibri"/>
                <w:szCs w:val="14"/>
              </w:rPr>
              <w:t>Emergency services</w:t>
            </w:r>
          </w:p>
        </w:tc>
        <w:tc>
          <w:tcPr>
            <w:tcW w:w="1398" w:type="dxa"/>
            <w:tcBorders>
              <w:bottom w:val="single" w:sz="4" w:space="0" w:color="000000"/>
            </w:tcBorders>
          </w:tcPr>
          <w:p w14:paraId="456326D7" w14:textId="77777777" w:rsidR="00A340EE" w:rsidRPr="0047058F" w:rsidRDefault="00A340EE" w:rsidP="001E395F">
            <w:pPr>
              <w:pStyle w:val="TableText"/>
              <w:jc w:val="right"/>
            </w:pPr>
            <w:r w:rsidRPr="0047058F">
              <w:t>57</w:t>
            </w:r>
          </w:p>
        </w:tc>
        <w:tc>
          <w:tcPr>
            <w:tcW w:w="1399" w:type="dxa"/>
            <w:tcBorders>
              <w:bottom w:val="single" w:sz="4" w:space="0" w:color="000000"/>
            </w:tcBorders>
          </w:tcPr>
          <w:p w14:paraId="07D5EE7C" w14:textId="77777777" w:rsidR="00A340EE" w:rsidRPr="0047058F" w:rsidRDefault="00A340EE" w:rsidP="001E395F">
            <w:pPr>
              <w:pStyle w:val="TableText"/>
              <w:jc w:val="right"/>
            </w:pPr>
            <w:r w:rsidRPr="0047058F">
              <w:t>4.4</w:t>
            </w:r>
          </w:p>
        </w:tc>
      </w:tr>
      <w:tr w:rsidR="00A340EE" w:rsidRPr="0047058F" w14:paraId="34CCB3E5"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top w:val="single" w:sz="4" w:space="0" w:color="000000"/>
              <w:bottom w:val="nil"/>
            </w:tcBorders>
            <w:hideMark/>
          </w:tcPr>
          <w:p w14:paraId="44014AAC" w14:textId="77777777" w:rsidR="00A340EE" w:rsidRPr="0047058F" w:rsidRDefault="00A340EE" w:rsidP="001E395F">
            <w:pPr>
              <w:pStyle w:val="TableText"/>
              <w:rPr>
                <w:b/>
              </w:rPr>
            </w:pPr>
            <w:r w:rsidRPr="0047058F">
              <w:rPr>
                <w:b/>
              </w:rPr>
              <w:t>Unemployment: at least 3-month period since transition</w:t>
            </w:r>
          </w:p>
        </w:tc>
        <w:tc>
          <w:tcPr>
            <w:tcW w:w="1398" w:type="dxa"/>
            <w:tcBorders>
              <w:top w:val="single" w:sz="4" w:space="0" w:color="000000"/>
              <w:bottom w:val="nil"/>
            </w:tcBorders>
          </w:tcPr>
          <w:p w14:paraId="009A72AB" w14:textId="77777777" w:rsidR="00A340EE" w:rsidRPr="0047058F" w:rsidRDefault="00A340EE" w:rsidP="001E395F">
            <w:pPr>
              <w:pStyle w:val="TableText"/>
              <w:jc w:val="right"/>
            </w:pPr>
          </w:p>
        </w:tc>
        <w:tc>
          <w:tcPr>
            <w:tcW w:w="1399" w:type="dxa"/>
            <w:tcBorders>
              <w:top w:val="single" w:sz="4" w:space="0" w:color="000000"/>
              <w:bottom w:val="nil"/>
            </w:tcBorders>
          </w:tcPr>
          <w:p w14:paraId="402DB6DB" w14:textId="77777777" w:rsidR="00A340EE" w:rsidRPr="0047058F" w:rsidRDefault="00A340EE" w:rsidP="001E395F">
            <w:pPr>
              <w:pStyle w:val="TableText"/>
              <w:jc w:val="right"/>
            </w:pPr>
          </w:p>
        </w:tc>
      </w:tr>
      <w:tr w:rsidR="00A340EE" w:rsidRPr="0047058F" w14:paraId="1A974118" w14:textId="77777777" w:rsidTr="001E395F">
        <w:tc>
          <w:tcPr>
            <w:tcW w:w="4518" w:type="dxa"/>
            <w:tcBorders>
              <w:top w:val="nil"/>
            </w:tcBorders>
            <w:hideMark/>
          </w:tcPr>
          <w:p w14:paraId="2C1E304F" w14:textId="77777777" w:rsidR="00A340EE" w:rsidRPr="0047058F" w:rsidRDefault="00A340EE" w:rsidP="001E395F">
            <w:pPr>
              <w:pStyle w:val="TableText"/>
              <w:rPr>
                <w:rFonts w:cs="Calibri"/>
                <w:szCs w:val="14"/>
              </w:rPr>
            </w:pPr>
            <w:r w:rsidRPr="0047058F">
              <w:rPr>
                <w:rFonts w:cs="Calibri"/>
                <w:szCs w:val="14"/>
              </w:rPr>
              <w:t>Yes</w:t>
            </w:r>
          </w:p>
        </w:tc>
        <w:tc>
          <w:tcPr>
            <w:tcW w:w="1398" w:type="dxa"/>
            <w:tcBorders>
              <w:top w:val="nil"/>
            </w:tcBorders>
          </w:tcPr>
          <w:p w14:paraId="1D30118E" w14:textId="77777777" w:rsidR="00A340EE" w:rsidRPr="0047058F" w:rsidRDefault="00A340EE" w:rsidP="001E395F">
            <w:pPr>
              <w:pStyle w:val="TableText"/>
              <w:jc w:val="right"/>
            </w:pPr>
            <w:r w:rsidRPr="0047058F">
              <w:t>906</w:t>
            </w:r>
          </w:p>
        </w:tc>
        <w:tc>
          <w:tcPr>
            <w:tcW w:w="1399" w:type="dxa"/>
            <w:tcBorders>
              <w:top w:val="nil"/>
            </w:tcBorders>
          </w:tcPr>
          <w:p w14:paraId="581E39AB" w14:textId="77777777" w:rsidR="00A340EE" w:rsidRPr="0047058F" w:rsidRDefault="00A340EE" w:rsidP="001E395F">
            <w:pPr>
              <w:pStyle w:val="TableText"/>
              <w:jc w:val="right"/>
            </w:pPr>
            <w:r w:rsidRPr="0047058F">
              <w:t>38.8</w:t>
            </w:r>
          </w:p>
        </w:tc>
      </w:tr>
      <w:tr w:rsidR="00A340EE" w:rsidRPr="0047058F" w14:paraId="577236D4"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bottom w:val="single" w:sz="4" w:space="0" w:color="000000"/>
            </w:tcBorders>
            <w:hideMark/>
          </w:tcPr>
          <w:p w14:paraId="37A905BE" w14:textId="77777777" w:rsidR="00A340EE" w:rsidRPr="0047058F" w:rsidRDefault="00A340EE" w:rsidP="001E395F">
            <w:pPr>
              <w:pStyle w:val="TableText"/>
              <w:rPr>
                <w:rFonts w:cs="Calibri"/>
                <w:szCs w:val="14"/>
              </w:rPr>
            </w:pPr>
            <w:r w:rsidRPr="0047058F">
              <w:rPr>
                <w:rFonts w:cs="Calibri"/>
                <w:szCs w:val="14"/>
              </w:rPr>
              <w:t>No</w:t>
            </w:r>
          </w:p>
        </w:tc>
        <w:tc>
          <w:tcPr>
            <w:tcW w:w="1398" w:type="dxa"/>
            <w:tcBorders>
              <w:bottom w:val="single" w:sz="4" w:space="0" w:color="000000"/>
            </w:tcBorders>
          </w:tcPr>
          <w:p w14:paraId="6A4E238F" w14:textId="77777777" w:rsidR="00A340EE" w:rsidRPr="0047058F" w:rsidRDefault="00A340EE" w:rsidP="001E395F">
            <w:pPr>
              <w:pStyle w:val="TableText"/>
              <w:jc w:val="right"/>
            </w:pPr>
            <w:r w:rsidRPr="0047058F">
              <w:t>1365</w:t>
            </w:r>
          </w:p>
        </w:tc>
        <w:tc>
          <w:tcPr>
            <w:tcW w:w="1399" w:type="dxa"/>
            <w:tcBorders>
              <w:bottom w:val="single" w:sz="4" w:space="0" w:color="000000"/>
            </w:tcBorders>
          </w:tcPr>
          <w:p w14:paraId="52B72779" w14:textId="77777777" w:rsidR="00A340EE" w:rsidRPr="0047058F" w:rsidRDefault="00A340EE" w:rsidP="001E395F">
            <w:pPr>
              <w:pStyle w:val="TableText"/>
              <w:jc w:val="right"/>
            </w:pPr>
            <w:r w:rsidRPr="0047058F">
              <w:t>58.5</w:t>
            </w:r>
          </w:p>
        </w:tc>
      </w:tr>
      <w:tr w:rsidR="00A340EE" w:rsidRPr="0047058F" w14:paraId="5C161835" w14:textId="77777777" w:rsidTr="001E395F">
        <w:tc>
          <w:tcPr>
            <w:tcW w:w="4518" w:type="dxa"/>
            <w:tcBorders>
              <w:top w:val="single" w:sz="4" w:space="0" w:color="000000"/>
              <w:bottom w:val="nil"/>
            </w:tcBorders>
            <w:hideMark/>
          </w:tcPr>
          <w:p w14:paraId="53AE561B" w14:textId="77777777" w:rsidR="00A340EE" w:rsidRPr="0047058F" w:rsidRDefault="00A340EE" w:rsidP="001E395F">
            <w:pPr>
              <w:pStyle w:val="TableText"/>
              <w:rPr>
                <w:b/>
              </w:rPr>
            </w:pPr>
            <w:r w:rsidRPr="0047058F">
              <w:rPr>
                <w:b/>
              </w:rPr>
              <w:t>DVA support since transition</w:t>
            </w:r>
          </w:p>
        </w:tc>
        <w:tc>
          <w:tcPr>
            <w:tcW w:w="1398" w:type="dxa"/>
            <w:tcBorders>
              <w:top w:val="single" w:sz="4" w:space="0" w:color="000000"/>
              <w:bottom w:val="nil"/>
            </w:tcBorders>
          </w:tcPr>
          <w:p w14:paraId="622A23A5" w14:textId="77777777" w:rsidR="00A340EE" w:rsidRPr="0047058F" w:rsidRDefault="00A340EE" w:rsidP="001E395F">
            <w:pPr>
              <w:pStyle w:val="TableText"/>
              <w:jc w:val="right"/>
            </w:pPr>
          </w:p>
        </w:tc>
        <w:tc>
          <w:tcPr>
            <w:tcW w:w="1399" w:type="dxa"/>
            <w:tcBorders>
              <w:top w:val="single" w:sz="4" w:space="0" w:color="000000"/>
              <w:bottom w:val="nil"/>
            </w:tcBorders>
          </w:tcPr>
          <w:p w14:paraId="05A668FB" w14:textId="77777777" w:rsidR="00A340EE" w:rsidRPr="0047058F" w:rsidRDefault="00A340EE" w:rsidP="001E395F">
            <w:pPr>
              <w:pStyle w:val="TableText"/>
              <w:jc w:val="right"/>
            </w:pPr>
          </w:p>
        </w:tc>
      </w:tr>
      <w:tr w:rsidR="00A340EE" w:rsidRPr="0047058F" w14:paraId="4C256375"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tcBorders>
              <w:top w:val="nil"/>
            </w:tcBorders>
            <w:hideMark/>
          </w:tcPr>
          <w:p w14:paraId="56AB9DD7" w14:textId="77777777" w:rsidR="00A340EE" w:rsidRPr="0047058F" w:rsidRDefault="00A340EE" w:rsidP="001E395F">
            <w:pPr>
              <w:pStyle w:val="TableText"/>
              <w:rPr>
                <w:rFonts w:cs="Calibri"/>
                <w:szCs w:val="14"/>
              </w:rPr>
            </w:pPr>
            <w:r w:rsidRPr="0047058F">
              <w:rPr>
                <w:rFonts w:cs="Calibri"/>
                <w:szCs w:val="14"/>
              </w:rPr>
              <w:t>Treatment support (White Card or Gold Card)</w:t>
            </w:r>
          </w:p>
        </w:tc>
        <w:tc>
          <w:tcPr>
            <w:tcW w:w="1398" w:type="dxa"/>
            <w:tcBorders>
              <w:top w:val="nil"/>
            </w:tcBorders>
          </w:tcPr>
          <w:p w14:paraId="10D33339" w14:textId="77777777" w:rsidR="00A340EE" w:rsidRPr="0047058F" w:rsidRDefault="00A340EE" w:rsidP="001E395F">
            <w:pPr>
              <w:pStyle w:val="TableText"/>
              <w:jc w:val="right"/>
            </w:pPr>
            <w:r w:rsidRPr="0047058F">
              <w:t>1052</w:t>
            </w:r>
          </w:p>
        </w:tc>
        <w:tc>
          <w:tcPr>
            <w:tcW w:w="1399" w:type="dxa"/>
            <w:tcBorders>
              <w:top w:val="nil"/>
            </w:tcBorders>
          </w:tcPr>
          <w:p w14:paraId="1160DDB0" w14:textId="77777777" w:rsidR="00A340EE" w:rsidRPr="0047058F" w:rsidRDefault="00A340EE" w:rsidP="001E395F">
            <w:pPr>
              <w:pStyle w:val="TableText"/>
              <w:jc w:val="right"/>
            </w:pPr>
            <w:r w:rsidRPr="0047058F">
              <w:t>45.1</w:t>
            </w:r>
          </w:p>
        </w:tc>
      </w:tr>
      <w:tr w:rsidR="00A340EE" w:rsidRPr="0047058F" w14:paraId="74527BEB" w14:textId="77777777" w:rsidTr="001E395F">
        <w:tc>
          <w:tcPr>
            <w:tcW w:w="4518" w:type="dxa"/>
            <w:hideMark/>
          </w:tcPr>
          <w:p w14:paraId="51655406" w14:textId="4D28E948" w:rsidR="00A340EE" w:rsidRPr="0047058F" w:rsidRDefault="00A340EE" w:rsidP="001E395F">
            <w:pPr>
              <w:pStyle w:val="TableText"/>
              <w:rPr>
                <w:rFonts w:cs="Calibri"/>
                <w:szCs w:val="14"/>
              </w:rPr>
            </w:pPr>
            <w:r w:rsidRPr="0047058F">
              <w:rPr>
                <w:rFonts w:cs="Calibri"/>
                <w:szCs w:val="14"/>
              </w:rPr>
              <w:t xml:space="preserve">White </w:t>
            </w:r>
            <w:r w:rsidR="004C2CBC">
              <w:rPr>
                <w:rFonts w:cs="Calibri"/>
                <w:szCs w:val="14"/>
              </w:rPr>
              <w:t>C</w:t>
            </w:r>
            <w:r w:rsidRPr="0047058F">
              <w:rPr>
                <w:rFonts w:cs="Calibri"/>
                <w:szCs w:val="14"/>
              </w:rPr>
              <w:t>ard</w:t>
            </w:r>
          </w:p>
        </w:tc>
        <w:tc>
          <w:tcPr>
            <w:tcW w:w="1398" w:type="dxa"/>
          </w:tcPr>
          <w:p w14:paraId="37553FD3" w14:textId="77777777" w:rsidR="00A340EE" w:rsidRPr="0047058F" w:rsidRDefault="00A340EE" w:rsidP="001E395F">
            <w:pPr>
              <w:pStyle w:val="TableText"/>
              <w:jc w:val="right"/>
            </w:pPr>
            <w:r w:rsidRPr="0047058F">
              <w:t>918</w:t>
            </w:r>
          </w:p>
        </w:tc>
        <w:tc>
          <w:tcPr>
            <w:tcW w:w="1399" w:type="dxa"/>
          </w:tcPr>
          <w:p w14:paraId="5C7E4CBB" w14:textId="77777777" w:rsidR="00A340EE" w:rsidRPr="0047058F" w:rsidRDefault="00A340EE" w:rsidP="001E395F">
            <w:pPr>
              <w:pStyle w:val="TableText"/>
              <w:jc w:val="right"/>
            </w:pPr>
            <w:r w:rsidRPr="0047058F">
              <w:t>39.3</w:t>
            </w:r>
          </w:p>
        </w:tc>
      </w:tr>
      <w:tr w:rsidR="00A340EE" w:rsidRPr="0047058F" w14:paraId="4079B416" w14:textId="77777777" w:rsidTr="001E395F">
        <w:trPr>
          <w:cnfStyle w:val="000000100000" w:firstRow="0" w:lastRow="0" w:firstColumn="0" w:lastColumn="0" w:oddVBand="0" w:evenVBand="0" w:oddHBand="1" w:evenHBand="0" w:firstRowFirstColumn="0" w:firstRowLastColumn="0" w:lastRowFirstColumn="0" w:lastRowLastColumn="0"/>
        </w:trPr>
        <w:tc>
          <w:tcPr>
            <w:tcW w:w="4518" w:type="dxa"/>
            <w:hideMark/>
          </w:tcPr>
          <w:p w14:paraId="1B68EC58" w14:textId="358A5596" w:rsidR="00A340EE" w:rsidRPr="0047058F" w:rsidRDefault="00A340EE" w:rsidP="001E395F">
            <w:pPr>
              <w:pStyle w:val="TableText"/>
              <w:rPr>
                <w:rFonts w:cs="Calibri"/>
                <w:szCs w:val="14"/>
              </w:rPr>
            </w:pPr>
            <w:r w:rsidRPr="0047058F">
              <w:rPr>
                <w:rFonts w:cs="Calibri"/>
                <w:szCs w:val="14"/>
              </w:rPr>
              <w:t xml:space="preserve">Gold </w:t>
            </w:r>
            <w:r w:rsidR="004C2CBC">
              <w:rPr>
                <w:rFonts w:cs="Calibri"/>
                <w:szCs w:val="14"/>
              </w:rPr>
              <w:t>C</w:t>
            </w:r>
            <w:r w:rsidRPr="0047058F">
              <w:rPr>
                <w:rFonts w:cs="Calibri"/>
                <w:szCs w:val="14"/>
              </w:rPr>
              <w:t>ard</w:t>
            </w:r>
          </w:p>
        </w:tc>
        <w:tc>
          <w:tcPr>
            <w:tcW w:w="1398" w:type="dxa"/>
          </w:tcPr>
          <w:p w14:paraId="233FBD1E" w14:textId="77777777" w:rsidR="00A340EE" w:rsidRPr="0047058F" w:rsidRDefault="00A340EE" w:rsidP="001E395F">
            <w:pPr>
              <w:pStyle w:val="TableText"/>
              <w:jc w:val="right"/>
            </w:pPr>
            <w:r w:rsidRPr="0047058F">
              <w:t>137</w:t>
            </w:r>
          </w:p>
        </w:tc>
        <w:tc>
          <w:tcPr>
            <w:tcW w:w="1399" w:type="dxa"/>
          </w:tcPr>
          <w:p w14:paraId="5F46F6DF" w14:textId="77777777" w:rsidR="00A340EE" w:rsidRPr="0047058F" w:rsidRDefault="00A340EE" w:rsidP="001E395F">
            <w:pPr>
              <w:pStyle w:val="TableText"/>
              <w:jc w:val="right"/>
            </w:pPr>
            <w:r w:rsidRPr="0047058F">
              <w:t>5.9</w:t>
            </w:r>
          </w:p>
        </w:tc>
      </w:tr>
    </w:tbl>
    <w:p w14:paraId="17FE7920" w14:textId="77777777" w:rsidR="00A340EE" w:rsidRPr="0047058F" w:rsidRDefault="00A340EE" w:rsidP="00A340EE">
      <w:pPr>
        <w:pStyle w:val="TableNotes"/>
      </w:pPr>
      <w:r w:rsidRPr="0047058F">
        <w:t># Proportion of employed Transitioned ADF only.</w:t>
      </w:r>
    </w:p>
    <w:p w14:paraId="18797EE5" w14:textId="77777777" w:rsidR="00A340EE" w:rsidRPr="0047058F" w:rsidRDefault="00A340EE" w:rsidP="00A340EE">
      <w:pPr>
        <w:pStyle w:val="TableNotes"/>
      </w:pPr>
      <w:r w:rsidRPr="0047058F">
        <w:t>Missing: Civilian employment – 37 (1.6%), Hours worked – 34 (2.6%), Industry – 18 (1.4%), Unemployment – 63 (2.7%).</w:t>
      </w:r>
    </w:p>
    <w:p w14:paraId="0805C87F" w14:textId="77777777" w:rsidR="00A340EE" w:rsidRPr="0047058F" w:rsidRDefault="00A340EE" w:rsidP="00A340EE">
      <w:pPr>
        <w:pStyle w:val="TableName"/>
      </w:pPr>
      <w:bookmarkStart w:id="178" w:name="_Ref510698650"/>
      <w:bookmarkStart w:id="179" w:name="_Toc529117507"/>
      <w:bookmarkStart w:id="180" w:name="_Toc532473577"/>
      <w:r w:rsidRPr="0047058F">
        <w:t>Table 3.5</w:t>
      </w:r>
      <w:bookmarkEnd w:id="178"/>
      <w:r w:rsidRPr="0047058F">
        <w:tab/>
        <w:t>Unweighted ex-service organisation engagement and incarcerations in Transitioned ADF</w:t>
      </w:r>
      <w:bookmarkEnd w:id="179"/>
      <w:bookmarkEnd w:id="180"/>
    </w:p>
    <w:tbl>
      <w:tblPr>
        <w:tblStyle w:val="TWRPTable"/>
        <w:tblW w:w="5000" w:type="pct"/>
        <w:tblLayout w:type="fixed"/>
        <w:tblLook w:val="04A0" w:firstRow="1" w:lastRow="0" w:firstColumn="1" w:lastColumn="0" w:noHBand="0" w:noVBand="1"/>
        <w:tblDescription w:val="Table 3.5 Unweighted ex-service organisation engagement and incarcerations in Transitioned ADF"/>
      </w:tblPr>
      <w:tblGrid>
        <w:gridCol w:w="4517"/>
        <w:gridCol w:w="1399"/>
        <w:gridCol w:w="1399"/>
      </w:tblGrid>
      <w:tr w:rsidR="00A340EE" w:rsidRPr="0047058F" w14:paraId="33EBB310"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3088" w:type="pct"/>
            <w:tcBorders>
              <w:top w:val="single" w:sz="4" w:space="0" w:color="000000"/>
              <w:bottom w:val="nil"/>
            </w:tcBorders>
          </w:tcPr>
          <w:p w14:paraId="60E9778B" w14:textId="77777777" w:rsidR="00A340EE" w:rsidRPr="0047058F" w:rsidRDefault="00A340EE" w:rsidP="001E395F">
            <w:pPr>
              <w:pStyle w:val="TableText"/>
            </w:pPr>
          </w:p>
        </w:tc>
        <w:tc>
          <w:tcPr>
            <w:tcW w:w="1912" w:type="pct"/>
            <w:gridSpan w:val="2"/>
            <w:hideMark/>
          </w:tcPr>
          <w:p w14:paraId="779BED4E" w14:textId="77777777" w:rsidR="00A340EE" w:rsidRPr="0047058F" w:rsidRDefault="00A340EE" w:rsidP="001E395F">
            <w:pPr>
              <w:pStyle w:val="TableText"/>
              <w:jc w:val="center"/>
            </w:pPr>
            <w:r w:rsidRPr="0047058F">
              <w:t>Transitioned ADF</w:t>
            </w:r>
            <w:r w:rsidRPr="0047058F">
              <w:br/>
              <w:t>n = 2334</w:t>
            </w:r>
          </w:p>
        </w:tc>
      </w:tr>
      <w:tr w:rsidR="00A340EE" w:rsidRPr="0047058F" w14:paraId="07000B9D" w14:textId="77777777" w:rsidTr="001E395F">
        <w:trPr>
          <w:cnfStyle w:val="100000000000" w:firstRow="1" w:lastRow="0" w:firstColumn="0" w:lastColumn="0" w:oddVBand="0" w:evenVBand="0" w:oddHBand="0" w:evenHBand="0" w:firstRowFirstColumn="0" w:firstRowLastColumn="0" w:lastRowFirstColumn="0" w:lastRowLastColumn="0"/>
          <w:tblHeader/>
        </w:trPr>
        <w:tc>
          <w:tcPr>
            <w:tcW w:w="3088" w:type="pct"/>
            <w:tcBorders>
              <w:top w:val="nil"/>
            </w:tcBorders>
            <w:hideMark/>
          </w:tcPr>
          <w:p w14:paraId="74412BAD" w14:textId="77777777" w:rsidR="00A340EE" w:rsidRPr="0047058F" w:rsidRDefault="00A340EE" w:rsidP="001E395F">
            <w:pPr>
              <w:pStyle w:val="TableText"/>
            </w:pPr>
            <w:r w:rsidRPr="0047058F">
              <w:t>Ex-service organisation engagement and incarcerations</w:t>
            </w:r>
          </w:p>
        </w:tc>
        <w:tc>
          <w:tcPr>
            <w:tcW w:w="956" w:type="pct"/>
            <w:hideMark/>
          </w:tcPr>
          <w:p w14:paraId="033574E7" w14:textId="77777777" w:rsidR="00A340EE" w:rsidRPr="0047058F" w:rsidRDefault="00A340EE" w:rsidP="001E395F">
            <w:pPr>
              <w:pStyle w:val="TableText"/>
              <w:jc w:val="right"/>
            </w:pPr>
            <w:r w:rsidRPr="0047058F">
              <w:t>n</w:t>
            </w:r>
          </w:p>
        </w:tc>
        <w:tc>
          <w:tcPr>
            <w:tcW w:w="956" w:type="pct"/>
            <w:hideMark/>
          </w:tcPr>
          <w:p w14:paraId="34D26882" w14:textId="77777777" w:rsidR="00A340EE" w:rsidRPr="0047058F" w:rsidRDefault="00A340EE" w:rsidP="001E395F">
            <w:pPr>
              <w:pStyle w:val="TableText"/>
              <w:jc w:val="right"/>
            </w:pPr>
            <w:r w:rsidRPr="0047058F">
              <w:t>%</w:t>
            </w:r>
          </w:p>
        </w:tc>
      </w:tr>
      <w:tr w:rsidR="00A340EE" w:rsidRPr="0047058F" w14:paraId="11DE09DA"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27CA3BFC" w14:textId="77777777" w:rsidR="00A340EE" w:rsidRPr="0047058F" w:rsidRDefault="00A340EE" w:rsidP="001E395F">
            <w:pPr>
              <w:pStyle w:val="TableText"/>
              <w:rPr>
                <w:b/>
              </w:rPr>
            </w:pPr>
            <w:r w:rsidRPr="0047058F">
              <w:rPr>
                <w:b/>
              </w:rPr>
              <w:t>No. of ex-service organisations joined</w:t>
            </w:r>
          </w:p>
        </w:tc>
        <w:tc>
          <w:tcPr>
            <w:tcW w:w="956" w:type="pct"/>
          </w:tcPr>
          <w:p w14:paraId="146C03FF" w14:textId="77777777" w:rsidR="00A340EE" w:rsidRPr="0047058F" w:rsidRDefault="00A340EE" w:rsidP="001E395F">
            <w:pPr>
              <w:pStyle w:val="TableText"/>
              <w:jc w:val="right"/>
            </w:pPr>
          </w:p>
        </w:tc>
        <w:tc>
          <w:tcPr>
            <w:tcW w:w="956" w:type="pct"/>
          </w:tcPr>
          <w:p w14:paraId="0EE21220" w14:textId="77777777" w:rsidR="00A340EE" w:rsidRPr="0047058F" w:rsidRDefault="00A340EE" w:rsidP="001E395F">
            <w:pPr>
              <w:pStyle w:val="TableText"/>
              <w:jc w:val="right"/>
            </w:pPr>
          </w:p>
        </w:tc>
      </w:tr>
      <w:tr w:rsidR="00A340EE" w:rsidRPr="0047058F" w14:paraId="6ECB9C9D" w14:textId="77777777" w:rsidTr="001E395F">
        <w:tc>
          <w:tcPr>
            <w:tcW w:w="3088" w:type="pct"/>
            <w:hideMark/>
          </w:tcPr>
          <w:p w14:paraId="0E2CBAD4" w14:textId="77777777" w:rsidR="00A340EE" w:rsidRPr="0047058F" w:rsidRDefault="00A340EE" w:rsidP="001E395F">
            <w:pPr>
              <w:pStyle w:val="TableText"/>
              <w:rPr>
                <w:rFonts w:cs="Calibri"/>
                <w:szCs w:val="14"/>
              </w:rPr>
            </w:pPr>
            <w:r w:rsidRPr="0047058F">
              <w:rPr>
                <w:rFonts w:cs="Calibri"/>
                <w:szCs w:val="14"/>
              </w:rPr>
              <w:t>None</w:t>
            </w:r>
          </w:p>
        </w:tc>
        <w:tc>
          <w:tcPr>
            <w:tcW w:w="956" w:type="pct"/>
          </w:tcPr>
          <w:p w14:paraId="65080731" w14:textId="77777777" w:rsidR="00A340EE" w:rsidRPr="0047058F" w:rsidRDefault="00A340EE" w:rsidP="001E395F">
            <w:pPr>
              <w:pStyle w:val="TableText"/>
              <w:jc w:val="right"/>
            </w:pPr>
            <w:r w:rsidRPr="0047058F">
              <w:t>1267</w:t>
            </w:r>
          </w:p>
        </w:tc>
        <w:tc>
          <w:tcPr>
            <w:tcW w:w="956" w:type="pct"/>
          </w:tcPr>
          <w:p w14:paraId="0008DB24" w14:textId="77777777" w:rsidR="00A340EE" w:rsidRPr="0047058F" w:rsidRDefault="00A340EE" w:rsidP="001E395F">
            <w:pPr>
              <w:pStyle w:val="TableText"/>
              <w:jc w:val="right"/>
            </w:pPr>
            <w:r w:rsidRPr="0047058F">
              <w:t>54.3</w:t>
            </w:r>
          </w:p>
        </w:tc>
      </w:tr>
      <w:tr w:rsidR="00A340EE" w:rsidRPr="0047058F" w14:paraId="08A383A4"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14441725" w14:textId="77777777" w:rsidR="00A340EE" w:rsidRPr="0047058F" w:rsidRDefault="00A340EE" w:rsidP="001E395F">
            <w:pPr>
              <w:pStyle w:val="TableText"/>
              <w:rPr>
                <w:rFonts w:cs="Calibri"/>
                <w:szCs w:val="14"/>
              </w:rPr>
            </w:pPr>
            <w:r w:rsidRPr="0047058F">
              <w:rPr>
                <w:rFonts w:cs="Calibri"/>
                <w:szCs w:val="14"/>
              </w:rPr>
              <w:t>1</w:t>
            </w:r>
          </w:p>
        </w:tc>
        <w:tc>
          <w:tcPr>
            <w:tcW w:w="956" w:type="pct"/>
          </w:tcPr>
          <w:p w14:paraId="13389B1E" w14:textId="77777777" w:rsidR="00A340EE" w:rsidRPr="0047058F" w:rsidRDefault="00A340EE" w:rsidP="001E395F">
            <w:pPr>
              <w:pStyle w:val="TableText"/>
              <w:jc w:val="right"/>
            </w:pPr>
            <w:r w:rsidRPr="0047058F">
              <w:t>533</w:t>
            </w:r>
          </w:p>
        </w:tc>
        <w:tc>
          <w:tcPr>
            <w:tcW w:w="956" w:type="pct"/>
          </w:tcPr>
          <w:p w14:paraId="7DA39BF8" w14:textId="77777777" w:rsidR="00A340EE" w:rsidRPr="0047058F" w:rsidRDefault="00A340EE" w:rsidP="001E395F">
            <w:pPr>
              <w:pStyle w:val="TableText"/>
              <w:jc w:val="right"/>
            </w:pPr>
            <w:r w:rsidRPr="0047058F">
              <w:t>22.8</w:t>
            </w:r>
          </w:p>
        </w:tc>
      </w:tr>
      <w:tr w:rsidR="00A340EE" w:rsidRPr="0047058F" w14:paraId="791852DE" w14:textId="77777777" w:rsidTr="001E395F">
        <w:tc>
          <w:tcPr>
            <w:tcW w:w="3088" w:type="pct"/>
            <w:hideMark/>
          </w:tcPr>
          <w:p w14:paraId="03FDD883" w14:textId="77777777" w:rsidR="00A340EE" w:rsidRPr="0047058F" w:rsidRDefault="00A340EE" w:rsidP="001E395F">
            <w:pPr>
              <w:pStyle w:val="TableText"/>
              <w:rPr>
                <w:rFonts w:cs="Calibri"/>
                <w:szCs w:val="14"/>
              </w:rPr>
            </w:pPr>
            <w:r w:rsidRPr="0047058F">
              <w:rPr>
                <w:rFonts w:cs="Calibri"/>
                <w:szCs w:val="14"/>
              </w:rPr>
              <w:t>2</w:t>
            </w:r>
          </w:p>
        </w:tc>
        <w:tc>
          <w:tcPr>
            <w:tcW w:w="956" w:type="pct"/>
          </w:tcPr>
          <w:p w14:paraId="3C67DA54" w14:textId="77777777" w:rsidR="00A340EE" w:rsidRPr="0047058F" w:rsidRDefault="00A340EE" w:rsidP="001E395F">
            <w:pPr>
              <w:pStyle w:val="TableText"/>
              <w:jc w:val="right"/>
            </w:pPr>
            <w:r w:rsidRPr="0047058F">
              <w:t>147</w:t>
            </w:r>
          </w:p>
        </w:tc>
        <w:tc>
          <w:tcPr>
            <w:tcW w:w="956" w:type="pct"/>
          </w:tcPr>
          <w:p w14:paraId="772F9FF4" w14:textId="77777777" w:rsidR="00A340EE" w:rsidRPr="0047058F" w:rsidRDefault="00A340EE" w:rsidP="001E395F">
            <w:pPr>
              <w:pStyle w:val="TableText"/>
              <w:jc w:val="right"/>
            </w:pPr>
            <w:r w:rsidRPr="0047058F">
              <w:t>6.3</w:t>
            </w:r>
          </w:p>
        </w:tc>
      </w:tr>
      <w:tr w:rsidR="00A340EE" w:rsidRPr="0047058F" w14:paraId="0CA0C48B"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352FF8F9" w14:textId="77777777" w:rsidR="00A340EE" w:rsidRPr="0047058F" w:rsidRDefault="00A340EE" w:rsidP="001E395F">
            <w:pPr>
              <w:pStyle w:val="TableText"/>
              <w:rPr>
                <w:rFonts w:cs="Calibri"/>
                <w:szCs w:val="14"/>
              </w:rPr>
            </w:pPr>
            <w:r w:rsidRPr="0047058F">
              <w:rPr>
                <w:rFonts w:cs="Calibri"/>
                <w:szCs w:val="14"/>
              </w:rPr>
              <w:t>3</w:t>
            </w:r>
          </w:p>
        </w:tc>
        <w:tc>
          <w:tcPr>
            <w:tcW w:w="956" w:type="pct"/>
          </w:tcPr>
          <w:p w14:paraId="0C6F38B5" w14:textId="77777777" w:rsidR="00A340EE" w:rsidRPr="0047058F" w:rsidRDefault="00A340EE" w:rsidP="001E395F">
            <w:pPr>
              <w:pStyle w:val="TableText"/>
              <w:jc w:val="right"/>
            </w:pPr>
            <w:r w:rsidRPr="0047058F">
              <w:t>40</w:t>
            </w:r>
          </w:p>
        </w:tc>
        <w:tc>
          <w:tcPr>
            <w:tcW w:w="956" w:type="pct"/>
          </w:tcPr>
          <w:p w14:paraId="21DF3FD6" w14:textId="77777777" w:rsidR="00A340EE" w:rsidRPr="0047058F" w:rsidRDefault="00A340EE" w:rsidP="001E395F">
            <w:pPr>
              <w:pStyle w:val="TableText"/>
              <w:jc w:val="right"/>
            </w:pPr>
            <w:r w:rsidRPr="0047058F">
              <w:t>1.7</w:t>
            </w:r>
          </w:p>
        </w:tc>
      </w:tr>
      <w:tr w:rsidR="00A340EE" w:rsidRPr="0047058F" w14:paraId="3FAA2DE6" w14:textId="77777777" w:rsidTr="001E395F">
        <w:tc>
          <w:tcPr>
            <w:tcW w:w="3088" w:type="pct"/>
            <w:hideMark/>
          </w:tcPr>
          <w:p w14:paraId="0EA0CD22" w14:textId="77777777" w:rsidR="00A340EE" w:rsidRPr="0047058F" w:rsidRDefault="00A340EE" w:rsidP="001E395F">
            <w:pPr>
              <w:pStyle w:val="TableText"/>
              <w:rPr>
                <w:rFonts w:cs="Calibri"/>
                <w:szCs w:val="14"/>
              </w:rPr>
            </w:pPr>
            <w:r w:rsidRPr="0047058F">
              <w:rPr>
                <w:rFonts w:cs="Calibri"/>
                <w:szCs w:val="14"/>
              </w:rPr>
              <w:t>4</w:t>
            </w:r>
          </w:p>
        </w:tc>
        <w:tc>
          <w:tcPr>
            <w:tcW w:w="956" w:type="pct"/>
          </w:tcPr>
          <w:p w14:paraId="49EA5383" w14:textId="77777777" w:rsidR="00A340EE" w:rsidRPr="0047058F" w:rsidRDefault="00A340EE" w:rsidP="001E395F">
            <w:pPr>
              <w:pStyle w:val="TableText"/>
              <w:jc w:val="right"/>
            </w:pPr>
            <w:r w:rsidRPr="0047058F">
              <w:t>13</w:t>
            </w:r>
          </w:p>
        </w:tc>
        <w:tc>
          <w:tcPr>
            <w:tcW w:w="956" w:type="pct"/>
          </w:tcPr>
          <w:p w14:paraId="3D92B157" w14:textId="77777777" w:rsidR="00A340EE" w:rsidRPr="0047058F" w:rsidRDefault="00A340EE" w:rsidP="001E395F">
            <w:pPr>
              <w:pStyle w:val="TableText"/>
              <w:jc w:val="right"/>
            </w:pPr>
            <w:r w:rsidRPr="0047058F">
              <w:t>0.6</w:t>
            </w:r>
          </w:p>
        </w:tc>
      </w:tr>
      <w:tr w:rsidR="00A340EE" w:rsidRPr="0047058F" w14:paraId="29A9FF18"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bottom w:val="single" w:sz="4" w:space="0" w:color="000000"/>
            </w:tcBorders>
            <w:hideMark/>
          </w:tcPr>
          <w:p w14:paraId="7EAF9B7B" w14:textId="77777777" w:rsidR="00A340EE" w:rsidRPr="0047058F" w:rsidRDefault="00A340EE" w:rsidP="001E395F">
            <w:pPr>
              <w:pStyle w:val="TableText"/>
              <w:rPr>
                <w:rFonts w:cs="Calibri"/>
                <w:szCs w:val="14"/>
              </w:rPr>
            </w:pPr>
            <w:r w:rsidRPr="0047058F">
              <w:rPr>
                <w:rFonts w:cs="Calibri"/>
                <w:szCs w:val="14"/>
              </w:rPr>
              <w:t>5+</w:t>
            </w:r>
          </w:p>
        </w:tc>
        <w:tc>
          <w:tcPr>
            <w:tcW w:w="956" w:type="pct"/>
            <w:tcBorders>
              <w:bottom w:val="single" w:sz="4" w:space="0" w:color="000000"/>
            </w:tcBorders>
          </w:tcPr>
          <w:p w14:paraId="31ECB01A" w14:textId="77777777" w:rsidR="00A340EE" w:rsidRPr="0047058F" w:rsidRDefault="00A340EE" w:rsidP="001E395F">
            <w:pPr>
              <w:pStyle w:val="TableText"/>
              <w:jc w:val="right"/>
            </w:pPr>
            <w:r w:rsidRPr="0047058F">
              <w:t>9</w:t>
            </w:r>
          </w:p>
        </w:tc>
        <w:tc>
          <w:tcPr>
            <w:tcW w:w="956" w:type="pct"/>
            <w:tcBorders>
              <w:bottom w:val="single" w:sz="4" w:space="0" w:color="000000"/>
            </w:tcBorders>
          </w:tcPr>
          <w:p w14:paraId="602C9702" w14:textId="77777777" w:rsidR="00A340EE" w:rsidRPr="0047058F" w:rsidRDefault="00A340EE" w:rsidP="001E395F">
            <w:pPr>
              <w:pStyle w:val="TableText"/>
              <w:jc w:val="right"/>
            </w:pPr>
            <w:r w:rsidRPr="0047058F">
              <w:t>0.4</w:t>
            </w:r>
          </w:p>
        </w:tc>
      </w:tr>
      <w:tr w:rsidR="00A340EE" w:rsidRPr="0047058F" w14:paraId="42A529E6" w14:textId="77777777" w:rsidTr="001E395F">
        <w:tc>
          <w:tcPr>
            <w:tcW w:w="3088" w:type="pct"/>
            <w:tcBorders>
              <w:top w:val="single" w:sz="4" w:space="0" w:color="000000"/>
              <w:bottom w:val="nil"/>
            </w:tcBorders>
            <w:hideMark/>
          </w:tcPr>
          <w:p w14:paraId="79AC0D9D" w14:textId="77777777" w:rsidR="00A340EE" w:rsidRPr="0047058F" w:rsidRDefault="00A340EE" w:rsidP="001E395F">
            <w:pPr>
              <w:pStyle w:val="TableText"/>
              <w:rPr>
                <w:b/>
              </w:rPr>
            </w:pPr>
            <w:r w:rsidRPr="0047058F">
              <w:rPr>
                <w:b/>
              </w:rPr>
              <w:t>No. of other voluntary groups joined</w:t>
            </w:r>
          </w:p>
        </w:tc>
        <w:tc>
          <w:tcPr>
            <w:tcW w:w="956" w:type="pct"/>
            <w:tcBorders>
              <w:top w:val="single" w:sz="4" w:space="0" w:color="000000"/>
              <w:bottom w:val="nil"/>
            </w:tcBorders>
          </w:tcPr>
          <w:p w14:paraId="58932E54" w14:textId="77777777" w:rsidR="00A340EE" w:rsidRPr="0047058F" w:rsidRDefault="00A340EE" w:rsidP="001E395F">
            <w:pPr>
              <w:pStyle w:val="TableText"/>
              <w:jc w:val="right"/>
            </w:pPr>
          </w:p>
        </w:tc>
        <w:tc>
          <w:tcPr>
            <w:tcW w:w="956" w:type="pct"/>
            <w:tcBorders>
              <w:top w:val="single" w:sz="4" w:space="0" w:color="000000"/>
              <w:bottom w:val="nil"/>
            </w:tcBorders>
          </w:tcPr>
          <w:p w14:paraId="216534BE" w14:textId="77777777" w:rsidR="00A340EE" w:rsidRPr="0047058F" w:rsidRDefault="00A340EE" w:rsidP="001E395F">
            <w:pPr>
              <w:pStyle w:val="TableText"/>
              <w:jc w:val="right"/>
            </w:pPr>
          </w:p>
        </w:tc>
      </w:tr>
      <w:tr w:rsidR="00A340EE" w:rsidRPr="0047058F" w14:paraId="09B7794A"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top w:val="nil"/>
            </w:tcBorders>
            <w:hideMark/>
          </w:tcPr>
          <w:p w14:paraId="55454454" w14:textId="77777777" w:rsidR="00A340EE" w:rsidRPr="0047058F" w:rsidRDefault="00A340EE" w:rsidP="001E395F">
            <w:pPr>
              <w:pStyle w:val="TableText"/>
              <w:rPr>
                <w:rFonts w:cs="Calibri"/>
                <w:szCs w:val="14"/>
              </w:rPr>
            </w:pPr>
            <w:r w:rsidRPr="0047058F">
              <w:rPr>
                <w:rFonts w:cs="Calibri"/>
                <w:szCs w:val="14"/>
              </w:rPr>
              <w:t>None</w:t>
            </w:r>
          </w:p>
        </w:tc>
        <w:tc>
          <w:tcPr>
            <w:tcW w:w="956" w:type="pct"/>
            <w:tcBorders>
              <w:top w:val="nil"/>
            </w:tcBorders>
          </w:tcPr>
          <w:p w14:paraId="5D5B3A4F" w14:textId="77777777" w:rsidR="00A340EE" w:rsidRPr="0047058F" w:rsidRDefault="00A340EE" w:rsidP="001E395F">
            <w:pPr>
              <w:pStyle w:val="TableText"/>
              <w:jc w:val="right"/>
            </w:pPr>
            <w:r w:rsidRPr="0047058F">
              <w:t>1198</w:t>
            </w:r>
          </w:p>
        </w:tc>
        <w:tc>
          <w:tcPr>
            <w:tcW w:w="956" w:type="pct"/>
            <w:tcBorders>
              <w:top w:val="nil"/>
            </w:tcBorders>
          </w:tcPr>
          <w:p w14:paraId="0FD8C2D7" w14:textId="77777777" w:rsidR="00A340EE" w:rsidRPr="0047058F" w:rsidRDefault="00A340EE" w:rsidP="001E395F">
            <w:pPr>
              <w:pStyle w:val="TableText"/>
              <w:jc w:val="right"/>
            </w:pPr>
            <w:r w:rsidRPr="0047058F">
              <w:t>51.3</w:t>
            </w:r>
          </w:p>
        </w:tc>
      </w:tr>
      <w:tr w:rsidR="00A340EE" w:rsidRPr="0047058F" w14:paraId="1D4A7264" w14:textId="77777777" w:rsidTr="001E395F">
        <w:tc>
          <w:tcPr>
            <w:tcW w:w="3088" w:type="pct"/>
            <w:hideMark/>
          </w:tcPr>
          <w:p w14:paraId="5EB4D4C9" w14:textId="77777777" w:rsidR="00A340EE" w:rsidRPr="0047058F" w:rsidRDefault="00A340EE" w:rsidP="001E395F">
            <w:pPr>
              <w:pStyle w:val="TableText"/>
              <w:rPr>
                <w:rFonts w:cs="Calibri"/>
                <w:szCs w:val="14"/>
              </w:rPr>
            </w:pPr>
            <w:r w:rsidRPr="0047058F">
              <w:rPr>
                <w:rFonts w:cs="Calibri"/>
                <w:szCs w:val="14"/>
              </w:rPr>
              <w:t>1</w:t>
            </w:r>
          </w:p>
        </w:tc>
        <w:tc>
          <w:tcPr>
            <w:tcW w:w="956" w:type="pct"/>
          </w:tcPr>
          <w:p w14:paraId="5A54191B" w14:textId="77777777" w:rsidR="00A340EE" w:rsidRPr="0047058F" w:rsidRDefault="00A340EE" w:rsidP="001E395F">
            <w:pPr>
              <w:pStyle w:val="TableText"/>
              <w:jc w:val="right"/>
            </w:pPr>
            <w:r w:rsidRPr="0047058F">
              <w:t>440</w:t>
            </w:r>
          </w:p>
        </w:tc>
        <w:tc>
          <w:tcPr>
            <w:tcW w:w="956" w:type="pct"/>
          </w:tcPr>
          <w:p w14:paraId="675404D6" w14:textId="77777777" w:rsidR="00A340EE" w:rsidRPr="0047058F" w:rsidRDefault="00A340EE" w:rsidP="001E395F">
            <w:pPr>
              <w:pStyle w:val="TableText"/>
              <w:jc w:val="right"/>
            </w:pPr>
            <w:r w:rsidRPr="0047058F">
              <w:t>18.9</w:t>
            </w:r>
          </w:p>
        </w:tc>
      </w:tr>
      <w:tr w:rsidR="00A340EE" w:rsidRPr="0047058F" w14:paraId="2B5473F6"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4C132857" w14:textId="77777777" w:rsidR="00A340EE" w:rsidRPr="0047058F" w:rsidRDefault="00A340EE" w:rsidP="001E395F">
            <w:pPr>
              <w:pStyle w:val="TableText"/>
              <w:rPr>
                <w:rFonts w:cs="Calibri"/>
                <w:szCs w:val="14"/>
              </w:rPr>
            </w:pPr>
            <w:r w:rsidRPr="0047058F">
              <w:rPr>
                <w:rFonts w:cs="Calibri"/>
                <w:szCs w:val="14"/>
              </w:rPr>
              <w:t>2</w:t>
            </w:r>
          </w:p>
        </w:tc>
        <w:tc>
          <w:tcPr>
            <w:tcW w:w="956" w:type="pct"/>
          </w:tcPr>
          <w:p w14:paraId="15FF6C6C" w14:textId="77777777" w:rsidR="00A340EE" w:rsidRPr="0047058F" w:rsidRDefault="00A340EE" w:rsidP="001E395F">
            <w:pPr>
              <w:pStyle w:val="TableText"/>
              <w:jc w:val="right"/>
            </w:pPr>
            <w:r w:rsidRPr="0047058F">
              <w:t>220</w:t>
            </w:r>
          </w:p>
        </w:tc>
        <w:tc>
          <w:tcPr>
            <w:tcW w:w="956" w:type="pct"/>
          </w:tcPr>
          <w:p w14:paraId="02EF2469" w14:textId="77777777" w:rsidR="00A340EE" w:rsidRPr="0047058F" w:rsidRDefault="00A340EE" w:rsidP="001E395F">
            <w:pPr>
              <w:pStyle w:val="TableText"/>
              <w:jc w:val="right"/>
            </w:pPr>
            <w:r w:rsidRPr="0047058F">
              <w:t>9.4</w:t>
            </w:r>
          </w:p>
        </w:tc>
      </w:tr>
      <w:tr w:rsidR="00A340EE" w:rsidRPr="0047058F" w14:paraId="01C9E4D3" w14:textId="77777777" w:rsidTr="001E395F">
        <w:tc>
          <w:tcPr>
            <w:tcW w:w="3088" w:type="pct"/>
            <w:hideMark/>
          </w:tcPr>
          <w:p w14:paraId="61F17777" w14:textId="77777777" w:rsidR="00A340EE" w:rsidRPr="0047058F" w:rsidRDefault="00A340EE" w:rsidP="001E395F">
            <w:pPr>
              <w:pStyle w:val="TableText"/>
              <w:rPr>
                <w:rFonts w:cs="Calibri"/>
                <w:szCs w:val="14"/>
              </w:rPr>
            </w:pPr>
            <w:r w:rsidRPr="0047058F">
              <w:rPr>
                <w:rFonts w:cs="Calibri"/>
                <w:szCs w:val="14"/>
              </w:rPr>
              <w:t>3</w:t>
            </w:r>
          </w:p>
        </w:tc>
        <w:tc>
          <w:tcPr>
            <w:tcW w:w="956" w:type="pct"/>
          </w:tcPr>
          <w:p w14:paraId="0780EB92" w14:textId="77777777" w:rsidR="00A340EE" w:rsidRPr="0047058F" w:rsidRDefault="00A340EE" w:rsidP="001E395F">
            <w:pPr>
              <w:pStyle w:val="TableText"/>
              <w:jc w:val="right"/>
            </w:pPr>
            <w:r w:rsidRPr="0047058F">
              <w:t>91</w:t>
            </w:r>
          </w:p>
        </w:tc>
        <w:tc>
          <w:tcPr>
            <w:tcW w:w="956" w:type="pct"/>
          </w:tcPr>
          <w:p w14:paraId="77DA039F" w14:textId="77777777" w:rsidR="00A340EE" w:rsidRPr="0047058F" w:rsidRDefault="00A340EE" w:rsidP="001E395F">
            <w:pPr>
              <w:pStyle w:val="TableText"/>
              <w:jc w:val="right"/>
            </w:pPr>
            <w:r w:rsidRPr="0047058F">
              <w:t>3.9</w:t>
            </w:r>
          </w:p>
        </w:tc>
      </w:tr>
      <w:tr w:rsidR="00A340EE" w:rsidRPr="0047058F" w14:paraId="3D504F98"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395C2215" w14:textId="77777777" w:rsidR="00A340EE" w:rsidRPr="0047058F" w:rsidRDefault="00A340EE" w:rsidP="001E395F">
            <w:pPr>
              <w:pStyle w:val="TableText"/>
              <w:rPr>
                <w:rFonts w:cs="Calibri"/>
                <w:szCs w:val="14"/>
              </w:rPr>
            </w:pPr>
            <w:r w:rsidRPr="0047058F">
              <w:rPr>
                <w:rFonts w:cs="Calibri"/>
                <w:szCs w:val="14"/>
              </w:rPr>
              <w:t>4</w:t>
            </w:r>
          </w:p>
        </w:tc>
        <w:tc>
          <w:tcPr>
            <w:tcW w:w="956" w:type="pct"/>
          </w:tcPr>
          <w:p w14:paraId="1E9458A6" w14:textId="77777777" w:rsidR="00A340EE" w:rsidRPr="0047058F" w:rsidRDefault="00A340EE" w:rsidP="001E395F">
            <w:pPr>
              <w:pStyle w:val="TableText"/>
              <w:jc w:val="right"/>
            </w:pPr>
            <w:r w:rsidRPr="0047058F">
              <w:t>24</w:t>
            </w:r>
          </w:p>
        </w:tc>
        <w:tc>
          <w:tcPr>
            <w:tcW w:w="956" w:type="pct"/>
          </w:tcPr>
          <w:p w14:paraId="3C199AB1" w14:textId="77777777" w:rsidR="00A340EE" w:rsidRPr="0047058F" w:rsidRDefault="00A340EE" w:rsidP="001E395F">
            <w:pPr>
              <w:pStyle w:val="TableText"/>
              <w:jc w:val="right"/>
            </w:pPr>
            <w:r w:rsidRPr="0047058F">
              <w:t>1.0</w:t>
            </w:r>
          </w:p>
        </w:tc>
      </w:tr>
      <w:tr w:rsidR="00A340EE" w:rsidRPr="0047058F" w14:paraId="55173F8B" w14:textId="77777777" w:rsidTr="001E395F">
        <w:tc>
          <w:tcPr>
            <w:tcW w:w="3088" w:type="pct"/>
            <w:tcBorders>
              <w:bottom w:val="single" w:sz="4" w:space="0" w:color="000000"/>
            </w:tcBorders>
            <w:hideMark/>
          </w:tcPr>
          <w:p w14:paraId="4D0A4526" w14:textId="77777777" w:rsidR="00A340EE" w:rsidRPr="0047058F" w:rsidRDefault="00A340EE" w:rsidP="001E395F">
            <w:pPr>
              <w:pStyle w:val="TableText"/>
              <w:rPr>
                <w:rFonts w:cs="Calibri"/>
                <w:szCs w:val="14"/>
              </w:rPr>
            </w:pPr>
            <w:r w:rsidRPr="0047058F">
              <w:rPr>
                <w:rFonts w:cs="Calibri"/>
                <w:szCs w:val="14"/>
              </w:rPr>
              <w:t>5+</w:t>
            </w:r>
          </w:p>
        </w:tc>
        <w:tc>
          <w:tcPr>
            <w:tcW w:w="956" w:type="pct"/>
            <w:tcBorders>
              <w:bottom w:val="single" w:sz="4" w:space="0" w:color="000000"/>
            </w:tcBorders>
          </w:tcPr>
          <w:p w14:paraId="1E0B8EDC" w14:textId="77777777" w:rsidR="00A340EE" w:rsidRPr="0047058F" w:rsidRDefault="00A340EE" w:rsidP="001E395F">
            <w:pPr>
              <w:pStyle w:val="TableText"/>
              <w:jc w:val="right"/>
            </w:pPr>
            <w:r w:rsidRPr="0047058F">
              <w:t>18</w:t>
            </w:r>
          </w:p>
        </w:tc>
        <w:tc>
          <w:tcPr>
            <w:tcW w:w="956" w:type="pct"/>
            <w:tcBorders>
              <w:bottom w:val="single" w:sz="4" w:space="0" w:color="000000"/>
            </w:tcBorders>
          </w:tcPr>
          <w:p w14:paraId="3C744F69" w14:textId="77777777" w:rsidR="00A340EE" w:rsidRPr="0047058F" w:rsidRDefault="00A340EE" w:rsidP="001E395F">
            <w:pPr>
              <w:pStyle w:val="TableText"/>
              <w:jc w:val="right"/>
            </w:pPr>
            <w:r w:rsidRPr="0047058F">
              <w:t>0.8</w:t>
            </w:r>
          </w:p>
        </w:tc>
      </w:tr>
      <w:tr w:rsidR="00A340EE" w:rsidRPr="0047058F" w14:paraId="710D27E2"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tcBorders>
              <w:top w:val="single" w:sz="4" w:space="0" w:color="000000"/>
              <w:bottom w:val="nil"/>
            </w:tcBorders>
            <w:hideMark/>
          </w:tcPr>
          <w:p w14:paraId="77ED8D83" w14:textId="77777777" w:rsidR="00A340EE" w:rsidRPr="0047058F" w:rsidRDefault="00A340EE" w:rsidP="001E395F">
            <w:pPr>
              <w:pStyle w:val="TableText"/>
              <w:rPr>
                <w:b/>
              </w:rPr>
            </w:pPr>
            <w:r w:rsidRPr="0047058F">
              <w:rPr>
                <w:b/>
              </w:rPr>
              <w:t>Criminal behaviour since transition</w:t>
            </w:r>
          </w:p>
        </w:tc>
        <w:tc>
          <w:tcPr>
            <w:tcW w:w="956" w:type="pct"/>
            <w:tcBorders>
              <w:top w:val="single" w:sz="4" w:space="0" w:color="000000"/>
              <w:bottom w:val="nil"/>
            </w:tcBorders>
          </w:tcPr>
          <w:p w14:paraId="6F5AC882" w14:textId="77777777" w:rsidR="00A340EE" w:rsidRPr="0047058F" w:rsidRDefault="00A340EE" w:rsidP="001E395F">
            <w:pPr>
              <w:pStyle w:val="TableText"/>
              <w:jc w:val="right"/>
            </w:pPr>
          </w:p>
        </w:tc>
        <w:tc>
          <w:tcPr>
            <w:tcW w:w="956" w:type="pct"/>
            <w:tcBorders>
              <w:top w:val="single" w:sz="4" w:space="0" w:color="000000"/>
              <w:bottom w:val="nil"/>
            </w:tcBorders>
          </w:tcPr>
          <w:p w14:paraId="08CB0F0D" w14:textId="77777777" w:rsidR="00A340EE" w:rsidRPr="0047058F" w:rsidRDefault="00A340EE" w:rsidP="001E395F">
            <w:pPr>
              <w:pStyle w:val="TableText"/>
              <w:jc w:val="right"/>
            </w:pPr>
          </w:p>
        </w:tc>
      </w:tr>
      <w:tr w:rsidR="00A340EE" w:rsidRPr="0047058F" w14:paraId="28BB1E97" w14:textId="77777777" w:rsidTr="001E395F">
        <w:tc>
          <w:tcPr>
            <w:tcW w:w="3088" w:type="pct"/>
            <w:tcBorders>
              <w:top w:val="nil"/>
            </w:tcBorders>
            <w:hideMark/>
          </w:tcPr>
          <w:p w14:paraId="20BFF1DB" w14:textId="77777777" w:rsidR="00A340EE" w:rsidRPr="0047058F" w:rsidRDefault="00A340EE" w:rsidP="001E395F">
            <w:pPr>
              <w:pStyle w:val="TableText"/>
              <w:rPr>
                <w:rFonts w:cs="Calibri"/>
                <w:szCs w:val="14"/>
              </w:rPr>
            </w:pPr>
            <w:r w:rsidRPr="0047058F">
              <w:rPr>
                <w:rFonts w:cs="Calibri"/>
                <w:szCs w:val="14"/>
              </w:rPr>
              <w:t>Arrested</w:t>
            </w:r>
          </w:p>
        </w:tc>
        <w:tc>
          <w:tcPr>
            <w:tcW w:w="956" w:type="pct"/>
            <w:tcBorders>
              <w:top w:val="nil"/>
            </w:tcBorders>
          </w:tcPr>
          <w:p w14:paraId="7EAE0FA2" w14:textId="77777777" w:rsidR="00A340EE" w:rsidRPr="0047058F" w:rsidRDefault="00A340EE" w:rsidP="001E395F">
            <w:pPr>
              <w:pStyle w:val="TableText"/>
              <w:jc w:val="right"/>
            </w:pPr>
            <w:r w:rsidRPr="0047058F">
              <w:t>26</w:t>
            </w:r>
          </w:p>
        </w:tc>
        <w:tc>
          <w:tcPr>
            <w:tcW w:w="956" w:type="pct"/>
            <w:tcBorders>
              <w:top w:val="nil"/>
            </w:tcBorders>
          </w:tcPr>
          <w:p w14:paraId="769AB914" w14:textId="77777777" w:rsidR="00A340EE" w:rsidRPr="0047058F" w:rsidRDefault="00A340EE" w:rsidP="001E395F">
            <w:pPr>
              <w:pStyle w:val="TableText"/>
              <w:jc w:val="right"/>
            </w:pPr>
            <w:r w:rsidRPr="0047058F">
              <w:t>1.1</w:t>
            </w:r>
          </w:p>
        </w:tc>
      </w:tr>
      <w:tr w:rsidR="00A340EE" w:rsidRPr="0047058F" w14:paraId="321D1520" w14:textId="77777777" w:rsidTr="001E395F">
        <w:trPr>
          <w:cnfStyle w:val="000000100000" w:firstRow="0" w:lastRow="0" w:firstColumn="0" w:lastColumn="0" w:oddVBand="0" w:evenVBand="0" w:oddHBand="1" w:evenHBand="0" w:firstRowFirstColumn="0" w:firstRowLastColumn="0" w:lastRowFirstColumn="0" w:lastRowLastColumn="0"/>
        </w:trPr>
        <w:tc>
          <w:tcPr>
            <w:tcW w:w="3088" w:type="pct"/>
            <w:hideMark/>
          </w:tcPr>
          <w:p w14:paraId="2D91571B" w14:textId="77777777" w:rsidR="00A340EE" w:rsidRPr="0047058F" w:rsidRDefault="00A340EE" w:rsidP="001E395F">
            <w:pPr>
              <w:pStyle w:val="TableText"/>
              <w:rPr>
                <w:rFonts w:cs="Calibri"/>
                <w:szCs w:val="14"/>
              </w:rPr>
            </w:pPr>
            <w:r w:rsidRPr="0047058F">
              <w:rPr>
                <w:rFonts w:cs="Calibri"/>
                <w:szCs w:val="14"/>
              </w:rPr>
              <w:t>Conviction</w:t>
            </w:r>
          </w:p>
        </w:tc>
        <w:tc>
          <w:tcPr>
            <w:tcW w:w="956" w:type="pct"/>
          </w:tcPr>
          <w:p w14:paraId="3BC76EE4" w14:textId="77777777" w:rsidR="00A340EE" w:rsidRPr="0047058F" w:rsidRDefault="00A340EE" w:rsidP="001E395F">
            <w:pPr>
              <w:pStyle w:val="TableText"/>
              <w:jc w:val="right"/>
            </w:pPr>
            <w:r w:rsidRPr="0047058F">
              <w:t>20</w:t>
            </w:r>
          </w:p>
        </w:tc>
        <w:tc>
          <w:tcPr>
            <w:tcW w:w="956" w:type="pct"/>
          </w:tcPr>
          <w:p w14:paraId="6CF5F0A0" w14:textId="77777777" w:rsidR="00A340EE" w:rsidRPr="0047058F" w:rsidRDefault="00A340EE" w:rsidP="001E395F">
            <w:pPr>
              <w:pStyle w:val="TableText"/>
              <w:jc w:val="right"/>
            </w:pPr>
            <w:r w:rsidRPr="0047058F">
              <w:t>0.9</w:t>
            </w:r>
          </w:p>
        </w:tc>
      </w:tr>
      <w:tr w:rsidR="00A340EE" w:rsidRPr="0047058F" w14:paraId="46DD93DA" w14:textId="77777777" w:rsidTr="001E395F">
        <w:tc>
          <w:tcPr>
            <w:tcW w:w="3088" w:type="pct"/>
            <w:hideMark/>
          </w:tcPr>
          <w:p w14:paraId="20C02ECA" w14:textId="77777777" w:rsidR="00A340EE" w:rsidRPr="0047058F" w:rsidRDefault="00A340EE" w:rsidP="001E395F">
            <w:pPr>
              <w:pStyle w:val="TableText"/>
              <w:rPr>
                <w:rFonts w:cs="Calibri"/>
                <w:szCs w:val="14"/>
              </w:rPr>
            </w:pPr>
            <w:r w:rsidRPr="0047058F">
              <w:rPr>
                <w:rFonts w:cs="Calibri"/>
                <w:szCs w:val="14"/>
              </w:rPr>
              <w:t>Imprisoned</w:t>
            </w:r>
          </w:p>
        </w:tc>
        <w:tc>
          <w:tcPr>
            <w:tcW w:w="956" w:type="pct"/>
          </w:tcPr>
          <w:p w14:paraId="07CFBDC6" w14:textId="77777777" w:rsidR="00A340EE" w:rsidRPr="0047058F" w:rsidRDefault="00A340EE" w:rsidP="001E395F">
            <w:pPr>
              <w:pStyle w:val="TableText"/>
              <w:jc w:val="right"/>
            </w:pPr>
            <w:r w:rsidRPr="0047058F">
              <w:rPr>
                <w:rFonts w:cs="Calibri"/>
                <w:szCs w:val="14"/>
              </w:rPr>
              <w:t>–</w:t>
            </w:r>
            <w:r w:rsidRPr="0047058F">
              <w:rPr>
                <w:rFonts w:cs="Calibri"/>
                <w:szCs w:val="14"/>
                <w:vertAlign w:val="superscript"/>
              </w:rPr>
              <w:t>#</w:t>
            </w:r>
          </w:p>
        </w:tc>
        <w:tc>
          <w:tcPr>
            <w:tcW w:w="956" w:type="pct"/>
          </w:tcPr>
          <w:p w14:paraId="47B005DC" w14:textId="77777777" w:rsidR="00A340EE" w:rsidRPr="0047058F" w:rsidRDefault="00A340EE" w:rsidP="001E395F">
            <w:pPr>
              <w:pStyle w:val="TableText"/>
              <w:jc w:val="right"/>
            </w:pPr>
            <w:r w:rsidRPr="0047058F">
              <w:rPr>
                <w:rFonts w:cs="Calibri"/>
                <w:szCs w:val="14"/>
              </w:rPr>
              <w:t>–</w:t>
            </w:r>
          </w:p>
        </w:tc>
      </w:tr>
    </w:tbl>
    <w:p w14:paraId="3D7DDE3F" w14:textId="77777777" w:rsidR="00A340EE" w:rsidRPr="0047058F" w:rsidRDefault="00A340EE" w:rsidP="00A340EE">
      <w:pPr>
        <w:pStyle w:val="TableNotes"/>
      </w:pPr>
      <w:r w:rsidRPr="0047058F">
        <w:t># Cell size too small to be reported.</w:t>
      </w:r>
    </w:p>
    <w:p w14:paraId="20C3FEBD" w14:textId="77777777" w:rsidR="00A340EE" w:rsidRPr="0047058F" w:rsidRDefault="00A340EE" w:rsidP="00A340EE">
      <w:pPr>
        <w:pStyle w:val="TableNotes"/>
      </w:pPr>
      <w:r w:rsidRPr="0047058F">
        <w:t>Missing: Ex-service organisations – 1592 (68.2%), Other organisations – 343 (14.7%).</w:t>
      </w:r>
    </w:p>
    <w:p w14:paraId="1A106910" w14:textId="77777777" w:rsidR="00A340EE" w:rsidRPr="0047058F" w:rsidRDefault="00A340EE" w:rsidP="00A340EE"/>
    <w:bookmarkEnd w:id="141"/>
    <w:bookmarkEnd w:id="142"/>
    <w:bookmarkEnd w:id="143"/>
    <w:bookmarkEnd w:id="144"/>
    <w:p w14:paraId="029B3A79" w14:textId="77777777" w:rsidR="00A340EE" w:rsidRPr="0047058F" w:rsidRDefault="00A340EE" w:rsidP="00191932">
      <w:pPr>
        <w:sectPr w:rsidR="00A340EE" w:rsidRPr="0047058F" w:rsidSect="001E395F">
          <w:type w:val="oddPage"/>
          <w:pgSz w:w="9979" w:h="14170" w:code="243"/>
          <w:pgMar w:top="1440" w:right="1152" w:bottom="1440" w:left="1728" w:header="576" w:footer="576" w:gutter="0"/>
          <w:cols w:space="708"/>
          <w:docGrid w:linePitch="360"/>
        </w:sectPr>
      </w:pPr>
    </w:p>
    <w:p w14:paraId="181ED527" w14:textId="77777777" w:rsidR="00A340EE" w:rsidRPr="0047058F" w:rsidRDefault="00A340EE" w:rsidP="00A340EE">
      <w:pPr>
        <w:pStyle w:val="Heading1"/>
      </w:pPr>
      <w:bookmarkStart w:id="181" w:name="_Toc529117466"/>
      <w:bookmarkStart w:id="182" w:name="_Toc532474366"/>
      <w:r w:rsidRPr="0047058F">
        <w:t>Twelve-month CIDI disorder in the longitudinal cohort</w:t>
      </w:r>
      <w:bookmarkEnd w:id="181"/>
      <w:bookmarkEnd w:id="182"/>
    </w:p>
    <w:p w14:paraId="71E3FE8D" w14:textId="77777777" w:rsidR="00A340EE" w:rsidRPr="0047058F" w:rsidRDefault="00A340EE" w:rsidP="001E395F">
      <w:pPr>
        <w:pStyle w:val="ShadedBullet"/>
      </w:pPr>
      <w:r w:rsidRPr="0047058F">
        <w:t>In both 2010 and 2015, the most common mental disorders among the longitudinal cohort were anxiety disorders (32.6% in 2010 and 37.8% in 2015).</w:t>
      </w:r>
    </w:p>
    <w:p w14:paraId="52A95FB5" w14:textId="77777777" w:rsidR="00A340EE" w:rsidRPr="0047058F" w:rsidRDefault="00A340EE" w:rsidP="001E395F">
      <w:pPr>
        <w:pStyle w:val="ShadedBullet"/>
      </w:pPr>
      <w:r w:rsidRPr="0047058F">
        <w:t>Anxiety disorders were the only disorder category that showed a significant change over time, with a greater proportion of participants reporting anxiety disorders in 2015 (37.8%) compared to 2010 (32.6%).</w:t>
      </w:r>
    </w:p>
    <w:p w14:paraId="46C97F97" w14:textId="77777777" w:rsidR="00A340EE" w:rsidRPr="0047058F" w:rsidRDefault="00A340EE" w:rsidP="001E395F">
      <w:pPr>
        <w:pStyle w:val="ShadedBullet"/>
      </w:pPr>
      <w:r w:rsidRPr="0047058F">
        <w:t>Those in the longitudinal cohort who had transitioned in 2015 had higher levels of anxiety disorder in both 2010 and 2015, compared to those who remained in the Regular ADF in 2015.</w:t>
      </w:r>
    </w:p>
    <w:p w14:paraId="3B309FB8" w14:textId="77777777" w:rsidR="00A340EE" w:rsidRPr="0047058F" w:rsidRDefault="00A340EE" w:rsidP="001E395F">
      <w:pPr>
        <w:pStyle w:val="ShadedBullet"/>
      </w:pPr>
      <w:r w:rsidRPr="0047058F">
        <w:t>Comparable proportions of Transitioned and Regular ADF had affective disorders in 2010 (Transitioned ADF: 18.3% vs Regular ADF: 21.1%) and 2015 (Transitioned ADF: 21.1% vs Regular ADF: 23.4%).</w:t>
      </w:r>
    </w:p>
    <w:p w14:paraId="536C23D8" w14:textId="77777777" w:rsidR="00A340EE" w:rsidRPr="0047058F" w:rsidRDefault="00A340EE" w:rsidP="001E395F">
      <w:pPr>
        <w:pStyle w:val="ShadedBullet"/>
      </w:pPr>
      <w:r w:rsidRPr="0047058F">
        <w:t>Alcohol disorders were reported at relatively low rates overall, with no significant difference over time, with 6.5% reported in 2010 and 6.3% in 2015.</w:t>
      </w:r>
    </w:p>
    <w:p w14:paraId="76A7F2AD" w14:textId="77777777" w:rsidR="00A340EE" w:rsidRPr="0047058F" w:rsidRDefault="00A340EE" w:rsidP="001E395F">
      <w:pPr>
        <w:pStyle w:val="ShadedBullet"/>
      </w:pPr>
      <w:r w:rsidRPr="0047058F">
        <w:t>Comparable proportions of Transitioned and Regular ADF had alcohol disorders in 2010 (7.7% vs 5.9%); however, those who had transitioned had higher rates in 2015 compared to those who remained in the Regular ADF (9.2% vs 5.0%).</w:t>
      </w:r>
    </w:p>
    <w:p w14:paraId="2415D58E" w14:textId="0B6B3CB4" w:rsidR="00A340EE" w:rsidRPr="0047058F" w:rsidRDefault="00A340EE" w:rsidP="001E395F">
      <w:pPr>
        <w:pStyle w:val="ShadedBullet"/>
      </w:pPr>
      <w:r w:rsidRPr="0047058F">
        <w:t>There were higher rates of PTSD in 2010 among Transitioned ADF compared to Regular ADF (19.5% vs 10.6%)</w:t>
      </w:r>
      <w:r w:rsidR="00110E34">
        <w:t>,</w:t>
      </w:r>
      <w:r w:rsidRPr="0047058F">
        <w:t xml:space="preserve"> and this pattern was repeated in 2015 (24.5% vs 13.1%).</w:t>
      </w:r>
    </w:p>
    <w:p w14:paraId="74AE620E" w14:textId="77777777" w:rsidR="00A340EE" w:rsidRPr="0047058F" w:rsidRDefault="00A340EE" w:rsidP="001E395F">
      <w:pPr>
        <w:pStyle w:val="ShadedBullet"/>
      </w:pPr>
      <w:r w:rsidRPr="0047058F">
        <w:t>Rates of any disorder were higher in both 2010 and 2015 for those members of the longitudinal cohort who had transitioned in 2015 compared to those who remained in the Regular ADF in 2015 (2010: 48.3% vs 39.0%; 2015: 51.7% vs 43.3%).</w:t>
      </w:r>
    </w:p>
    <w:p w14:paraId="60F49923" w14:textId="77777777" w:rsidR="00A340EE" w:rsidRPr="0047058F" w:rsidRDefault="00A340EE" w:rsidP="001E395F">
      <w:pPr>
        <w:pStyle w:val="ShadedBullet"/>
      </w:pPr>
      <w:r w:rsidRPr="0047058F">
        <w:t>Panic disorder rates were similar in 2010 among those who had transitioned compared to those who remained in the Regular ADF (5.4% vs 3.6%), but higher in 2015 among those who had transitioned (8.0% vs 2.3%). Similarly, rates of specific phobia in 2010 were similar among those who had transitioned compared to remaining in the Regular ADF in 2015 (10.0% vs 8.4%), but a greater proportion of those who transitioned had a phobia in 2015 (15.7% vs 9.5%).</w:t>
      </w:r>
    </w:p>
    <w:p w14:paraId="22A3BCD7" w14:textId="77777777" w:rsidR="00A340EE" w:rsidRPr="0047058F" w:rsidRDefault="00A340EE" w:rsidP="001E395F">
      <w:pPr>
        <w:pStyle w:val="ShadedBullet"/>
      </w:pPr>
      <w:r w:rsidRPr="0047058F">
        <w:t>Similarly, rates of specific phobia in 2010 were similar among those who had transitioned compared to remaining in the Regular ADF in 2015 (10.0% vs 8.4%), but a greater proportion of those who transitioned had a phobia in 2015 (15.7% vs 9.5%).</w:t>
      </w:r>
    </w:p>
    <w:p w14:paraId="7E9057DF" w14:textId="77777777" w:rsidR="00A340EE" w:rsidRPr="0047058F" w:rsidRDefault="00A340EE" w:rsidP="001E395F">
      <w:pPr>
        <w:pStyle w:val="ShadedBullet"/>
      </w:pPr>
      <w:r w:rsidRPr="0047058F">
        <w:t>Rates of agoraphobia were greater in both 2010 and 2015 among those who transitioned compared to those who remained in the Regular ADF in 2015 (2010: 8.4% vs 3.9%; 2015: 14.9% vs 6.6%).</w:t>
      </w:r>
    </w:p>
    <w:p w14:paraId="02880911" w14:textId="77777777" w:rsidR="00A340EE" w:rsidRPr="0047058F" w:rsidRDefault="00A340EE" w:rsidP="001E395F">
      <w:pPr>
        <w:pStyle w:val="ShadedBullet"/>
        <w:rPr>
          <w:color w:val="000000" w:themeColor="text1"/>
        </w:rPr>
      </w:pPr>
      <w:r w:rsidRPr="0047058F">
        <w:rPr>
          <w:color w:val="000000" w:themeColor="text1"/>
        </w:rPr>
        <w:t xml:space="preserve">Although </w:t>
      </w:r>
      <w:r w:rsidRPr="0047058F">
        <w:t>rates of generalised anxiety disorder in 2010 were higher among those who had transitioned compared to those who remained in the Regular ADF in 2015 (4.6% vs 2.0%), they were similar between groups in 2015 (5.0% vs 5.5%) due to a larger increase among those who remained in the Regular ADF.</w:t>
      </w:r>
    </w:p>
    <w:p w14:paraId="37D078D0" w14:textId="77777777" w:rsidR="00A340EE" w:rsidRPr="0047058F" w:rsidRDefault="00A340EE" w:rsidP="001E395F">
      <w:pPr>
        <w:pStyle w:val="ShadedBullet"/>
        <w:rPr>
          <w:color w:val="000000" w:themeColor="text1"/>
        </w:rPr>
      </w:pPr>
      <w:r w:rsidRPr="0047058F">
        <w:t>The most common affective disorder in the longitudinal cohort was depressive episodes, with 13.8% meeting criteria for this disorder in 2010 and 13.4% in 2015. Dysthymia was the only affective disorder that showed a significant increase between 2010 and 2015 in the longitudinal cohort overall (2.2% vs 4.5%).</w:t>
      </w:r>
    </w:p>
    <w:p w14:paraId="53B7A0C6" w14:textId="77777777" w:rsidR="00A340EE" w:rsidRPr="0047058F" w:rsidRDefault="00A340EE" w:rsidP="001E395F">
      <w:pPr>
        <w:pStyle w:val="ShadedBullet"/>
        <w:rPr>
          <w:color w:val="000000" w:themeColor="text1"/>
        </w:rPr>
      </w:pPr>
      <w:r w:rsidRPr="0047058F">
        <w:t>Those who had transitioned had higher rates of dysthymia (7.3% vs 3.2%) in 2015 compared to those who remained in the Regular ADF (7.3% vs 3.2%).</w:t>
      </w:r>
    </w:p>
    <w:p w14:paraId="469FBB46" w14:textId="77777777" w:rsidR="00A340EE" w:rsidRPr="0047058F" w:rsidRDefault="00A340EE" w:rsidP="001E395F">
      <w:pPr>
        <w:pStyle w:val="ShadedBullet"/>
      </w:pPr>
      <w:r w:rsidRPr="0047058F">
        <w:t>Alcohol harmful use was higher in 2010 among those who had transitioned compared to those who remained in the Regular ADF (4.6% vs 2.1%), and also higher in 2015 among those who had transitioned (3.4% vs 1.1%).</w:t>
      </w:r>
    </w:p>
    <w:p w14:paraId="78E0431E" w14:textId="77777777" w:rsidR="00A340EE" w:rsidRPr="0047058F" w:rsidRDefault="00A340EE" w:rsidP="001E395F">
      <w:pPr>
        <w:pStyle w:val="ShadedBullet"/>
      </w:pPr>
      <w:r w:rsidRPr="0047058F">
        <w:t>Comparable proportions of Transitioned and Regular ADF personnel with no anxiety disorder in 2010 became new anxiety cases in 2015 (22.4% vs 24.0%). However, of those reporting any anxiety disorder in 2010, a greater proportion of those who transitioned compared to those remaining in the Regular ADF retained their disorder in 2015 (75.0% vs 62.9%).</w:t>
      </w:r>
    </w:p>
    <w:p w14:paraId="4E7BDC2B" w14:textId="77777777" w:rsidR="00A340EE" w:rsidRPr="0047058F" w:rsidRDefault="00A340EE" w:rsidP="001E395F">
      <w:pPr>
        <w:pStyle w:val="ShadedBullet"/>
        <w:rPr>
          <w:color w:val="000000" w:themeColor="text1"/>
        </w:rPr>
      </w:pPr>
      <w:r w:rsidRPr="0047058F">
        <w:rPr>
          <w:color w:val="000000" w:themeColor="text1"/>
        </w:rPr>
        <w:t xml:space="preserve">Regarding PTSD, </w:t>
      </w:r>
      <w:r w:rsidRPr="0047058F">
        <w:t>a greater proportion of those who had transitioned (18.1%) became new cases in 2015 compared to those who remained in the Regular ADF (9.4%).</w:t>
      </w:r>
    </w:p>
    <w:p w14:paraId="00BA4AA5" w14:textId="77777777" w:rsidR="00A340EE" w:rsidRPr="0047058F" w:rsidRDefault="00A340EE" w:rsidP="001E395F">
      <w:pPr>
        <w:pStyle w:val="ShadedBullet"/>
        <w:rPr>
          <w:color w:val="000000" w:themeColor="text1"/>
        </w:rPr>
      </w:pPr>
      <w:r w:rsidRPr="0047058F">
        <w:t>Of those who had no alcohol disorder in 2010, a greater proportion of those who had transitioned compared to those who remained in the Regular ADF became new cases in 2015 (6.6% vs 3.4%). Among those who were cases in 2010, a greater proportion of those who had transitioned compared to those who remained in the Regular ADF retained their disorder in 2015 (40.0% vs 30.3%).</w:t>
      </w:r>
    </w:p>
    <w:p w14:paraId="05CE5A6F" w14:textId="77777777" w:rsidR="00A340EE" w:rsidRPr="0047058F" w:rsidRDefault="00A340EE" w:rsidP="001E395F">
      <w:pPr>
        <w:pStyle w:val="ShadedBullet"/>
        <w:rPr>
          <w:color w:val="000000" w:themeColor="text1"/>
        </w:rPr>
      </w:pPr>
      <w:r w:rsidRPr="0047058F">
        <w:t>Overall, the proportion of the longitudinal cohort with any new disorder in 2015 was similar among those who had transitioned (29.6%) and those who remained in the Regular ADF (27.6%). A higher proportion of those who had transitioned (75.4%) retained their disorder from 2010 to 2015 compared to those who remained in the Regular ADF (67.9%).</w:t>
      </w:r>
    </w:p>
    <w:p w14:paraId="58701A88" w14:textId="03985669" w:rsidR="00A340EE" w:rsidRPr="0047058F" w:rsidRDefault="00A340EE" w:rsidP="001E395F">
      <w:pPr>
        <w:pStyle w:val="ShadedBoxText"/>
      </w:pPr>
      <w:r w:rsidRPr="0047058F">
        <w:t xml:space="preserve">Refer to the glossary for definitions of key terms used in this </w:t>
      </w:r>
      <w:r w:rsidR="00B31C86">
        <w:t>chapter</w:t>
      </w:r>
      <w:r w:rsidRPr="0047058F">
        <w:t>.</w:t>
      </w:r>
    </w:p>
    <w:p w14:paraId="5FB6C04F" w14:textId="77777777" w:rsidR="00A340EE" w:rsidRPr="0047058F" w:rsidRDefault="00A340EE" w:rsidP="001E395F">
      <w:r w:rsidRPr="0047058F">
        <w:t>This chapter examines 12-month International Statistical Classification of Diseases and Related Health Problems, 10th Revision (ICD-10) mental disorders in ADF members who transitioned from the Regular ADF service between 2010 and 2014 (Transitioned ADF) compared to 2015 Regular ADF members within the longitudinal cohort. In addition to this cross-sectional comparison, data are also examined for both groups across two time points: the 2010 ADF Mental Health Prevalence and Wellbeing Study (MHPWS), and the 2015 Transition and Wellbeing Research Programme.</w:t>
      </w:r>
    </w:p>
    <w:p w14:paraId="00FC7CAE" w14:textId="77777777" w:rsidR="00A340EE" w:rsidRPr="0047058F" w:rsidRDefault="00A340EE" w:rsidP="00A340EE">
      <w:pPr>
        <w:rPr>
          <w:lang w:eastAsia="en-GB"/>
        </w:rPr>
      </w:pPr>
      <w:r w:rsidRPr="0047058F">
        <w:rPr>
          <w:lang w:eastAsia="en-GB"/>
        </w:rPr>
        <w:t xml:space="preserve">This chapter provides raw prevalence rates for three classes of ICD-10 mental disorder: anxiety disorder, affective disorder and alcohol disorder. Posttraumatic stress disorder (PTSD) is presented separately to demonstrate how it differs from other anxiety disorders. While PTSD is classed with anxiety disorders within the ICD-10 classification system, PTSD is now a separate category in the </w:t>
      </w:r>
      <w:r w:rsidRPr="0047058F">
        <w:rPr>
          <w:i/>
          <w:iCs/>
          <w:lang w:eastAsia="en-GB"/>
        </w:rPr>
        <w:t xml:space="preserve">Diagnostic and Statistical Manual of Mental Disorders, Fifth Edition </w:t>
      </w:r>
      <w:r w:rsidRPr="0047058F">
        <w:rPr>
          <w:lang w:eastAsia="en-GB"/>
        </w:rPr>
        <w:t>(DSM-5) (McFarlane, 2014).</w:t>
      </w:r>
    </w:p>
    <w:p w14:paraId="7147DADA" w14:textId="6FBFB175" w:rsidR="00A340EE" w:rsidRPr="0047058F" w:rsidRDefault="00A340EE" w:rsidP="00A340EE">
      <w:pPr>
        <w:rPr>
          <w:lang w:eastAsia="en-GB"/>
        </w:rPr>
      </w:pPr>
      <w:r w:rsidRPr="0047058F">
        <w:rPr>
          <w:lang w:eastAsia="en-GB"/>
        </w:rPr>
        <w:t xml:space="preserve">It is important to note that data in the following tables is unweighted, and limited to Transition and Wellbeing Research Programme participants who consented to data linkage across the two time points and who completed a Composite International Diagnostic Interview (CIDI) in 2010 and 2015. CIDI data for the entire sample of regular ADF members who completed a CIDI in 2010 </w:t>
      </w:r>
      <w:r w:rsidR="00110E34">
        <w:rPr>
          <w:lang w:eastAsia="en-GB"/>
        </w:rPr>
        <w:t>are</w:t>
      </w:r>
      <w:r w:rsidRPr="0047058F">
        <w:rPr>
          <w:lang w:eastAsia="en-GB"/>
        </w:rPr>
        <w:t xml:space="preserve"> not presented as </w:t>
      </w:r>
      <w:r w:rsidR="00110E34">
        <w:rPr>
          <w:lang w:eastAsia="en-GB"/>
        </w:rPr>
        <w:t>the data are</w:t>
      </w:r>
      <w:r w:rsidRPr="0047058F">
        <w:rPr>
          <w:lang w:eastAsia="en-GB"/>
        </w:rPr>
        <w:t xml:space="preserve"> unweighted and not representative of the Regular ADF. Due to the reduced sample size for these analyses, and some very low prevalence disorders, cell sizes less than 5 have been retained in the tables; however, results should be interpreted with caution, particularly where cell sizes are very small.</w:t>
      </w:r>
    </w:p>
    <w:p w14:paraId="6CA3CD83" w14:textId="77777777" w:rsidR="00A340EE" w:rsidRPr="0047058F" w:rsidRDefault="00A340EE" w:rsidP="00860F45">
      <w:pPr>
        <w:pStyle w:val="Heading2"/>
      </w:pPr>
      <w:bookmarkStart w:id="183" w:name="_Toc381263147"/>
      <w:bookmarkStart w:id="184" w:name="_Toc529117467"/>
      <w:bookmarkStart w:id="185" w:name="_Toc532474367"/>
      <w:r w:rsidRPr="0047058F">
        <w:t>Anxiety, affective and alcohol disorders</w:t>
      </w:r>
      <w:bookmarkEnd w:id="183"/>
      <w:bookmarkEnd w:id="184"/>
      <w:bookmarkEnd w:id="185"/>
    </w:p>
    <w:p w14:paraId="63100AC1" w14:textId="77777777" w:rsidR="00A340EE" w:rsidRPr="0047058F" w:rsidRDefault="00A340EE" w:rsidP="00A340EE">
      <w:r w:rsidRPr="0047058F">
        <w:t>Table 4.1 presents the unweighted prevalence of 12-month ICD-10 anxiety, affective and alcohol disorders in 2010 and 2015 for the longitudinal cohort, according to whether they had transitioned or remained in the Regular ADF in 2015. Figure 4.1 illustrates the per cent change in rates of 12-month ICD-10 anxiety, affective and alcohol disorders between 2010 and 2015 in Transitioned ADF and 2015 Regular ADF.</w:t>
      </w:r>
    </w:p>
    <w:p w14:paraId="79798B2A" w14:textId="77777777" w:rsidR="00A340EE" w:rsidRPr="0047058F" w:rsidRDefault="00A340EE" w:rsidP="00A340EE">
      <w:r w:rsidRPr="0047058F">
        <w:t>In both 2010 and 2015, the highest rates of disorder were reported for anxiety disorders (32.6% in 2010 and 37.8% in 2015). Anxiety disorders were the only disorder group that showed a significant change over time, with a greater proportion of participants meeting criteria for anxiety disorders in 2015 (37.8%) compared to 2010 (32.6%) (OR 1.29; 95% CI 1.04, 1.59). Those in the longitudinal cohort who had transitioned in 2015 had higher rates of anxiety disorder in both 2010 and 2015, compared to those who remained in the Regular ADF in 2015, with the difference slightly more pronounced in 2010 as a result of a greater increase between time points for Regular ADF (2010: 38.3% vs 29.9%; OR 1.46; 95% CI 1.07, 1.98), (2015: 42.5% vs 35.6%; OR 1.34; 95% CI 0.99, 1.81).</w:t>
      </w:r>
    </w:p>
    <w:p w14:paraId="46DCD087" w14:textId="77777777" w:rsidR="001E395F" w:rsidRPr="0047058F" w:rsidRDefault="001E395F" w:rsidP="001E395F">
      <w:pPr>
        <w:sectPr w:rsidR="001E395F" w:rsidRPr="0047058F" w:rsidSect="001E395F">
          <w:type w:val="oddPage"/>
          <w:pgSz w:w="9979" w:h="14170" w:code="243"/>
          <w:pgMar w:top="1440" w:right="1152" w:bottom="1440" w:left="1728" w:header="576" w:footer="576" w:gutter="0"/>
          <w:cols w:space="708"/>
          <w:docGrid w:linePitch="360"/>
        </w:sectPr>
      </w:pPr>
      <w:bookmarkStart w:id="186" w:name="_Ref510698726"/>
      <w:bookmarkStart w:id="187" w:name="_Toc529117508"/>
    </w:p>
    <w:p w14:paraId="2038B811" w14:textId="77777777" w:rsidR="00A340EE" w:rsidRPr="0047058F" w:rsidRDefault="00A340EE" w:rsidP="00A340EE">
      <w:pPr>
        <w:pStyle w:val="TableName"/>
      </w:pPr>
      <w:bookmarkStart w:id="188" w:name="Ch4landscapetables"/>
      <w:bookmarkStart w:id="189" w:name="_Toc532473578"/>
      <w:bookmarkEnd w:id="188"/>
      <w:r w:rsidRPr="0047058F">
        <w:t>Table 4.1</w:t>
      </w:r>
      <w:bookmarkEnd w:id="186"/>
      <w:r w:rsidRPr="0047058F">
        <w:tab/>
        <w:t>Rates of 12-month ICD-10 anxiety, affective and alcohol disorders in 2010 and 2015 in Transitioned ADF and 2015 Regular ADF</w:t>
      </w:r>
      <w:bookmarkEnd w:id="187"/>
      <w:bookmarkEnd w:id="189"/>
    </w:p>
    <w:tbl>
      <w:tblPr>
        <w:tblStyle w:val="TWRPTable"/>
        <w:tblW w:w="5000" w:type="pct"/>
        <w:tblLayout w:type="fixed"/>
        <w:tblLook w:val="0000" w:firstRow="0" w:lastRow="0" w:firstColumn="0" w:lastColumn="0" w:noHBand="0" w:noVBand="0"/>
        <w:tblDescription w:val="Table 4.1 Rates of 12-month ICD-10 anxiety, affective and alcohol disorders in 2010 and 2015 in Transitioned ADF and 2015 Regular ADF"/>
      </w:tblPr>
      <w:tblGrid>
        <w:gridCol w:w="1271"/>
        <w:gridCol w:w="546"/>
        <w:gridCol w:w="549"/>
        <w:gridCol w:w="545"/>
        <w:gridCol w:w="548"/>
        <w:gridCol w:w="545"/>
        <w:gridCol w:w="548"/>
        <w:gridCol w:w="545"/>
        <w:gridCol w:w="545"/>
        <w:gridCol w:w="545"/>
        <w:gridCol w:w="545"/>
        <w:gridCol w:w="545"/>
        <w:gridCol w:w="545"/>
        <w:gridCol w:w="1229"/>
        <w:gridCol w:w="1231"/>
        <w:gridCol w:w="1224"/>
      </w:tblGrid>
      <w:tr w:rsidR="001E395F" w:rsidRPr="0047058F" w14:paraId="24C17A49" w14:textId="77777777" w:rsidTr="005632DC">
        <w:trPr>
          <w:tblHeader/>
        </w:trPr>
        <w:tc>
          <w:tcPr>
            <w:tcW w:w="552" w:type="pct"/>
            <w:vMerge w:val="restart"/>
            <w:tcBorders>
              <w:top w:val="single" w:sz="4" w:space="0" w:color="000000"/>
            </w:tcBorders>
            <w:vAlign w:val="bottom"/>
          </w:tcPr>
          <w:p w14:paraId="3AFA22AB" w14:textId="77777777" w:rsidR="001E395F" w:rsidRPr="0047058F" w:rsidRDefault="001E395F" w:rsidP="001E395F">
            <w:pPr>
              <w:pStyle w:val="TableText"/>
              <w:rPr>
                <w:b/>
              </w:rPr>
            </w:pPr>
            <w:r w:rsidRPr="0047058F">
              <w:rPr>
                <w:rFonts w:eastAsia="Times New Roman"/>
                <w:b/>
                <w:lang w:eastAsia="en-AU"/>
              </w:rPr>
              <w:t>ICD-10 disorder</w:t>
            </w:r>
          </w:p>
        </w:tc>
        <w:tc>
          <w:tcPr>
            <w:tcW w:w="1424" w:type="pct"/>
            <w:gridSpan w:val="6"/>
            <w:tcBorders>
              <w:top w:val="single" w:sz="4" w:space="0" w:color="000000"/>
              <w:bottom w:val="single" w:sz="4" w:space="0" w:color="000000"/>
            </w:tcBorders>
          </w:tcPr>
          <w:p w14:paraId="2910C055" w14:textId="77777777" w:rsidR="001E395F" w:rsidRPr="0047058F" w:rsidRDefault="001E395F" w:rsidP="001E395F">
            <w:pPr>
              <w:pStyle w:val="TableText"/>
              <w:jc w:val="center"/>
              <w:rPr>
                <w:b/>
              </w:rPr>
            </w:pPr>
            <w:r w:rsidRPr="0047058F">
              <w:rPr>
                <w:rFonts w:eastAsia="MS Mincho"/>
                <w:b/>
              </w:rPr>
              <w:t>2010 ADF Mental Health Prevalence and Wellbeing Study</w:t>
            </w:r>
          </w:p>
        </w:tc>
        <w:tc>
          <w:tcPr>
            <w:tcW w:w="1421" w:type="pct"/>
            <w:gridSpan w:val="6"/>
            <w:tcBorders>
              <w:top w:val="single" w:sz="4" w:space="0" w:color="000000"/>
              <w:bottom w:val="single" w:sz="4" w:space="0" w:color="000000"/>
            </w:tcBorders>
          </w:tcPr>
          <w:p w14:paraId="02AF37ED" w14:textId="77777777" w:rsidR="001E395F" w:rsidRPr="0047058F" w:rsidRDefault="001E395F" w:rsidP="001E395F">
            <w:pPr>
              <w:pStyle w:val="TableText"/>
              <w:jc w:val="center"/>
              <w:rPr>
                <w:rFonts w:eastAsia="MS Mincho"/>
                <w:b/>
              </w:rPr>
            </w:pPr>
            <w:r w:rsidRPr="0047058F">
              <w:rPr>
                <w:rFonts w:eastAsia="MS Mincho"/>
                <w:b/>
              </w:rPr>
              <w:t>2015 Transition and Wellbeing Research Programme</w:t>
            </w:r>
          </w:p>
        </w:tc>
        <w:tc>
          <w:tcPr>
            <w:tcW w:w="1603" w:type="pct"/>
            <w:gridSpan w:val="3"/>
            <w:tcBorders>
              <w:top w:val="single" w:sz="4" w:space="0" w:color="000000"/>
              <w:bottom w:val="single" w:sz="4" w:space="0" w:color="000000"/>
            </w:tcBorders>
          </w:tcPr>
          <w:p w14:paraId="170137AC" w14:textId="77777777" w:rsidR="001E395F" w:rsidRPr="0047058F" w:rsidRDefault="001E395F" w:rsidP="001E395F">
            <w:pPr>
              <w:pStyle w:val="TableText"/>
              <w:jc w:val="center"/>
              <w:rPr>
                <w:rFonts w:eastAsia="MS Mincho"/>
                <w:b/>
              </w:rPr>
            </w:pPr>
            <w:r w:rsidRPr="0047058F">
              <w:rPr>
                <w:rFonts w:eastAsia="MS Mincho"/>
                <w:b/>
              </w:rPr>
              <w:t>Odds ratio</w:t>
            </w:r>
          </w:p>
        </w:tc>
      </w:tr>
      <w:tr w:rsidR="001E395F" w:rsidRPr="0047058F" w14:paraId="35865E8F" w14:textId="77777777" w:rsidTr="000D5576">
        <w:trPr>
          <w:tblHeader/>
        </w:trPr>
        <w:tc>
          <w:tcPr>
            <w:tcW w:w="552" w:type="pct"/>
            <w:vMerge/>
          </w:tcPr>
          <w:p w14:paraId="2D7D00DD" w14:textId="77777777" w:rsidR="001E395F" w:rsidRPr="0047058F" w:rsidRDefault="001E395F" w:rsidP="001E395F">
            <w:pPr>
              <w:pStyle w:val="TableText"/>
              <w:rPr>
                <w:b/>
              </w:rPr>
            </w:pPr>
          </w:p>
        </w:tc>
        <w:tc>
          <w:tcPr>
            <w:tcW w:w="475" w:type="pct"/>
            <w:gridSpan w:val="2"/>
            <w:tcBorders>
              <w:top w:val="single" w:sz="4" w:space="0" w:color="000000"/>
              <w:bottom w:val="single" w:sz="4" w:space="0" w:color="000000"/>
            </w:tcBorders>
            <w:vAlign w:val="bottom"/>
          </w:tcPr>
          <w:p w14:paraId="2F96D68F" w14:textId="77777777" w:rsidR="001E395F" w:rsidRPr="0047058F" w:rsidRDefault="001E395F" w:rsidP="000D5576">
            <w:pPr>
              <w:pStyle w:val="TableText"/>
              <w:jc w:val="center"/>
              <w:rPr>
                <w:rFonts w:eastAsia="MS Mincho"/>
                <w:b/>
              </w:rPr>
            </w:pPr>
            <w:r w:rsidRPr="0047058F">
              <w:rPr>
                <w:rFonts w:eastAsia="MS Mincho"/>
                <w:b/>
              </w:rPr>
              <w:t>Transitioned ADF</w:t>
            </w:r>
            <w:r w:rsidRPr="0047058F">
              <w:rPr>
                <w:rFonts w:eastAsia="MS Mincho"/>
                <w:b/>
              </w:rPr>
              <w:br/>
              <w:t>n = 261</w:t>
            </w:r>
          </w:p>
        </w:tc>
        <w:tc>
          <w:tcPr>
            <w:tcW w:w="475" w:type="pct"/>
            <w:gridSpan w:val="2"/>
            <w:tcBorders>
              <w:top w:val="single" w:sz="4" w:space="0" w:color="000000"/>
              <w:bottom w:val="single" w:sz="4" w:space="0" w:color="000000"/>
            </w:tcBorders>
            <w:vAlign w:val="bottom"/>
          </w:tcPr>
          <w:p w14:paraId="48B1EF3C" w14:textId="77777777" w:rsidR="001E395F" w:rsidRPr="0047058F" w:rsidRDefault="001E395F" w:rsidP="000D5576">
            <w:pPr>
              <w:pStyle w:val="TableText"/>
              <w:jc w:val="center"/>
              <w:rPr>
                <w:rFonts w:eastAsia="MS Mincho"/>
                <w:b/>
              </w:rPr>
            </w:pPr>
            <w:r w:rsidRPr="0047058F">
              <w:rPr>
                <w:rFonts w:eastAsia="MS Mincho"/>
                <w:b/>
              </w:rPr>
              <w:t>2015 Regular ADF</w:t>
            </w:r>
            <w:r w:rsidRPr="0047058F">
              <w:rPr>
                <w:rFonts w:eastAsia="MS Mincho"/>
                <w:b/>
              </w:rPr>
              <w:br/>
              <w:t>n = 559</w:t>
            </w:r>
          </w:p>
        </w:tc>
        <w:tc>
          <w:tcPr>
            <w:tcW w:w="475" w:type="pct"/>
            <w:gridSpan w:val="2"/>
            <w:tcBorders>
              <w:top w:val="single" w:sz="4" w:space="0" w:color="000000"/>
              <w:bottom w:val="single" w:sz="4" w:space="0" w:color="000000"/>
            </w:tcBorders>
            <w:vAlign w:val="bottom"/>
          </w:tcPr>
          <w:p w14:paraId="6D33AEFB" w14:textId="77777777" w:rsidR="001E395F" w:rsidRPr="0047058F" w:rsidRDefault="001E395F" w:rsidP="000D5576">
            <w:pPr>
              <w:pStyle w:val="TableText"/>
              <w:jc w:val="center"/>
              <w:rPr>
                <w:b/>
              </w:rPr>
            </w:pPr>
            <w:r w:rsidRPr="0047058F">
              <w:rPr>
                <w:rFonts w:eastAsia="MS Mincho"/>
                <w:b/>
              </w:rPr>
              <w:t>Total</w:t>
            </w:r>
            <w:r w:rsidRPr="0047058F">
              <w:rPr>
                <w:rFonts w:eastAsia="MS Mincho"/>
                <w:b/>
              </w:rPr>
              <w:br/>
              <w:t>n = 820</w:t>
            </w:r>
          </w:p>
        </w:tc>
        <w:tc>
          <w:tcPr>
            <w:tcW w:w="474" w:type="pct"/>
            <w:gridSpan w:val="2"/>
            <w:tcBorders>
              <w:top w:val="single" w:sz="4" w:space="0" w:color="000000"/>
              <w:bottom w:val="single" w:sz="4" w:space="0" w:color="000000"/>
            </w:tcBorders>
            <w:vAlign w:val="bottom"/>
          </w:tcPr>
          <w:p w14:paraId="72CCB962" w14:textId="77777777" w:rsidR="001E395F" w:rsidRPr="0047058F" w:rsidRDefault="001E395F" w:rsidP="000D5576">
            <w:pPr>
              <w:pStyle w:val="TableText"/>
              <w:jc w:val="center"/>
              <w:rPr>
                <w:b/>
              </w:rPr>
            </w:pPr>
            <w:r w:rsidRPr="0047058F">
              <w:rPr>
                <w:rFonts w:eastAsia="MS Mincho"/>
                <w:b/>
              </w:rPr>
              <w:t>Transitioned ADF</w:t>
            </w:r>
            <w:r w:rsidRPr="0047058F">
              <w:rPr>
                <w:rFonts w:eastAsia="MS Mincho"/>
                <w:b/>
              </w:rPr>
              <w:br/>
              <w:t>n = 261</w:t>
            </w:r>
          </w:p>
        </w:tc>
        <w:tc>
          <w:tcPr>
            <w:tcW w:w="474" w:type="pct"/>
            <w:gridSpan w:val="2"/>
            <w:tcBorders>
              <w:top w:val="single" w:sz="4" w:space="0" w:color="000000"/>
              <w:bottom w:val="single" w:sz="4" w:space="0" w:color="000000"/>
            </w:tcBorders>
            <w:vAlign w:val="bottom"/>
          </w:tcPr>
          <w:p w14:paraId="32F0DB84" w14:textId="77777777" w:rsidR="001E395F" w:rsidRPr="0047058F" w:rsidRDefault="001E395F" w:rsidP="000D5576">
            <w:pPr>
              <w:pStyle w:val="TableText"/>
              <w:jc w:val="center"/>
              <w:rPr>
                <w:b/>
              </w:rPr>
            </w:pPr>
            <w:r w:rsidRPr="0047058F">
              <w:rPr>
                <w:rFonts w:eastAsia="MS Mincho"/>
                <w:b/>
              </w:rPr>
              <w:t>2015 Regular ADF</w:t>
            </w:r>
            <w:r w:rsidRPr="0047058F">
              <w:rPr>
                <w:rFonts w:eastAsia="MS Mincho"/>
                <w:b/>
              </w:rPr>
              <w:br/>
              <w:t>n = 559</w:t>
            </w:r>
          </w:p>
        </w:tc>
        <w:tc>
          <w:tcPr>
            <w:tcW w:w="474" w:type="pct"/>
            <w:gridSpan w:val="2"/>
            <w:tcBorders>
              <w:top w:val="single" w:sz="4" w:space="0" w:color="000000"/>
              <w:bottom w:val="single" w:sz="4" w:space="0" w:color="000000"/>
            </w:tcBorders>
            <w:vAlign w:val="bottom"/>
          </w:tcPr>
          <w:p w14:paraId="5D22149E" w14:textId="77777777" w:rsidR="001E395F" w:rsidRPr="0047058F" w:rsidRDefault="001E395F" w:rsidP="000D5576">
            <w:pPr>
              <w:pStyle w:val="TableText"/>
              <w:jc w:val="center"/>
              <w:rPr>
                <w:rFonts w:eastAsia="MS Mincho"/>
                <w:b/>
              </w:rPr>
            </w:pPr>
            <w:r w:rsidRPr="0047058F">
              <w:rPr>
                <w:rFonts w:eastAsia="MS Mincho"/>
                <w:b/>
              </w:rPr>
              <w:t>Total</w:t>
            </w:r>
            <w:r w:rsidRPr="0047058F">
              <w:rPr>
                <w:rFonts w:eastAsia="MS Mincho"/>
                <w:b/>
              </w:rPr>
              <w:br/>
              <w:t>n = 820</w:t>
            </w:r>
          </w:p>
        </w:tc>
        <w:tc>
          <w:tcPr>
            <w:tcW w:w="534" w:type="pct"/>
            <w:tcBorders>
              <w:top w:val="single" w:sz="4" w:space="0" w:color="000000"/>
              <w:bottom w:val="single" w:sz="4" w:space="0" w:color="000000"/>
            </w:tcBorders>
            <w:vAlign w:val="bottom"/>
          </w:tcPr>
          <w:p w14:paraId="7F7DDE0A" w14:textId="77777777" w:rsidR="001E395F" w:rsidRPr="0047058F" w:rsidRDefault="001E395F" w:rsidP="000D5576">
            <w:pPr>
              <w:pStyle w:val="TableText"/>
              <w:jc w:val="center"/>
              <w:rPr>
                <w:rFonts w:eastAsia="MS Mincho"/>
                <w:b/>
              </w:rPr>
            </w:pPr>
            <w:r w:rsidRPr="0047058F">
              <w:rPr>
                <w:rFonts w:eastAsia="MS Mincho"/>
                <w:b/>
              </w:rPr>
              <w:t>2010: Transitioned 2015 vs Regular 2015</w:t>
            </w:r>
          </w:p>
        </w:tc>
        <w:tc>
          <w:tcPr>
            <w:tcW w:w="535" w:type="pct"/>
            <w:tcBorders>
              <w:top w:val="single" w:sz="4" w:space="0" w:color="000000"/>
              <w:bottom w:val="single" w:sz="4" w:space="0" w:color="000000"/>
            </w:tcBorders>
            <w:vAlign w:val="bottom"/>
          </w:tcPr>
          <w:p w14:paraId="1ABC3460" w14:textId="77777777" w:rsidR="001E395F" w:rsidRPr="0047058F" w:rsidRDefault="001E395F" w:rsidP="000D5576">
            <w:pPr>
              <w:pStyle w:val="TableText"/>
              <w:jc w:val="center"/>
              <w:rPr>
                <w:rFonts w:eastAsia="MS Mincho"/>
                <w:b/>
              </w:rPr>
            </w:pPr>
            <w:r w:rsidRPr="0047058F">
              <w:rPr>
                <w:rFonts w:eastAsia="MS Mincho"/>
                <w:b/>
              </w:rPr>
              <w:t>2015: Transitioned 2015 vs Regular 2015</w:t>
            </w:r>
          </w:p>
        </w:tc>
        <w:tc>
          <w:tcPr>
            <w:tcW w:w="535" w:type="pct"/>
            <w:tcBorders>
              <w:top w:val="single" w:sz="4" w:space="0" w:color="000000"/>
              <w:bottom w:val="single" w:sz="4" w:space="0" w:color="000000"/>
            </w:tcBorders>
            <w:vAlign w:val="bottom"/>
          </w:tcPr>
          <w:p w14:paraId="4131FB66" w14:textId="2A7A4020" w:rsidR="001E395F" w:rsidRPr="0047058F" w:rsidRDefault="001E395F" w:rsidP="000D5576">
            <w:pPr>
              <w:pStyle w:val="TableText"/>
              <w:jc w:val="center"/>
              <w:rPr>
                <w:rFonts w:eastAsia="MS Mincho"/>
                <w:b/>
              </w:rPr>
            </w:pPr>
            <w:r w:rsidRPr="0047058F">
              <w:rPr>
                <w:rFonts w:eastAsia="MS Mincho"/>
                <w:b/>
              </w:rPr>
              <w:t xml:space="preserve">2015 total </w:t>
            </w:r>
            <w:r w:rsidR="004530F1">
              <w:rPr>
                <w:rFonts w:eastAsia="MS Mincho"/>
                <w:b/>
              </w:rPr>
              <w:br/>
            </w:r>
            <w:r w:rsidRPr="0047058F">
              <w:rPr>
                <w:rFonts w:eastAsia="MS Mincho"/>
                <w:b/>
              </w:rPr>
              <w:t>vs 2010 total</w:t>
            </w:r>
          </w:p>
        </w:tc>
      </w:tr>
      <w:tr w:rsidR="001E395F" w:rsidRPr="0047058F" w14:paraId="6E8F754B" w14:textId="77777777" w:rsidTr="005632DC">
        <w:trPr>
          <w:tblHeader/>
        </w:trPr>
        <w:tc>
          <w:tcPr>
            <w:tcW w:w="552" w:type="pct"/>
            <w:vMerge/>
            <w:tcBorders>
              <w:bottom w:val="single" w:sz="4" w:space="0" w:color="000000"/>
            </w:tcBorders>
          </w:tcPr>
          <w:p w14:paraId="7EE65A01" w14:textId="77777777" w:rsidR="001E395F" w:rsidRPr="0047058F" w:rsidRDefault="001E395F" w:rsidP="001E395F">
            <w:pPr>
              <w:pStyle w:val="TableText"/>
              <w:rPr>
                <w:rFonts w:cs="Arial"/>
                <w:b/>
              </w:rPr>
            </w:pPr>
          </w:p>
        </w:tc>
        <w:tc>
          <w:tcPr>
            <w:tcW w:w="237" w:type="pct"/>
            <w:tcBorders>
              <w:top w:val="single" w:sz="4" w:space="0" w:color="000000"/>
              <w:bottom w:val="single" w:sz="4" w:space="0" w:color="000000"/>
            </w:tcBorders>
          </w:tcPr>
          <w:p w14:paraId="6617D232"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3AE7AF7E" w14:textId="77777777" w:rsidR="001E395F" w:rsidRPr="0047058F" w:rsidRDefault="001E395F" w:rsidP="001E395F">
            <w:pPr>
              <w:pStyle w:val="TableText"/>
              <w:jc w:val="right"/>
              <w:rPr>
                <w:rFonts w:cs="Arial"/>
                <w:b/>
              </w:rPr>
            </w:pPr>
            <w:r w:rsidRPr="0047058F">
              <w:rPr>
                <w:rFonts w:cs="Arial"/>
                <w:b/>
              </w:rPr>
              <w:t>%</w:t>
            </w:r>
          </w:p>
        </w:tc>
        <w:tc>
          <w:tcPr>
            <w:tcW w:w="237" w:type="pct"/>
            <w:tcBorders>
              <w:top w:val="single" w:sz="4" w:space="0" w:color="000000"/>
              <w:bottom w:val="single" w:sz="4" w:space="0" w:color="000000"/>
            </w:tcBorders>
          </w:tcPr>
          <w:p w14:paraId="65443AC1"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058EF0FB" w14:textId="77777777" w:rsidR="001E395F" w:rsidRPr="0047058F" w:rsidRDefault="001E395F" w:rsidP="001E395F">
            <w:pPr>
              <w:pStyle w:val="TableText"/>
              <w:jc w:val="right"/>
              <w:rPr>
                <w:rFonts w:cs="Arial"/>
                <w:b/>
              </w:rPr>
            </w:pPr>
            <w:r w:rsidRPr="0047058F">
              <w:rPr>
                <w:rFonts w:cs="Arial"/>
                <w:b/>
              </w:rPr>
              <w:t>%</w:t>
            </w:r>
          </w:p>
        </w:tc>
        <w:tc>
          <w:tcPr>
            <w:tcW w:w="237" w:type="pct"/>
            <w:tcBorders>
              <w:top w:val="single" w:sz="4" w:space="0" w:color="000000"/>
              <w:bottom w:val="single" w:sz="4" w:space="0" w:color="000000"/>
            </w:tcBorders>
          </w:tcPr>
          <w:p w14:paraId="57BF921E"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6B5566EE" w14:textId="77777777" w:rsidR="001E395F" w:rsidRPr="0047058F" w:rsidRDefault="001E395F" w:rsidP="001E395F">
            <w:pPr>
              <w:pStyle w:val="TableText"/>
              <w:jc w:val="right"/>
              <w:rPr>
                <w:rFonts w:cs="Arial"/>
                <w:b/>
              </w:rPr>
            </w:pPr>
            <w:r w:rsidRPr="0047058F">
              <w:rPr>
                <w:rFonts w:cs="Arial"/>
                <w:b/>
              </w:rPr>
              <w:t>%</w:t>
            </w:r>
          </w:p>
        </w:tc>
        <w:tc>
          <w:tcPr>
            <w:tcW w:w="237" w:type="pct"/>
            <w:tcBorders>
              <w:top w:val="single" w:sz="4" w:space="0" w:color="000000"/>
              <w:bottom w:val="single" w:sz="4" w:space="0" w:color="000000"/>
            </w:tcBorders>
          </w:tcPr>
          <w:p w14:paraId="465AB717"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212EC64C" w14:textId="77777777" w:rsidR="001E395F" w:rsidRPr="0047058F" w:rsidRDefault="001E395F" w:rsidP="001E395F">
            <w:pPr>
              <w:pStyle w:val="TableText"/>
              <w:jc w:val="right"/>
              <w:rPr>
                <w:rFonts w:cs="Arial"/>
                <w:b/>
              </w:rPr>
            </w:pPr>
            <w:r w:rsidRPr="0047058F">
              <w:rPr>
                <w:rFonts w:cs="Arial"/>
                <w:b/>
              </w:rPr>
              <w:t>%</w:t>
            </w:r>
          </w:p>
        </w:tc>
        <w:tc>
          <w:tcPr>
            <w:tcW w:w="237" w:type="pct"/>
            <w:tcBorders>
              <w:top w:val="single" w:sz="4" w:space="0" w:color="000000"/>
              <w:bottom w:val="single" w:sz="4" w:space="0" w:color="000000"/>
            </w:tcBorders>
          </w:tcPr>
          <w:p w14:paraId="1A7A1C64"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599FE671" w14:textId="77777777" w:rsidR="001E395F" w:rsidRPr="0047058F" w:rsidRDefault="001E395F" w:rsidP="001E395F">
            <w:pPr>
              <w:pStyle w:val="TableText"/>
              <w:jc w:val="right"/>
              <w:rPr>
                <w:rFonts w:cs="Arial"/>
                <w:b/>
              </w:rPr>
            </w:pPr>
            <w:r w:rsidRPr="0047058F">
              <w:rPr>
                <w:rFonts w:cs="Arial"/>
                <w:b/>
              </w:rPr>
              <w:t>%</w:t>
            </w:r>
          </w:p>
        </w:tc>
        <w:tc>
          <w:tcPr>
            <w:tcW w:w="237" w:type="pct"/>
            <w:tcBorders>
              <w:top w:val="single" w:sz="4" w:space="0" w:color="000000"/>
              <w:bottom w:val="single" w:sz="4" w:space="0" w:color="000000"/>
            </w:tcBorders>
          </w:tcPr>
          <w:p w14:paraId="66586D24" w14:textId="77777777" w:rsidR="001E395F" w:rsidRPr="0047058F" w:rsidRDefault="001E395F" w:rsidP="001E395F">
            <w:pPr>
              <w:pStyle w:val="TableText"/>
              <w:jc w:val="right"/>
              <w:rPr>
                <w:rFonts w:cs="Arial"/>
                <w:b/>
              </w:rPr>
            </w:pPr>
            <w:r w:rsidRPr="0047058F">
              <w:rPr>
                <w:rFonts w:cs="Arial"/>
                <w:b/>
              </w:rPr>
              <w:t>n</w:t>
            </w:r>
          </w:p>
        </w:tc>
        <w:tc>
          <w:tcPr>
            <w:tcW w:w="237" w:type="pct"/>
            <w:tcBorders>
              <w:top w:val="single" w:sz="4" w:space="0" w:color="000000"/>
              <w:bottom w:val="single" w:sz="4" w:space="0" w:color="000000"/>
            </w:tcBorders>
          </w:tcPr>
          <w:p w14:paraId="695FF417" w14:textId="77777777" w:rsidR="001E395F" w:rsidRPr="0047058F" w:rsidRDefault="001E395F" w:rsidP="001E395F">
            <w:pPr>
              <w:pStyle w:val="TableText"/>
              <w:jc w:val="right"/>
              <w:rPr>
                <w:rFonts w:cs="Arial"/>
                <w:b/>
              </w:rPr>
            </w:pPr>
            <w:r w:rsidRPr="0047058F">
              <w:rPr>
                <w:rFonts w:cs="Arial"/>
                <w:b/>
              </w:rPr>
              <w:t>%</w:t>
            </w:r>
          </w:p>
        </w:tc>
        <w:tc>
          <w:tcPr>
            <w:tcW w:w="534" w:type="pct"/>
            <w:tcBorders>
              <w:top w:val="single" w:sz="4" w:space="0" w:color="000000"/>
              <w:bottom w:val="single" w:sz="4" w:space="0" w:color="000000"/>
            </w:tcBorders>
          </w:tcPr>
          <w:p w14:paraId="2123F36B" w14:textId="77777777" w:rsidR="001E395F" w:rsidRPr="0047058F" w:rsidRDefault="001E395F" w:rsidP="001E395F">
            <w:pPr>
              <w:pStyle w:val="TableText"/>
              <w:jc w:val="right"/>
              <w:rPr>
                <w:rFonts w:cs="Arial"/>
                <w:b/>
              </w:rPr>
            </w:pPr>
            <w:r w:rsidRPr="0047058F">
              <w:rPr>
                <w:rFonts w:eastAsia="MS Mincho"/>
                <w:b/>
              </w:rPr>
              <w:t>OR (95% CI)</w:t>
            </w:r>
          </w:p>
        </w:tc>
        <w:tc>
          <w:tcPr>
            <w:tcW w:w="535" w:type="pct"/>
            <w:tcBorders>
              <w:top w:val="single" w:sz="4" w:space="0" w:color="000000"/>
              <w:bottom w:val="single" w:sz="4" w:space="0" w:color="000000"/>
            </w:tcBorders>
          </w:tcPr>
          <w:p w14:paraId="7B3E1A46" w14:textId="77777777" w:rsidR="001E395F" w:rsidRPr="0047058F" w:rsidRDefault="001E395F" w:rsidP="001E395F">
            <w:pPr>
              <w:pStyle w:val="TableText"/>
              <w:jc w:val="right"/>
              <w:rPr>
                <w:rFonts w:cs="Arial"/>
                <w:b/>
              </w:rPr>
            </w:pPr>
            <w:r w:rsidRPr="0047058F">
              <w:rPr>
                <w:rFonts w:eastAsia="MS Mincho"/>
                <w:b/>
              </w:rPr>
              <w:t>OR (95% CI)</w:t>
            </w:r>
          </w:p>
        </w:tc>
        <w:tc>
          <w:tcPr>
            <w:tcW w:w="535" w:type="pct"/>
            <w:tcBorders>
              <w:top w:val="single" w:sz="4" w:space="0" w:color="000000"/>
              <w:bottom w:val="single" w:sz="4" w:space="0" w:color="000000"/>
            </w:tcBorders>
          </w:tcPr>
          <w:p w14:paraId="1882D76F" w14:textId="77777777" w:rsidR="001E395F" w:rsidRPr="0047058F" w:rsidRDefault="001E395F" w:rsidP="001E395F">
            <w:pPr>
              <w:pStyle w:val="TableText"/>
              <w:jc w:val="right"/>
              <w:rPr>
                <w:rFonts w:cs="Arial"/>
                <w:b/>
              </w:rPr>
            </w:pPr>
            <w:r w:rsidRPr="0047058F">
              <w:rPr>
                <w:rFonts w:eastAsia="MS Mincho"/>
                <w:b/>
              </w:rPr>
              <w:t>OR (95% CI)</w:t>
            </w:r>
          </w:p>
        </w:tc>
      </w:tr>
      <w:tr w:rsidR="001E395F" w:rsidRPr="0047058F" w14:paraId="6EBADDD8" w14:textId="77777777" w:rsidTr="005632DC">
        <w:trPr>
          <w:cnfStyle w:val="000000100000" w:firstRow="0" w:lastRow="0" w:firstColumn="0" w:lastColumn="0" w:oddVBand="0" w:evenVBand="0" w:oddHBand="1" w:evenHBand="0" w:firstRowFirstColumn="0" w:firstRowLastColumn="0" w:lastRowFirstColumn="0" w:lastRowLastColumn="0"/>
        </w:trPr>
        <w:tc>
          <w:tcPr>
            <w:tcW w:w="552" w:type="pct"/>
            <w:tcBorders>
              <w:top w:val="single" w:sz="4" w:space="0" w:color="000000"/>
            </w:tcBorders>
          </w:tcPr>
          <w:p w14:paraId="1093B263" w14:textId="77777777" w:rsidR="00A340EE" w:rsidRPr="0047058F" w:rsidRDefault="00A340EE" w:rsidP="001E395F">
            <w:pPr>
              <w:pStyle w:val="TableText"/>
              <w:rPr>
                <w:rFonts w:cs="Calibri"/>
                <w:szCs w:val="14"/>
              </w:rPr>
            </w:pPr>
            <w:r w:rsidRPr="0047058F">
              <w:rPr>
                <w:rFonts w:cs="Calibri"/>
                <w:szCs w:val="14"/>
              </w:rPr>
              <w:t>Anxiety disorder</w:t>
            </w:r>
          </w:p>
        </w:tc>
        <w:tc>
          <w:tcPr>
            <w:tcW w:w="237" w:type="pct"/>
            <w:tcBorders>
              <w:top w:val="single" w:sz="4" w:space="0" w:color="000000"/>
            </w:tcBorders>
          </w:tcPr>
          <w:p w14:paraId="0D2F486D" w14:textId="77777777" w:rsidR="00A340EE" w:rsidRPr="0047058F" w:rsidRDefault="00A340EE" w:rsidP="001E395F">
            <w:pPr>
              <w:pStyle w:val="TableText"/>
              <w:jc w:val="right"/>
              <w:rPr>
                <w:rFonts w:eastAsia="Times New Roman" w:cs="Arial"/>
              </w:rPr>
            </w:pPr>
            <w:r w:rsidRPr="0047058F">
              <w:rPr>
                <w:rFonts w:eastAsia="Times New Roman"/>
              </w:rPr>
              <w:t>100</w:t>
            </w:r>
          </w:p>
        </w:tc>
        <w:tc>
          <w:tcPr>
            <w:tcW w:w="237" w:type="pct"/>
            <w:tcBorders>
              <w:top w:val="single" w:sz="4" w:space="0" w:color="000000"/>
            </w:tcBorders>
          </w:tcPr>
          <w:p w14:paraId="69FA2382" w14:textId="77777777" w:rsidR="00A340EE" w:rsidRPr="0047058F" w:rsidRDefault="00A340EE" w:rsidP="001E395F">
            <w:pPr>
              <w:pStyle w:val="TableText"/>
              <w:jc w:val="right"/>
              <w:rPr>
                <w:rFonts w:eastAsia="Times New Roman" w:cs="Arial"/>
              </w:rPr>
            </w:pPr>
            <w:r w:rsidRPr="0047058F">
              <w:rPr>
                <w:rFonts w:eastAsia="Times New Roman"/>
              </w:rPr>
              <w:t>38.3</w:t>
            </w:r>
          </w:p>
        </w:tc>
        <w:tc>
          <w:tcPr>
            <w:tcW w:w="237" w:type="pct"/>
            <w:tcBorders>
              <w:top w:val="single" w:sz="4" w:space="0" w:color="000000"/>
            </w:tcBorders>
          </w:tcPr>
          <w:p w14:paraId="3C312EFC" w14:textId="77777777" w:rsidR="00A340EE" w:rsidRPr="0047058F" w:rsidRDefault="00A340EE" w:rsidP="001E395F">
            <w:pPr>
              <w:pStyle w:val="TableText"/>
              <w:jc w:val="right"/>
              <w:rPr>
                <w:rFonts w:eastAsia="Times New Roman" w:cs="Arial"/>
              </w:rPr>
            </w:pPr>
            <w:r w:rsidRPr="0047058F">
              <w:rPr>
                <w:rFonts w:eastAsia="Times New Roman"/>
              </w:rPr>
              <w:t>167</w:t>
            </w:r>
          </w:p>
        </w:tc>
        <w:tc>
          <w:tcPr>
            <w:tcW w:w="237" w:type="pct"/>
            <w:tcBorders>
              <w:top w:val="single" w:sz="4" w:space="0" w:color="000000"/>
            </w:tcBorders>
          </w:tcPr>
          <w:p w14:paraId="45E43D95" w14:textId="77777777" w:rsidR="00A340EE" w:rsidRPr="0047058F" w:rsidRDefault="00A340EE" w:rsidP="001E395F">
            <w:pPr>
              <w:pStyle w:val="TableText"/>
              <w:jc w:val="right"/>
              <w:rPr>
                <w:rFonts w:eastAsia="Times New Roman" w:cs="Arial"/>
              </w:rPr>
            </w:pPr>
            <w:r w:rsidRPr="0047058F">
              <w:rPr>
                <w:rFonts w:eastAsia="Times New Roman"/>
              </w:rPr>
              <w:t>29.9</w:t>
            </w:r>
          </w:p>
        </w:tc>
        <w:tc>
          <w:tcPr>
            <w:tcW w:w="237" w:type="pct"/>
            <w:tcBorders>
              <w:top w:val="single" w:sz="4" w:space="0" w:color="000000"/>
            </w:tcBorders>
          </w:tcPr>
          <w:p w14:paraId="601B5445" w14:textId="77777777" w:rsidR="00A340EE" w:rsidRPr="0047058F" w:rsidRDefault="00A340EE" w:rsidP="001E395F">
            <w:pPr>
              <w:pStyle w:val="TableText"/>
              <w:jc w:val="right"/>
            </w:pPr>
            <w:r w:rsidRPr="0047058F">
              <w:rPr>
                <w:rFonts w:eastAsia="Times New Roman"/>
              </w:rPr>
              <w:t>267</w:t>
            </w:r>
          </w:p>
        </w:tc>
        <w:tc>
          <w:tcPr>
            <w:tcW w:w="237" w:type="pct"/>
            <w:tcBorders>
              <w:top w:val="single" w:sz="4" w:space="0" w:color="000000"/>
            </w:tcBorders>
          </w:tcPr>
          <w:p w14:paraId="137CBE6D" w14:textId="77777777" w:rsidR="00A340EE" w:rsidRPr="0047058F" w:rsidRDefault="00A340EE" w:rsidP="001E395F">
            <w:pPr>
              <w:pStyle w:val="TableText"/>
              <w:jc w:val="right"/>
            </w:pPr>
            <w:r w:rsidRPr="0047058F">
              <w:rPr>
                <w:rFonts w:eastAsia="Times New Roman"/>
              </w:rPr>
              <w:t>32.6</w:t>
            </w:r>
          </w:p>
        </w:tc>
        <w:tc>
          <w:tcPr>
            <w:tcW w:w="237" w:type="pct"/>
            <w:tcBorders>
              <w:top w:val="single" w:sz="4" w:space="0" w:color="000000"/>
            </w:tcBorders>
          </w:tcPr>
          <w:p w14:paraId="33A20988" w14:textId="77777777" w:rsidR="00A340EE" w:rsidRPr="0047058F" w:rsidRDefault="00A340EE" w:rsidP="001E395F">
            <w:pPr>
              <w:pStyle w:val="TableText"/>
              <w:jc w:val="right"/>
            </w:pPr>
            <w:r w:rsidRPr="0047058F">
              <w:rPr>
                <w:rFonts w:eastAsia="Times New Roman"/>
              </w:rPr>
              <w:t>111</w:t>
            </w:r>
          </w:p>
        </w:tc>
        <w:tc>
          <w:tcPr>
            <w:tcW w:w="237" w:type="pct"/>
            <w:tcBorders>
              <w:top w:val="single" w:sz="4" w:space="0" w:color="000000"/>
            </w:tcBorders>
          </w:tcPr>
          <w:p w14:paraId="6A546724" w14:textId="77777777" w:rsidR="00A340EE" w:rsidRPr="0047058F" w:rsidRDefault="00A340EE" w:rsidP="001E395F">
            <w:pPr>
              <w:pStyle w:val="TableText"/>
              <w:jc w:val="right"/>
            </w:pPr>
            <w:r w:rsidRPr="0047058F">
              <w:rPr>
                <w:rFonts w:eastAsia="Times New Roman"/>
              </w:rPr>
              <w:t>42.5</w:t>
            </w:r>
          </w:p>
        </w:tc>
        <w:tc>
          <w:tcPr>
            <w:tcW w:w="237" w:type="pct"/>
            <w:tcBorders>
              <w:top w:val="single" w:sz="4" w:space="0" w:color="000000"/>
            </w:tcBorders>
          </w:tcPr>
          <w:p w14:paraId="4305CDE2" w14:textId="77777777" w:rsidR="00A340EE" w:rsidRPr="0047058F" w:rsidRDefault="00A340EE" w:rsidP="001E395F">
            <w:pPr>
              <w:pStyle w:val="TableText"/>
              <w:jc w:val="right"/>
            </w:pPr>
            <w:r w:rsidRPr="0047058F">
              <w:rPr>
                <w:rFonts w:eastAsia="Times New Roman"/>
              </w:rPr>
              <w:t>199</w:t>
            </w:r>
          </w:p>
        </w:tc>
        <w:tc>
          <w:tcPr>
            <w:tcW w:w="237" w:type="pct"/>
            <w:tcBorders>
              <w:top w:val="single" w:sz="4" w:space="0" w:color="000000"/>
            </w:tcBorders>
          </w:tcPr>
          <w:p w14:paraId="50B82FF7" w14:textId="77777777" w:rsidR="00A340EE" w:rsidRPr="0047058F" w:rsidRDefault="00A340EE" w:rsidP="001E395F">
            <w:pPr>
              <w:pStyle w:val="TableText"/>
              <w:jc w:val="right"/>
            </w:pPr>
            <w:r w:rsidRPr="0047058F">
              <w:rPr>
                <w:rFonts w:eastAsia="Times New Roman"/>
              </w:rPr>
              <w:t>35.6</w:t>
            </w:r>
          </w:p>
        </w:tc>
        <w:tc>
          <w:tcPr>
            <w:tcW w:w="237" w:type="pct"/>
            <w:tcBorders>
              <w:top w:val="single" w:sz="4" w:space="0" w:color="000000"/>
            </w:tcBorders>
          </w:tcPr>
          <w:p w14:paraId="451500E7" w14:textId="77777777" w:rsidR="00A340EE" w:rsidRPr="0047058F" w:rsidRDefault="00A340EE" w:rsidP="001E395F">
            <w:pPr>
              <w:pStyle w:val="TableText"/>
              <w:jc w:val="right"/>
            </w:pPr>
            <w:r w:rsidRPr="0047058F">
              <w:rPr>
                <w:rFonts w:eastAsia="Times New Roman"/>
              </w:rPr>
              <w:t>310</w:t>
            </w:r>
          </w:p>
        </w:tc>
        <w:tc>
          <w:tcPr>
            <w:tcW w:w="237" w:type="pct"/>
            <w:tcBorders>
              <w:top w:val="single" w:sz="4" w:space="0" w:color="000000"/>
            </w:tcBorders>
          </w:tcPr>
          <w:p w14:paraId="51D08684" w14:textId="77777777" w:rsidR="00A340EE" w:rsidRPr="0047058F" w:rsidRDefault="00A340EE" w:rsidP="001E395F">
            <w:pPr>
              <w:pStyle w:val="TableText"/>
              <w:jc w:val="right"/>
            </w:pPr>
            <w:r w:rsidRPr="0047058F">
              <w:rPr>
                <w:rFonts w:eastAsia="Times New Roman"/>
              </w:rPr>
              <w:t>37.8</w:t>
            </w:r>
          </w:p>
        </w:tc>
        <w:tc>
          <w:tcPr>
            <w:tcW w:w="534" w:type="pct"/>
            <w:tcBorders>
              <w:top w:val="single" w:sz="4" w:space="0" w:color="000000"/>
            </w:tcBorders>
          </w:tcPr>
          <w:p w14:paraId="47C565AC" w14:textId="77777777" w:rsidR="00A340EE" w:rsidRPr="0047058F" w:rsidRDefault="00A340EE" w:rsidP="001E395F">
            <w:pPr>
              <w:pStyle w:val="TableText"/>
              <w:jc w:val="right"/>
            </w:pPr>
            <w:r w:rsidRPr="0047058F">
              <w:rPr>
                <w:rFonts w:eastAsia="Times New Roman" w:cs="Arial"/>
              </w:rPr>
              <w:t>1.46 (1.07–1.98)</w:t>
            </w:r>
          </w:p>
        </w:tc>
        <w:tc>
          <w:tcPr>
            <w:tcW w:w="535" w:type="pct"/>
            <w:tcBorders>
              <w:top w:val="single" w:sz="4" w:space="0" w:color="000000"/>
            </w:tcBorders>
          </w:tcPr>
          <w:p w14:paraId="7ADA4AA7" w14:textId="77777777" w:rsidR="00A340EE" w:rsidRPr="0047058F" w:rsidRDefault="00A340EE" w:rsidP="001E395F">
            <w:pPr>
              <w:pStyle w:val="TableText"/>
              <w:jc w:val="right"/>
            </w:pPr>
            <w:r w:rsidRPr="0047058F">
              <w:rPr>
                <w:rFonts w:eastAsia="Times New Roman" w:cs="Arial"/>
              </w:rPr>
              <w:t>1.34 (0.99–1.81)</w:t>
            </w:r>
          </w:p>
        </w:tc>
        <w:tc>
          <w:tcPr>
            <w:tcW w:w="535" w:type="pct"/>
            <w:tcBorders>
              <w:top w:val="single" w:sz="4" w:space="0" w:color="000000"/>
            </w:tcBorders>
          </w:tcPr>
          <w:p w14:paraId="236EDA56" w14:textId="77777777" w:rsidR="00A340EE" w:rsidRPr="0047058F" w:rsidRDefault="00A340EE" w:rsidP="001E395F">
            <w:pPr>
              <w:pStyle w:val="TableText"/>
              <w:jc w:val="right"/>
            </w:pPr>
            <w:r w:rsidRPr="0047058F">
              <w:rPr>
                <w:rFonts w:eastAsia="Times New Roman" w:cs="Arial"/>
              </w:rPr>
              <w:t>1.29 (1.04–1.59)</w:t>
            </w:r>
          </w:p>
        </w:tc>
      </w:tr>
      <w:tr w:rsidR="001E395F" w:rsidRPr="0047058F" w14:paraId="2B04CB17" w14:textId="77777777" w:rsidTr="005632DC">
        <w:tc>
          <w:tcPr>
            <w:tcW w:w="552" w:type="pct"/>
          </w:tcPr>
          <w:p w14:paraId="11DDA80D" w14:textId="77777777" w:rsidR="00A340EE" w:rsidRPr="0047058F" w:rsidRDefault="00A340EE" w:rsidP="001E395F">
            <w:pPr>
              <w:pStyle w:val="TableText"/>
              <w:rPr>
                <w:rFonts w:cs="Calibri"/>
                <w:szCs w:val="14"/>
              </w:rPr>
            </w:pPr>
            <w:r w:rsidRPr="0047058F">
              <w:rPr>
                <w:rFonts w:cs="Calibri"/>
                <w:szCs w:val="14"/>
              </w:rPr>
              <w:t>Affective disorder</w:t>
            </w:r>
          </w:p>
        </w:tc>
        <w:tc>
          <w:tcPr>
            <w:tcW w:w="237" w:type="pct"/>
          </w:tcPr>
          <w:p w14:paraId="7F84A282" w14:textId="77777777" w:rsidR="00A340EE" w:rsidRPr="0047058F" w:rsidRDefault="00A340EE" w:rsidP="001E395F">
            <w:pPr>
              <w:pStyle w:val="TableText"/>
              <w:jc w:val="right"/>
              <w:rPr>
                <w:rFonts w:eastAsia="Times New Roman" w:cs="Arial"/>
              </w:rPr>
            </w:pPr>
            <w:r w:rsidRPr="0047058F">
              <w:rPr>
                <w:rFonts w:eastAsia="Times New Roman"/>
              </w:rPr>
              <w:t>55</w:t>
            </w:r>
          </w:p>
        </w:tc>
        <w:tc>
          <w:tcPr>
            <w:tcW w:w="237" w:type="pct"/>
          </w:tcPr>
          <w:p w14:paraId="1E5B4060" w14:textId="77777777" w:rsidR="00A340EE" w:rsidRPr="0047058F" w:rsidRDefault="00A340EE" w:rsidP="001E395F">
            <w:pPr>
              <w:pStyle w:val="TableText"/>
              <w:jc w:val="right"/>
              <w:rPr>
                <w:rFonts w:eastAsia="Times New Roman" w:cs="Arial"/>
              </w:rPr>
            </w:pPr>
            <w:r w:rsidRPr="0047058F">
              <w:rPr>
                <w:rFonts w:eastAsia="Times New Roman"/>
              </w:rPr>
              <w:t>21.1</w:t>
            </w:r>
          </w:p>
        </w:tc>
        <w:tc>
          <w:tcPr>
            <w:tcW w:w="237" w:type="pct"/>
          </w:tcPr>
          <w:p w14:paraId="2DC17320" w14:textId="77777777" w:rsidR="00A340EE" w:rsidRPr="0047058F" w:rsidRDefault="00A340EE" w:rsidP="001E395F">
            <w:pPr>
              <w:pStyle w:val="TableText"/>
              <w:jc w:val="right"/>
              <w:rPr>
                <w:rFonts w:eastAsia="Times New Roman" w:cs="Arial"/>
              </w:rPr>
            </w:pPr>
            <w:r w:rsidRPr="0047058F">
              <w:rPr>
                <w:rFonts w:eastAsia="Times New Roman"/>
              </w:rPr>
              <w:t>95</w:t>
            </w:r>
          </w:p>
        </w:tc>
        <w:tc>
          <w:tcPr>
            <w:tcW w:w="237" w:type="pct"/>
          </w:tcPr>
          <w:p w14:paraId="716A5AB4" w14:textId="77777777" w:rsidR="00A340EE" w:rsidRPr="0047058F" w:rsidRDefault="00A340EE" w:rsidP="001E395F">
            <w:pPr>
              <w:pStyle w:val="TableText"/>
              <w:jc w:val="right"/>
              <w:rPr>
                <w:rFonts w:eastAsia="Times New Roman" w:cs="Arial"/>
              </w:rPr>
            </w:pPr>
            <w:r w:rsidRPr="0047058F">
              <w:rPr>
                <w:rFonts w:eastAsia="Times New Roman"/>
              </w:rPr>
              <w:t>17.0</w:t>
            </w:r>
          </w:p>
        </w:tc>
        <w:tc>
          <w:tcPr>
            <w:tcW w:w="237" w:type="pct"/>
          </w:tcPr>
          <w:p w14:paraId="1826A18E" w14:textId="77777777" w:rsidR="00A340EE" w:rsidRPr="0047058F" w:rsidRDefault="00A340EE" w:rsidP="001E395F">
            <w:pPr>
              <w:pStyle w:val="TableText"/>
              <w:jc w:val="right"/>
            </w:pPr>
            <w:r w:rsidRPr="0047058F">
              <w:rPr>
                <w:rFonts w:eastAsia="Times New Roman"/>
              </w:rPr>
              <w:t>150</w:t>
            </w:r>
          </w:p>
        </w:tc>
        <w:tc>
          <w:tcPr>
            <w:tcW w:w="237" w:type="pct"/>
          </w:tcPr>
          <w:p w14:paraId="1D10894C" w14:textId="77777777" w:rsidR="00A340EE" w:rsidRPr="0047058F" w:rsidRDefault="00A340EE" w:rsidP="001E395F">
            <w:pPr>
              <w:pStyle w:val="TableText"/>
              <w:jc w:val="right"/>
            </w:pPr>
            <w:r w:rsidRPr="0047058F">
              <w:rPr>
                <w:rFonts w:eastAsia="Times New Roman"/>
              </w:rPr>
              <w:t>18.3</w:t>
            </w:r>
          </w:p>
        </w:tc>
        <w:tc>
          <w:tcPr>
            <w:tcW w:w="237" w:type="pct"/>
          </w:tcPr>
          <w:p w14:paraId="1E6FF1BE" w14:textId="77777777" w:rsidR="00A340EE" w:rsidRPr="0047058F" w:rsidRDefault="00A340EE" w:rsidP="001E395F">
            <w:pPr>
              <w:pStyle w:val="TableText"/>
              <w:jc w:val="right"/>
            </w:pPr>
            <w:r w:rsidRPr="0047058F">
              <w:rPr>
                <w:rFonts w:eastAsia="Times New Roman"/>
              </w:rPr>
              <w:t>61</w:t>
            </w:r>
          </w:p>
        </w:tc>
        <w:tc>
          <w:tcPr>
            <w:tcW w:w="237" w:type="pct"/>
          </w:tcPr>
          <w:p w14:paraId="4799C44A" w14:textId="77777777" w:rsidR="00A340EE" w:rsidRPr="0047058F" w:rsidRDefault="00A340EE" w:rsidP="001E395F">
            <w:pPr>
              <w:pStyle w:val="TableText"/>
              <w:jc w:val="right"/>
            </w:pPr>
            <w:r w:rsidRPr="0047058F">
              <w:rPr>
                <w:rFonts w:eastAsia="Times New Roman"/>
              </w:rPr>
              <w:t>23.4</w:t>
            </w:r>
          </w:p>
        </w:tc>
        <w:tc>
          <w:tcPr>
            <w:tcW w:w="237" w:type="pct"/>
          </w:tcPr>
          <w:p w14:paraId="710C228C" w14:textId="77777777" w:rsidR="00A340EE" w:rsidRPr="0047058F" w:rsidRDefault="00A340EE" w:rsidP="001E395F">
            <w:pPr>
              <w:pStyle w:val="TableText"/>
              <w:jc w:val="right"/>
            </w:pPr>
            <w:r w:rsidRPr="0047058F">
              <w:rPr>
                <w:rFonts w:eastAsia="Times New Roman"/>
              </w:rPr>
              <w:t>112</w:t>
            </w:r>
          </w:p>
        </w:tc>
        <w:tc>
          <w:tcPr>
            <w:tcW w:w="237" w:type="pct"/>
          </w:tcPr>
          <w:p w14:paraId="799642A0" w14:textId="77777777" w:rsidR="00A340EE" w:rsidRPr="0047058F" w:rsidRDefault="00A340EE" w:rsidP="001E395F">
            <w:pPr>
              <w:pStyle w:val="TableText"/>
              <w:jc w:val="right"/>
            </w:pPr>
            <w:r w:rsidRPr="0047058F">
              <w:rPr>
                <w:rFonts w:eastAsia="Times New Roman"/>
              </w:rPr>
              <w:t>20.0</w:t>
            </w:r>
          </w:p>
        </w:tc>
        <w:tc>
          <w:tcPr>
            <w:tcW w:w="237" w:type="pct"/>
          </w:tcPr>
          <w:p w14:paraId="1486F860" w14:textId="77777777" w:rsidR="00A340EE" w:rsidRPr="0047058F" w:rsidRDefault="00A340EE" w:rsidP="001E395F">
            <w:pPr>
              <w:pStyle w:val="TableText"/>
              <w:jc w:val="right"/>
            </w:pPr>
            <w:r w:rsidRPr="0047058F">
              <w:rPr>
                <w:rFonts w:eastAsia="Times New Roman"/>
              </w:rPr>
              <w:t>173</w:t>
            </w:r>
          </w:p>
        </w:tc>
        <w:tc>
          <w:tcPr>
            <w:tcW w:w="237" w:type="pct"/>
          </w:tcPr>
          <w:p w14:paraId="18F34548" w14:textId="77777777" w:rsidR="00A340EE" w:rsidRPr="0047058F" w:rsidRDefault="00A340EE" w:rsidP="001E395F">
            <w:pPr>
              <w:pStyle w:val="TableText"/>
              <w:jc w:val="right"/>
            </w:pPr>
            <w:r w:rsidRPr="0047058F">
              <w:rPr>
                <w:rFonts w:eastAsia="Times New Roman"/>
              </w:rPr>
              <w:t>21.1</w:t>
            </w:r>
          </w:p>
        </w:tc>
        <w:tc>
          <w:tcPr>
            <w:tcW w:w="534" w:type="pct"/>
          </w:tcPr>
          <w:p w14:paraId="47B59CCB" w14:textId="77777777" w:rsidR="00A340EE" w:rsidRPr="0047058F" w:rsidRDefault="00A340EE" w:rsidP="001E395F">
            <w:pPr>
              <w:pStyle w:val="TableText"/>
              <w:jc w:val="right"/>
            </w:pPr>
            <w:r w:rsidRPr="0047058F">
              <w:rPr>
                <w:rFonts w:eastAsia="Times New Roman" w:cs="Arial"/>
              </w:rPr>
              <w:t>1.30 (0.90–1.89)</w:t>
            </w:r>
          </w:p>
        </w:tc>
        <w:tc>
          <w:tcPr>
            <w:tcW w:w="535" w:type="pct"/>
          </w:tcPr>
          <w:p w14:paraId="1D4CF615" w14:textId="77777777" w:rsidR="00A340EE" w:rsidRPr="0047058F" w:rsidRDefault="00A340EE" w:rsidP="001E395F">
            <w:pPr>
              <w:pStyle w:val="TableText"/>
              <w:jc w:val="right"/>
            </w:pPr>
            <w:r w:rsidRPr="0047058F">
              <w:rPr>
                <w:rFonts w:eastAsia="Times New Roman" w:cs="Arial"/>
              </w:rPr>
              <w:t>1.22 (0.85–1.73)</w:t>
            </w:r>
          </w:p>
        </w:tc>
        <w:tc>
          <w:tcPr>
            <w:tcW w:w="535" w:type="pct"/>
          </w:tcPr>
          <w:p w14:paraId="2C895168" w14:textId="77777777" w:rsidR="00A340EE" w:rsidRPr="0047058F" w:rsidRDefault="00A340EE" w:rsidP="001E395F">
            <w:pPr>
              <w:pStyle w:val="TableText"/>
              <w:jc w:val="right"/>
            </w:pPr>
            <w:r w:rsidRPr="0047058F">
              <w:rPr>
                <w:rFonts w:eastAsia="Times New Roman" w:cs="Arial"/>
              </w:rPr>
              <w:t>1.20 (0.94–1.54)</w:t>
            </w:r>
          </w:p>
        </w:tc>
      </w:tr>
      <w:tr w:rsidR="001E395F" w:rsidRPr="0047058F" w14:paraId="6A85E595" w14:textId="77777777" w:rsidTr="005632DC">
        <w:trPr>
          <w:cnfStyle w:val="000000100000" w:firstRow="0" w:lastRow="0" w:firstColumn="0" w:lastColumn="0" w:oddVBand="0" w:evenVBand="0" w:oddHBand="1" w:evenHBand="0" w:firstRowFirstColumn="0" w:firstRowLastColumn="0" w:lastRowFirstColumn="0" w:lastRowLastColumn="0"/>
        </w:trPr>
        <w:tc>
          <w:tcPr>
            <w:tcW w:w="552" w:type="pct"/>
          </w:tcPr>
          <w:p w14:paraId="71EFEFB1" w14:textId="77777777" w:rsidR="00A340EE" w:rsidRPr="0047058F" w:rsidRDefault="00A340EE" w:rsidP="001E395F">
            <w:pPr>
              <w:pStyle w:val="TableText"/>
              <w:rPr>
                <w:rFonts w:cs="Calibri"/>
                <w:szCs w:val="14"/>
              </w:rPr>
            </w:pPr>
            <w:r w:rsidRPr="0047058F">
              <w:rPr>
                <w:rFonts w:cs="Calibri"/>
                <w:szCs w:val="14"/>
              </w:rPr>
              <w:t>Alcohol disorder</w:t>
            </w:r>
          </w:p>
        </w:tc>
        <w:tc>
          <w:tcPr>
            <w:tcW w:w="237" w:type="pct"/>
          </w:tcPr>
          <w:p w14:paraId="1CCB5E4D" w14:textId="77777777" w:rsidR="00A340EE" w:rsidRPr="0047058F" w:rsidRDefault="00A340EE" w:rsidP="001E395F">
            <w:pPr>
              <w:pStyle w:val="TableText"/>
              <w:jc w:val="right"/>
              <w:rPr>
                <w:rFonts w:eastAsia="Times New Roman" w:cs="Arial"/>
              </w:rPr>
            </w:pPr>
            <w:r w:rsidRPr="0047058F">
              <w:rPr>
                <w:rFonts w:eastAsia="Times New Roman"/>
              </w:rPr>
              <w:t>20</w:t>
            </w:r>
          </w:p>
        </w:tc>
        <w:tc>
          <w:tcPr>
            <w:tcW w:w="237" w:type="pct"/>
          </w:tcPr>
          <w:p w14:paraId="40ED7355" w14:textId="77777777" w:rsidR="00A340EE" w:rsidRPr="0047058F" w:rsidRDefault="00A340EE" w:rsidP="001E395F">
            <w:pPr>
              <w:pStyle w:val="TableText"/>
              <w:jc w:val="right"/>
              <w:rPr>
                <w:rFonts w:eastAsia="Times New Roman" w:cs="Arial"/>
              </w:rPr>
            </w:pPr>
            <w:r w:rsidRPr="0047058F">
              <w:rPr>
                <w:rFonts w:eastAsia="Times New Roman"/>
              </w:rPr>
              <w:t>7.7</w:t>
            </w:r>
          </w:p>
        </w:tc>
        <w:tc>
          <w:tcPr>
            <w:tcW w:w="237" w:type="pct"/>
          </w:tcPr>
          <w:p w14:paraId="706E6908" w14:textId="77777777" w:rsidR="00A340EE" w:rsidRPr="0047058F" w:rsidRDefault="00A340EE" w:rsidP="001E395F">
            <w:pPr>
              <w:pStyle w:val="TableText"/>
              <w:jc w:val="right"/>
              <w:rPr>
                <w:rFonts w:eastAsia="Times New Roman" w:cs="Arial"/>
              </w:rPr>
            </w:pPr>
            <w:r w:rsidRPr="0047058F">
              <w:rPr>
                <w:rFonts w:eastAsia="Times New Roman"/>
              </w:rPr>
              <w:t>33</w:t>
            </w:r>
          </w:p>
        </w:tc>
        <w:tc>
          <w:tcPr>
            <w:tcW w:w="237" w:type="pct"/>
          </w:tcPr>
          <w:p w14:paraId="56C039FC" w14:textId="77777777" w:rsidR="00A340EE" w:rsidRPr="0047058F" w:rsidRDefault="00A340EE" w:rsidP="001E395F">
            <w:pPr>
              <w:pStyle w:val="TableText"/>
              <w:jc w:val="right"/>
              <w:rPr>
                <w:rFonts w:eastAsia="Times New Roman" w:cs="Arial"/>
              </w:rPr>
            </w:pPr>
            <w:r w:rsidRPr="0047058F">
              <w:rPr>
                <w:rFonts w:eastAsia="Times New Roman"/>
              </w:rPr>
              <w:t>5.9</w:t>
            </w:r>
          </w:p>
        </w:tc>
        <w:tc>
          <w:tcPr>
            <w:tcW w:w="237" w:type="pct"/>
          </w:tcPr>
          <w:p w14:paraId="277D6FE9" w14:textId="77777777" w:rsidR="00A340EE" w:rsidRPr="0047058F" w:rsidRDefault="00A340EE" w:rsidP="001E395F">
            <w:pPr>
              <w:pStyle w:val="TableText"/>
              <w:jc w:val="right"/>
            </w:pPr>
            <w:r w:rsidRPr="0047058F">
              <w:rPr>
                <w:rFonts w:eastAsia="Times New Roman"/>
              </w:rPr>
              <w:t>53</w:t>
            </w:r>
          </w:p>
        </w:tc>
        <w:tc>
          <w:tcPr>
            <w:tcW w:w="237" w:type="pct"/>
          </w:tcPr>
          <w:p w14:paraId="123AFEAF" w14:textId="77777777" w:rsidR="00A340EE" w:rsidRPr="0047058F" w:rsidRDefault="00A340EE" w:rsidP="001E395F">
            <w:pPr>
              <w:pStyle w:val="TableText"/>
              <w:jc w:val="right"/>
            </w:pPr>
            <w:r w:rsidRPr="0047058F">
              <w:rPr>
                <w:rFonts w:eastAsia="Times New Roman"/>
              </w:rPr>
              <w:t>6.5</w:t>
            </w:r>
          </w:p>
        </w:tc>
        <w:tc>
          <w:tcPr>
            <w:tcW w:w="237" w:type="pct"/>
          </w:tcPr>
          <w:p w14:paraId="7C494C86" w14:textId="77777777" w:rsidR="00A340EE" w:rsidRPr="0047058F" w:rsidRDefault="00A340EE" w:rsidP="001E395F">
            <w:pPr>
              <w:pStyle w:val="TableText"/>
              <w:jc w:val="right"/>
            </w:pPr>
            <w:r w:rsidRPr="0047058F">
              <w:rPr>
                <w:rFonts w:eastAsia="Times New Roman"/>
              </w:rPr>
              <w:t>24</w:t>
            </w:r>
          </w:p>
        </w:tc>
        <w:tc>
          <w:tcPr>
            <w:tcW w:w="237" w:type="pct"/>
          </w:tcPr>
          <w:p w14:paraId="23099F6D" w14:textId="77777777" w:rsidR="00A340EE" w:rsidRPr="0047058F" w:rsidRDefault="00A340EE" w:rsidP="001E395F">
            <w:pPr>
              <w:pStyle w:val="TableText"/>
              <w:jc w:val="right"/>
            </w:pPr>
            <w:r w:rsidRPr="0047058F">
              <w:rPr>
                <w:rFonts w:eastAsia="Times New Roman"/>
              </w:rPr>
              <w:t>9.2</w:t>
            </w:r>
          </w:p>
        </w:tc>
        <w:tc>
          <w:tcPr>
            <w:tcW w:w="237" w:type="pct"/>
          </w:tcPr>
          <w:p w14:paraId="4335DE0E" w14:textId="77777777" w:rsidR="00A340EE" w:rsidRPr="0047058F" w:rsidRDefault="00A340EE" w:rsidP="001E395F">
            <w:pPr>
              <w:pStyle w:val="TableText"/>
              <w:jc w:val="right"/>
            </w:pPr>
            <w:r w:rsidRPr="0047058F">
              <w:rPr>
                <w:rFonts w:eastAsia="Times New Roman"/>
              </w:rPr>
              <w:t>28</w:t>
            </w:r>
          </w:p>
        </w:tc>
        <w:tc>
          <w:tcPr>
            <w:tcW w:w="237" w:type="pct"/>
          </w:tcPr>
          <w:p w14:paraId="0494A78A" w14:textId="77777777" w:rsidR="00A340EE" w:rsidRPr="0047058F" w:rsidRDefault="00A340EE" w:rsidP="001E395F">
            <w:pPr>
              <w:pStyle w:val="TableText"/>
              <w:jc w:val="right"/>
            </w:pPr>
            <w:r w:rsidRPr="0047058F">
              <w:rPr>
                <w:rFonts w:eastAsia="Times New Roman"/>
              </w:rPr>
              <w:t>5.0</w:t>
            </w:r>
          </w:p>
        </w:tc>
        <w:tc>
          <w:tcPr>
            <w:tcW w:w="237" w:type="pct"/>
          </w:tcPr>
          <w:p w14:paraId="55EC148D" w14:textId="77777777" w:rsidR="00A340EE" w:rsidRPr="0047058F" w:rsidRDefault="00A340EE" w:rsidP="001E395F">
            <w:pPr>
              <w:pStyle w:val="TableText"/>
              <w:jc w:val="right"/>
            </w:pPr>
            <w:r w:rsidRPr="0047058F">
              <w:rPr>
                <w:rFonts w:eastAsia="Times New Roman"/>
              </w:rPr>
              <w:t>52</w:t>
            </w:r>
          </w:p>
        </w:tc>
        <w:tc>
          <w:tcPr>
            <w:tcW w:w="237" w:type="pct"/>
          </w:tcPr>
          <w:p w14:paraId="5CDD40A2" w14:textId="77777777" w:rsidR="00A340EE" w:rsidRPr="0047058F" w:rsidRDefault="00A340EE" w:rsidP="001E395F">
            <w:pPr>
              <w:pStyle w:val="TableText"/>
              <w:jc w:val="right"/>
            </w:pPr>
            <w:r w:rsidRPr="0047058F">
              <w:rPr>
                <w:rFonts w:eastAsia="Times New Roman"/>
              </w:rPr>
              <w:t>6.3</w:t>
            </w:r>
          </w:p>
        </w:tc>
        <w:tc>
          <w:tcPr>
            <w:tcW w:w="534" w:type="pct"/>
          </w:tcPr>
          <w:p w14:paraId="2F0577C5" w14:textId="77777777" w:rsidR="00A340EE" w:rsidRPr="0047058F" w:rsidRDefault="00A340EE" w:rsidP="001E395F">
            <w:pPr>
              <w:pStyle w:val="TableText"/>
              <w:jc w:val="right"/>
            </w:pPr>
            <w:r w:rsidRPr="0047058F">
              <w:rPr>
                <w:rFonts w:eastAsia="Times New Roman" w:cs="Arial"/>
              </w:rPr>
              <w:t>1.32 (0.74–2.35)</w:t>
            </w:r>
          </w:p>
        </w:tc>
        <w:tc>
          <w:tcPr>
            <w:tcW w:w="535" w:type="pct"/>
          </w:tcPr>
          <w:p w14:paraId="7FD09023" w14:textId="77777777" w:rsidR="00A340EE" w:rsidRPr="0047058F" w:rsidRDefault="00A340EE" w:rsidP="001E395F">
            <w:pPr>
              <w:pStyle w:val="TableText"/>
              <w:jc w:val="right"/>
            </w:pPr>
            <w:r w:rsidRPr="0047058F">
              <w:rPr>
                <w:rFonts w:eastAsia="Times New Roman" w:cs="Arial"/>
              </w:rPr>
              <w:t>1.92 (1.09–3.38)</w:t>
            </w:r>
          </w:p>
        </w:tc>
        <w:tc>
          <w:tcPr>
            <w:tcW w:w="535" w:type="pct"/>
          </w:tcPr>
          <w:p w14:paraId="7F368B2B" w14:textId="77777777" w:rsidR="00A340EE" w:rsidRPr="0047058F" w:rsidRDefault="00A340EE" w:rsidP="001E395F">
            <w:pPr>
              <w:pStyle w:val="TableText"/>
              <w:jc w:val="right"/>
            </w:pPr>
            <w:r w:rsidRPr="0047058F">
              <w:rPr>
                <w:rFonts w:eastAsia="Times New Roman" w:cs="Arial"/>
              </w:rPr>
              <w:t>0.98 (0.66–1.46)</w:t>
            </w:r>
          </w:p>
        </w:tc>
      </w:tr>
      <w:tr w:rsidR="001E395F" w:rsidRPr="0047058F" w14:paraId="0FB370DF" w14:textId="77777777" w:rsidTr="005632DC">
        <w:tc>
          <w:tcPr>
            <w:tcW w:w="552" w:type="pct"/>
          </w:tcPr>
          <w:p w14:paraId="2DC573CD" w14:textId="77777777" w:rsidR="00A340EE" w:rsidRPr="0047058F" w:rsidRDefault="00A340EE" w:rsidP="001E395F">
            <w:pPr>
              <w:pStyle w:val="TableText"/>
              <w:rPr>
                <w:rFonts w:cs="Calibri"/>
                <w:szCs w:val="14"/>
              </w:rPr>
            </w:pPr>
            <w:r w:rsidRPr="0047058F">
              <w:rPr>
                <w:rFonts w:cs="Calibri"/>
                <w:szCs w:val="14"/>
              </w:rPr>
              <w:t>PTSD</w:t>
            </w:r>
          </w:p>
        </w:tc>
        <w:tc>
          <w:tcPr>
            <w:tcW w:w="237" w:type="pct"/>
          </w:tcPr>
          <w:p w14:paraId="0AF83DD1" w14:textId="77777777" w:rsidR="00A340EE" w:rsidRPr="0047058F" w:rsidRDefault="00A340EE" w:rsidP="001E395F">
            <w:pPr>
              <w:pStyle w:val="TableText"/>
              <w:jc w:val="right"/>
              <w:rPr>
                <w:rFonts w:eastAsia="Times New Roman" w:cs="Arial"/>
              </w:rPr>
            </w:pPr>
            <w:r w:rsidRPr="0047058F">
              <w:rPr>
                <w:rFonts w:eastAsia="Times New Roman"/>
              </w:rPr>
              <w:t>51</w:t>
            </w:r>
          </w:p>
        </w:tc>
        <w:tc>
          <w:tcPr>
            <w:tcW w:w="237" w:type="pct"/>
          </w:tcPr>
          <w:p w14:paraId="70683332" w14:textId="77777777" w:rsidR="00A340EE" w:rsidRPr="0047058F" w:rsidRDefault="00A340EE" w:rsidP="001E395F">
            <w:pPr>
              <w:pStyle w:val="TableText"/>
              <w:jc w:val="right"/>
              <w:rPr>
                <w:rFonts w:eastAsia="Times New Roman" w:cs="Arial"/>
              </w:rPr>
            </w:pPr>
            <w:r w:rsidRPr="0047058F">
              <w:rPr>
                <w:rFonts w:eastAsia="Times New Roman"/>
              </w:rPr>
              <w:t>19.5</w:t>
            </w:r>
          </w:p>
        </w:tc>
        <w:tc>
          <w:tcPr>
            <w:tcW w:w="237" w:type="pct"/>
          </w:tcPr>
          <w:p w14:paraId="6880EED0" w14:textId="77777777" w:rsidR="00A340EE" w:rsidRPr="0047058F" w:rsidRDefault="00A340EE" w:rsidP="001E395F">
            <w:pPr>
              <w:pStyle w:val="TableText"/>
              <w:jc w:val="right"/>
              <w:rPr>
                <w:rFonts w:eastAsia="Times New Roman" w:cs="Arial"/>
              </w:rPr>
            </w:pPr>
            <w:r w:rsidRPr="0047058F">
              <w:rPr>
                <w:rFonts w:eastAsia="Times New Roman"/>
              </w:rPr>
              <w:t>59</w:t>
            </w:r>
          </w:p>
        </w:tc>
        <w:tc>
          <w:tcPr>
            <w:tcW w:w="237" w:type="pct"/>
          </w:tcPr>
          <w:p w14:paraId="35567FE6" w14:textId="77777777" w:rsidR="00A340EE" w:rsidRPr="0047058F" w:rsidRDefault="00A340EE" w:rsidP="001E395F">
            <w:pPr>
              <w:pStyle w:val="TableText"/>
              <w:jc w:val="right"/>
              <w:rPr>
                <w:rFonts w:eastAsia="Times New Roman" w:cs="Arial"/>
              </w:rPr>
            </w:pPr>
            <w:r w:rsidRPr="0047058F">
              <w:rPr>
                <w:rFonts w:eastAsia="Times New Roman"/>
              </w:rPr>
              <w:t>10.6</w:t>
            </w:r>
          </w:p>
        </w:tc>
        <w:tc>
          <w:tcPr>
            <w:tcW w:w="237" w:type="pct"/>
          </w:tcPr>
          <w:p w14:paraId="52756854" w14:textId="77777777" w:rsidR="00A340EE" w:rsidRPr="0047058F" w:rsidRDefault="00A340EE" w:rsidP="001E395F">
            <w:pPr>
              <w:pStyle w:val="TableText"/>
              <w:jc w:val="right"/>
            </w:pPr>
            <w:r w:rsidRPr="0047058F">
              <w:rPr>
                <w:rFonts w:eastAsia="Times New Roman"/>
              </w:rPr>
              <w:t>110</w:t>
            </w:r>
          </w:p>
        </w:tc>
        <w:tc>
          <w:tcPr>
            <w:tcW w:w="237" w:type="pct"/>
          </w:tcPr>
          <w:p w14:paraId="7D304D2E" w14:textId="77777777" w:rsidR="00A340EE" w:rsidRPr="0047058F" w:rsidRDefault="00A340EE" w:rsidP="001E395F">
            <w:pPr>
              <w:pStyle w:val="TableText"/>
              <w:jc w:val="right"/>
            </w:pPr>
            <w:r w:rsidRPr="0047058F">
              <w:rPr>
                <w:rFonts w:eastAsia="Times New Roman"/>
              </w:rPr>
              <w:t>13.4</w:t>
            </w:r>
          </w:p>
        </w:tc>
        <w:tc>
          <w:tcPr>
            <w:tcW w:w="237" w:type="pct"/>
          </w:tcPr>
          <w:p w14:paraId="410DE8C7" w14:textId="77777777" w:rsidR="00A340EE" w:rsidRPr="0047058F" w:rsidRDefault="00A340EE" w:rsidP="001E395F">
            <w:pPr>
              <w:pStyle w:val="TableText"/>
              <w:jc w:val="right"/>
            </w:pPr>
            <w:r w:rsidRPr="0047058F">
              <w:rPr>
                <w:rFonts w:eastAsia="Times New Roman"/>
              </w:rPr>
              <w:t>64</w:t>
            </w:r>
          </w:p>
        </w:tc>
        <w:tc>
          <w:tcPr>
            <w:tcW w:w="237" w:type="pct"/>
          </w:tcPr>
          <w:p w14:paraId="4DA7F8ED" w14:textId="77777777" w:rsidR="00A340EE" w:rsidRPr="0047058F" w:rsidRDefault="00A340EE" w:rsidP="001E395F">
            <w:pPr>
              <w:pStyle w:val="TableText"/>
              <w:jc w:val="right"/>
            </w:pPr>
            <w:r w:rsidRPr="0047058F">
              <w:rPr>
                <w:rFonts w:eastAsia="Times New Roman"/>
              </w:rPr>
              <w:t>24.5</w:t>
            </w:r>
          </w:p>
        </w:tc>
        <w:tc>
          <w:tcPr>
            <w:tcW w:w="237" w:type="pct"/>
          </w:tcPr>
          <w:p w14:paraId="400585BF" w14:textId="77777777" w:rsidR="00A340EE" w:rsidRPr="0047058F" w:rsidRDefault="00A340EE" w:rsidP="001E395F">
            <w:pPr>
              <w:pStyle w:val="TableText"/>
              <w:jc w:val="right"/>
            </w:pPr>
            <w:r w:rsidRPr="0047058F">
              <w:rPr>
                <w:rFonts w:eastAsia="Times New Roman"/>
              </w:rPr>
              <w:t>73</w:t>
            </w:r>
          </w:p>
        </w:tc>
        <w:tc>
          <w:tcPr>
            <w:tcW w:w="237" w:type="pct"/>
          </w:tcPr>
          <w:p w14:paraId="2EE8CE93" w14:textId="77777777" w:rsidR="00A340EE" w:rsidRPr="0047058F" w:rsidRDefault="00A340EE" w:rsidP="001E395F">
            <w:pPr>
              <w:pStyle w:val="TableText"/>
              <w:jc w:val="right"/>
            </w:pPr>
            <w:r w:rsidRPr="0047058F">
              <w:rPr>
                <w:rFonts w:eastAsia="Times New Roman"/>
              </w:rPr>
              <w:t>13.1</w:t>
            </w:r>
          </w:p>
        </w:tc>
        <w:tc>
          <w:tcPr>
            <w:tcW w:w="237" w:type="pct"/>
          </w:tcPr>
          <w:p w14:paraId="34499D3E" w14:textId="77777777" w:rsidR="00A340EE" w:rsidRPr="0047058F" w:rsidRDefault="00A340EE" w:rsidP="001E395F">
            <w:pPr>
              <w:pStyle w:val="TableText"/>
              <w:jc w:val="right"/>
            </w:pPr>
            <w:r w:rsidRPr="0047058F">
              <w:rPr>
                <w:rFonts w:eastAsia="Times New Roman"/>
              </w:rPr>
              <w:t>137</w:t>
            </w:r>
          </w:p>
        </w:tc>
        <w:tc>
          <w:tcPr>
            <w:tcW w:w="237" w:type="pct"/>
          </w:tcPr>
          <w:p w14:paraId="07222413" w14:textId="77777777" w:rsidR="00A340EE" w:rsidRPr="0047058F" w:rsidRDefault="00A340EE" w:rsidP="001E395F">
            <w:pPr>
              <w:pStyle w:val="TableText"/>
              <w:jc w:val="right"/>
            </w:pPr>
            <w:r w:rsidRPr="0047058F">
              <w:rPr>
                <w:rFonts w:eastAsia="Times New Roman"/>
              </w:rPr>
              <w:t>16.7</w:t>
            </w:r>
          </w:p>
        </w:tc>
        <w:tc>
          <w:tcPr>
            <w:tcW w:w="534" w:type="pct"/>
          </w:tcPr>
          <w:p w14:paraId="43CEAA7E" w14:textId="77777777" w:rsidR="00A340EE" w:rsidRPr="0047058F" w:rsidRDefault="00A340EE" w:rsidP="001E395F">
            <w:pPr>
              <w:pStyle w:val="TableText"/>
              <w:jc w:val="right"/>
            </w:pPr>
            <w:r w:rsidRPr="0047058F">
              <w:rPr>
                <w:rFonts w:eastAsia="Times New Roman" w:cs="Arial"/>
              </w:rPr>
              <w:t>2.06 (1.37–3.09)</w:t>
            </w:r>
          </w:p>
        </w:tc>
        <w:tc>
          <w:tcPr>
            <w:tcW w:w="535" w:type="pct"/>
          </w:tcPr>
          <w:p w14:paraId="6A6F8973" w14:textId="77777777" w:rsidR="00A340EE" w:rsidRPr="0047058F" w:rsidRDefault="00A340EE" w:rsidP="001E395F">
            <w:pPr>
              <w:pStyle w:val="TableText"/>
              <w:jc w:val="right"/>
            </w:pPr>
            <w:r w:rsidRPr="0047058F">
              <w:rPr>
                <w:rFonts w:eastAsia="Times New Roman" w:cs="Arial"/>
              </w:rPr>
              <w:t>2.16 (1.49–3.14)</w:t>
            </w:r>
          </w:p>
        </w:tc>
        <w:tc>
          <w:tcPr>
            <w:tcW w:w="535" w:type="pct"/>
          </w:tcPr>
          <w:p w14:paraId="53F8ED46" w14:textId="77777777" w:rsidR="00A340EE" w:rsidRPr="0047058F" w:rsidRDefault="00A340EE" w:rsidP="001E395F">
            <w:pPr>
              <w:pStyle w:val="TableText"/>
              <w:jc w:val="right"/>
            </w:pPr>
            <w:r w:rsidRPr="0047058F">
              <w:rPr>
                <w:rFonts w:eastAsia="Times New Roman" w:cs="Arial"/>
              </w:rPr>
              <w:t>1.31 (0.99–1.73)</w:t>
            </w:r>
          </w:p>
        </w:tc>
      </w:tr>
      <w:tr w:rsidR="001E395F" w:rsidRPr="0047058F" w14:paraId="21D5A013" w14:textId="77777777" w:rsidTr="005632DC">
        <w:trPr>
          <w:cnfStyle w:val="000000100000" w:firstRow="0" w:lastRow="0" w:firstColumn="0" w:lastColumn="0" w:oddVBand="0" w:evenVBand="0" w:oddHBand="1" w:evenHBand="0" w:firstRowFirstColumn="0" w:firstRowLastColumn="0" w:lastRowFirstColumn="0" w:lastRowLastColumn="0"/>
        </w:trPr>
        <w:tc>
          <w:tcPr>
            <w:tcW w:w="552" w:type="pct"/>
          </w:tcPr>
          <w:p w14:paraId="71FDD7B3" w14:textId="77777777" w:rsidR="00A340EE" w:rsidRPr="0047058F" w:rsidRDefault="00A340EE" w:rsidP="001E395F">
            <w:pPr>
              <w:pStyle w:val="TableText"/>
              <w:rPr>
                <w:rFonts w:cs="Calibri"/>
                <w:szCs w:val="14"/>
              </w:rPr>
            </w:pPr>
            <w:r w:rsidRPr="0047058F">
              <w:rPr>
                <w:rFonts w:cs="Calibri"/>
                <w:szCs w:val="14"/>
              </w:rPr>
              <w:t>Any disorder</w:t>
            </w:r>
          </w:p>
        </w:tc>
        <w:tc>
          <w:tcPr>
            <w:tcW w:w="237" w:type="pct"/>
          </w:tcPr>
          <w:p w14:paraId="3248F32D" w14:textId="77777777" w:rsidR="00A340EE" w:rsidRPr="0047058F" w:rsidRDefault="00A340EE" w:rsidP="001E395F">
            <w:pPr>
              <w:pStyle w:val="TableText"/>
              <w:jc w:val="right"/>
              <w:rPr>
                <w:rFonts w:eastAsia="Times New Roman" w:cs="Arial"/>
              </w:rPr>
            </w:pPr>
            <w:r w:rsidRPr="0047058F">
              <w:rPr>
                <w:rFonts w:eastAsia="Times New Roman"/>
              </w:rPr>
              <w:t>126</w:t>
            </w:r>
          </w:p>
        </w:tc>
        <w:tc>
          <w:tcPr>
            <w:tcW w:w="237" w:type="pct"/>
          </w:tcPr>
          <w:p w14:paraId="33A5D6A5" w14:textId="77777777" w:rsidR="00A340EE" w:rsidRPr="0047058F" w:rsidRDefault="00A340EE" w:rsidP="001E395F">
            <w:pPr>
              <w:pStyle w:val="TableText"/>
              <w:jc w:val="right"/>
              <w:rPr>
                <w:rFonts w:eastAsia="Times New Roman" w:cs="Arial"/>
              </w:rPr>
            </w:pPr>
            <w:r w:rsidRPr="0047058F">
              <w:rPr>
                <w:rFonts w:eastAsia="Times New Roman"/>
              </w:rPr>
              <w:t>48.3</w:t>
            </w:r>
          </w:p>
        </w:tc>
        <w:tc>
          <w:tcPr>
            <w:tcW w:w="237" w:type="pct"/>
          </w:tcPr>
          <w:p w14:paraId="7C2854D9" w14:textId="77777777" w:rsidR="00A340EE" w:rsidRPr="0047058F" w:rsidRDefault="00A340EE" w:rsidP="001E395F">
            <w:pPr>
              <w:pStyle w:val="TableText"/>
              <w:jc w:val="right"/>
              <w:rPr>
                <w:rFonts w:eastAsia="Times New Roman" w:cs="Arial"/>
              </w:rPr>
            </w:pPr>
            <w:r w:rsidRPr="0047058F">
              <w:rPr>
                <w:rFonts w:eastAsia="Times New Roman"/>
              </w:rPr>
              <w:t>218</w:t>
            </w:r>
          </w:p>
        </w:tc>
        <w:tc>
          <w:tcPr>
            <w:tcW w:w="237" w:type="pct"/>
          </w:tcPr>
          <w:p w14:paraId="324C1207" w14:textId="77777777" w:rsidR="00A340EE" w:rsidRPr="0047058F" w:rsidRDefault="00A340EE" w:rsidP="001E395F">
            <w:pPr>
              <w:pStyle w:val="TableText"/>
              <w:jc w:val="right"/>
              <w:rPr>
                <w:rFonts w:eastAsia="Times New Roman" w:cs="Arial"/>
              </w:rPr>
            </w:pPr>
            <w:r w:rsidRPr="0047058F">
              <w:rPr>
                <w:rFonts w:eastAsia="Times New Roman"/>
              </w:rPr>
              <w:t>39.0</w:t>
            </w:r>
          </w:p>
        </w:tc>
        <w:tc>
          <w:tcPr>
            <w:tcW w:w="237" w:type="pct"/>
          </w:tcPr>
          <w:p w14:paraId="2B5C6080" w14:textId="77777777" w:rsidR="00A340EE" w:rsidRPr="0047058F" w:rsidRDefault="00A340EE" w:rsidP="001E395F">
            <w:pPr>
              <w:pStyle w:val="TableText"/>
              <w:jc w:val="right"/>
            </w:pPr>
            <w:r w:rsidRPr="0047058F">
              <w:rPr>
                <w:rFonts w:eastAsia="Times New Roman"/>
              </w:rPr>
              <w:t>344</w:t>
            </w:r>
          </w:p>
        </w:tc>
        <w:tc>
          <w:tcPr>
            <w:tcW w:w="237" w:type="pct"/>
          </w:tcPr>
          <w:p w14:paraId="11EECCB2" w14:textId="77777777" w:rsidR="00A340EE" w:rsidRPr="0047058F" w:rsidRDefault="00A340EE" w:rsidP="001E395F">
            <w:pPr>
              <w:pStyle w:val="TableText"/>
              <w:jc w:val="right"/>
            </w:pPr>
            <w:r w:rsidRPr="0047058F">
              <w:rPr>
                <w:rFonts w:eastAsia="Times New Roman"/>
              </w:rPr>
              <w:t>42.0</w:t>
            </w:r>
          </w:p>
        </w:tc>
        <w:tc>
          <w:tcPr>
            <w:tcW w:w="237" w:type="pct"/>
          </w:tcPr>
          <w:p w14:paraId="112F7300" w14:textId="77777777" w:rsidR="00A340EE" w:rsidRPr="0047058F" w:rsidRDefault="00A340EE" w:rsidP="001E395F">
            <w:pPr>
              <w:pStyle w:val="TableText"/>
              <w:jc w:val="right"/>
            </w:pPr>
            <w:r w:rsidRPr="0047058F">
              <w:rPr>
                <w:rFonts w:eastAsia="Times New Roman"/>
              </w:rPr>
              <w:t>135</w:t>
            </w:r>
          </w:p>
        </w:tc>
        <w:tc>
          <w:tcPr>
            <w:tcW w:w="237" w:type="pct"/>
          </w:tcPr>
          <w:p w14:paraId="645B9287" w14:textId="77777777" w:rsidR="00A340EE" w:rsidRPr="0047058F" w:rsidRDefault="00A340EE" w:rsidP="001E395F">
            <w:pPr>
              <w:pStyle w:val="TableText"/>
              <w:jc w:val="right"/>
            </w:pPr>
            <w:r w:rsidRPr="0047058F">
              <w:rPr>
                <w:rFonts w:eastAsia="Times New Roman"/>
              </w:rPr>
              <w:t>51.7</w:t>
            </w:r>
          </w:p>
        </w:tc>
        <w:tc>
          <w:tcPr>
            <w:tcW w:w="237" w:type="pct"/>
          </w:tcPr>
          <w:p w14:paraId="2811227B" w14:textId="77777777" w:rsidR="00A340EE" w:rsidRPr="0047058F" w:rsidRDefault="00A340EE" w:rsidP="001E395F">
            <w:pPr>
              <w:pStyle w:val="TableText"/>
              <w:jc w:val="right"/>
            </w:pPr>
            <w:r w:rsidRPr="0047058F">
              <w:rPr>
                <w:rFonts w:eastAsia="Times New Roman"/>
              </w:rPr>
              <w:t>242</w:t>
            </w:r>
          </w:p>
        </w:tc>
        <w:tc>
          <w:tcPr>
            <w:tcW w:w="237" w:type="pct"/>
          </w:tcPr>
          <w:p w14:paraId="34648F91" w14:textId="77777777" w:rsidR="00A340EE" w:rsidRPr="0047058F" w:rsidRDefault="00A340EE" w:rsidP="001E395F">
            <w:pPr>
              <w:pStyle w:val="TableText"/>
              <w:jc w:val="right"/>
            </w:pPr>
            <w:r w:rsidRPr="0047058F">
              <w:rPr>
                <w:rFonts w:eastAsia="Times New Roman"/>
              </w:rPr>
              <w:t>43.3</w:t>
            </w:r>
          </w:p>
        </w:tc>
        <w:tc>
          <w:tcPr>
            <w:tcW w:w="237" w:type="pct"/>
          </w:tcPr>
          <w:p w14:paraId="10E48113" w14:textId="77777777" w:rsidR="00A340EE" w:rsidRPr="0047058F" w:rsidRDefault="00A340EE" w:rsidP="001E395F">
            <w:pPr>
              <w:pStyle w:val="TableText"/>
              <w:jc w:val="right"/>
            </w:pPr>
            <w:r w:rsidRPr="0047058F">
              <w:rPr>
                <w:rFonts w:eastAsia="Times New Roman"/>
              </w:rPr>
              <w:t>377</w:t>
            </w:r>
          </w:p>
        </w:tc>
        <w:tc>
          <w:tcPr>
            <w:tcW w:w="237" w:type="pct"/>
          </w:tcPr>
          <w:p w14:paraId="29386FC0" w14:textId="77777777" w:rsidR="00A340EE" w:rsidRPr="0047058F" w:rsidRDefault="00A340EE" w:rsidP="001E395F">
            <w:pPr>
              <w:pStyle w:val="TableText"/>
              <w:jc w:val="right"/>
            </w:pPr>
            <w:r w:rsidRPr="0047058F">
              <w:rPr>
                <w:rFonts w:eastAsia="Times New Roman"/>
              </w:rPr>
              <w:t>46.0</w:t>
            </w:r>
          </w:p>
        </w:tc>
        <w:tc>
          <w:tcPr>
            <w:tcW w:w="534" w:type="pct"/>
          </w:tcPr>
          <w:p w14:paraId="7523D4EA" w14:textId="77777777" w:rsidR="00A340EE" w:rsidRPr="0047058F" w:rsidRDefault="00A340EE" w:rsidP="001E395F">
            <w:pPr>
              <w:pStyle w:val="TableText"/>
              <w:jc w:val="right"/>
            </w:pPr>
            <w:r w:rsidRPr="0047058F">
              <w:rPr>
                <w:rFonts w:eastAsia="Times New Roman" w:cs="Arial"/>
              </w:rPr>
              <w:t>1.46 (1.09–1.96)</w:t>
            </w:r>
          </w:p>
        </w:tc>
        <w:tc>
          <w:tcPr>
            <w:tcW w:w="535" w:type="pct"/>
          </w:tcPr>
          <w:p w14:paraId="7AAC0FBD" w14:textId="77777777" w:rsidR="00A340EE" w:rsidRPr="0047058F" w:rsidRDefault="00A340EE" w:rsidP="001E395F">
            <w:pPr>
              <w:pStyle w:val="TableText"/>
              <w:jc w:val="right"/>
            </w:pPr>
            <w:r w:rsidRPr="0047058F">
              <w:rPr>
                <w:rFonts w:eastAsia="Times New Roman" w:cs="Arial"/>
              </w:rPr>
              <w:t>1.40 (1.05–1.88)</w:t>
            </w:r>
          </w:p>
        </w:tc>
        <w:tc>
          <w:tcPr>
            <w:tcW w:w="535" w:type="pct"/>
          </w:tcPr>
          <w:p w14:paraId="35E4B3E1" w14:textId="77777777" w:rsidR="00A340EE" w:rsidRPr="0047058F" w:rsidRDefault="00A340EE" w:rsidP="001E395F">
            <w:pPr>
              <w:pStyle w:val="TableText"/>
              <w:jc w:val="right"/>
            </w:pPr>
            <w:r w:rsidRPr="0047058F">
              <w:rPr>
                <w:rFonts w:eastAsia="Times New Roman" w:cs="Arial"/>
              </w:rPr>
              <w:t>1.20 (0.97–1.47)</w:t>
            </w:r>
          </w:p>
        </w:tc>
      </w:tr>
    </w:tbl>
    <w:p w14:paraId="1B6AAA82" w14:textId="77777777" w:rsidR="00A340EE" w:rsidRPr="0047058F" w:rsidRDefault="00A340EE" w:rsidP="00A340EE">
      <w:pPr>
        <w:pStyle w:val="TableNotes"/>
        <w:rPr>
          <w:rFonts w:cs="Calibri"/>
        </w:rPr>
      </w:pPr>
      <w:r w:rsidRPr="0047058F">
        <w:t>Note: A description of each of the ICD-10 disorder classes is provided in the glossary.</w:t>
      </w:r>
    </w:p>
    <w:p w14:paraId="661BFA24" w14:textId="77777777" w:rsidR="001E395F" w:rsidRPr="0047058F" w:rsidRDefault="001E395F" w:rsidP="005632DC">
      <w:bookmarkStart w:id="190" w:name="_Ref387052143"/>
      <w:bookmarkStart w:id="191" w:name="_Toc529117561"/>
    </w:p>
    <w:p w14:paraId="5A582AC4" w14:textId="77777777" w:rsidR="001E395F" w:rsidRPr="0047058F" w:rsidRDefault="001E395F" w:rsidP="005632DC">
      <w:pPr>
        <w:sectPr w:rsidR="001E395F" w:rsidRPr="0047058F" w:rsidSect="001E395F">
          <w:footerReference w:type="even" r:id="rId16"/>
          <w:footerReference w:type="default" r:id="rId17"/>
          <w:pgSz w:w="14170" w:h="9979" w:orient="landscape" w:code="243"/>
          <w:pgMar w:top="1872" w:right="1440" w:bottom="1152" w:left="1440" w:header="576" w:footer="576" w:gutter="0"/>
          <w:cols w:space="708"/>
          <w:docGrid w:linePitch="360"/>
        </w:sectPr>
      </w:pPr>
    </w:p>
    <w:p w14:paraId="036D8C6E" w14:textId="77777777" w:rsidR="00A340EE" w:rsidRPr="0047058F" w:rsidRDefault="00A340EE" w:rsidP="00A340EE">
      <w:pPr>
        <w:pStyle w:val="FigureName"/>
      </w:pPr>
      <w:bookmarkStart w:id="192" w:name="_Toc532473634"/>
      <w:r w:rsidRPr="0047058F">
        <w:t>Figure 4.1</w:t>
      </w:r>
      <w:bookmarkEnd w:id="190"/>
      <w:r w:rsidRPr="0047058F">
        <w:tab/>
        <w:t>Per cent change in rates of 12-month ICD-10 anxiety, affective and alcohol disorders between 2010 and 2015 in Transitioned ADF and 2015 Regular ADF</w:t>
      </w:r>
      <w:bookmarkEnd w:id="191"/>
      <w:bookmarkEnd w:id="192"/>
    </w:p>
    <w:p w14:paraId="1CB108AB" w14:textId="77777777" w:rsidR="00A340EE" w:rsidRPr="0047058F" w:rsidRDefault="00A340EE" w:rsidP="00EA1CF1">
      <w:pPr>
        <w:spacing w:after="360"/>
      </w:pPr>
      <w:r w:rsidRPr="0047058F">
        <w:rPr>
          <w:noProof/>
          <w:lang w:eastAsia="en-AU"/>
        </w:rPr>
        <w:drawing>
          <wp:inline distT="0" distB="0" distL="0" distR="0" wp14:anchorId="298519B1" wp14:editId="76A1E18C">
            <wp:extent cx="4572000" cy="3200400"/>
            <wp:effectExtent l="0" t="0" r="0" b="0"/>
            <wp:docPr id="8" name="Chart 8" descr="Figure 4.1 Per cent change in rates of 12-month ICD-10 anxiety, affective and alcohol disorders between 2010 and 2015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A63E25" w14:textId="77777777" w:rsidR="001E395F" w:rsidRPr="0047058F" w:rsidRDefault="001E395F" w:rsidP="00A340EE">
      <w:bookmarkStart w:id="193" w:name="_Toc381263148"/>
      <w:bookmarkStart w:id="194" w:name="_Toc529117468"/>
      <w:r w:rsidRPr="0047058F">
        <w:t>For affective disorders, 18.3% of the longitudinal cohort met criteria for these in 2010, and 21.1% in 2015, and these rates were not significantly different. There was no difference in the rates of affective disorders for those who had transitioned compared to those who remained in the Regular ADF in 2015, in either year (2010: 21.1% vs 17.0%; OR 1.30; 95% CI 0.90, 1.89), (2015: 23.4% vs 20.0%; OR 1.22; 95% CI 0.85, 1.73).</w:t>
      </w:r>
    </w:p>
    <w:p w14:paraId="5AAAE9DB" w14:textId="77777777" w:rsidR="001E395F" w:rsidRPr="0047058F" w:rsidRDefault="001E395F" w:rsidP="00A340EE">
      <w:r w:rsidRPr="0047058F">
        <w:t>Alcohol disorders were detected at relatively low rates overall, with no significant difference over time, with 6.5% in 2010 and 6.3% in 2015. Those of the longitudinal cohort who had transitioned compared to remaining in the Regular ADF in 2015 had similar proportions of alcohol disorders in 2010 (7.7% vs 5.9%; OR 1.32; 95% CI 0.74, 2.35), with higher levels in 2015 among those who had transitioned in 2015 (9.2% vs 5.0%; OR 1.92; 95% CI 1.09, 3.38). This was due to an increase between time points among Transitioned ADF and a slight decrease among 2015 Regular ADF.</w:t>
      </w:r>
    </w:p>
    <w:p w14:paraId="69DA5D48" w14:textId="77777777" w:rsidR="001E395F" w:rsidRPr="0047058F" w:rsidRDefault="001E395F" w:rsidP="005632DC">
      <w:r w:rsidRPr="0047058F">
        <w:t>When PTSD was separated out from the other anxiety disorders, results showed that 13.4% of the longitudinal cohort met criteria for this disorder in 2010 and 16.7% in 2015, and these rates did not significantly differ. Those in the cohort who had transitioned in 2015 had higher rates in both 2010 and 2015 compared to those who remained in the Regular ADF in 2015. This difference was larger for PTSD specifically than any of the disorder categories (2010: 19.5% vs 10.6%; OR 2.06; 95% CI 1.37, 3.09), (2015: 24.5% vs 13.1%; OR 2.16; 95% CI 1.49, 3.14). Transitioned ADF showed a larger increase over the two time points than Regular ADF.</w:t>
      </w:r>
    </w:p>
    <w:p w14:paraId="7939947B" w14:textId="2C150D66" w:rsidR="001E395F" w:rsidRPr="0047058F" w:rsidRDefault="001E395F" w:rsidP="00A340EE">
      <w:r w:rsidRPr="0047058F">
        <w:t>Overall, almost half of the longitudinal cohort met criteria for any disorder at both time points, with 42.0% in 2010 and 46.0% in 2015, and these rates were not significantly different. Rates of any disorder were higher in both 2010 and 2015 for those members of the longitudinal cohort who had transitioned in 2015 compared to those who remained in the Regular ADF in 2015 (2010: 48.3% vs 39.0%; OR 1.46; 95% CI 1.09, 1.96), (2015: 51.7</w:t>
      </w:r>
      <w:r w:rsidR="00E9085B">
        <w:t>%</w:t>
      </w:r>
      <w:r w:rsidRPr="0047058F">
        <w:t xml:space="preserve"> vs 43.3%; OR 1.40; 95% CI 1.05, 1.88).</w:t>
      </w:r>
    </w:p>
    <w:p w14:paraId="31022028" w14:textId="77777777" w:rsidR="00A340EE" w:rsidRPr="0047058F" w:rsidRDefault="00A340EE" w:rsidP="00860F45">
      <w:pPr>
        <w:pStyle w:val="Heading2"/>
      </w:pPr>
      <w:bookmarkStart w:id="195" w:name="_Toc532474368"/>
      <w:r w:rsidRPr="0047058F">
        <w:t>Anxiety disorders</w:t>
      </w:r>
      <w:bookmarkEnd w:id="193"/>
      <w:bookmarkEnd w:id="194"/>
      <w:bookmarkEnd w:id="195"/>
    </w:p>
    <w:p w14:paraId="3998608B" w14:textId="77777777" w:rsidR="00A340EE" w:rsidRPr="0047058F" w:rsidRDefault="00A340EE" w:rsidP="00A340EE">
      <w:pPr>
        <w:autoSpaceDE w:val="0"/>
        <w:autoSpaceDN w:val="0"/>
        <w:adjustRightInd w:val="0"/>
        <w:spacing w:after="240"/>
        <w:rPr>
          <w:rFonts w:cs="Calibri"/>
        </w:rPr>
      </w:pPr>
      <w:r w:rsidRPr="0047058F">
        <w:rPr>
          <w:rFonts w:cs="Calibri"/>
        </w:rPr>
        <w:t>This section looks at the rates of 12-month ICD-10 anxiety disorders in the longitudinal cohort. Eight types of anxiety disorders were examined, and are outlined below:</w:t>
      </w:r>
    </w:p>
    <w:p w14:paraId="25BC8F50" w14:textId="77777777" w:rsidR="00A340EE" w:rsidRPr="0047058F" w:rsidRDefault="00A340EE" w:rsidP="00031ACA">
      <w:pPr>
        <w:pStyle w:val="Bullet"/>
        <w:numPr>
          <w:ilvl w:val="0"/>
          <w:numId w:val="1"/>
        </w:numPr>
        <w:ind w:left="360"/>
      </w:pPr>
      <w:r w:rsidRPr="0047058F">
        <w:rPr>
          <w:b/>
        </w:rPr>
        <w:t>Panic attack</w:t>
      </w:r>
      <w:r w:rsidRPr="0047058F">
        <w:t>: sudden onset of extreme fear or anxiety, often accompanied by palpitations, chest pain, choking sensations, dizziness, and sometimes feelings of unreality, fear of dying, losing control or going mad.</w:t>
      </w:r>
    </w:p>
    <w:p w14:paraId="4DD2A93B" w14:textId="77777777" w:rsidR="00A340EE" w:rsidRPr="0047058F" w:rsidRDefault="00A340EE" w:rsidP="00031ACA">
      <w:pPr>
        <w:pStyle w:val="Bullet"/>
        <w:numPr>
          <w:ilvl w:val="0"/>
          <w:numId w:val="1"/>
        </w:numPr>
        <w:ind w:left="360"/>
      </w:pPr>
      <w:r w:rsidRPr="0047058F">
        <w:rPr>
          <w:b/>
        </w:rPr>
        <w:t>Panic disorder</w:t>
      </w:r>
      <w:r w:rsidRPr="0047058F">
        <w:t>: regular panic attacks that are unpredictable in nature.</w:t>
      </w:r>
    </w:p>
    <w:p w14:paraId="25B32CFA" w14:textId="77777777" w:rsidR="00A340EE" w:rsidRPr="0047058F" w:rsidRDefault="00A340EE" w:rsidP="00031ACA">
      <w:pPr>
        <w:pStyle w:val="Bullet"/>
        <w:numPr>
          <w:ilvl w:val="0"/>
          <w:numId w:val="1"/>
        </w:numPr>
        <w:ind w:left="360"/>
      </w:pPr>
      <w:r w:rsidRPr="0047058F">
        <w:rPr>
          <w:b/>
        </w:rPr>
        <w:t>Agoraphobia</w:t>
      </w:r>
      <w:r w:rsidRPr="0047058F">
        <w:t>: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14:paraId="65D145EA" w14:textId="77777777" w:rsidR="00A340EE" w:rsidRPr="0047058F" w:rsidRDefault="00A340EE" w:rsidP="00031ACA">
      <w:pPr>
        <w:pStyle w:val="Bullet"/>
        <w:numPr>
          <w:ilvl w:val="0"/>
          <w:numId w:val="1"/>
        </w:numPr>
        <w:ind w:left="360"/>
      </w:pPr>
      <w:r w:rsidRPr="0047058F">
        <w:rPr>
          <w:b/>
        </w:rPr>
        <w:t>Social phobia</w:t>
      </w:r>
      <w:r w:rsidRPr="0047058F">
        <w:t>: marked fear or avoidance of being the centre of attention or being in situations where it is possible to behave in a humiliating or embarrassing way, accompanied by anxiety symptoms, as well as either blushing, fear of vomiting, or fear of defecation or micturition.</w:t>
      </w:r>
    </w:p>
    <w:p w14:paraId="28740CB5" w14:textId="77777777" w:rsidR="00A340EE" w:rsidRPr="0047058F" w:rsidRDefault="00A340EE" w:rsidP="00031ACA">
      <w:pPr>
        <w:pStyle w:val="Bullet"/>
        <w:numPr>
          <w:ilvl w:val="0"/>
          <w:numId w:val="1"/>
        </w:numPr>
        <w:ind w:left="360"/>
      </w:pPr>
      <w:r w:rsidRPr="0047058F">
        <w:rPr>
          <w:b/>
        </w:rPr>
        <w:t>Specific phobia</w:t>
      </w:r>
      <w:r w:rsidRPr="0047058F">
        <w:t>: marked fear or avoidance of a specific object or situation such as animals, birds, insects, heights, thunder, flying, small enclosed spaces, sight of blood or injury, injections, dentists or hospitals, and accompanied by anxiety symptoms as described under ‘agoraphobia’ (above).</w:t>
      </w:r>
    </w:p>
    <w:p w14:paraId="07184869" w14:textId="77777777" w:rsidR="00A340EE" w:rsidRPr="0047058F" w:rsidRDefault="00A340EE" w:rsidP="00031ACA">
      <w:pPr>
        <w:pStyle w:val="Bullet"/>
        <w:numPr>
          <w:ilvl w:val="0"/>
          <w:numId w:val="1"/>
        </w:numPr>
        <w:ind w:left="360"/>
      </w:pPr>
      <w:r w:rsidRPr="0047058F">
        <w:rPr>
          <w:b/>
        </w:rPr>
        <w:t>Generalised anxiety disorder (GAD)</w:t>
      </w:r>
      <w:r w:rsidRPr="0047058F">
        <w:t>: generalised and persistent worry, anxiety or apprehension about everyday events and activities, lasting a minimum of six months, that is accompanied by anxiety symptoms as described under ‘agoraphobia’ (above). Other symptoms may include symptoms of tension, such as inability to relax and muscle tension, and other non-specific symptoms, such as irritability and difficulty in concentrating.</w:t>
      </w:r>
    </w:p>
    <w:p w14:paraId="499E90A7" w14:textId="77777777" w:rsidR="00A340EE" w:rsidRPr="0047058F" w:rsidRDefault="00A340EE" w:rsidP="00031ACA">
      <w:pPr>
        <w:pStyle w:val="Bullet"/>
        <w:numPr>
          <w:ilvl w:val="0"/>
          <w:numId w:val="1"/>
        </w:numPr>
        <w:ind w:left="360"/>
      </w:pPr>
      <w:r w:rsidRPr="0047058F">
        <w:rPr>
          <w:b/>
        </w:rPr>
        <w:t>Obsessive-compulsive disorder (OCD)</w:t>
      </w:r>
      <w:r w:rsidRPr="0047058F">
        <w:t>: characterised by obsessional thoughts (ideas, images, impulses) or compulsive acts (ritualised behaviour). These thoughts and acts are often distressing and typically cannot be avoided, despite the sufferer recognising their ineffectiveness.</w:t>
      </w:r>
    </w:p>
    <w:p w14:paraId="63202C76" w14:textId="77777777" w:rsidR="00A340EE" w:rsidRPr="0047058F" w:rsidRDefault="00A340EE" w:rsidP="00031ACA">
      <w:pPr>
        <w:pStyle w:val="Bullet"/>
        <w:numPr>
          <w:ilvl w:val="0"/>
          <w:numId w:val="1"/>
        </w:numPr>
        <w:ind w:left="360"/>
      </w:pPr>
      <w:r w:rsidRPr="0047058F">
        <w:rPr>
          <w:b/>
        </w:rPr>
        <w:t>Posttraumatic stress disorder (PTSD)</w:t>
      </w:r>
      <w:r w:rsidRPr="0047058F">
        <w:t>: stress reaction to an exceptionally threatening or traumatic event that would cause pervasive distress in almost anyone. Symptoms are categorised into three groups: re-experiencing memories or flashbacks, avoidance symptoms, and either hyperarousal (increased arousal and sensitivity to cues) or inability to recall important parts of the experience.</w:t>
      </w:r>
    </w:p>
    <w:p w14:paraId="645683E1" w14:textId="77777777" w:rsidR="00A340EE" w:rsidRPr="0047058F" w:rsidRDefault="00A340EE" w:rsidP="00A340EE">
      <w:r w:rsidRPr="0047058F">
        <w:t>Table 4.2 shows the unweighted prevalence of 12-month ICD-10 anxiety disorders in 2010 and 2015 for the longitudinal cohort, according to whether they had transitioned or remained in the Regular ADF in 2015. Figure 4.2 illustrates the per cent change in rates of 12-month ICD-10 anxiety disorders between 2010 and 2015 in Transitioned ADF and 2015 Regular ADF.</w:t>
      </w:r>
    </w:p>
    <w:p w14:paraId="660E46D9" w14:textId="77777777" w:rsidR="00A340EE" w:rsidRPr="0047058F" w:rsidRDefault="00A340EE" w:rsidP="00A340EE">
      <w:r w:rsidRPr="0047058F">
        <w:t>The highest rates of 12-month ICD-10 anxiety disorders among the cohort were found for panic attack and PTSD in both 2010 (13.8% and 13.4%) and 2015 (16.0% and 16.7%). Comparatively low rates of panic disorder, GAD and OCD were found in 2010 (4.1%, 2.8%, 3.9%) and 2015 (4.1%, 5.4%, 4.9%).</w:t>
      </w:r>
    </w:p>
    <w:p w14:paraId="4CC0D330" w14:textId="4BB1357B" w:rsidR="00A340EE" w:rsidRPr="0047058F" w:rsidRDefault="00A340EE" w:rsidP="00A340EE">
      <w:r w:rsidRPr="0047058F">
        <w:t>All disorders were either detected at similar rates in 2010 and 2015 among those who had transitioned compared to those who remained in the Regular ADF in 2015, or were higher among those who had transitioned. Similar proportions of those who had transitioned compared to those who remained in the Regular ADF in 2015 met criteria for panic attacks in 2010 (16.9% vs 12.3%; OR 1.44; 95% CI 0.96, 2.17) and 2015 (2015 Transitioned ADF 17.6%; 2015 Regular ADF 15.2%; OR 1.19; 95% CI 0.81, 1.77). This was a result of a slightly larger increase among those who remained in the Regular ADF compared to those who had transitioned. Panic disorder rates were similar in 2010 among those who had transitioned compared to those who remained in the Regular ADF in 2015 (5.4% vs 3.6%; OR 1.53; 95% CI 0.76, 3.07), but higher in 2015 among those who had transitioned (8.0% vs 2.3%; OR 3.68; 95% CI 1.81, 7.46). This was the greatest difference found between groups, resulting from an increase in prevalence between time points among those who had transitioned, and a decrease among those who remained in the Regular ADF.</w:t>
      </w:r>
    </w:p>
    <w:p w14:paraId="1C72C8E8" w14:textId="77777777" w:rsidR="005632DC" w:rsidRPr="0047058F" w:rsidRDefault="005632DC" w:rsidP="005632DC">
      <w:pPr>
        <w:sectPr w:rsidR="005632DC" w:rsidRPr="0047058F" w:rsidSect="001E395F">
          <w:footerReference w:type="even" r:id="rId19"/>
          <w:footerReference w:type="default" r:id="rId20"/>
          <w:pgSz w:w="9979" w:h="14170" w:code="243"/>
          <w:pgMar w:top="1440" w:right="1152" w:bottom="1440" w:left="1728" w:header="576" w:footer="576" w:gutter="0"/>
          <w:cols w:space="708"/>
          <w:docGrid w:linePitch="360"/>
        </w:sectPr>
      </w:pPr>
    </w:p>
    <w:p w14:paraId="7A923868" w14:textId="77777777" w:rsidR="005632DC" w:rsidRPr="0047058F" w:rsidRDefault="005632DC" w:rsidP="00A340EE">
      <w:pPr>
        <w:pStyle w:val="TableName"/>
      </w:pPr>
      <w:bookmarkStart w:id="196" w:name="_Ref384555267"/>
      <w:bookmarkStart w:id="197" w:name="_Toc529117509"/>
      <w:bookmarkStart w:id="198" w:name="_Toc532473579"/>
      <w:r w:rsidRPr="0047058F">
        <w:t>Table 4.2</w:t>
      </w:r>
      <w:bookmarkEnd w:id="196"/>
      <w:r w:rsidRPr="0047058F">
        <w:tab/>
        <w:t>Rates of 12-month ICD-10 anxiety disorders in 2010 and 2015 in Transitioned ADF and 2015 Regular ADF</w:t>
      </w:r>
      <w:bookmarkEnd w:id="197"/>
      <w:bookmarkEnd w:id="198"/>
    </w:p>
    <w:tbl>
      <w:tblPr>
        <w:tblStyle w:val="TWRPTable"/>
        <w:tblW w:w="5000" w:type="pct"/>
        <w:tblLayout w:type="fixed"/>
        <w:tblLook w:val="0000" w:firstRow="0" w:lastRow="0" w:firstColumn="0" w:lastColumn="0" w:noHBand="0" w:noVBand="0"/>
        <w:tblDescription w:val="Table 4.2 Rates of 12-month ICD-10 anxiety disorders in 2010 and 2015 in Transitioned ADF and 2015 Regular ADF"/>
      </w:tblPr>
      <w:tblGrid>
        <w:gridCol w:w="1352"/>
        <w:gridCol w:w="556"/>
        <w:gridCol w:w="557"/>
        <w:gridCol w:w="557"/>
        <w:gridCol w:w="557"/>
        <w:gridCol w:w="557"/>
        <w:gridCol w:w="557"/>
        <w:gridCol w:w="557"/>
        <w:gridCol w:w="557"/>
        <w:gridCol w:w="557"/>
        <w:gridCol w:w="557"/>
        <w:gridCol w:w="557"/>
        <w:gridCol w:w="557"/>
        <w:gridCol w:w="1158"/>
        <w:gridCol w:w="1158"/>
        <w:gridCol w:w="1155"/>
      </w:tblGrid>
      <w:tr w:rsidR="005632DC" w:rsidRPr="0047058F" w14:paraId="0C8A2008" w14:textId="77777777" w:rsidTr="000D5576">
        <w:trPr>
          <w:tblHeader/>
        </w:trPr>
        <w:tc>
          <w:tcPr>
            <w:tcW w:w="588" w:type="pct"/>
            <w:tcBorders>
              <w:top w:val="single" w:sz="4" w:space="0" w:color="000000"/>
              <w:bottom w:val="single" w:sz="4" w:space="0" w:color="000000"/>
            </w:tcBorders>
          </w:tcPr>
          <w:p w14:paraId="568ADC99" w14:textId="77777777" w:rsidR="005632DC" w:rsidRPr="0047058F" w:rsidRDefault="005632DC" w:rsidP="00DD24A8">
            <w:pPr>
              <w:pStyle w:val="TableText"/>
              <w:rPr>
                <w:b/>
              </w:rPr>
            </w:pPr>
          </w:p>
        </w:tc>
        <w:tc>
          <w:tcPr>
            <w:tcW w:w="1452" w:type="pct"/>
            <w:gridSpan w:val="6"/>
            <w:tcBorders>
              <w:top w:val="single" w:sz="4" w:space="0" w:color="000000"/>
              <w:bottom w:val="single" w:sz="4" w:space="0" w:color="000000"/>
            </w:tcBorders>
          </w:tcPr>
          <w:p w14:paraId="283DCC4D" w14:textId="77777777" w:rsidR="005632DC" w:rsidRPr="0047058F" w:rsidRDefault="005632DC" w:rsidP="00DD24A8">
            <w:pPr>
              <w:pStyle w:val="TableText"/>
              <w:jc w:val="center"/>
              <w:rPr>
                <w:b/>
              </w:rPr>
            </w:pPr>
            <w:r w:rsidRPr="0047058F">
              <w:rPr>
                <w:rFonts w:eastAsia="MS Mincho"/>
                <w:b/>
              </w:rPr>
              <w:t>2010 ADF Mental Health Prevalence and Wellbeing Study</w:t>
            </w:r>
          </w:p>
        </w:tc>
        <w:tc>
          <w:tcPr>
            <w:tcW w:w="1452" w:type="pct"/>
            <w:gridSpan w:val="6"/>
            <w:tcBorders>
              <w:top w:val="single" w:sz="4" w:space="0" w:color="000000"/>
              <w:bottom w:val="single" w:sz="4" w:space="0" w:color="000000"/>
            </w:tcBorders>
          </w:tcPr>
          <w:p w14:paraId="65D35CF8" w14:textId="77777777" w:rsidR="005632DC" w:rsidRPr="0047058F" w:rsidRDefault="005632DC" w:rsidP="00DD24A8">
            <w:pPr>
              <w:pStyle w:val="TableText"/>
              <w:jc w:val="center"/>
              <w:rPr>
                <w:rFonts w:eastAsia="MS Mincho"/>
                <w:b/>
              </w:rPr>
            </w:pPr>
            <w:r w:rsidRPr="0047058F">
              <w:rPr>
                <w:rFonts w:eastAsia="MS Mincho"/>
                <w:b/>
              </w:rPr>
              <w:t>2015 Transition and Wellbeing Research Programme</w:t>
            </w:r>
          </w:p>
        </w:tc>
        <w:tc>
          <w:tcPr>
            <w:tcW w:w="1508" w:type="pct"/>
            <w:gridSpan w:val="3"/>
            <w:tcBorders>
              <w:top w:val="single" w:sz="4" w:space="0" w:color="000000"/>
              <w:bottom w:val="single" w:sz="4" w:space="0" w:color="000000"/>
            </w:tcBorders>
          </w:tcPr>
          <w:p w14:paraId="78A27C5E" w14:textId="77777777" w:rsidR="005632DC" w:rsidRPr="0047058F" w:rsidRDefault="005632DC" w:rsidP="00DD24A8">
            <w:pPr>
              <w:pStyle w:val="TableText"/>
              <w:jc w:val="center"/>
              <w:rPr>
                <w:rFonts w:eastAsia="MS Mincho"/>
                <w:b/>
              </w:rPr>
            </w:pPr>
            <w:r w:rsidRPr="0047058F">
              <w:rPr>
                <w:rFonts w:eastAsia="MS Mincho"/>
                <w:b/>
              </w:rPr>
              <w:t>Odds ratio</w:t>
            </w:r>
          </w:p>
        </w:tc>
      </w:tr>
      <w:tr w:rsidR="000D5576" w:rsidRPr="0047058F" w14:paraId="710AB7D1" w14:textId="77777777" w:rsidTr="000D5576">
        <w:trPr>
          <w:tblHeader/>
        </w:trPr>
        <w:tc>
          <w:tcPr>
            <w:tcW w:w="588" w:type="pct"/>
            <w:vMerge w:val="restart"/>
            <w:tcBorders>
              <w:top w:val="single" w:sz="4" w:space="0" w:color="000000"/>
            </w:tcBorders>
            <w:vAlign w:val="bottom"/>
          </w:tcPr>
          <w:p w14:paraId="29FB8C61" w14:textId="77777777" w:rsidR="000D5576" w:rsidRPr="0047058F" w:rsidRDefault="000D5576" w:rsidP="000D5576">
            <w:pPr>
              <w:pStyle w:val="TableText"/>
              <w:rPr>
                <w:b/>
              </w:rPr>
            </w:pPr>
            <w:r w:rsidRPr="0047058F">
              <w:rPr>
                <w:rFonts w:eastAsia="Times New Roman"/>
                <w:b/>
                <w:lang w:eastAsia="en-AU"/>
              </w:rPr>
              <w:t>ICD-10 anxiety disorder</w:t>
            </w:r>
          </w:p>
        </w:tc>
        <w:tc>
          <w:tcPr>
            <w:tcW w:w="484" w:type="pct"/>
            <w:gridSpan w:val="2"/>
            <w:tcBorders>
              <w:top w:val="single" w:sz="4" w:space="0" w:color="000000"/>
              <w:bottom w:val="single" w:sz="4" w:space="0" w:color="000000"/>
            </w:tcBorders>
            <w:vAlign w:val="bottom"/>
          </w:tcPr>
          <w:p w14:paraId="324524EE" w14:textId="77777777" w:rsidR="000D5576" w:rsidRPr="0047058F" w:rsidRDefault="000D5576" w:rsidP="000D5576">
            <w:pPr>
              <w:pStyle w:val="TableText"/>
              <w:jc w:val="center"/>
              <w:rPr>
                <w:rFonts w:eastAsia="MS Mincho"/>
                <w:b/>
              </w:rPr>
            </w:pPr>
            <w:r w:rsidRPr="0047058F">
              <w:rPr>
                <w:rFonts w:eastAsia="MS Mincho"/>
                <w:b/>
              </w:rPr>
              <w:t>Transitioned ADF</w:t>
            </w:r>
            <w:r w:rsidRPr="0047058F">
              <w:rPr>
                <w:rFonts w:eastAsia="MS Mincho"/>
                <w:b/>
              </w:rPr>
              <w:br/>
              <w:t>n = 261</w:t>
            </w:r>
          </w:p>
        </w:tc>
        <w:tc>
          <w:tcPr>
            <w:tcW w:w="484" w:type="pct"/>
            <w:gridSpan w:val="2"/>
            <w:tcBorders>
              <w:top w:val="single" w:sz="4" w:space="0" w:color="000000"/>
              <w:bottom w:val="single" w:sz="4" w:space="0" w:color="000000"/>
            </w:tcBorders>
            <w:vAlign w:val="bottom"/>
          </w:tcPr>
          <w:p w14:paraId="21A68113" w14:textId="77777777" w:rsidR="000D5576" w:rsidRPr="0047058F" w:rsidRDefault="000D5576" w:rsidP="000D5576">
            <w:pPr>
              <w:pStyle w:val="TableText"/>
              <w:jc w:val="center"/>
              <w:rPr>
                <w:rFonts w:eastAsia="MS Mincho"/>
                <w:b/>
              </w:rPr>
            </w:pPr>
            <w:r w:rsidRPr="0047058F">
              <w:rPr>
                <w:rFonts w:eastAsia="MS Mincho"/>
                <w:b/>
              </w:rPr>
              <w:t>2015 Regular ADF</w:t>
            </w:r>
            <w:r w:rsidRPr="0047058F">
              <w:rPr>
                <w:rFonts w:eastAsia="MS Mincho"/>
                <w:b/>
              </w:rPr>
              <w:br/>
              <w:t>n = 559</w:t>
            </w:r>
          </w:p>
        </w:tc>
        <w:tc>
          <w:tcPr>
            <w:tcW w:w="484" w:type="pct"/>
            <w:gridSpan w:val="2"/>
            <w:tcBorders>
              <w:top w:val="single" w:sz="4" w:space="0" w:color="000000"/>
              <w:bottom w:val="single" w:sz="4" w:space="0" w:color="000000"/>
            </w:tcBorders>
            <w:vAlign w:val="bottom"/>
          </w:tcPr>
          <w:p w14:paraId="0BB27BBD" w14:textId="77777777" w:rsidR="000D5576" w:rsidRPr="0047058F" w:rsidRDefault="000D5576" w:rsidP="000D5576">
            <w:pPr>
              <w:pStyle w:val="TableText"/>
              <w:jc w:val="center"/>
              <w:rPr>
                <w:b/>
              </w:rPr>
            </w:pPr>
            <w:r w:rsidRPr="0047058F">
              <w:rPr>
                <w:rFonts w:eastAsia="MS Mincho"/>
                <w:b/>
              </w:rPr>
              <w:t>Total</w:t>
            </w:r>
            <w:r w:rsidRPr="0047058F">
              <w:rPr>
                <w:rFonts w:eastAsia="MS Mincho"/>
                <w:b/>
              </w:rPr>
              <w:br/>
              <w:t>n = 820</w:t>
            </w:r>
          </w:p>
        </w:tc>
        <w:tc>
          <w:tcPr>
            <w:tcW w:w="484" w:type="pct"/>
            <w:gridSpan w:val="2"/>
            <w:tcBorders>
              <w:top w:val="single" w:sz="4" w:space="0" w:color="000000"/>
              <w:bottom w:val="single" w:sz="4" w:space="0" w:color="000000"/>
            </w:tcBorders>
            <w:vAlign w:val="bottom"/>
          </w:tcPr>
          <w:p w14:paraId="5941C039" w14:textId="77777777" w:rsidR="000D5576" w:rsidRPr="0047058F" w:rsidRDefault="000D5576" w:rsidP="000D5576">
            <w:pPr>
              <w:pStyle w:val="TableText"/>
              <w:jc w:val="center"/>
              <w:rPr>
                <w:b/>
              </w:rPr>
            </w:pPr>
            <w:r w:rsidRPr="0047058F">
              <w:rPr>
                <w:rFonts w:eastAsia="MS Mincho"/>
                <w:b/>
              </w:rPr>
              <w:t>Transitioned ADF</w:t>
            </w:r>
            <w:r w:rsidRPr="0047058F">
              <w:rPr>
                <w:rFonts w:eastAsia="MS Mincho"/>
                <w:b/>
              </w:rPr>
              <w:br/>
              <w:t>n = 261</w:t>
            </w:r>
          </w:p>
        </w:tc>
        <w:tc>
          <w:tcPr>
            <w:tcW w:w="484" w:type="pct"/>
            <w:gridSpan w:val="2"/>
            <w:tcBorders>
              <w:top w:val="single" w:sz="4" w:space="0" w:color="000000"/>
              <w:bottom w:val="single" w:sz="4" w:space="0" w:color="000000"/>
            </w:tcBorders>
            <w:vAlign w:val="bottom"/>
          </w:tcPr>
          <w:p w14:paraId="4A783E3F" w14:textId="77777777" w:rsidR="000D5576" w:rsidRPr="0047058F" w:rsidRDefault="000D5576" w:rsidP="000D5576">
            <w:pPr>
              <w:pStyle w:val="TableText"/>
              <w:jc w:val="center"/>
              <w:rPr>
                <w:b/>
              </w:rPr>
            </w:pPr>
            <w:r w:rsidRPr="0047058F">
              <w:rPr>
                <w:rFonts w:eastAsia="MS Mincho"/>
                <w:b/>
              </w:rPr>
              <w:t>2015 Regular ADF</w:t>
            </w:r>
            <w:r w:rsidRPr="0047058F">
              <w:rPr>
                <w:rFonts w:eastAsia="MS Mincho"/>
                <w:b/>
              </w:rPr>
              <w:br/>
              <w:t>n = 559</w:t>
            </w:r>
          </w:p>
        </w:tc>
        <w:tc>
          <w:tcPr>
            <w:tcW w:w="484" w:type="pct"/>
            <w:gridSpan w:val="2"/>
            <w:tcBorders>
              <w:top w:val="single" w:sz="4" w:space="0" w:color="000000"/>
              <w:bottom w:val="single" w:sz="4" w:space="0" w:color="000000"/>
            </w:tcBorders>
            <w:vAlign w:val="bottom"/>
          </w:tcPr>
          <w:p w14:paraId="01F8D42D" w14:textId="77777777" w:rsidR="000D5576" w:rsidRPr="0047058F" w:rsidRDefault="000D5576" w:rsidP="000D5576">
            <w:pPr>
              <w:pStyle w:val="TableText"/>
              <w:jc w:val="center"/>
              <w:rPr>
                <w:rFonts w:eastAsia="MS Mincho"/>
                <w:b/>
              </w:rPr>
            </w:pPr>
            <w:r w:rsidRPr="0047058F">
              <w:rPr>
                <w:rFonts w:eastAsia="MS Mincho"/>
                <w:b/>
              </w:rPr>
              <w:t>Total</w:t>
            </w:r>
            <w:r w:rsidRPr="0047058F">
              <w:rPr>
                <w:rFonts w:eastAsia="MS Mincho"/>
                <w:b/>
              </w:rPr>
              <w:br/>
              <w:t>n = 820</w:t>
            </w:r>
          </w:p>
        </w:tc>
        <w:tc>
          <w:tcPr>
            <w:tcW w:w="503" w:type="pct"/>
            <w:tcBorders>
              <w:top w:val="single" w:sz="4" w:space="0" w:color="000000"/>
              <w:bottom w:val="single" w:sz="4" w:space="0" w:color="000000"/>
            </w:tcBorders>
            <w:vAlign w:val="bottom"/>
          </w:tcPr>
          <w:p w14:paraId="41F07B4B" w14:textId="77777777" w:rsidR="000D5576" w:rsidRPr="0047058F" w:rsidRDefault="000D5576" w:rsidP="000D5576">
            <w:pPr>
              <w:pStyle w:val="TableText"/>
              <w:jc w:val="center"/>
              <w:rPr>
                <w:rFonts w:eastAsia="MS Mincho"/>
                <w:b/>
              </w:rPr>
            </w:pPr>
            <w:r w:rsidRPr="0047058F">
              <w:rPr>
                <w:rFonts w:eastAsia="MS Mincho"/>
                <w:b/>
              </w:rPr>
              <w:t>2010: Transitioned 2015 vs Regular 2015</w:t>
            </w:r>
          </w:p>
        </w:tc>
        <w:tc>
          <w:tcPr>
            <w:tcW w:w="503" w:type="pct"/>
            <w:tcBorders>
              <w:top w:val="single" w:sz="4" w:space="0" w:color="000000"/>
              <w:bottom w:val="single" w:sz="4" w:space="0" w:color="000000"/>
            </w:tcBorders>
            <w:vAlign w:val="bottom"/>
          </w:tcPr>
          <w:p w14:paraId="41B6C7E3" w14:textId="77777777" w:rsidR="000D5576" w:rsidRPr="0047058F" w:rsidRDefault="000D5576" w:rsidP="000D5576">
            <w:pPr>
              <w:pStyle w:val="TableText"/>
              <w:jc w:val="center"/>
              <w:rPr>
                <w:rFonts w:eastAsia="MS Mincho"/>
                <w:b/>
              </w:rPr>
            </w:pPr>
            <w:r w:rsidRPr="0047058F">
              <w:rPr>
                <w:rFonts w:eastAsia="MS Mincho"/>
                <w:b/>
              </w:rPr>
              <w:t>2015: Transitioned 2015 vs Regular 2015</w:t>
            </w:r>
          </w:p>
        </w:tc>
        <w:tc>
          <w:tcPr>
            <w:tcW w:w="502" w:type="pct"/>
            <w:tcBorders>
              <w:top w:val="single" w:sz="4" w:space="0" w:color="000000"/>
              <w:bottom w:val="single" w:sz="4" w:space="0" w:color="000000"/>
            </w:tcBorders>
            <w:vAlign w:val="bottom"/>
          </w:tcPr>
          <w:p w14:paraId="1C1F1F91" w14:textId="77777777" w:rsidR="000D5576" w:rsidRPr="0047058F" w:rsidRDefault="000D5576" w:rsidP="000D5576">
            <w:pPr>
              <w:pStyle w:val="TableText"/>
              <w:jc w:val="center"/>
              <w:rPr>
                <w:rFonts w:eastAsia="MS Mincho"/>
                <w:b/>
              </w:rPr>
            </w:pPr>
            <w:r w:rsidRPr="0047058F">
              <w:rPr>
                <w:rFonts w:eastAsia="MS Mincho"/>
                <w:b/>
              </w:rPr>
              <w:t>2015 total vs 2010 total</w:t>
            </w:r>
          </w:p>
        </w:tc>
      </w:tr>
      <w:tr w:rsidR="000D5576" w:rsidRPr="0047058F" w14:paraId="349A4EBA" w14:textId="77777777" w:rsidTr="00AF7596">
        <w:trPr>
          <w:tblHeader/>
        </w:trPr>
        <w:tc>
          <w:tcPr>
            <w:tcW w:w="588" w:type="pct"/>
            <w:vMerge/>
            <w:tcBorders>
              <w:bottom w:val="single" w:sz="4" w:space="0" w:color="000000"/>
            </w:tcBorders>
          </w:tcPr>
          <w:p w14:paraId="433ACB54" w14:textId="77777777" w:rsidR="000D5576" w:rsidRPr="0047058F" w:rsidRDefault="000D5576" w:rsidP="00DD24A8">
            <w:pPr>
              <w:pStyle w:val="TableText"/>
              <w:rPr>
                <w:rFonts w:cs="Arial"/>
                <w:b/>
              </w:rPr>
            </w:pPr>
          </w:p>
        </w:tc>
        <w:tc>
          <w:tcPr>
            <w:tcW w:w="242" w:type="pct"/>
            <w:tcBorders>
              <w:top w:val="single" w:sz="4" w:space="0" w:color="000000"/>
              <w:bottom w:val="single" w:sz="4" w:space="0" w:color="000000"/>
            </w:tcBorders>
          </w:tcPr>
          <w:p w14:paraId="41973FD7"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6278EB47" w14:textId="77777777" w:rsidR="000D5576" w:rsidRPr="0047058F" w:rsidRDefault="000D5576" w:rsidP="00DD24A8">
            <w:pPr>
              <w:pStyle w:val="TableText"/>
              <w:jc w:val="right"/>
              <w:rPr>
                <w:rFonts w:cs="Arial"/>
                <w:b/>
              </w:rPr>
            </w:pPr>
            <w:r w:rsidRPr="0047058F">
              <w:rPr>
                <w:rFonts w:cs="Arial"/>
                <w:b/>
              </w:rPr>
              <w:t>%</w:t>
            </w:r>
          </w:p>
        </w:tc>
        <w:tc>
          <w:tcPr>
            <w:tcW w:w="242" w:type="pct"/>
            <w:tcBorders>
              <w:top w:val="single" w:sz="4" w:space="0" w:color="000000"/>
              <w:bottom w:val="single" w:sz="4" w:space="0" w:color="000000"/>
            </w:tcBorders>
          </w:tcPr>
          <w:p w14:paraId="53E6EA45"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5CB62CFC" w14:textId="77777777" w:rsidR="000D5576" w:rsidRPr="0047058F" w:rsidRDefault="000D5576" w:rsidP="00DD24A8">
            <w:pPr>
              <w:pStyle w:val="TableText"/>
              <w:jc w:val="right"/>
              <w:rPr>
                <w:rFonts w:cs="Arial"/>
                <w:b/>
              </w:rPr>
            </w:pPr>
            <w:r w:rsidRPr="0047058F">
              <w:rPr>
                <w:rFonts w:cs="Arial"/>
                <w:b/>
              </w:rPr>
              <w:t>%</w:t>
            </w:r>
          </w:p>
        </w:tc>
        <w:tc>
          <w:tcPr>
            <w:tcW w:w="242" w:type="pct"/>
            <w:tcBorders>
              <w:top w:val="single" w:sz="4" w:space="0" w:color="000000"/>
              <w:bottom w:val="single" w:sz="4" w:space="0" w:color="000000"/>
            </w:tcBorders>
          </w:tcPr>
          <w:p w14:paraId="53E8AA2B"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1FD51FAC" w14:textId="77777777" w:rsidR="000D5576" w:rsidRPr="0047058F" w:rsidRDefault="000D5576" w:rsidP="00DD24A8">
            <w:pPr>
              <w:pStyle w:val="TableText"/>
              <w:jc w:val="right"/>
              <w:rPr>
                <w:rFonts w:cs="Arial"/>
                <w:b/>
              </w:rPr>
            </w:pPr>
            <w:r w:rsidRPr="0047058F">
              <w:rPr>
                <w:rFonts w:cs="Arial"/>
                <w:b/>
              </w:rPr>
              <w:t>%</w:t>
            </w:r>
          </w:p>
        </w:tc>
        <w:tc>
          <w:tcPr>
            <w:tcW w:w="242" w:type="pct"/>
            <w:tcBorders>
              <w:top w:val="single" w:sz="4" w:space="0" w:color="000000"/>
              <w:bottom w:val="single" w:sz="4" w:space="0" w:color="000000"/>
            </w:tcBorders>
          </w:tcPr>
          <w:p w14:paraId="4E2CBA1D"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24ECBFF5" w14:textId="77777777" w:rsidR="000D5576" w:rsidRPr="0047058F" w:rsidRDefault="000D5576" w:rsidP="00DD24A8">
            <w:pPr>
              <w:pStyle w:val="TableText"/>
              <w:jc w:val="right"/>
              <w:rPr>
                <w:rFonts w:cs="Arial"/>
                <w:b/>
              </w:rPr>
            </w:pPr>
            <w:r w:rsidRPr="0047058F">
              <w:rPr>
                <w:rFonts w:cs="Arial"/>
                <w:b/>
              </w:rPr>
              <w:t>%</w:t>
            </w:r>
          </w:p>
        </w:tc>
        <w:tc>
          <w:tcPr>
            <w:tcW w:w="242" w:type="pct"/>
            <w:tcBorders>
              <w:top w:val="single" w:sz="4" w:space="0" w:color="000000"/>
              <w:bottom w:val="single" w:sz="4" w:space="0" w:color="000000"/>
            </w:tcBorders>
          </w:tcPr>
          <w:p w14:paraId="298CD02E"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1A1B34B4" w14:textId="77777777" w:rsidR="000D5576" w:rsidRPr="0047058F" w:rsidRDefault="000D5576" w:rsidP="00DD24A8">
            <w:pPr>
              <w:pStyle w:val="TableText"/>
              <w:jc w:val="right"/>
              <w:rPr>
                <w:rFonts w:cs="Arial"/>
                <w:b/>
              </w:rPr>
            </w:pPr>
            <w:r w:rsidRPr="0047058F">
              <w:rPr>
                <w:rFonts w:cs="Arial"/>
                <w:b/>
              </w:rPr>
              <w:t>%</w:t>
            </w:r>
          </w:p>
        </w:tc>
        <w:tc>
          <w:tcPr>
            <w:tcW w:w="242" w:type="pct"/>
            <w:tcBorders>
              <w:top w:val="single" w:sz="4" w:space="0" w:color="000000"/>
              <w:bottom w:val="single" w:sz="4" w:space="0" w:color="000000"/>
            </w:tcBorders>
          </w:tcPr>
          <w:p w14:paraId="20C19584" w14:textId="77777777" w:rsidR="000D5576" w:rsidRPr="0047058F" w:rsidRDefault="000D5576" w:rsidP="00DD24A8">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3D919E4D" w14:textId="77777777" w:rsidR="000D5576" w:rsidRPr="0047058F" w:rsidRDefault="000D5576" w:rsidP="00DD24A8">
            <w:pPr>
              <w:pStyle w:val="TableText"/>
              <w:jc w:val="right"/>
              <w:rPr>
                <w:rFonts w:cs="Arial"/>
                <w:b/>
              </w:rPr>
            </w:pPr>
            <w:r w:rsidRPr="0047058F">
              <w:rPr>
                <w:rFonts w:cs="Arial"/>
                <w:b/>
              </w:rPr>
              <w:t>%</w:t>
            </w:r>
          </w:p>
        </w:tc>
        <w:tc>
          <w:tcPr>
            <w:tcW w:w="503" w:type="pct"/>
            <w:tcBorders>
              <w:top w:val="single" w:sz="4" w:space="0" w:color="000000"/>
              <w:bottom w:val="single" w:sz="4" w:space="0" w:color="000000"/>
            </w:tcBorders>
          </w:tcPr>
          <w:p w14:paraId="1672D667" w14:textId="77777777" w:rsidR="000D5576" w:rsidRPr="0047058F" w:rsidRDefault="000D5576" w:rsidP="00DD24A8">
            <w:pPr>
              <w:pStyle w:val="TableText"/>
              <w:jc w:val="right"/>
              <w:rPr>
                <w:rFonts w:cs="Arial"/>
                <w:b/>
              </w:rPr>
            </w:pPr>
            <w:r w:rsidRPr="0047058F">
              <w:rPr>
                <w:rFonts w:eastAsia="MS Mincho"/>
                <w:b/>
              </w:rPr>
              <w:t>OR (95% CI)</w:t>
            </w:r>
          </w:p>
        </w:tc>
        <w:tc>
          <w:tcPr>
            <w:tcW w:w="503" w:type="pct"/>
            <w:tcBorders>
              <w:top w:val="single" w:sz="4" w:space="0" w:color="000000"/>
              <w:bottom w:val="single" w:sz="4" w:space="0" w:color="000000"/>
            </w:tcBorders>
          </w:tcPr>
          <w:p w14:paraId="4E97EC82" w14:textId="77777777" w:rsidR="000D5576" w:rsidRPr="0047058F" w:rsidRDefault="000D5576" w:rsidP="00DD24A8">
            <w:pPr>
              <w:pStyle w:val="TableText"/>
              <w:jc w:val="right"/>
              <w:rPr>
                <w:rFonts w:cs="Arial"/>
                <w:b/>
              </w:rPr>
            </w:pPr>
            <w:r w:rsidRPr="0047058F">
              <w:rPr>
                <w:rFonts w:eastAsia="MS Mincho"/>
                <w:b/>
              </w:rPr>
              <w:t>OR (95% CI)</w:t>
            </w:r>
          </w:p>
        </w:tc>
        <w:tc>
          <w:tcPr>
            <w:tcW w:w="502" w:type="pct"/>
            <w:tcBorders>
              <w:top w:val="single" w:sz="4" w:space="0" w:color="000000"/>
              <w:bottom w:val="single" w:sz="4" w:space="0" w:color="000000"/>
            </w:tcBorders>
          </w:tcPr>
          <w:p w14:paraId="35590ED2" w14:textId="77777777" w:rsidR="000D5576" w:rsidRPr="0047058F" w:rsidRDefault="000D5576" w:rsidP="00DD24A8">
            <w:pPr>
              <w:pStyle w:val="TableText"/>
              <w:jc w:val="right"/>
              <w:rPr>
                <w:rFonts w:cs="Arial"/>
                <w:b/>
              </w:rPr>
            </w:pPr>
            <w:r w:rsidRPr="0047058F">
              <w:rPr>
                <w:rFonts w:eastAsia="MS Mincho"/>
                <w:b/>
              </w:rPr>
              <w:t>OR (95% CI)</w:t>
            </w:r>
          </w:p>
        </w:tc>
      </w:tr>
      <w:tr w:rsidR="000D5576" w:rsidRPr="0047058F" w14:paraId="537AF470"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Borders>
              <w:top w:val="single" w:sz="4" w:space="0" w:color="000000"/>
            </w:tcBorders>
          </w:tcPr>
          <w:p w14:paraId="1ECB1781" w14:textId="77777777" w:rsidR="005632DC" w:rsidRPr="0047058F" w:rsidRDefault="005632DC" w:rsidP="00DD24A8">
            <w:pPr>
              <w:pStyle w:val="TableText"/>
              <w:rPr>
                <w:rFonts w:cs="Calibri"/>
                <w:szCs w:val="14"/>
              </w:rPr>
            </w:pPr>
            <w:r w:rsidRPr="0047058F">
              <w:rPr>
                <w:rFonts w:cs="Calibri"/>
                <w:szCs w:val="14"/>
              </w:rPr>
              <w:t>Panic attack</w:t>
            </w:r>
          </w:p>
        </w:tc>
        <w:tc>
          <w:tcPr>
            <w:tcW w:w="242" w:type="pct"/>
            <w:tcBorders>
              <w:top w:val="single" w:sz="4" w:space="0" w:color="000000"/>
            </w:tcBorders>
          </w:tcPr>
          <w:p w14:paraId="705172D9" w14:textId="77777777" w:rsidR="005632DC" w:rsidRPr="0047058F" w:rsidRDefault="005632DC" w:rsidP="00DD24A8">
            <w:pPr>
              <w:pStyle w:val="TableText"/>
              <w:jc w:val="right"/>
              <w:rPr>
                <w:rFonts w:eastAsia="Times New Roman" w:cs="Arial"/>
              </w:rPr>
            </w:pPr>
            <w:r w:rsidRPr="0047058F">
              <w:rPr>
                <w:rFonts w:eastAsia="Times New Roman" w:cs="Arial"/>
              </w:rPr>
              <w:t>44</w:t>
            </w:r>
          </w:p>
        </w:tc>
        <w:tc>
          <w:tcPr>
            <w:tcW w:w="242" w:type="pct"/>
            <w:tcBorders>
              <w:top w:val="single" w:sz="4" w:space="0" w:color="000000"/>
            </w:tcBorders>
          </w:tcPr>
          <w:p w14:paraId="7FAFD781" w14:textId="77777777" w:rsidR="005632DC" w:rsidRPr="0047058F" w:rsidRDefault="005632DC" w:rsidP="00DD24A8">
            <w:pPr>
              <w:pStyle w:val="TableText"/>
              <w:jc w:val="right"/>
              <w:rPr>
                <w:rFonts w:eastAsia="Times New Roman" w:cs="Arial"/>
              </w:rPr>
            </w:pPr>
            <w:r w:rsidRPr="0047058F">
              <w:rPr>
                <w:rFonts w:eastAsia="Times New Roman" w:cs="Arial"/>
              </w:rPr>
              <w:t>16.9</w:t>
            </w:r>
          </w:p>
        </w:tc>
        <w:tc>
          <w:tcPr>
            <w:tcW w:w="242" w:type="pct"/>
            <w:tcBorders>
              <w:top w:val="single" w:sz="4" w:space="0" w:color="000000"/>
            </w:tcBorders>
          </w:tcPr>
          <w:p w14:paraId="17EB66A1" w14:textId="77777777" w:rsidR="005632DC" w:rsidRPr="0047058F" w:rsidRDefault="005632DC" w:rsidP="00DD24A8">
            <w:pPr>
              <w:pStyle w:val="TableText"/>
              <w:jc w:val="right"/>
              <w:rPr>
                <w:rFonts w:eastAsia="Times New Roman" w:cs="Arial"/>
              </w:rPr>
            </w:pPr>
            <w:r w:rsidRPr="0047058F">
              <w:rPr>
                <w:rFonts w:eastAsia="Times New Roman" w:cs="Arial"/>
              </w:rPr>
              <w:t>69</w:t>
            </w:r>
          </w:p>
        </w:tc>
        <w:tc>
          <w:tcPr>
            <w:tcW w:w="242" w:type="pct"/>
            <w:tcBorders>
              <w:top w:val="single" w:sz="4" w:space="0" w:color="000000"/>
            </w:tcBorders>
          </w:tcPr>
          <w:p w14:paraId="3CCCDE38" w14:textId="77777777" w:rsidR="005632DC" w:rsidRPr="0047058F" w:rsidRDefault="005632DC" w:rsidP="00DD24A8">
            <w:pPr>
              <w:pStyle w:val="TableText"/>
              <w:jc w:val="right"/>
              <w:rPr>
                <w:rFonts w:eastAsia="Times New Roman" w:cs="Arial"/>
              </w:rPr>
            </w:pPr>
            <w:r w:rsidRPr="0047058F">
              <w:rPr>
                <w:rFonts w:eastAsia="Times New Roman" w:cs="Arial"/>
              </w:rPr>
              <w:t>12.3</w:t>
            </w:r>
          </w:p>
        </w:tc>
        <w:tc>
          <w:tcPr>
            <w:tcW w:w="242" w:type="pct"/>
            <w:tcBorders>
              <w:top w:val="single" w:sz="4" w:space="0" w:color="000000"/>
            </w:tcBorders>
          </w:tcPr>
          <w:p w14:paraId="1A75D8DF" w14:textId="77777777" w:rsidR="005632DC" w:rsidRPr="0047058F" w:rsidRDefault="005632DC" w:rsidP="00DD24A8">
            <w:pPr>
              <w:pStyle w:val="TableText"/>
              <w:jc w:val="right"/>
            </w:pPr>
            <w:r w:rsidRPr="0047058F">
              <w:rPr>
                <w:rFonts w:eastAsia="Times New Roman" w:cs="Arial"/>
              </w:rPr>
              <w:t>113</w:t>
            </w:r>
          </w:p>
        </w:tc>
        <w:tc>
          <w:tcPr>
            <w:tcW w:w="242" w:type="pct"/>
            <w:tcBorders>
              <w:top w:val="single" w:sz="4" w:space="0" w:color="000000"/>
            </w:tcBorders>
          </w:tcPr>
          <w:p w14:paraId="360DA446" w14:textId="77777777" w:rsidR="005632DC" w:rsidRPr="0047058F" w:rsidRDefault="005632DC" w:rsidP="00DD24A8">
            <w:pPr>
              <w:pStyle w:val="TableText"/>
              <w:jc w:val="right"/>
            </w:pPr>
            <w:r w:rsidRPr="0047058F">
              <w:rPr>
                <w:rFonts w:eastAsia="Times New Roman" w:cs="Arial"/>
              </w:rPr>
              <w:t>13.8</w:t>
            </w:r>
          </w:p>
        </w:tc>
        <w:tc>
          <w:tcPr>
            <w:tcW w:w="242" w:type="pct"/>
            <w:tcBorders>
              <w:top w:val="single" w:sz="4" w:space="0" w:color="000000"/>
            </w:tcBorders>
          </w:tcPr>
          <w:p w14:paraId="4463F349" w14:textId="77777777" w:rsidR="005632DC" w:rsidRPr="0047058F" w:rsidRDefault="005632DC" w:rsidP="00DD24A8">
            <w:pPr>
              <w:pStyle w:val="TableText"/>
              <w:jc w:val="right"/>
            </w:pPr>
            <w:r w:rsidRPr="0047058F">
              <w:rPr>
                <w:rFonts w:eastAsia="Times New Roman" w:cs="Arial"/>
              </w:rPr>
              <w:t>46</w:t>
            </w:r>
          </w:p>
        </w:tc>
        <w:tc>
          <w:tcPr>
            <w:tcW w:w="242" w:type="pct"/>
            <w:tcBorders>
              <w:top w:val="single" w:sz="4" w:space="0" w:color="000000"/>
            </w:tcBorders>
          </w:tcPr>
          <w:p w14:paraId="497919E6" w14:textId="77777777" w:rsidR="005632DC" w:rsidRPr="0047058F" w:rsidRDefault="005632DC" w:rsidP="00DD24A8">
            <w:pPr>
              <w:pStyle w:val="TableText"/>
              <w:jc w:val="right"/>
            </w:pPr>
            <w:r w:rsidRPr="0047058F">
              <w:rPr>
                <w:rFonts w:eastAsia="Times New Roman" w:cs="Arial"/>
              </w:rPr>
              <w:t>17.6</w:t>
            </w:r>
          </w:p>
        </w:tc>
        <w:tc>
          <w:tcPr>
            <w:tcW w:w="242" w:type="pct"/>
            <w:tcBorders>
              <w:top w:val="single" w:sz="4" w:space="0" w:color="000000"/>
            </w:tcBorders>
          </w:tcPr>
          <w:p w14:paraId="45E3795A" w14:textId="77777777" w:rsidR="005632DC" w:rsidRPr="0047058F" w:rsidRDefault="005632DC" w:rsidP="00DD24A8">
            <w:pPr>
              <w:pStyle w:val="TableText"/>
              <w:jc w:val="right"/>
            </w:pPr>
            <w:r w:rsidRPr="0047058F">
              <w:rPr>
                <w:rFonts w:eastAsia="Times New Roman" w:cs="Arial"/>
              </w:rPr>
              <w:t>85</w:t>
            </w:r>
          </w:p>
        </w:tc>
        <w:tc>
          <w:tcPr>
            <w:tcW w:w="242" w:type="pct"/>
            <w:tcBorders>
              <w:top w:val="single" w:sz="4" w:space="0" w:color="000000"/>
            </w:tcBorders>
          </w:tcPr>
          <w:p w14:paraId="42B341A5" w14:textId="77777777" w:rsidR="005632DC" w:rsidRPr="0047058F" w:rsidRDefault="005632DC" w:rsidP="00DD24A8">
            <w:pPr>
              <w:pStyle w:val="TableText"/>
              <w:jc w:val="right"/>
            </w:pPr>
            <w:r w:rsidRPr="0047058F">
              <w:rPr>
                <w:rFonts w:eastAsia="Times New Roman" w:cs="Arial"/>
              </w:rPr>
              <w:t>15.2</w:t>
            </w:r>
          </w:p>
        </w:tc>
        <w:tc>
          <w:tcPr>
            <w:tcW w:w="242" w:type="pct"/>
            <w:tcBorders>
              <w:top w:val="single" w:sz="4" w:space="0" w:color="000000"/>
            </w:tcBorders>
          </w:tcPr>
          <w:p w14:paraId="71EA2982" w14:textId="77777777" w:rsidR="005632DC" w:rsidRPr="0047058F" w:rsidRDefault="005632DC" w:rsidP="00DD24A8">
            <w:pPr>
              <w:pStyle w:val="TableText"/>
              <w:jc w:val="right"/>
            </w:pPr>
            <w:r w:rsidRPr="0047058F">
              <w:rPr>
                <w:rFonts w:eastAsia="Times New Roman" w:cs="Arial"/>
              </w:rPr>
              <w:t>131</w:t>
            </w:r>
          </w:p>
        </w:tc>
        <w:tc>
          <w:tcPr>
            <w:tcW w:w="242" w:type="pct"/>
            <w:tcBorders>
              <w:top w:val="single" w:sz="4" w:space="0" w:color="000000"/>
            </w:tcBorders>
          </w:tcPr>
          <w:p w14:paraId="3F4766E0" w14:textId="77777777" w:rsidR="005632DC" w:rsidRPr="0047058F" w:rsidRDefault="005632DC" w:rsidP="00DD24A8">
            <w:pPr>
              <w:pStyle w:val="TableText"/>
              <w:jc w:val="right"/>
            </w:pPr>
            <w:r w:rsidRPr="0047058F">
              <w:rPr>
                <w:rFonts w:eastAsia="Times New Roman" w:cs="Arial"/>
              </w:rPr>
              <w:t>16.0</w:t>
            </w:r>
          </w:p>
        </w:tc>
        <w:tc>
          <w:tcPr>
            <w:tcW w:w="503" w:type="pct"/>
            <w:tcBorders>
              <w:top w:val="single" w:sz="4" w:space="0" w:color="000000"/>
            </w:tcBorders>
          </w:tcPr>
          <w:p w14:paraId="31426296" w14:textId="77777777" w:rsidR="005632DC" w:rsidRPr="0047058F" w:rsidRDefault="005632DC" w:rsidP="00DD24A8">
            <w:pPr>
              <w:pStyle w:val="TableText"/>
              <w:jc w:val="right"/>
              <w:rPr>
                <w:szCs w:val="14"/>
              </w:rPr>
            </w:pPr>
            <w:r w:rsidRPr="0047058F">
              <w:rPr>
                <w:rFonts w:eastAsia="Times New Roman" w:cs="Arial"/>
                <w:szCs w:val="14"/>
              </w:rPr>
              <w:t>1.44 (0.96–2.17)</w:t>
            </w:r>
          </w:p>
        </w:tc>
        <w:tc>
          <w:tcPr>
            <w:tcW w:w="503" w:type="pct"/>
            <w:tcBorders>
              <w:top w:val="single" w:sz="4" w:space="0" w:color="000000"/>
            </w:tcBorders>
          </w:tcPr>
          <w:p w14:paraId="5ACCEBB5" w14:textId="77777777" w:rsidR="005632DC" w:rsidRPr="0047058F" w:rsidRDefault="005632DC" w:rsidP="00DD24A8">
            <w:pPr>
              <w:pStyle w:val="TableText"/>
              <w:jc w:val="right"/>
              <w:rPr>
                <w:szCs w:val="14"/>
              </w:rPr>
            </w:pPr>
            <w:r w:rsidRPr="0047058F">
              <w:rPr>
                <w:rFonts w:eastAsia="Times New Roman" w:cs="Arial"/>
                <w:szCs w:val="14"/>
              </w:rPr>
              <w:t>1.19 (0.81–1.77)</w:t>
            </w:r>
          </w:p>
        </w:tc>
        <w:tc>
          <w:tcPr>
            <w:tcW w:w="502" w:type="pct"/>
            <w:tcBorders>
              <w:top w:val="single" w:sz="4" w:space="0" w:color="000000"/>
            </w:tcBorders>
          </w:tcPr>
          <w:p w14:paraId="027B6915" w14:textId="77777777" w:rsidR="005632DC" w:rsidRPr="0047058F" w:rsidRDefault="005632DC" w:rsidP="00DD24A8">
            <w:pPr>
              <w:pStyle w:val="TableText"/>
              <w:jc w:val="right"/>
              <w:rPr>
                <w:szCs w:val="14"/>
              </w:rPr>
            </w:pPr>
            <w:r w:rsidRPr="0047058F">
              <w:rPr>
                <w:rFonts w:eastAsia="Times New Roman" w:cs="Arial"/>
                <w:szCs w:val="14"/>
              </w:rPr>
              <w:t>1.19 (0.91–1.57)</w:t>
            </w:r>
          </w:p>
        </w:tc>
      </w:tr>
      <w:tr w:rsidR="00DD24A8" w:rsidRPr="0047058F" w14:paraId="3F3C59A8" w14:textId="77777777" w:rsidTr="000D5576">
        <w:tc>
          <w:tcPr>
            <w:tcW w:w="588" w:type="pct"/>
          </w:tcPr>
          <w:p w14:paraId="2F00542B" w14:textId="77777777" w:rsidR="005632DC" w:rsidRPr="0047058F" w:rsidRDefault="005632DC" w:rsidP="00DD24A8">
            <w:pPr>
              <w:pStyle w:val="TableText"/>
              <w:rPr>
                <w:rFonts w:cs="Calibri"/>
                <w:szCs w:val="14"/>
              </w:rPr>
            </w:pPr>
            <w:r w:rsidRPr="0047058F">
              <w:rPr>
                <w:rFonts w:cs="Calibri"/>
                <w:szCs w:val="14"/>
              </w:rPr>
              <w:t>Panic disorder</w:t>
            </w:r>
          </w:p>
        </w:tc>
        <w:tc>
          <w:tcPr>
            <w:tcW w:w="242" w:type="pct"/>
          </w:tcPr>
          <w:p w14:paraId="3AA9BA2E" w14:textId="77777777" w:rsidR="005632DC" w:rsidRPr="0047058F" w:rsidRDefault="005632DC" w:rsidP="00DD24A8">
            <w:pPr>
              <w:pStyle w:val="TableText"/>
              <w:jc w:val="right"/>
              <w:rPr>
                <w:rFonts w:eastAsia="Times New Roman" w:cs="Arial"/>
              </w:rPr>
            </w:pPr>
            <w:r w:rsidRPr="0047058F">
              <w:rPr>
                <w:rFonts w:eastAsia="Times New Roman" w:cs="Arial"/>
              </w:rPr>
              <w:t>14</w:t>
            </w:r>
          </w:p>
        </w:tc>
        <w:tc>
          <w:tcPr>
            <w:tcW w:w="242" w:type="pct"/>
          </w:tcPr>
          <w:p w14:paraId="1C585845" w14:textId="77777777" w:rsidR="005632DC" w:rsidRPr="0047058F" w:rsidRDefault="005632DC" w:rsidP="00DD24A8">
            <w:pPr>
              <w:pStyle w:val="TableText"/>
              <w:jc w:val="right"/>
              <w:rPr>
                <w:rFonts w:eastAsia="Times New Roman" w:cs="Arial"/>
              </w:rPr>
            </w:pPr>
            <w:r w:rsidRPr="0047058F">
              <w:rPr>
                <w:rFonts w:eastAsia="Times New Roman" w:cs="Arial"/>
              </w:rPr>
              <w:t>5.4</w:t>
            </w:r>
          </w:p>
        </w:tc>
        <w:tc>
          <w:tcPr>
            <w:tcW w:w="242" w:type="pct"/>
          </w:tcPr>
          <w:p w14:paraId="043F1594" w14:textId="77777777" w:rsidR="005632DC" w:rsidRPr="0047058F" w:rsidRDefault="005632DC" w:rsidP="00DD24A8">
            <w:pPr>
              <w:pStyle w:val="TableText"/>
              <w:jc w:val="right"/>
              <w:rPr>
                <w:rFonts w:eastAsia="Times New Roman" w:cs="Arial"/>
              </w:rPr>
            </w:pPr>
            <w:r w:rsidRPr="0047058F">
              <w:rPr>
                <w:rFonts w:eastAsia="Times New Roman" w:cs="Arial"/>
              </w:rPr>
              <w:t>20</w:t>
            </w:r>
          </w:p>
        </w:tc>
        <w:tc>
          <w:tcPr>
            <w:tcW w:w="242" w:type="pct"/>
          </w:tcPr>
          <w:p w14:paraId="032B7F53" w14:textId="77777777" w:rsidR="005632DC" w:rsidRPr="0047058F" w:rsidRDefault="005632DC" w:rsidP="00DD24A8">
            <w:pPr>
              <w:pStyle w:val="TableText"/>
              <w:jc w:val="right"/>
              <w:rPr>
                <w:rFonts w:eastAsia="Times New Roman" w:cs="Arial"/>
              </w:rPr>
            </w:pPr>
            <w:r w:rsidRPr="0047058F">
              <w:rPr>
                <w:rFonts w:eastAsia="Times New Roman" w:cs="Arial"/>
              </w:rPr>
              <w:t>3.6</w:t>
            </w:r>
          </w:p>
        </w:tc>
        <w:tc>
          <w:tcPr>
            <w:tcW w:w="242" w:type="pct"/>
          </w:tcPr>
          <w:p w14:paraId="36C03B3D" w14:textId="77777777" w:rsidR="005632DC" w:rsidRPr="0047058F" w:rsidRDefault="005632DC" w:rsidP="00DD24A8">
            <w:pPr>
              <w:pStyle w:val="TableText"/>
              <w:jc w:val="right"/>
            </w:pPr>
            <w:r w:rsidRPr="0047058F">
              <w:rPr>
                <w:rFonts w:eastAsia="Times New Roman" w:cs="Arial"/>
              </w:rPr>
              <w:t>34</w:t>
            </w:r>
          </w:p>
        </w:tc>
        <w:tc>
          <w:tcPr>
            <w:tcW w:w="242" w:type="pct"/>
          </w:tcPr>
          <w:p w14:paraId="07AD73D3" w14:textId="77777777" w:rsidR="005632DC" w:rsidRPr="0047058F" w:rsidRDefault="005632DC" w:rsidP="00DD24A8">
            <w:pPr>
              <w:pStyle w:val="TableText"/>
              <w:jc w:val="right"/>
            </w:pPr>
            <w:r w:rsidRPr="0047058F">
              <w:rPr>
                <w:rFonts w:eastAsia="Times New Roman" w:cs="Arial"/>
              </w:rPr>
              <w:t>4.1</w:t>
            </w:r>
          </w:p>
        </w:tc>
        <w:tc>
          <w:tcPr>
            <w:tcW w:w="242" w:type="pct"/>
          </w:tcPr>
          <w:p w14:paraId="244115E8" w14:textId="77777777" w:rsidR="005632DC" w:rsidRPr="0047058F" w:rsidRDefault="005632DC" w:rsidP="00DD24A8">
            <w:pPr>
              <w:pStyle w:val="TableText"/>
              <w:jc w:val="right"/>
            </w:pPr>
            <w:r w:rsidRPr="0047058F">
              <w:rPr>
                <w:rFonts w:eastAsia="Times New Roman" w:cs="Arial"/>
              </w:rPr>
              <w:t>21</w:t>
            </w:r>
          </w:p>
        </w:tc>
        <w:tc>
          <w:tcPr>
            <w:tcW w:w="242" w:type="pct"/>
          </w:tcPr>
          <w:p w14:paraId="6FF23E38" w14:textId="77777777" w:rsidR="005632DC" w:rsidRPr="0047058F" w:rsidRDefault="005632DC" w:rsidP="00DD24A8">
            <w:pPr>
              <w:pStyle w:val="TableText"/>
              <w:jc w:val="right"/>
            </w:pPr>
            <w:r w:rsidRPr="0047058F">
              <w:rPr>
                <w:rFonts w:eastAsia="Times New Roman" w:cs="Arial"/>
              </w:rPr>
              <w:t>8.0</w:t>
            </w:r>
          </w:p>
        </w:tc>
        <w:tc>
          <w:tcPr>
            <w:tcW w:w="242" w:type="pct"/>
          </w:tcPr>
          <w:p w14:paraId="3B49DB7C" w14:textId="77777777" w:rsidR="005632DC" w:rsidRPr="0047058F" w:rsidRDefault="005632DC" w:rsidP="00DD24A8">
            <w:pPr>
              <w:pStyle w:val="TableText"/>
              <w:jc w:val="right"/>
            </w:pPr>
            <w:r w:rsidRPr="0047058F">
              <w:rPr>
                <w:rFonts w:eastAsia="Times New Roman" w:cs="Arial"/>
              </w:rPr>
              <w:t>13</w:t>
            </w:r>
          </w:p>
        </w:tc>
        <w:tc>
          <w:tcPr>
            <w:tcW w:w="242" w:type="pct"/>
          </w:tcPr>
          <w:p w14:paraId="1B7608AE" w14:textId="77777777" w:rsidR="005632DC" w:rsidRPr="0047058F" w:rsidRDefault="005632DC" w:rsidP="00DD24A8">
            <w:pPr>
              <w:pStyle w:val="TableText"/>
              <w:jc w:val="right"/>
            </w:pPr>
            <w:r w:rsidRPr="0047058F">
              <w:rPr>
                <w:rFonts w:eastAsia="Times New Roman" w:cs="Arial"/>
              </w:rPr>
              <w:t>2.3</w:t>
            </w:r>
          </w:p>
        </w:tc>
        <w:tc>
          <w:tcPr>
            <w:tcW w:w="242" w:type="pct"/>
          </w:tcPr>
          <w:p w14:paraId="1A37AC84" w14:textId="77777777" w:rsidR="005632DC" w:rsidRPr="0047058F" w:rsidRDefault="005632DC" w:rsidP="00DD24A8">
            <w:pPr>
              <w:pStyle w:val="TableText"/>
              <w:jc w:val="right"/>
            </w:pPr>
            <w:r w:rsidRPr="0047058F">
              <w:rPr>
                <w:rFonts w:eastAsia="Times New Roman" w:cs="Arial"/>
              </w:rPr>
              <w:t>34</w:t>
            </w:r>
          </w:p>
        </w:tc>
        <w:tc>
          <w:tcPr>
            <w:tcW w:w="242" w:type="pct"/>
          </w:tcPr>
          <w:p w14:paraId="64E20B5C" w14:textId="77777777" w:rsidR="005632DC" w:rsidRPr="0047058F" w:rsidRDefault="005632DC" w:rsidP="00DD24A8">
            <w:pPr>
              <w:pStyle w:val="TableText"/>
              <w:jc w:val="right"/>
            </w:pPr>
            <w:r w:rsidRPr="0047058F">
              <w:rPr>
                <w:rFonts w:eastAsia="Times New Roman" w:cs="Arial"/>
              </w:rPr>
              <w:t>4.1</w:t>
            </w:r>
          </w:p>
        </w:tc>
        <w:tc>
          <w:tcPr>
            <w:tcW w:w="503" w:type="pct"/>
          </w:tcPr>
          <w:p w14:paraId="4EDAA63B" w14:textId="77777777" w:rsidR="005632DC" w:rsidRPr="0047058F" w:rsidRDefault="005632DC" w:rsidP="00DD24A8">
            <w:pPr>
              <w:pStyle w:val="TableText"/>
              <w:jc w:val="right"/>
              <w:rPr>
                <w:szCs w:val="14"/>
              </w:rPr>
            </w:pPr>
            <w:r w:rsidRPr="0047058F">
              <w:rPr>
                <w:rFonts w:eastAsia="Times New Roman" w:cs="Arial"/>
                <w:szCs w:val="14"/>
              </w:rPr>
              <w:t>1.53 (0.76–3.07)</w:t>
            </w:r>
          </w:p>
        </w:tc>
        <w:tc>
          <w:tcPr>
            <w:tcW w:w="503" w:type="pct"/>
          </w:tcPr>
          <w:p w14:paraId="35280F29" w14:textId="77777777" w:rsidR="005632DC" w:rsidRPr="0047058F" w:rsidRDefault="005632DC" w:rsidP="00DD24A8">
            <w:pPr>
              <w:pStyle w:val="TableText"/>
              <w:jc w:val="right"/>
              <w:rPr>
                <w:szCs w:val="14"/>
              </w:rPr>
            </w:pPr>
            <w:r w:rsidRPr="0047058F">
              <w:rPr>
                <w:rFonts w:eastAsia="Times New Roman" w:cs="Arial"/>
                <w:szCs w:val="14"/>
              </w:rPr>
              <w:t>3.68 (1.81–7.46)</w:t>
            </w:r>
          </w:p>
        </w:tc>
        <w:tc>
          <w:tcPr>
            <w:tcW w:w="502" w:type="pct"/>
          </w:tcPr>
          <w:p w14:paraId="5CDA56AF" w14:textId="77777777" w:rsidR="005632DC" w:rsidRPr="0047058F" w:rsidRDefault="005632DC" w:rsidP="00DD24A8">
            <w:pPr>
              <w:pStyle w:val="TableText"/>
              <w:jc w:val="right"/>
              <w:rPr>
                <w:szCs w:val="14"/>
              </w:rPr>
            </w:pPr>
            <w:r w:rsidRPr="0047058F">
              <w:rPr>
                <w:rFonts w:eastAsia="Times New Roman" w:cs="Arial"/>
                <w:szCs w:val="14"/>
              </w:rPr>
              <w:t>1.00 (0.61–1.63)</w:t>
            </w:r>
          </w:p>
        </w:tc>
      </w:tr>
      <w:tr w:rsidR="000D5576" w:rsidRPr="0047058F" w14:paraId="32FFE91E"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Pr>
          <w:p w14:paraId="094852F5" w14:textId="77777777" w:rsidR="005632DC" w:rsidRPr="0047058F" w:rsidRDefault="005632DC" w:rsidP="00DD24A8">
            <w:pPr>
              <w:pStyle w:val="TableText"/>
              <w:rPr>
                <w:rFonts w:cs="Calibri"/>
                <w:szCs w:val="14"/>
              </w:rPr>
            </w:pPr>
            <w:r w:rsidRPr="0047058F">
              <w:rPr>
                <w:rFonts w:cs="Calibri"/>
                <w:szCs w:val="14"/>
              </w:rPr>
              <w:t>Agoraphobia</w:t>
            </w:r>
          </w:p>
        </w:tc>
        <w:tc>
          <w:tcPr>
            <w:tcW w:w="242" w:type="pct"/>
          </w:tcPr>
          <w:p w14:paraId="36A33B13" w14:textId="77777777" w:rsidR="005632DC" w:rsidRPr="0047058F" w:rsidRDefault="005632DC" w:rsidP="00DD24A8">
            <w:pPr>
              <w:pStyle w:val="TableText"/>
              <w:jc w:val="right"/>
              <w:rPr>
                <w:rFonts w:eastAsia="Times New Roman" w:cs="Arial"/>
              </w:rPr>
            </w:pPr>
            <w:r w:rsidRPr="0047058F">
              <w:rPr>
                <w:rFonts w:eastAsia="Times New Roman" w:cs="Arial"/>
              </w:rPr>
              <w:t>22</w:t>
            </w:r>
          </w:p>
        </w:tc>
        <w:tc>
          <w:tcPr>
            <w:tcW w:w="242" w:type="pct"/>
          </w:tcPr>
          <w:p w14:paraId="2F1E18FA" w14:textId="77777777" w:rsidR="005632DC" w:rsidRPr="0047058F" w:rsidRDefault="005632DC" w:rsidP="00DD24A8">
            <w:pPr>
              <w:pStyle w:val="TableText"/>
              <w:jc w:val="right"/>
              <w:rPr>
                <w:rFonts w:eastAsia="Times New Roman" w:cs="Arial"/>
              </w:rPr>
            </w:pPr>
            <w:r w:rsidRPr="0047058F">
              <w:rPr>
                <w:rFonts w:eastAsia="Times New Roman" w:cs="Arial"/>
              </w:rPr>
              <w:t>8.4</w:t>
            </w:r>
          </w:p>
        </w:tc>
        <w:tc>
          <w:tcPr>
            <w:tcW w:w="242" w:type="pct"/>
          </w:tcPr>
          <w:p w14:paraId="30B0F6D4" w14:textId="77777777" w:rsidR="005632DC" w:rsidRPr="0047058F" w:rsidRDefault="005632DC" w:rsidP="00DD24A8">
            <w:pPr>
              <w:pStyle w:val="TableText"/>
              <w:jc w:val="right"/>
              <w:rPr>
                <w:rFonts w:eastAsia="Times New Roman" w:cs="Arial"/>
              </w:rPr>
            </w:pPr>
            <w:r w:rsidRPr="0047058F">
              <w:rPr>
                <w:rFonts w:eastAsia="Times New Roman" w:cs="Arial"/>
              </w:rPr>
              <w:t>22</w:t>
            </w:r>
          </w:p>
        </w:tc>
        <w:tc>
          <w:tcPr>
            <w:tcW w:w="242" w:type="pct"/>
          </w:tcPr>
          <w:p w14:paraId="0FF9EBD9" w14:textId="77777777" w:rsidR="005632DC" w:rsidRPr="0047058F" w:rsidRDefault="005632DC" w:rsidP="00DD24A8">
            <w:pPr>
              <w:pStyle w:val="TableText"/>
              <w:jc w:val="right"/>
              <w:rPr>
                <w:rFonts w:eastAsia="Times New Roman" w:cs="Arial"/>
              </w:rPr>
            </w:pPr>
            <w:r w:rsidRPr="0047058F">
              <w:rPr>
                <w:rFonts w:eastAsia="Times New Roman" w:cs="Arial"/>
              </w:rPr>
              <w:t>3.9</w:t>
            </w:r>
          </w:p>
        </w:tc>
        <w:tc>
          <w:tcPr>
            <w:tcW w:w="242" w:type="pct"/>
          </w:tcPr>
          <w:p w14:paraId="01D9AC97" w14:textId="77777777" w:rsidR="005632DC" w:rsidRPr="0047058F" w:rsidRDefault="005632DC" w:rsidP="00DD24A8">
            <w:pPr>
              <w:pStyle w:val="TableText"/>
              <w:jc w:val="right"/>
            </w:pPr>
            <w:r w:rsidRPr="0047058F">
              <w:rPr>
                <w:rFonts w:eastAsia="Times New Roman" w:cs="Arial"/>
              </w:rPr>
              <w:t>44</w:t>
            </w:r>
          </w:p>
        </w:tc>
        <w:tc>
          <w:tcPr>
            <w:tcW w:w="242" w:type="pct"/>
          </w:tcPr>
          <w:p w14:paraId="16BEDEA5" w14:textId="77777777" w:rsidR="005632DC" w:rsidRPr="0047058F" w:rsidRDefault="005632DC" w:rsidP="00DD24A8">
            <w:pPr>
              <w:pStyle w:val="TableText"/>
              <w:jc w:val="right"/>
            </w:pPr>
            <w:r w:rsidRPr="0047058F">
              <w:rPr>
                <w:rFonts w:eastAsia="Times New Roman" w:cs="Arial"/>
              </w:rPr>
              <w:t>5.4</w:t>
            </w:r>
          </w:p>
        </w:tc>
        <w:tc>
          <w:tcPr>
            <w:tcW w:w="242" w:type="pct"/>
          </w:tcPr>
          <w:p w14:paraId="337025DA" w14:textId="77777777" w:rsidR="005632DC" w:rsidRPr="0047058F" w:rsidRDefault="005632DC" w:rsidP="00DD24A8">
            <w:pPr>
              <w:pStyle w:val="TableText"/>
              <w:jc w:val="right"/>
            </w:pPr>
            <w:r w:rsidRPr="0047058F">
              <w:rPr>
                <w:rFonts w:eastAsia="Times New Roman" w:cs="Arial"/>
              </w:rPr>
              <w:t>39</w:t>
            </w:r>
          </w:p>
        </w:tc>
        <w:tc>
          <w:tcPr>
            <w:tcW w:w="242" w:type="pct"/>
          </w:tcPr>
          <w:p w14:paraId="7068F8BB" w14:textId="77777777" w:rsidR="005632DC" w:rsidRPr="0047058F" w:rsidRDefault="005632DC" w:rsidP="00DD24A8">
            <w:pPr>
              <w:pStyle w:val="TableText"/>
              <w:jc w:val="right"/>
            </w:pPr>
            <w:r w:rsidRPr="0047058F">
              <w:rPr>
                <w:rFonts w:eastAsia="Times New Roman" w:cs="Arial"/>
              </w:rPr>
              <w:t>14.9</w:t>
            </w:r>
          </w:p>
        </w:tc>
        <w:tc>
          <w:tcPr>
            <w:tcW w:w="242" w:type="pct"/>
          </w:tcPr>
          <w:p w14:paraId="061B044A" w14:textId="77777777" w:rsidR="005632DC" w:rsidRPr="0047058F" w:rsidRDefault="005632DC" w:rsidP="00DD24A8">
            <w:pPr>
              <w:pStyle w:val="TableText"/>
              <w:jc w:val="right"/>
            </w:pPr>
            <w:r w:rsidRPr="0047058F">
              <w:rPr>
                <w:rFonts w:eastAsia="Times New Roman" w:cs="Arial"/>
              </w:rPr>
              <w:t>37</w:t>
            </w:r>
          </w:p>
        </w:tc>
        <w:tc>
          <w:tcPr>
            <w:tcW w:w="242" w:type="pct"/>
          </w:tcPr>
          <w:p w14:paraId="55804327" w14:textId="77777777" w:rsidR="005632DC" w:rsidRPr="0047058F" w:rsidRDefault="005632DC" w:rsidP="00DD24A8">
            <w:pPr>
              <w:pStyle w:val="TableText"/>
              <w:jc w:val="right"/>
            </w:pPr>
            <w:r w:rsidRPr="0047058F">
              <w:rPr>
                <w:rFonts w:eastAsia="Times New Roman" w:cs="Arial"/>
              </w:rPr>
              <w:t>6.6</w:t>
            </w:r>
          </w:p>
        </w:tc>
        <w:tc>
          <w:tcPr>
            <w:tcW w:w="242" w:type="pct"/>
          </w:tcPr>
          <w:p w14:paraId="349D18D1" w14:textId="77777777" w:rsidR="005632DC" w:rsidRPr="0047058F" w:rsidRDefault="005632DC" w:rsidP="00DD24A8">
            <w:pPr>
              <w:pStyle w:val="TableText"/>
              <w:jc w:val="right"/>
            </w:pPr>
            <w:r w:rsidRPr="0047058F">
              <w:rPr>
                <w:rFonts w:eastAsia="Times New Roman" w:cs="Arial"/>
              </w:rPr>
              <w:t>76</w:t>
            </w:r>
          </w:p>
        </w:tc>
        <w:tc>
          <w:tcPr>
            <w:tcW w:w="242" w:type="pct"/>
          </w:tcPr>
          <w:p w14:paraId="09CDE81D" w14:textId="77777777" w:rsidR="005632DC" w:rsidRPr="0047058F" w:rsidRDefault="005632DC" w:rsidP="00DD24A8">
            <w:pPr>
              <w:pStyle w:val="TableText"/>
              <w:jc w:val="right"/>
            </w:pPr>
            <w:r w:rsidRPr="0047058F">
              <w:rPr>
                <w:rFonts w:eastAsia="Times New Roman" w:cs="Arial"/>
              </w:rPr>
              <w:t>9.3</w:t>
            </w:r>
          </w:p>
        </w:tc>
        <w:tc>
          <w:tcPr>
            <w:tcW w:w="503" w:type="pct"/>
          </w:tcPr>
          <w:p w14:paraId="3B4E6060" w14:textId="77777777" w:rsidR="005632DC" w:rsidRPr="0047058F" w:rsidRDefault="005632DC" w:rsidP="00DD24A8">
            <w:pPr>
              <w:pStyle w:val="TableText"/>
              <w:jc w:val="right"/>
              <w:rPr>
                <w:szCs w:val="14"/>
              </w:rPr>
            </w:pPr>
            <w:r w:rsidRPr="0047058F">
              <w:rPr>
                <w:rFonts w:eastAsia="Times New Roman" w:cs="Arial"/>
                <w:szCs w:val="14"/>
              </w:rPr>
              <w:t>2.25 (1.22–4.14)</w:t>
            </w:r>
          </w:p>
        </w:tc>
        <w:tc>
          <w:tcPr>
            <w:tcW w:w="503" w:type="pct"/>
          </w:tcPr>
          <w:p w14:paraId="48D4136C" w14:textId="77777777" w:rsidR="005632DC" w:rsidRPr="0047058F" w:rsidRDefault="005632DC" w:rsidP="00DD24A8">
            <w:pPr>
              <w:pStyle w:val="TableText"/>
              <w:jc w:val="right"/>
              <w:rPr>
                <w:szCs w:val="14"/>
              </w:rPr>
            </w:pPr>
            <w:r w:rsidRPr="0047058F">
              <w:rPr>
                <w:rFonts w:eastAsia="Times New Roman" w:cs="Arial"/>
                <w:szCs w:val="14"/>
              </w:rPr>
              <w:t>2.48 (1.54–3.99)</w:t>
            </w:r>
          </w:p>
        </w:tc>
        <w:tc>
          <w:tcPr>
            <w:tcW w:w="502" w:type="pct"/>
          </w:tcPr>
          <w:p w14:paraId="0AF9FA31" w14:textId="77777777" w:rsidR="005632DC" w:rsidRPr="0047058F" w:rsidRDefault="005632DC" w:rsidP="00DD24A8">
            <w:pPr>
              <w:pStyle w:val="TableText"/>
              <w:jc w:val="right"/>
              <w:rPr>
                <w:szCs w:val="14"/>
              </w:rPr>
            </w:pPr>
            <w:r w:rsidRPr="0047058F">
              <w:rPr>
                <w:rFonts w:eastAsia="Times New Roman" w:cs="Arial"/>
                <w:szCs w:val="14"/>
              </w:rPr>
              <w:t>1.82 (1.24–2.69)</w:t>
            </w:r>
          </w:p>
        </w:tc>
      </w:tr>
      <w:tr w:rsidR="00DD24A8" w:rsidRPr="0047058F" w14:paraId="42DCA78C" w14:textId="77777777" w:rsidTr="000D5576">
        <w:tc>
          <w:tcPr>
            <w:tcW w:w="588" w:type="pct"/>
          </w:tcPr>
          <w:p w14:paraId="1E9EEA09" w14:textId="77777777" w:rsidR="005632DC" w:rsidRPr="0047058F" w:rsidRDefault="005632DC" w:rsidP="00DD24A8">
            <w:pPr>
              <w:pStyle w:val="TableText"/>
              <w:rPr>
                <w:rFonts w:cs="Calibri"/>
                <w:szCs w:val="14"/>
              </w:rPr>
            </w:pPr>
            <w:r w:rsidRPr="0047058F">
              <w:rPr>
                <w:rFonts w:cs="Calibri"/>
                <w:szCs w:val="14"/>
              </w:rPr>
              <w:t>Social phobia</w:t>
            </w:r>
          </w:p>
        </w:tc>
        <w:tc>
          <w:tcPr>
            <w:tcW w:w="242" w:type="pct"/>
          </w:tcPr>
          <w:p w14:paraId="51850F58" w14:textId="77777777" w:rsidR="005632DC" w:rsidRPr="0047058F" w:rsidRDefault="005632DC" w:rsidP="00DD24A8">
            <w:pPr>
              <w:pStyle w:val="TableText"/>
              <w:jc w:val="right"/>
              <w:rPr>
                <w:rFonts w:eastAsia="Times New Roman" w:cs="Arial"/>
              </w:rPr>
            </w:pPr>
            <w:r w:rsidRPr="0047058F">
              <w:rPr>
                <w:rFonts w:eastAsia="Times New Roman" w:cs="Arial"/>
              </w:rPr>
              <w:t>25</w:t>
            </w:r>
          </w:p>
        </w:tc>
        <w:tc>
          <w:tcPr>
            <w:tcW w:w="242" w:type="pct"/>
          </w:tcPr>
          <w:p w14:paraId="78AA8605" w14:textId="77777777" w:rsidR="005632DC" w:rsidRPr="0047058F" w:rsidRDefault="005632DC" w:rsidP="00DD24A8">
            <w:pPr>
              <w:pStyle w:val="TableText"/>
              <w:jc w:val="right"/>
              <w:rPr>
                <w:rFonts w:eastAsia="Times New Roman" w:cs="Arial"/>
              </w:rPr>
            </w:pPr>
            <w:r w:rsidRPr="0047058F">
              <w:rPr>
                <w:rFonts w:eastAsia="Times New Roman" w:cs="Arial"/>
              </w:rPr>
              <w:t>9.6</w:t>
            </w:r>
          </w:p>
        </w:tc>
        <w:tc>
          <w:tcPr>
            <w:tcW w:w="242" w:type="pct"/>
          </w:tcPr>
          <w:p w14:paraId="40E472F7" w14:textId="77777777" w:rsidR="005632DC" w:rsidRPr="0047058F" w:rsidRDefault="005632DC" w:rsidP="00DD24A8">
            <w:pPr>
              <w:pStyle w:val="TableText"/>
              <w:jc w:val="right"/>
              <w:rPr>
                <w:rFonts w:eastAsia="Times New Roman" w:cs="Arial"/>
              </w:rPr>
            </w:pPr>
            <w:r w:rsidRPr="0047058F">
              <w:rPr>
                <w:rFonts w:eastAsia="Times New Roman" w:cs="Arial"/>
              </w:rPr>
              <w:t>41</w:t>
            </w:r>
          </w:p>
        </w:tc>
        <w:tc>
          <w:tcPr>
            <w:tcW w:w="242" w:type="pct"/>
          </w:tcPr>
          <w:p w14:paraId="171B3F08" w14:textId="77777777" w:rsidR="005632DC" w:rsidRPr="0047058F" w:rsidRDefault="005632DC" w:rsidP="00DD24A8">
            <w:pPr>
              <w:pStyle w:val="TableText"/>
              <w:jc w:val="right"/>
              <w:rPr>
                <w:rFonts w:eastAsia="Times New Roman" w:cs="Arial"/>
              </w:rPr>
            </w:pPr>
            <w:r w:rsidRPr="0047058F">
              <w:rPr>
                <w:rFonts w:eastAsia="Times New Roman" w:cs="Arial"/>
              </w:rPr>
              <w:t>7.3</w:t>
            </w:r>
          </w:p>
        </w:tc>
        <w:tc>
          <w:tcPr>
            <w:tcW w:w="242" w:type="pct"/>
          </w:tcPr>
          <w:p w14:paraId="0B4DCC75" w14:textId="77777777" w:rsidR="005632DC" w:rsidRPr="0047058F" w:rsidRDefault="005632DC" w:rsidP="00DD24A8">
            <w:pPr>
              <w:pStyle w:val="TableText"/>
              <w:jc w:val="right"/>
            </w:pPr>
            <w:r w:rsidRPr="0047058F">
              <w:rPr>
                <w:rFonts w:eastAsia="Times New Roman" w:cs="Arial"/>
              </w:rPr>
              <w:t>66</w:t>
            </w:r>
          </w:p>
        </w:tc>
        <w:tc>
          <w:tcPr>
            <w:tcW w:w="242" w:type="pct"/>
          </w:tcPr>
          <w:p w14:paraId="42A960F9" w14:textId="77777777" w:rsidR="005632DC" w:rsidRPr="0047058F" w:rsidRDefault="005632DC" w:rsidP="00DD24A8">
            <w:pPr>
              <w:pStyle w:val="TableText"/>
              <w:jc w:val="right"/>
            </w:pPr>
            <w:r w:rsidRPr="0047058F">
              <w:rPr>
                <w:rFonts w:eastAsia="Times New Roman" w:cs="Arial"/>
              </w:rPr>
              <w:t>8.0</w:t>
            </w:r>
          </w:p>
        </w:tc>
        <w:tc>
          <w:tcPr>
            <w:tcW w:w="242" w:type="pct"/>
          </w:tcPr>
          <w:p w14:paraId="76F9FA55" w14:textId="77777777" w:rsidR="005632DC" w:rsidRPr="0047058F" w:rsidRDefault="005632DC" w:rsidP="00DD24A8">
            <w:pPr>
              <w:pStyle w:val="TableText"/>
              <w:jc w:val="right"/>
            </w:pPr>
            <w:r w:rsidRPr="0047058F">
              <w:rPr>
                <w:rFonts w:eastAsia="Times New Roman" w:cs="Arial"/>
              </w:rPr>
              <w:t>30</w:t>
            </w:r>
          </w:p>
        </w:tc>
        <w:tc>
          <w:tcPr>
            <w:tcW w:w="242" w:type="pct"/>
          </w:tcPr>
          <w:p w14:paraId="6F0592D3" w14:textId="77777777" w:rsidR="005632DC" w:rsidRPr="0047058F" w:rsidRDefault="005632DC" w:rsidP="00DD24A8">
            <w:pPr>
              <w:pStyle w:val="TableText"/>
              <w:jc w:val="right"/>
            </w:pPr>
            <w:r w:rsidRPr="0047058F">
              <w:rPr>
                <w:rFonts w:eastAsia="Times New Roman" w:cs="Arial"/>
              </w:rPr>
              <w:t>11.5</w:t>
            </w:r>
          </w:p>
        </w:tc>
        <w:tc>
          <w:tcPr>
            <w:tcW w:w="242" w:type="pct"/>
          </w:tcPr>
          <w:p w14:paraId="43DEA3E9" w14:textId="77777777" w:rsidR="005632DC" w:rsidRPr="0047058F" w:rsidRDefault="005632DC" w:rsidP="00DD24A8">
            <w:pPr>
              <w:pStyle w:val="TableText"/>
              <w:jc w:val="right"/>
            </w:pPr>
            <w:r w:rsidRPr="0047058F">
              <w:rPr>
                <w:rFonts w:eastAsia="Times New Roman" w:cs="Arial"/>
              </w:rPr>
              <w:t>51</w:t>
            </w:r>
          </w:p>
        </w:tc>
        <w:tc>
          <w:tcPr>
            <w:tcW w:w="242" w:type="pct"/>
          </w:tcPr>
          <w:p w14:paraId="4F42F3D7" w14:textId="77777777" w:rsidR="005632DC" w:rsidRPr="0047058F" w:rsidRDefault="005632DC" w:rsidP="00DD24A8">
            <w:pPr>
              <w:pStyle w:val="TableText"/>
              <w:jc w:val="right"/>
            </w:pPr>
            <w:r w:rsidRPr="0047058F">
              <w:rPr>
                <w:rFonts w:eastAsia="Times New Roman" w:cs="Arial"/>
              </w:rPr>
              <w:t>9.1</w:t>
            </w:r>
          </w:p>
        </w:tc>
        <w:tc>
          <w:tcPr>
            <w:tcW w:w="242" w:type="pct"/>
          </w:tcPr>
          <w:p w14:paraId="569162E9" w14:textId="77777777" w:rsidR="005632DC" w:rsidRPr="0047058F" w:rsidRDefault="005632DC" w:rsidP="00DD24A8">
            <w:pPr>
              <w:pStyle w:val="TableText"/>
              <w:jc w:val="right"/>
            </w:pPr>
            <w:r w:rsidRPr="0047058F">
              <w:rPr>
                <w:rFonts w:eastAsia="Times New Roman" w:cs="Arial"/>
              </w:rPr>
              <w:t>81</w:t>
            </w:r>
          </w:p>
        </w:tc>
        <w:tc>
          <w:tcPr>
            <w:tcW w:w="242" w:type="pct"/>
          </w:tcPr>
          <w:p w14:paraId="228C5C63" w14:textId="77777777" w:rsidR="005632DC" w:rsidRPr="0047058F" w:rsidRDefault="005632DC" w:rsidP="00DD24A8">
            <w:pPr>
              <w:pStyle w:val="TableText"/>
              <w:jc w:val="right"/>
            </w:pPr>
            <w:r w:rsidRPr="0047058F">
              <w:rPr>
                <w:rFonts w:eastAsia="Times New Roman" w:cs="Arial"/>
              </w:rPr>
              <w:t>9.9</w:t>
            </w:r>
          </w:p>
        </w:tc>
        <w:tc>
          <w:tcPr>
            <w:tcW w:w="503" w:type="pct"/>
          </w:tcPr>
          <w:p w14:paraId="7DC11056" w14:textId="77777777" w:rsidR="005632DC" w:rsidRPr="0047058F" w:rsidRDefault="005632DC" w:rsidP="00DD24A8">
            <w:pPr>
              <w:pStyle w:val="TableText"/>
              <w:jc w:val="right"/>
              <w:rPr>
                <w:szCs w:val="14"/>
              </w:rPr>
            </w:pPr>
            <w:r w:rsidRPr="0047058F">
              <w:rPr>
                <w:rFonts w:eastAsia="Times New Roman" w:cs="Arial"/>
                <w:szCs w:val="14"/>
              </w:rPr>
              <w:t>1.34 (0.80–2.25)</w:t>
            </w:r>
          </w:p>
        </w:tc>
        <w:tc>
          <w:tcPr>
            <w:tcW w:w="503" w:type="pct"/>
          </w:tcPr>
          <w:p w14:paraId="729CB34B" w14:textId="77777777" w:rsidR="005632DC" w:rsidRPr="0047058F" w:rsidRDefault="005632DC" w:rsidP="00DD24A8">
            <w:pPr>
              <w:pStyle w:val="TableText"/>
              <w:jc w:val="right"/>
              <w:rPr>
                <w:szCs w:val="14"/>
              </w:rPr>
            </w:pPr>
            <w:r w:rsidRPr="0047058F">
              <w:rPr>
                <w:rFonts w:eastAsia="Times New Roman" w:cs="Arial"/>
                <w:szCs w:val="14"/>
              </w:rPr>
              <w:t>1.29 (0.80–2.08)</w:t>
            </w:r>
          </w:p>
        </w:tc>
        <w:tc>
          <w:tcPr>
            <w:tcW w:w="502" w:type="pct"/>
          </w:tcPr>
          <w:p w14:paraId="00972E6C" w14:textId="77777777" w:rsidR="005632DC" w:rsidRPr="0047058F" w:rsidRDefault="005632DC" w:rsidP="00DD24A8">
            <w:pPr>
              <w:pStyle w:val="TableText"/>
              <w:jc w:val="right"/>
              <w:rPr>
                <w:szCs w:val="14"/>
              </w:rPr>
            </w:pPr>
            <w:r w:rsidRPr="0047058F">
              <w:rPr>
                <w:rFonts w:eastAsia="Times New Roman" w:cs="Arial"/>
                <w:szCs w:val="14"/>
              </w:rPr>
              <w:t>1.26 (0.89–1.78)</w:t>
            </w:r>
          </w:p>
        </w:tc>
      </w:tr>
      <w:tr w:rsidR="000D5576" w:rsidRPr="0047058F" w14:paraId="7D3A5FE7"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Pr>
          <w:p w14:paraId="26147630" w14:textId="77777777" w:rsidR="005632DC" w:rsidRPr="0047058F" w:rsidRDefault="005632DC" w:rsidP="00DD24A8">
            <w:pPr>
              <w:pStyle w:val="TableText"/>
              <w:rPr>
                <w:rFonts w:cs="Calibri"/>
                <w:szCs w:val="14"/>
              </w:rPr>
            </w:pPr>
            <w:r w:rsidRPr="0047058F">
              <w:rPr>
                <w:rFonts w:cs="Calibri"/>
                <w:szCs w:val="14"/>
              </w:rPr>
              <w:t>Specific phobia</w:t>
            </w:r>
          </w:p>
        </w:tc>
        <w:tc>
          <w:tcPr>
            <w:tcW w:w="242" w:type="pct"/>
          </w:tcPr>
          <w:p w14:paraId="7A06C396" w14:textId="77777777" w:rsidR="005632DC" w:rsidRPr="0047058F" w:rsidRDefault="005632DC" w:rsidP="00DD24A8">
            <w:pPr>
              <w:pStyle w:val="TableText"/>
              <w:jc w:val="right"/>
              <w:rPr>
                <w:rFonts w:eastAsia="Times New Roman" w:cs="Arial"/>
              </w:rPr>
            </w:pPr>
            <w:r w:rsidRPr="0047058F">
              <w:rPr>
                <w:rFonts w:eastAsia="Times New Roman" w:cs="Arial"/>
              </w:rPr>
              <w:t>26</w:t>
            </w:r>
          </w:p>
        </w:tc>
        <w:tc>
          <w:tcPr>
            <w:tcW w:w="242" w:type="pct"/>
          </w:tcPr>
          <w:p w14:paraId="708A3B83" w14:textId="77777777" w:rsidR="005632DC" w:rsidRPr="0047058F" w:rsidRDefault="005632DC" w:rsidP="00DD24A8">
            <w:pPr>
              <w:pStyle w:val="TableText"/>
              <w:jc w:val="right"/>
              <w:rPr>
                <w:rFonts w:eastAsia="Times New Roman" w:cs="Arial"/>
              </w:rPr>
            </w:pPr>
            <w:r w:rsidRPr="0047058F">
              <w:rPr>
                <w:rFonts w:eastAsia="Times New Roman" w:cs="Arial"/>
              </w:rPr>
              <w:t>10.0</w:t>
            </w:r>
          </w:p>
        </w:tc>
        <w:tc>
          <w:tcPr>
            <w:tcW w:w="242" w:type="pct"/>
          </w:tcPr>
          <w:p w14:paraId="021A11B2" w14:textId="77777777" w:rsidR="005632DC" w:rsidRPr="0047058F" w:rsidRDefault="005632DC" w:rsidP="00DD24A8">
            <w:pPr>
              <w:pStyle w:val="TableText"/>
              <w:jc w:val="right"/>
              <w:rPr>
                <w:rFonts w:eastAsia="Times New Roman" w:cs="Arial"/>
              </w:rPr>
            </w:pPr>
            <w:r w:rsidRPr="0047058F">
              <w:rPr>
                <w:rFonts w:eastAsia="Times New Roman" w:cs="Arial"/>
              </w:rPr>
              <w:t>47</w:t>
            </w:r>
          </w:p>
        </w:tc>
        <w:tc>
          <w:tcPr>
            <w:tcW w:w="242" w:type="pct"/>
          </w:tcPr>
          <w:p w14:paraId="3D258BF1" w14:textId="77777777" w:rsidR="005632DC" w:rsidRPr="0047058F" w:rsidRDefault="005632DC" w:rsidP="00DD24A8">
            <w:pPr>
              <w:pStyle w:val="TableText"/>
              <w:jc w:val="right"/>
              <w:rPr>
                <w:rFonts w:eastAsia="Times New Roman" w:cs="Arial"/>
              </w:rPr>
            </w:pPr>
            <w:r w:rsidRPr="0047058F">
              <w:rPr>
                <w:rFonts w:eastAsia="Times New Roman" w:cs="Arial"/>
              </w:rPr>
              <w:t>8.4</w:t>
            </w:r>
          </w:p>
        </w:tc>
        <w:tc>
          <w:tcPr>
            <w:tcW w:w="242" w:type="pct"/>
          </w:tcPr>
          <w:p w14:paraId="647671D2" w14:textId="77777777" w:rsidR="005632DC" w:rsidRPr="0047058F" w:rsidRDefault="005632DC" w:rsidP="00DD24A8">
            <w:pPr>
              <w:pStyle w:val="TableText"/>
              <w:jc w:val="right"/>
            </w:pPr>
            <w:r w:rsidRPr="0047058F">
              <w:rPr>
                <w:rFonts w:eastAsia="Times New Roman" w:cs="Arial"/>
              </w:rPr>
              <w:t>73</w:t>
            </w:r>
          </w:p>
        </w:tc>
        <w:tc>
          <w:tcPr>
            <w:tcW w:w="242" w:type="pct"/>
          </w:tcPr>
          <w:p w14:paraId="2EF96AE5" w14:textId="77777777" w:rsidR="005632DC" w:rsidRPr="0047058F" w:rsidRDefault="005632DC" w:rsidP="00DD24A8">
            <w:pPr>
              <w:pStyle w:val="TableText"/>
              <w:jc w:val="right"/>
            </w:pPr>
            <w:r w:rsidRPr="0047058F">
              <w:rPr>
                <w:rFonts w:eastAsia="Times New Roman" w:cs="Arial"/>
              </w:rPr>
              <w:t>8.9</w:t>
            </w:r>
          </w:p>
        </w:tc>
        <w:tc>
          <w:tcPr>
            <w:tcW w:w="242" w:type="pct"/>
          </w:tcPr>
          <w:p w14:paraId="3186925B" w14:textId="77777777" w:rsidR="005632DC" w:rsidRPr="0047058F" w:rsidRDefault="005632DC" w:rsidP="00DD24A8">
            <w:pPr>
              <w:pStyle w:val="TableText"/>
              <w:jc w:val="right"/>
            </w:pPr>
            <w:r w:rsidRPr="0047058F">
              <w:rPr>
                <w:rFonts w:eastAsia="Times New Roman" w:cs="Arial"/>
              </w:rPr>
              <w:t>41</w:t>
            </w:r>
          </w:p>
        </w:tc>
        <w:tc>
          <w:tcPr>
            <w:tcW w:w="242" w:type="pct"/>
          </w:tcPr>
          <w:p w14:paraId="12A98B9F" w14:textId="77777777" w:rsidR="005632DC" w:rsidRPr="0047058F" w:rsidRDefault="005632DC" w:rsidP="00DD24A8">
            <w:pPr>
              <w:pStyle w:val="TableText"/>
              <w:jc w:val="right"/>
            </w:pPr>
            <w:r w:rsidRPr="0047058F">
              <w:rPr>
                <w:rFonts w:eastAsia="Times New Roman" w:cs="Arial"/>
              </w:rPr>
              <w:t>15.7</w:t>
            </w:r>
          </w:p>
        </w:tc>
        <w:tc>
          <w:tcPr>
            <w:tcW w:w="242" w:type="pct"/>
          </w:tcPr>
          <w:p w14:paraId="0D5E0F15" w14:textId="77777777" w:rsidR="005632DC" w:rsidRPr="0047058F" w:rsidRDefault="005632DC" w:rsidP="00DD24A8">
            <w:pPr>
              <w:pStyle w:val="TableText"/>
              <w:jc w:val="right"/>
            </w:pPr>
            <w:r w:rsidRPr="0047058F">
              <w:rPr>
                <w:rFonts w:eastAsia="Times New Roman" w:cs="Arial"/>
              </w:rPr>
              <w:t>53</w:t>
            </w:r>
          </w:p>
        </w:tc>
        <w:tc>
          <w:tcPr>
            <w:tcW w:w="242" w:type="pct"/>
          </w:tcPr>
          <w:p w14:paraId="6C755492" w14:textId="77777777" w:rsidR="005632DC" w:rsidRPr="0047058F" w:rsidRDefault="005632DC" w:rsidP="00DD24A8">
            <w:pPr>
              <w:pStyle w:val="TableText"/>
              <w:jc w:val="right"/>
            </w:pPr>
            <w:r w:rsidRPr="0047058F">
              <w:rPr>
                <w:rFonts w:eastAsia="Times New Roman" w:cs="Arial"/>
              </w:rPr>
              <w:t>9.5</w:t>
            </w:r>
          </w:p>
        </w:tc>
        <w:tc>
          <w:tcPr>
            <w:tcW w:w="242" w:type="pct"/>
          </w:tcPr>
          <w:p w14:paraId="6C3A4ADD" w14:textId="77777777" w:rsidR="005632DC" w:rsidRPr="0047058F" w:rsidRDefault="005632DC" w:rsidP="00DD24A8">
            <w:pPr>
              <w:pStyle w:val="TableText"/>
              <w:jc w:val="right"/>
            </w:pPr>
            <w:r w:rsidRPr="0047058F">
              <w:rPr>
                <w:rFonts w:eastAsia="Times New Roman" w:cs="Arial"/>
              </w:rPr>
              <w:t>94</w:t>
            </w:r>
          </w:p>
        </w:tc>
        <w:tc>
          <w:tcPr>
            <w:tcW w:w="242" w:type="pct"/>
          </w:tcPr>
          <w:p w14:paraId="1356FACC" w14:textId="77777777" w:rsidR="005632DC" w:rsidRPr="0047058F" w:rsidRDefault="005632DC" w:rsidP="00DD24A8">
            <w:pPr>
              <w:pStyle w:val="TableText"/>
              <w:jc w:val="right"/>
            </w:pPr>
            <w:r w:rsidRPr="0047058F">
              <w:rPr>
                <w:rFonts w:eastAsia="Times New Roman" w:cs="Arial"/>
              </w:rPr>
              <w:t>11.5</w:t>
            </w:r>
          </w:p>
        </w:tc>
        <w:tc>
          <w:tcPr>
            <w:tcW w:w="503" w:type="pct"/>
          </w:tcPr>
          <w:p w14:paraId="0AE016FD" w14:textId="77777777" w:rsidR="005632DC" w:rsidRPr="0047058F" w:rsidRDefault="005632DC" w:rsidP="00DD24A8">
            <w:pPr>
              <w:pStyle w:val="TableText"/>
              <w:jc w:val="right"/>
              <w:rPr>
                <w:szCs w:val="14"/>
              </w:rPr>
            </w:pPr>
            <w:r w:rsidRPr="0047058F">
              <w:rPr>
                <w:rFonts w:eastAsia="Times New Roman" w:cs="Arial"/>
                <w:szCs w:val="14"/>
              </w:rPr>
              <w:t>1.21 (0.73–1.99)</w:t>
            </w:r>
          </w:p>
        </w:tc>
        <w:tc>
          <w:tcPr>
            <w:tcW w:w="503" w:type="pct"/>
          </w:tcPr>
          <w:p w14:paraId="51DEA833" w14:textId="77777777" w:rsidR="005632DC" w:rsidRPr="0047058F" w:rsidRDefault="005632DC" w:rsidP="00DD24A8">
            <w:pPr>
              <w:pStyle w:val="TableText"/>
              <w:jc w:val="right"/>
              <w:rPr>
                <w:szCs w:val="14"/>
              </w:rPr>
            </w:pPr>
            <w:r w:rsidRPr="0047058F">
              <w:rPr>
                <w:rFonts w:eastAsia="Times New Roman" w:cs="Arial"/>
                <w:szCs w:val="14"/>
              </w:rPr>
              <w:t>1.78 (1.15–2.76)</w:t>
            </w:r>
          </w:p>
        </w:tc>
        <w:tc>
          <w:tcPr>
            <w:tcW w:w="502" w:type="pct"/>
          </w:tcPr>
          <w:p w14:paraId="65E78085" w14:textId="77777777" w:rsidR="005632DC" w:rsidRPr="0047058F" w:rsidRDefault="005632DC" w:rsidP="00DD24A8">
            <w:pPr>
              <w:pStyle w:val="TableText"/>
              <w:jc w:val="right"/>
              <w:rPr>
                <w:szCs w:val="14"/>
              </w:rPr>
            </w:pPr>
            <w:r w:rsidRPr="0047058F">
              <w:rPr>
                <w:rFonts w:eastAsia="Times New Roman" w:cs="Arial"/>
                <w:szCs w:val="14"/>
              </w:rPr>
              <w:t>1.33 (0.96–1.85)</w:t>
            </w:r>
          </w:p>
        </w:tc>
      </w:tr>
      <w:tr w:rsidR="00DD24A8" w:rsidRPr="0047058F" w14:paraId="60369F66" w14:textId="77777777" w:rsidTr="000D5576">
        <w:tc>
          <w:tcPr>
            <w:tcW w:w="588" w:type="pct"/>
          </w:tcPr>
          <w:p w14:paraId="437E2F35" w14:textId="77777777" w:rsidR="005632DC" w:rsidRPr="0047058F" w:rsidRDefault="005632DC" w:rsidP="00DD24A8">
            <w:pPr>
              <w:pStyle w:val="TableText"/>
              <w:rPr>
                <w:rFonts w:cs="Calibri"/>
                <w:szCs w:val="14"/>
              </w:rPr>
            </w:pPr>
            <w:r w:rsidRPr="0047058F">
              <w:rPr>
                <w:rFonts w:cs="Calibri"/>
                <w:szCs w:val="14"/>
              </w:rPr>
              <w:t>Generalised anxiety disorder</w:t>
            </w:r>
          </w:p>
        </w:tc>
        <w:tc>
          <w:tcPr>
            <w:tcW w:w="242" w:type="pct"/>
          </w:tcPr>
          <w:p w14:paraId="5AE5DBB2" w14:textId="77777777" w:rsidR="005632DC" w:rsidRPr="0047058F" w:rsidRDefault="005632DC" w:rsidP="00DD24A8">
            <w:pPr>
              <w:pStyle w:val="TableText"/>
              <w:jc w:val="right"/>
              <w:rPr>
                <w:rFonts w:eastAsia="Times New Roman" w:cs="Arial"/>
              </w:rPr>
            </w:pPr>
            <w:r w:rsidRPr="0047058F">
              <w:rPr>
                <w:rFonts w:eastAsia="Times New Roman" w:cs="Arial"/>
              </w:rPr>
              <w:t>12</w:t>
            </w:r>
          </w:p>
        </w:tc>
        <w:tc>
          <w:tcPr>
            <w:tcW w:w="242" w:type="pct"/>
          </w:tcPr>
          <w:p w14:paraId="3F2A1488" w14:textId="77777777" w:rsidR="005632DC" w:rsidRPr="0047058F" w:rsidRDefault="005632DC" w:rsidP="00DD24A8">
            <w:pPr>
              <w:pStyle w:val="TableText"/>
              <w:jc w:val="right"/>
              <w:rPr>
                <w:rFonts w:eastAsia="Times New Roman" w:cs="Arial"/>
              </w:rPr>
            </w:pPr>
            <w:r w:rsidRPr="0047058F">
              <w:rPr>
                <w:rFonts w:eastAsia="Times New Roman" w:cs="Arial"/>
              </w:rPr>
              <w:t>4.6</w:t>
            </w:r>
          </w:p>
        </w:tc>
        <w:tc>
          <w:tcPr>
            <w:tcW w:w="242" w:type="pct"/>
          </w:tcPr>
          <w:p w14:paraId="4C626937" w14:textId="77777777" w:rsidR="005632DC" w:rsidRPr="0047058F" w:rsidRDefault="005632DC" w:rsidP="00DD24A8">
            <w:pPr>
              <w:pStyle w:val="TableText"/>
              <w:jc w:val="right"/>
              <w:rPr>
                <w:rFonts w:eastAsia="Times New Roman" w:cs="Arial"/>
              </w:rPr>
            </w:pPr>
            <w:r w:rsidRPr="0047058F">
              <w:rPr>
                <w:rFonts w:eastAsia="Times New Roman" w:cs="Arial"/>
              </w:rPr>
              <w:t>11</w:t>
            </w:r>
          </w:p>
        </w:tc>
        <w:tc>
          <w:tcPr>
            <w:tcW w:w="242" w:type="pct"/>
          </w:tcPr>
          <w:p w14:paraId="766B4B94" w14:textId="77777777" w:rsidR="005632DC" w:rsidRPr="0047058F" w:rsidRDefault="005632DC" w:rsidP="00DD24A8">
            <w:pPr>
              <w:pStyle w:val="TableText"/>
              <w:jc w:val="right"/>
              <w:rPr>
                <w:rFonts w:eastAsia="Times New Roman" w:cs="Arial"/>
              </w:rPr>
            </w:pPr>
            <w:r w:rsidRPr="0047058F">
              <w:rPr>
                <w:rFonts w:eastAsia="Times New Roman" w:cs="Arial"/>
              </w:rPr>
              <w:t>2.0</w:t>
            </w:r>
          </w:p>
        </w:tc>
        <w:tc>
          <w:tcPr>
            <w:tcW w:w="242" w:type="pct"/>
          </w:tcPr>
          <w:p w14:paraId="0D3F5C7D" w14:textId="77777777" w:rsidR="005632DC" w:rsidRPr="0047058F" w:rsidRDefault="005632DC" w:rsidP="00DD24A8">
            <w:pPr>
              <w:pStyle w:val="TableText"/>
              <w:jc w:val="right"/>
            </w:pPr>
            <w:r w:rsidRPr="0047058F">
              <w:rPr>
                <w:rFonts w:eastAsia="Times New Roman" w:cs="Arial"/>
              </w:rPr>
              <w:t>23</w:t>
            </w:r>
          </w:p>
        </w:tc>
        <w:tc>
          <w:tcPr>
            <w:tcW w:w="242" w:type="pct"/>
          </w:tcPr>
          <w:p w14:paraId="52CBD44B" w14:textId="77777777" w:rsidR="005632DC" w:rsidRPr="0047058F" w:rsidRDefault="005632DC" w:rsidP="00DD24A8">
            <w:pPr>
              <w:pStyle w:val="TableText"/>
              <w:jc w:val="right"/>
            </w:pPr>
            <w:r w:rsidRPr="0047058F">
              <w:rPr>
                <w:rFonts w:eastAsia="Times New Roman" w:cs="Arial"/>
              </w:rPr>
              <w:t>2.8</w:t>
            </w:r>
          </w:p>
        </w:tc>
        <w:tc>
          <w:tcPr>
            <w:tcW w:w="242" w:type="pct"/>
          </w:tcPr>
          <w:p w14:paraId="709C1384" w14:textId="77777777" w:rsidR="005632DC" w:rsidRPr="0047058F" w:rsidRDefault="005632DC" w:rsidP="00DD24A8">
            <w:pPr>
              <w:pStyle w:val="TableText"/>
              <w:jc w:val="right"/>
            </w:pPr>
            <w:r w:rsidRPr="0047058F">
              <w:rPr>
                <w:rFonts w:eastAsia="Times New Roman" w:cs="Arial"/>
              </w:rPr>
              <w:t>13</w:t>
            </w:r>
          </w:p>
        </w:tc>
        <w:tc>
          <w:tcPr>
            <w:tcW w:w="242" w:type="pct"/>
          </w:tcPr>
          <w:p w14:paraId="2EA599BA" w14:textId="77777777" w:rsidR="005632DC" w:rsidRPr="0047058F" w:rsidRDefault="005632DC" w:rsidP="00DD24A8">
            <w:pPr>
              <w:pStyle w:val="TableText"/>
              <w:jc w:val="right"/>
            </w:pPr>
            <w:r w:rsidRPr="0047058F">
              <w:rPr>
                <w:rFonts w:eastAsia="Times New Roman" w:cs="Arial"/>
              </w:rPr>
              <w:t>5.0</w:t>
            </w:r>
          </w:p>
        </w:tc>
        <w:tc>
          <w:tcPr>
            <w:tcW w:w="242" w:type="pct"/>
          </w:tcPr>
          <w:p w14:paraId="22074844" w14:textId="77777777" w:rsidR="005632DC" w:rsidRPr="0047058F" w:rsidRDefault="005632DC" w:rsidP="00DD24A8">
            <w:pPr>
              <w:pStyle w:val="TableText"/>
              <w:jc w:val="right"/>
            </w:pPr>
            <w:r w:rsidRPr="0047058F">
              <w:rPr>
                <w:rFonts w:eastAsia="Times New Roman" w:cs="Arial"/>
              </w:rPr>
              <w:t>31</w:t>
            </w:r>
          </w:p>
        </w:tc>
        <w:tc>
          <w:tcPr>
            <w:tcW w:w="242" w:type="pct"/>
          </w:tcPr>
          <w:p w14:paraId="0C6C2E6D" w14:textId="77777777" w:rsidR="005632DC" w:rsidRPr="0047058F" w:rsidRDefault="005632DC" w:rsidP="00DD24A8">
            <w:pPr>
              <w:pStyle w:val="TableText"/>
              <w:jc w:val="right"/>
            </w:pPr>
            <w:r w:rsidRPr="0047058F">
              <w:rPr>
                <w:rFonts w:eastAsia="Times New Roman" w:cs="Arial"/>
              </w:rPr>
              <w:t>5.5</w:t>
            </w:r>
          </w:p>
        </w:tc>
        <w:tc>
          <w:tcPr>
            <w:tcW w:w="242" w:type="pct"/>
          </w:tcPr>
          <w:p w14:paraId="2D3DB748" w14:textId="77777777" w:rsidR="005632DC" w:rsidRPr="0047058F" w:rsidRDefault="005632DC" w:rsidP="00DD24A8">
            <w:pPr>
              <w:pStyle w:val="TableText"/>
              <w:jc w:val="right"/>
            </w:pPr>
            <w:r w:rsidRPr="0047058F">
              <w:rPr>
                <w:rFonts w:eastAsia="Times New Roman" w:cs="Arial"/>
              </w:rPr>
              <w:t>44</w:t>
            </w:r>
          </w:p>
        </w:tc>
        <w:tc>
          <w:tcPr>
            <w:tcW w:w="242" w:type="pct"/>
          </w:tcPr>
          <w:p w14:paraId="33AD1B06" w14:textId="77777777" w:rsidR="005632DC" w:rsidRPr="0047058F" w:rsidRDefault="005632DC" w:rsidP="00DD24A8">
            <w:pPr>
              <w:pStyle w:val="TableText"/>
              <w:jc w:val="right"/>
            </w:pPr>
            <w:r w:rsidRPr="0047058F">
              <w:rPr>
                <w:rFonts w:eastAsia="Times New Roman" w:cs="Arial"/>
              </w:rPr>
              <w:t>5.4</w:t>
            </w:r>
          </w:p>
        </w:tc>
        <w:tc>
          <w:tcPr>
            <w:tcW w:w="503" w:type="pct"/>
          </w:tcPr>
          <w:p w14:paraId="12F2952A" w14:textId="77777777" w:rsidR="005632DC" w:rsidRPr="0047058F" w:rsidRDefault="005632DC" w:rsidP="00DD24A8">
            <w:pPr>
              <w:pStyle w:val="TableText"/>
              <w:jc w:val="right"/>
              <w:rPr>
                <w:szCs w:val="14"/>
              </w:rPr>
            </w:pPr>
            <w:r w:rsidRPr="0047058F">
              <w:rPr>
                <w:rFonts w:eastAsia="Times New Roman" w:cs="Arial"/>
                <w:szCs w:val="14"/>
              </w:rPr>
              <w:t>2.40 (1.05–5.52)</w:t>
            </w:r>
          </w:p>
        </w:tc>
        <w:tc>
          <w:tcPr>
            <w:tcW w:w="503" w:type="pct"/>
          </w:tcPr>
          <w:p w14:paraId="7F5139E1" w14:textId="77777777" w:rsidR="005632DC" w:rsidRPr="0047058F" w:rsidRDefault="005632DC" w:rsidP="00DD24A8">
            <w:pPr>
              <w:pStyle w:val="TableText"/>
              <w:jc w:val="right"/>
              <w:rPr>
                <w:szCs w:val="14"/>
              </w:rPr>
            </w:pPr>
            <w:r w:rsidRPr="0047058F">
              <w:rPr>
                <w:rFonts w:eastAsia="Times New Roman" w:cs="Arial"/>
                <w:szCs w:val="14"/>
              </w:rPr>
              <w:t>0.89 (0.46–1.74)</w:t>
            </w:r>
          </w:p>
        </w:tc>
        <w:tc>
          <w:tcPr>
            <w:tcW w:w="502" w:type="pct"/>
          </w:tcPr>
          <w:p w14:paraId="6A2673D5" w14:textId="77777777" w:rsidR="005632DC" w:rsidRPr="0047058F" w:rsidRDefault="005632DC" w:rsidP="00DD24A8">
            <w:pPr>
              <w:pStyle w:val="TableText"/>
              <w:jc w:val="right"/>
              <w:rPr>
                <w:szCs w:val="14"/>
              </w:rPr>
            </w:pPr>
            <w:r w:rsidRPr="0047058F">
              <w:rPr>
                <w:rFonts w:eastAsia="Times New Roman" w:cs="Arial"/>
                <w:szCs w:val="14"/>
              </w:rPr>
              <w:t>1.97 (1.18–3.30)</w:t>
            </w:r>
          </w:p>
        </w:tc>
      </w:tr>
      <w:tr w:rsidR="000D5576" w:rsidRPr="0047058F" w14:paraId="6716C22F"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Pr>
          <w:p w14:paraId="2A8DF0E9" w14:textId="77777777" w:rsidR="005632DC" w:rsidRPr="0047058F" w:rsidRDefault="005632DC" w:rsidP="00DD24A8">
            <w:pPr>
              <w:pStyle w:val="TableText"/>
              <w:rPr>
                <w:rFonts w:cs="Calibri"/>
                <w:szCs w:val="14"/>
              </w:rPr>
            </w:pPr>
            <w:r w:rsidRPr="0047058F">
              <w:rPr>
                <w:rFonts w:cs="Calibri"/>
                <w:szCs w:val="14"/>
              </w:rPr>
              <w:t>Obsessive-compulsive disorder</w:t>
            </w:r>
          </w:p>
        </w:tc>
        <w:tc>
          <w:tcPr>
            <w:tcW w:w="242" w:type="pct"/>
          </w:tcPr>
          <w:p w14:paraId="225FE0DB" w14:textId="77777777" w:rsidR="005632DC" w:rsidRPr="0047058F" w:rsidRDefault="005632DC" w:rsidP="00DD24A8">
            <w:pPr>
              <w:pStyle w:val="TableText"/>
              <w:jc w:val="right"/>
              <w:rPr>
                <w:rFonts w:eastAsia="Times New Roman" w:cs="Arial"/>
              </w:rPr>
            </w:pPr>
            <w:r w:rsidRPr="0047058F">
              <w:rPr>
                <w:rFonts w:eastAsia="Times New Roman" w:cs="Arial"/>
              </w:rPr>
              <w:t>9</w:t>
            </w:r>
          </w:p>
        </w:tc>
        <w:tc>
          <w:tcPr>
            <w:tcW w:w="242" w:type="pct"/>
          </w:tcPr>
          <w:p w14:paraId="5341EC9A" w14:textId="77777777" w:rsidR="005632DC" w:rsidRPr="0047058F" w:rsidRDefault="005632DC" w:rsidP="00DD24A8">
            <w:pPr>
              <w:pStyle w:val="TableText"/>
              <w:jc w:val="right"/>
              <w:rPr>
                <w:rFonts w:eastAsia="Times New Roman" w:cs="Arial"/>
              </w:rPr>
            </w:pPr>
            <w:r w:rsidRPr="0047058F">
              <w:rPr>
                <w:rFonts w:eastAsia="Times New Roman" w:cs="Arial"/>
              </w:rPr>
              <w:t>3.4</w:t>
            </w:r>
          </w:p>
        </w:tc>
        <w:tc>
          <w:tcPr>
            <w:tcW w:w="242" w:type="pct"/>
          </w:tcPr>
          <w:p w14:paraId="231EAEE2" w14:textId="77777777" w:rsidR="005632DC" w:rsidRPr="0047058F" w:rsidRDefault="005632DC" w:rsidP="00DD24A8">
            <w:pPr>
              <w:pStyle w:val="TableText"/>
              <w:jc w:val="right"/>
              <w:rPr>
                <w:rFonts w:eastAsia="Times New Roman" w:cs="Arial"/>
              </w:rPr>
            </w:pPr>
            <w:r w:rsidRPr="0047058F">
              <w:rPr>
                <w:rFonts w:eastAsia="Times New Roman" w:cs="Arial"/>
              </w:rPr>
              <w:t>23</w:t>
            </w:r>
          </w:p>
        </w:tc>
        <w:tc>
          <w:tcPr>
            <w:tcW w:w="242" w:type="pct"/>
          </w:tcPr>
          <w:p w14:paraId="6B27CCE5" w14:textId="77777777" w:rsidR="005632DC" w:rsidRPr="0047058F" w:rsidRDefault="005632DC" w:rsidP="00DD24A8">
            <w:pPr>
              <w:pStyle w:val="TableText"/>
              <w:jc w:val="right"/>
              <w:rPr>
                <w:rFonts w:eastAsia="Times New Roman" w:cs="Arial"/>
              </w:rPr>
            </w:pPr>
            <w:r w:rsidRPr="0047058F">
              <w:rPr>
                <w:rFonts w:eastAsia="Times New Roman" w:cs="Arial"/>
              </w:rPr>
              <w:t>4.1</w:t>
            </w:r>
          </w:p>
        </w:tc>
        <w:tc>
          <w:tcPr>
            <w:tcW w:w="242" w:type="pct"/>
          </w:tcPr>
          <w:p w14:paraId="70EC6141" w14:textId="77777777" w:rsidR="005632DC" w:rsidRPr="0047058F" w:rsidRDefault="005632DC" w:rsidP="00DD24A8">
            <w:pPr>
              <w:pStyle w:val="TableText"/>
              <w:jc w:val="right"/>
            </w:pPr>
            <w:r w:rsidRPr="0047058F">
              <w:rPr>
                <w:rFonts w:eastAsia="Times New Roman" w:cs="Arial"/>
              </w:rPr>
              <w:t>32</w:t>
            </w:r>
          </w:p>
        </w:tc>
        <w:tc>
          <w:tcPr>
            <w:tcW w:w="242" w:type="pct"/>
          </w:tcPr>
          <w:p w14:paraId="375BE264" w14:textId="77777777" w:rsidR="005632DC" w:rsidRPr="0047058F" w:rsidRDefault="005632DC" w:rsidP="00DD24A8">
            <w:pPr>
              <w:pStyle w:val="TableText"/>
              <w:jc w:val="right"/>
            </w:pPr>
            <w:r w:rsidRPr="0047058F">
              <w:rPr>
                <w:rFonts w:eastAsia="Times New Roman" w:cs="Arial"/>
              </w:rPr>
              <w:t>3.9</w:t>
            </w:r>
          </w:p>
        </w:tc>
        <w:tc>
          <w:tcPr>
            <w:tcW w:w="242" w:type="pct"/>
          </w:tcPr>
          <w:p w14:paraId="5B08DFD5" w14:textId="77777777" w:rsidR="005632DC" w:rsidRPr="0047058F" w:rsidRDefault="005632DC" w:rsidP="00DD24A8">
            <w:pPr>
              <w:pStyle w:val="TableText"/>
              <w:jc w:val="right"/>
            </w:pPr>
            <w:r w:rsidRPr="0047058F">
              <w:rPr>
                <w:rFonts w:eastAsia="Times New Roman" w:cs="Arial"/>
              </w:rPr>
              <w:t>10</w:t>
            </w:r>
          </w:p>
        </w:tc>
        <w:tc>
          <w:tcPr>
            <w:tcW w:w="242" w:type="pct"/>
          </w:tcPr>
          <w:p w14:paraId="7E7FCF7C" w14:textId="77777777" w:rsidR="005632DC" w:rsidRPr="0047058F" w:rsidRDefault="005632DC" w:rsidP="00DD24A8">
            <w:pPr>
              <w:pStyle w:val="TableText"/>
              <w:jc w:val="right"/>
            </w:pPr>
            <w:r w:rsidRPr="0047058F">
              <w:rPr>
                <w:rFonts w:eastAsia="Times New Roman" w:cs="Arial"/>
              </w:rPr>
              <w:t>3.8</w:t>
            </w:r>
          </w:p>
        </w:tc>
        <w:tc>
          <w:tcPr>
            <w:tcW w:w="242" w:type="pct"/>
          </w:tcPr>
          <w:p w14:paraId="0847B17A" w14:textId="77777777" w:rsidR="005632DC" w:rsidRPr="0047058F" w:rsidRDefault="005632DC" w:rsidP="00DD24A8">
            <w:pPr>
              <w:pStyle w:val="TableText"/>
              <w:jc w:val="right"/>
            </w:pPr>
            <w:r w:rsidRPr="0047058F">
              <w:rPr>
                <w:rFonts w:eastAsia="Times New Roman" w:cs="Arial"/>
              </w:rPr>
              <w:t>30</w:t>
            </w:r>
          </w:p>
        </w:tc>
        <w:tc>
          <w:tcPr>
            <w:tcW w:w="242" w:type="pct"/>
          </w:tcPr>
          <w:p w14:paraId="41703850" w14:textId="77777777" w:rsidR="005632DC" w:rsidRPr="0047058F" w:rsidRDefault="005632DC" w:rsidP="00DD24A8">
            <w:pPr>
              <w:pStyle w:val="TableText"/>
              <w:jc w:val="right"/>
            </w:pPr>
            <w:r w:rsidRPr="0047058F">
              <w:rPr>
                <w:rFonts w:eastAsia="Times New Roman" w:cs="Arial"/>
              </w:rPr>
              <w:t>5.4</w:t>
            </w:r>
          </w:p>
        </w:tc>
        <w:tc>
          <w:tcPr>
            <w:tcW w:w="242" w:type="pct"/>
          </w:tcPr>
          <w:p w14:paraId="092D283D" w14:textId="77777777" w:rsidR="005632DC" w:rsidRPr="0047058F" w:rsidRDefault="005632DC" w:rsidP="00DD24A8">
            <w:pPr>
              <w:pStyle w:val="TableText"/>
              <w:jc w:val="right"/>
            </w:pPr>
            <w:r w:rsidRPr="0047058F">
              <w:rPr>
                <w:rFonts w:eastAsia="Times New Roman" w:cs="Arial"/>
              </w:rPr>
              <w:t>40</w:t>
            </w:r>
          </w:p>
        </w:tc>
        <w:tc>
          <w:tcPr>
            <w:tcW w:w="242" w:type="pct"/>
          </w:tcPr>
          <w:p w14:paraId="246D511A" w14:textId="77777777" w:rsidR="005632DC" w:rsidRPr="0047058F" w:rsidRDefault="005632DC" w:rsidP="00DD24A8">
            <w:pPr>
              <w:pStyle w:val="TableText"/>
              <w:jc w:val="right"/>
            </w:pPr>
            <w:r w:rsidRPr="0047058F">
              <w:rPr>
                <w:rFonts w:eastAsia="Times New Roman" w:cs="Arial"/>
              </w:rPr>
              <w:t>4.9</w:t>
            </w:r>
          </w:p>
        </w:tc>
        <w:tc>
          <w:tcPr>
            <w:tcW w:w="503" w:type="pct"/>
          </w:tcPr>
          <w:p w14:paraId="10CD1AFB" w14:textId="77777777" w:rsidR="005632DC" w:rsidRPr="0047058F" w:rsidRDefault="005632DC" w:rsidP="00DD24A8">
            <w:pPr>
              <w:pStyle w:val="TableText"/>
              <w:jc w:val="right"/>
              <w:rPr>
                <w:szCs w:val="14"/>
              </w:rPr>
            </w:pPr>
            <w:r w:rsidRPr="0047058F">
              <w:rPr>
                <w:rFonts w:eastAsia="Times New Roman" w:cs="Arial"/>
                <w:szCs w:val="14"/>
              </w:rPr>
              <w:t>0.83 (0.38–1.82)</w:t>
            </w:r>
          </w:p>
        </w:tc>
        <w:tc>
          <w:tcPr>
            <w:tcW w:w="503" w:type="pct"/>
          </w:tcPr>
          <w:p w14:paraId="2790BC11" w14:textId="77777777" w:rsidR="005632DC" w:rsidRPr="0047058F" w:rsidRDefault="005632DC" w:rsidP="00DD24A8">
            <w:pPr>
              <w:pStyle w:val="TableText"/>
              <w:jc w:val="right"/>
              <w:rPr>
                <w:szCs w:val="14"/>
              </w:rPr>
            </w:pPr>
            <w:r w:rsidRPr="0047058F">
              <w:rPr>
                <w:rFonts w:eastAsia="Times New Roman" w:cs="Arial"/>
                <w:szCs w:val="14"/>
              </w:rPr>
              <w:t>0.70 (0.34–1.46)</w:t>
            </w:r>
          </w:p>
        </w:tc>
        <w:tc>
          <w:tcPr>
            <w:tcW w:w="502" w:type="pct"/>
          </w:tcPr>
          <w:p w14:paraId="768BAA72" w14:textId="77777777" w:rsidR="005632DC" w:rsidRPr="0047058F" w:rsidRDefault="005632DC" w:rsidP="00DD24A8">
            <w:pPr>
              <w:pStyle w:val="TableText"/>
              <w:jc w:val="right"/>
              <w:rPr>
                <w:szCs w:val="14"/>
              </w:rPr>
            </w:pPr>
            <w:r w:rsidRPr="0047058F">
              <w:rPr>
                <w:rFonts w:eastAsia="Times New Roman" w:cs="Arial"/>
                <w:szCs w:val="14"/>
              </w:rPr>
              <w:t>1.27 (0.78–2.05)</w:t>
            </w:r>
          </w:p>
        </w:tc>
      </w:tr>
      <w:tr w:rsidR="00DD24A8" w:rsidRPr="0047058F" w14:paraId="2643E7EA" w14:textId="77777777" w:rsidTr="000D5576">
        <w:tc>
          <w:tcPr>
            <w:tcW w:w="588" w:type="pct"/>
          </w:tcPr>
          <w:p w14:paraId="6F247F21" w14:textId="77777777" w:rsidR="005632DC" w:rsidRPr="0047058F" w:rsidRDefault="005632DC" w:rsidP="00DD24A8">
            <w:pPr>
              <w:pStyle w:val="TableText"/>
              <w:rPr>
                <w:rFonts w:cs="Calibri"/>
                <w:szCs w:val="14"/>
              </w:rPr>
            </w:pPr>
            <w:r w:rsidRPr="0047058F">
              <w:rPr>
                <w:rFonts w:cs="Calibri"/>
                <w:szCs w:val="14"/>
              </w:rPr>
              <w:t>Posttraumatic stress disorder</w:t>
            </w:r>
          </w:p>
        </w:tc>
        <w:tc>
          <w:tcPr>
            <w:tcW w:w="242" w:type="pct"/>
          </w:tcPr>
          <w:p w14:paraId="662E1111" w14:textId="77777777" w:rsidR="005632DC" w:rsidRPr="0047058F" w:rsidRDefault="005632DC" w:rsidP="00DD24A8">
            <w:pPr>
              <w:pStyle w:val="TableText"/>
              <w:jc w:val="right"/>
              <w:rPr>
                <w:rFonts w:eastAsia="Times New Roman" w:cs="Arial"/>
              </w:rPr>
            </w:pPr>
            <w:r w:rsidRPr="0047058F">
              <w:rPr>
                <w:rFonts w:eastAsia="Times New Roman"/>
              </w:rPr>
              <w:t>51</w:t>
            </w:r>
          </w:p>
        </w:tc>
        <w:tc>
          <w:tcPr>
            <w:tcW w:w="242" w:type="pct"/>
          </w:tcPr>
          <w:p w14:paraId="1051B197" w14:textId="77777777" w:rsidR="005632DC" w:rsidRPr="0047058F" w:rsidRDefault="005632DC" w:rsidP="00DD24A8">
            <w:pPr>
              <w:pStyle w:val="TableText"/>
              <w:jc w:val="right"/>
              <w:rPr>
                <w:rFonts w:eastAsia="Times New Roman" w:cs="Arial"/>
              </w:rPr>
            </w:pPr>
            <w:r w:rsidRPr="0047058F">
              <w:rPr>
                <w:rFonts w:eastAsia="Times New Roman"/>
              </w:rPr>
              <w:t>19.5</w:t>
            </w:r>
          </w:p>
        </w:tc>
        <w:tc>
          <w:tcPr>
            <w:tcW w:w="242" w:type="pct"/>
          </w:tcPr>
          <w:p w14:paraId="29169D5D" w14:textId="77777777" w:rsidR="005632DC" w:rsidRPr="0047058F" w:rsidRDefault="005632DC" w:rsidP="00DD24A8">
            <w:pPr>
              <w:pStyle w:val="TableText"/>
              <w:jc w:val="right"/>
              <w:rPr>
                <w:rFonts w:eastAsia="Times New Roman" w:cs="Arial"/>
              </w:rPr>
            </w:pPr>
            <w:r w:rsidRPr="0047058F">
              <w:rPr>
                <w:rFonts w:eastAsia="Times New Roman"/>
              </w:rPr>
              <w:t>59</w:t>
            </w:r>
          </w:p>
        </w:tc>
        <w:tc>
          <w:tcPr>
            <w:tcW w:w="242" w:type="pct"/>
          </w:tcPr>
          <w:p w14:paraId="639FB267" w14:textId="77777777" w:rsidR="005632DC" w:rsidRPr="0047058F" w:rsidRDefault="005632DC" w:rsidP="00DD24A8">
            <w:pPr>
              <w:pStyle w:val="TableText"/>
              <w:jc w:val="right"/>
              <w:rPr>
                <w:rFonts w:eastAsia="Times New Roman" w:cs="Arial"/>
              </w:rPr>
            </w:pPr>
            <w:r w:rsidRPr="0047058F">
              <w:rPr>
                <w:rFonts w:eastAsia="Times New Roman"/>
              </w:rPr>
              <w:t>10.6</w:t>
            </w:r>
          </w:p>
        </w:tc>
        <w:tc>
          <w:tcPr>
            <w:tcW w:w="242" w:type="pct"/>
          </w:tcPr>
          <w:p w14:paraId="008C0D69" w14:textId="77777777" w:rsidR="005632DC" w:rsidRPr="0047058F" w:rsidRDefault="005632DC" w:rsidP="00DD24A8">
            <w:pPr>
              <w:pStyle w:val="TableText"/>
              <w:jc w:val="right"/>
            </w:pPr>
            <w:r w:rsidRPr="0047058F">
              <w:rPr>
                <w:rFonts w:eastAsia="Times New Roman"/>
              </w:rPr>
              <w:t>110</w:t>
            </w:r>
          </w:p>
        </w:tc>
        <w:tc>
          <w:tcPr>
            <w:tcW w:w="242" w:type="pct"/>
          </w:tcPr>
          <w:p w14:paraId="17EB2F84" w14:textId="77777777" w:rsidR="005632DC" w:rsidRPr="0047058F" w:rsidRDefault="005632DC" w:rsidP="00DD24A8">
            <w:pPr>
              <w:pStyle w:val="TableText"/>
              <w:jc w:val="right"/>
            </w:pPr>
            <w:r w:rsidRPr="0047058F">
              <w:rPr>
                <w:rFonts w:eastAsia="Times New Roman"/>
              </w:rPr>
              <w:t>13.4</w:t>
            </w:r>
          </w:p>
        </w:tc>
        <w:tc>
          <w:tcPr>
            <w:tcW w:w="242" w:type="pct"/>
          </w:tcPr>
          <w:p w14:paraId="348AA18A" w14:textId="77777777" w:rsidR="005632DC" w:rsidRPr="0047058F" w:rsidRDefault="005632DC" w:rsidP="00DD24A8">
            <w:pPr>
              <w:pStyle w:val="TableText"/>
              <w:jc w:val="right"/>
            </w:pPr>
            <w:r w:rsidRPr="0047058F">
              <w:rPr>
                <w:rFonts w:eastAsia="Times New Roman"/>
              </w:rPr>
              <w:t>64</w:t>
            </w:r>
          </w:p>
        </w:tc>
        <w:tc>
          <w:tcPr>
            <w:tcW w:w="242" w:type="pct"/>
          </w:tcPr>
          <w:p w14:paraId="4563EE28" w14:textId="77777777" w:rsidR="005632DC" w:rsidRPr="0047058F" w:rsidRDefault="005632DC" w:rsidP="00DD24A8">
            <w:pPr>
              <w:pStyle w:val="TableText"/>
              <w:jc w:val="right"/>
            </w:pPr>
            <w:r w:rsidRPr="0047058F">
              <w:rPr>
                <w:rFonts w:eastAsia="Times New Roman"/>
              </w:rPr>
              <w:t>24.5</w:t>
            </w:r>
          </w:p>
        </w:tc>
        <w:tc>
          <w:tcPr>
            <w:tcW w:w="242" w:type="pct"/>
          </w:tcPr>
          <w:p w14:paraId="25B44D83" w14:textId="77777777" w:rsidR="005632DC" w:rsidRPr="0047058F" w:rsidRDefault="005632DC" w:rsidP="00DD24A8">
            <w:pPr>
              <w:pStyle w:val="TableText"/>
              <w:jc w:val="right"/>
            </w:pPr>
            <w:r w:rsidRPr="0047058F">
              <w:rPr>
                <w:rFonts w:eastAsia="Times New Roman"/>
              </w:rPr>
              <w:t>73</w:t>
            </w:r>
          </w:p>
        </w:tc>
        <w:tc>
          <w:tcPr>
            <w:tcW w:w="242" w:type="pct"/>
          </w:tcPr>
          <w:p w14:paraId="110E55A3" w14:textId="77777777" w:rsidR="005632DC" w:rsidRPr="0047058F" w:rsidRDefault="005632DC" w:rsidP="00DD24A8">
            <w:pPr>
              <w:pStyle w:val="TableText"/>
              <w:jc w:val="right"/>
            </w:pPr>
            <w:r w:rsidRPr="0047058F">
              <w:rPr>
                <w:rFonts w:eastAsia="Times New Roman"/>
              </w:rPr>
              <w:t>13.1</w:t>
            </w:r>
          </w:p>
        </w:tc>
        <w:tc>
          <w:tcPr>
            <w:tcW w:w="242" w:type="pct"/>
          </w:tcPr>
          <w:p w14:paraId="6DF806C9" w14:textId="77777777" w:rsidR="005632DC" w:rsidRPr="0047058F" w:rsidRDefault="005632DC" w:rsidP="00DD24A8">
            <w:pPr>
              <w:pStyle w:val="TableText"/>
              <w:jc w:val="right"/>
            </w:pPr>
            <w:r w:rsidRPr="0047058F">
              <w:rPr>
                <w:rFonts w:eastAsia="Times New Roman"/>
              </w:rPr>
              <w:t>137</w:t>
            </w:r>
          </w:p>
        </w:tc>
        <w:tc>
          <w:tcPr>
            <w:tcW w:w="242" w:type="pct"/>
          </w:tcPr>
          <w:p w14:paraId="5F292C2D" w14:textId="77777777" w:rsidR="005632DC" w:rsidRPr="0047058F" w:rsidRDefault="005632DC" w:rsidP="00DD24A8">
            <w:pPr>
              <w:pStyle w:val="TableText"/>
              <w:jc w:val="right"/>
            </w:pPr>
            <w:r w:rsidRPr="0047058F">
              <w:rPr>
                <w:rFonts w:eastAsia="Times New Roman"/>
              </w:rPr>
              <w:t>16.7</w:t>
            </w:r>
          </w:p>
        </w:tc>
        <w:tc>
          <w:tcPr>
            <w:tcW w:w="503" w:type="pct"/>
          </w:tcPr>
          <w:p w14:paraId="4990AE90"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2.06 (1.37–3.09)</w:t>
            </w:r>
          </w:p>
        </w:tc>
        <w:tc>
          <w:tcPr>
            <w:tcW w:w="503" w:type="pct"/>
          </w:tcPr>
          <w:p w14:paraId="4E859996"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2.16 (1.49–3.14)</w:t>
            </w:r>
          </w:p>
        </w:tc>
        <w:tc>
          <w:tcPr>
            <w:tcW w:w="502" w:type="pct"/>
          </w:tcPr>
          <w:p w14:paraId="7661F012"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1.31 (0.99–1.73)</w:t>
            </w:r>
          </w:p>
        </w:tc>
      </w:tr>
      <w:tr w:rsidR="000D5576" w:rsidRPr="0047058F" w14:paraId="4E360DA5"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Pr>
          <w:p w14:paraId="1624BBC6" w14:textId="77777777" w:rsidR="005632DC" w:rsidRPr="0047058F" w:rsidRDefault="005632DC" w:rsidP="00DD24A8">
            <w:pPr>
              <w:pStyle w:val="TableText"/>
              <w:rPr>
                <w:rFonts w:cs="Calibri"/>
                <w:szCs w:val="14"/>
              </w:rPr>
            </w:pPr>
            <w:r w:rsidRPr="0047058F">
              <w:rPr>
                <w:rFonts w:cs="Calibri"/>
                <w:szCs w:val="14"/>
              </w:rPr>
              <w:t>Any anxiety disorder</w:t>
            </w:r>
          </w:p>
        </w:tc>
        <w:tc>
          <w:tcPr>
            <w:tcW w:w="242" w:type="pct"/>
          </w:tcPr>
          <w:p w14:paraId="1A446483" w14:textId="77777777" w:rsidR="005632DC" w:rsidRPr="0047058F" w:rsidRDefault="005632DC" w:rsidP="00DD24A8">
            <w:pPr>
              <w:pStyle w:val="TableText"/>
              <w:jc w:val="right"/>
              <w:rPr>
                <w:rFonts w:eastAsia="Times New Roman" w:cs="Arial"/>
              </w:rPr>
            </w:pPr>
            <w:r w:rsidRPr="0047058F">
              <w:rPr>
                <w:rFonts w:eastAsia="Times New Roman"/>
              </w:rPr>
              <w:t>100</w:t>
            </w:r>
          </w:p>
        </w:tc>
        <w:tc>
          <w:tcPr>
            <w:tcW w:w="242" w:type="pct"/>
          </w:tcPr>
          <w:p w14:paraId="4CD0B74D" w14:textId="77777777" w:rsidR="005632DC" w:rsidRPr="0047058F" w:rsidRDefault="005632DC" w:rsidP="00DD24A8">
            <w:pPr>
              <w:pStyle w:val="TableText"/>
              <w:jc w:val="right"/>
              <w:rPr>
                <w:rFonts w:eastAsia="Times New Roman" w:cs="Arial"/>
              </w:rPr>
            </w:pPr>
            <w:r w:rsidRPr="0047058F">
              <w:rPr>
                <w:rFonts w:eastAsia="Times New Roman"/>
              </w:rPr>
              <w:t>38.3</w:t>
            </w:r>
          </w:p>
        </w:tc>
        <w:tc>
          <w:tcPr>
            <w:tcW w:w="242" w:type="pct"/>
          </w:tcPr>
          <w:p w14:paraId="7E14EA46" w14:textId="77777777" w:rsidR="005632DC" w:rsidRPr="0047058F" w:rsidRDefault="005632DC" w:rsidP="00DD24A8">
            <w:pPr>
              <w:pStyle w:val="TableText"/>
              <w:jc w:val="right"/>
              <w:rPr>
                <w:rFonts w:eastAsia="Times New Roman" w:cs="Arial"/>
              </w:rPr>
            </w:pPr>
            <w:r w:rsidRPr="0047058F">
              <w:rPr>
                <w:rFonts w:eastAsia="Times New Roman"/>
              </w:rPr>
              <w:t>167</w:t>
            </w:r>
          </w:p>
        </w:tc>
        <w:tc>
          <w:tcPr>
            <w:tcW w:w="242" w:type="pct"/>
          </w:tcPr>
          <w:p w14:paraId="036C6F74" w14:textId="77777777" w:rsidR="005632DC" w:rsidRPr="0047058F" w:rsidRDefault="005632DC" w:rsidP="00DD24A8">
            <w:pPr>
              <w:pStyle w:val="TableText"/>
              <w:jc w:val="right"/>
              <w:rPr>
                <w:rFonts w:eastAsia="Times New Roman" w:cs="Arial"/>
              </w:rPr>
            </w:pPr>
            <w:r w:rsidRPr="0047058F">
              <w:rPr>
                <w:rFonts w:eastAsia="Times New Roman"/>
              </w:rPr>
              <w:t>29.9</w:t>
            </w:r>
          </w:p>
        </w:tc>
        <w:tc>
          <w:tcPr>
            <w:tcW w:w="242" w:type="pct"/>
          </w:tcPr>
          <w:p w14:paraId="71FC5788" w14:textId="77777777" w:rsidR="005632DC" w:rsidRPr="0047058F" w:rsidRDefault="005632DC" w:rsidP="00DD24A8">
            <w:pPr>
              <w:pStyle w:val="TableText"/>
              <w:jc w:val="right"/>
            </w:pPr>
            <w:r w:rsidRPr="0047058F">
              <w:rPr>
                <w:rFonts w:eastAsia="Times New Roman"/>
              </w:rPr>
              <w:t>267</w:t>
            </w:r>
          </w:p>
        </w:tc>
        <w:tc>
          <w:tcPr>
            <w:tcW w:w="242" w:type="pct"/>
          </w:tcPr>
          <w:p w14:paraId="78B6E48E" w14:textId="77777777" w:rsidR="005632DC" w:rsidRPr="0047058F" w:rsidRDefault="005632DC" w:rsidP="00DD24A8">
            <w:pPr>
              <w:pStyle w:val="TableText"/>
              <w:jc w:val="right"/>
            </w:pPr>
            <w:r w:rsidRPr="0047058F">
              <w:rPr>
                <w:rFonts w:eastAsia="Times New Roman"/>
              </w:rPr>
              <w:t>32.6</w:t>
            </w:r>
          </w:p>
        </w:tc>
        <w:tc>
          <w:tcPr>
            <w:tcW w:w="242" w:type="pct"/>
          </w:tcPr>
          <w:p w14:paraId="1B6B0802" w14:textId="77777777" w:rsidR="005632DC" w:rsidRPr="0047058F" w:rsidRDefault="005632DC" w:rsidP="00DD24A8">
            <w:pPr>
              <w:pStyle w:val="TableText"/>
              <w:jc w:val="right"/>
            </w:pPr>
            <w:r w:rsidRPr="0047058F">
              <w:rPr>
                <w:rFonts w:eastAsia="Times New Roman"/>
              </w:rPr>
              <w:t>111</w:t>
            </w:r>
          </w:p>
        </w:tc>
        <w:tc>
          <w:tcPr>
            <w:tcW w:w="242" w:type="pct"/>
          </w:tcPr>
          <w:p w14:paraId="741F0845" w14:textId="77777777" w:rsidR="005632DC" w:rsidRPr="0047058F" w:rsidRDefault="005632DC" w:rsidP="00DD24A8">
            <w:pPr>
              <w:pStyle w:val="TableText"/>
              <w:jc w:val="right"/>
            </w:pPr>
            <w:r w:rsidRPr="0047058F">
              <w:rPr>
                <w:rFonts w:eastAsia="Times New Roman"/>
              </w:rPr>
              <w:t>42.5</w:t>
            </w:r>
          </w:p>
        </w:tc>
        <w:tc>
          <w:tcPr>
            <w:tcW w:w="242" w:type="pct"/>
          </w:tcPr>
          <w:p w14:paraId="658D2D36" w14:textId="77777777" w:rsidR="005632DC" w:rsidRPr="0047058F" w:rsidRDefault="005632DC" w:rsidP="00DD24A8">
            <w:pPr>
              <w:pStyle w:val="TableText"/>
              <w:jc w:val="right"/>
            </w:pPr>
            <w:r w:rsidRPr="0047058F">
              <w:rPr>
                <w:rFonts w:eastAsia="Times New Roman"/>
              </w:rPr>
              <w:t>199</w:t>
            </w:r>
          </w:p>
        </w:tc>
        <w:tc>
          <w:tcPr>
            <w:tcW w:w="242" w:type="pct"/>
          </w:tcPr>
          <w:p w14:paraId="740C4B0E" w14:textId="77777777" w:rsidR="005632DC" w:rsidRPr="0047058F" w:rsidRDefault="005632DC" w:rsidP="00DD24A8">
            <w:pPr>
              <w:pStyle w:val="TableText"/>
              <w:jc w:val="right"/>
            </w:pPr>
            <w:r w:rsidRPr="0047058F">
              <w:rPr>
                <w:rFonts w:eastAsia="Times New Roman"/>
              </w:rPr>
              <w:t>35.6</w:t>
            </w:r>
          </w:p>
        </w:tc>
        <w:tc>
          <w:tcPr>
            <w:tcW w:w="242" w:type="pct"/>
          </w:tcPr>
          <w:p w14:paraId="16A83B25" w14:textId="77777777" w:rsidR="005632DC" w:rsidRPr="0047058F" w:rsidRDefault="005632DC" w:rsidP="00DD24A8">
            <w:pPr>
              <w:pStyle w:val="TableText"/>
              <w:jc w:val="right"/>
            </w:pPr>
            <w:r w:rsidRPr="0047058F">
              <w:rPr>
                <w:rFonts w:eastAsia="Times New Roman"/>
              </w:rPr>
              <w:t>310</w:t>
            </w:r>
          </w:p>
        </w:tc>
        <w:tc>
          <w:tcPr>
            <w:tcW w:w="242" w:type="pct"/>
          </w:tcPr>
          <w:p w14:paraId="4EF1B303" w14:textId="77777777" w:rsidR="005632DC" w:rsidRPr="0047058F" w:rsidRDefault="005632DC" w:rsidP="00DD24A8">
            <w:pPr>
              <w:pStyle w:val="TableText"/>
              <w:jc w:val="right"/>
            </w:pPr>
            <w:r w:rsidRPr="0047058F">
              <w:rPr>
                <w:rFonts w:eastAsia="Times New Roman"/>
              </w:rPr>
              <w:t>37.8</w:t>
            </w:r>
          </w:p>
        </w:tc>
        <w:tc>
          <w:tcPr>
            <w:tcW w:w="503" w:type="pct"/>
          </w:tcPr>
          <w:p w14:paraId="296D5940"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1.46 (1.07–1.98)</w:t>
            </w:r>
          </w:p>
        </w:tc>
        <w:tc>
          <w:tcPr>
            <w:tcW w:w="503" w:type="pct"/>
          </w:tcPr>
          <w:p w14:paraId="6305B9F3"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1.34 (0.99–1.81)</w:t>
            </w:r>
          </w:p>
        </w:tc>
        <w:tc>
          <w:tcPr>
            <w:tcW w:w="502" w:type="pct"/>
          </w:tcPr>
          <w:p w14:paraId="6DBB86FA" w14:textId="77777777" w:rsidR="005632DC" w:rsidRPr="0047058F" w:rsidRDefault="005632DC" w:rsidP="00DD24A8">
            <w:pPr>
              <w:pStyle w:val="TableText"/>
              <w:jc w:val="right"/>
              <w:rPr>
                <w:rFonts w:eastAsia="Times New Roman" w:cs="Arial"/>
                <w:szCs w:val="14"/>
              </w:rPr>
            </w:pPr>
            <w:r w:rsidRPr="0047058F">
              <w:rPr>
                <w:rFonts w:eastAsia="Times New Roman" w:cs="Arial"/>
                <w:szCs w:val="14"/>
              </w:rPr>
              <w:t>1.29 (1.04–1.59)</w:t>
            </w:r>
          </w:p>
        </w:tc>
      </w:tr>
    </w:tbl>
    <w:p w14:paraId="0AB65148" w14:textId="77777777" w:rsidR="005632DC" w:rsidRPr="0047058F" w:rsidRDefault="005632DC" w:rsidP="00A340EE">
      <w:pPr>
        <w:pStyle w:val="TableNotes"/>
        <w:rPr>
          <w:rFonts w:cs="Calibri"/>
        </w:rPr>
      </w:pPr>
      <w:r w:rsidRPr="0047058F">
        <w:t>Note: A description of each of the ICD-10 disorder classes is provided in the glossary.</w:t>
      </w:r>
    </w:p>
    <w:p w14:paraId="0F58DE92" w14:textId="77777777" w:rsidR="005632DC" w:rsidRPr="0047058F" w:rsidRDefault="005632DC" w:rsidP="005632DC">
      <w:pPr>
        <w:sectPr w:rsidR="005632DC" w:rsidRPr="0047058F" w:rsidSect="00294C13">
          <w:footerReference w:type="even" r:id="rId21"/>
          <w:footerReference w:type="default" r:id="rId22"/>
          <w:pgSz w:w="14170" w:h="9979" w:orient="landscape" w:code="243"/>
          <w:pgMar w:top="1872" w:right="1440" w:bottom="1152" w:left="1440" w:header="576" w:footer="576" w:gutter="0"/>
          <w:cols w:space="708"/>
          <w:docGrid w:linePitch="360"/>
        </w:sectPr>
      </w:pPr>
    </w:p>
    <w:p w14:paraId="5F5F4F58" w14:textId="77777777" w:rsidR="00A340EE" w:rsidRPr="0047058F" w:rsidRDefault="00A340EE" w:rsidP="00A340EE">
      <w:pPr>
        <w:pStyle w:val="FigureName"/>
      </w:pPr>
      <w:bookmarkStart w:id="199" w:name="_Ref387052116"/>
      <w:bookmarkStart w:id="200" w:name="_Toc529117562"/>
      <w:bookmarkStart w:id="201" w:name="_Toc532473635"/>
      <w:r w:rsidRPr="0047058F">
        <w:t>Figure 4.2</w:t>
      </w:r>
      <w:bookmarkEnd w:id="199"/>
      <w:r w:rsidRPr="0047058F">
        <w:tab/>
        <w:t>Per cent change in rates of 12-month ICD-10 anxiety disorders between 2010 and 2015 in Transitioned ADF and 2015 Regular ADF</w:t>
      </w:r>
      <w:bookmarkEnd w:id="200"/>
      <w:bookmarkEnd w:id="201"/>
    </w:p>
    <w:p w14:paraId="6673C7AC" w14:textId="0960F092" w:rsidR="00EA1CF1" w:rsidRPr="0047058F" w:rsidRDefault="00A340EE" w:rsidP="00EA1CF1">
      <w:pPr>
        <w:spacing w:after="360"/>
      </w:pPr>
      <w:r w:rsidRPr="0047058F">
        <w:rPr>
          <w:noProof/>
          <w:lang w:eastAsia="en-AU"/>
        </w:rPr>
        <w:drawing>
          <wp:inline distT="0" distB="0" distL="0" distR="0" wp14:anchorId="50E1226D" wp14:editId="591BA159">
            <wp:extent cx="4572000" cy="3200400"/>
            <wp:effectExtent l="0" t="0" r="0" b="0"/>
            <wp:docPr id="11" name="Chart 11" descr="Figure 4.2 Per cent change in rates of 12-month ICD-10 anxiety disorders between 2010 and 2015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BFF01F" w14:textId="77777777" w:rsidR="005632DC" w:rsidRPr="0047058F" w:rsidRDefault="005632DC" w:rsidP="00A340EE">
      <w:bookmarkStart w:id="202" w:name="_Toc381263149"/>
      <w:bookmarkStart w:id="203" w:name="_Toc529117469"/>
      <w:r w:rsidRPr="0047058F">
        <w:t>Rates of agoraphobia increased between 2010 (5.4%) and 2015 (9.3%) in the longitudinal cohort (OR 1.82; 95% CI 1.24, 2.69). Rates of agoraphobia were greater in both 2010 and 2015 among those who transitioned compared to those who remained in the Regular ADF in 2015 (2010: 8.4% vs 3.9%; OR 2.25; 95% CI 1.22, 4.14), (2015: 14.9% vs 6.6%; OR 2.48; 95% CI 1.54, 3.99). Rates of specific phobia in 2010 were similar among those who had transitioned compared to those remaining in the Regular ADF in 2015 (10.0% vs 8.4%; OR 1.21; 95% CI 0.73, 1.99), but a greater proportion of those who had transitioned had a phobia in 2015 (15.7% vs 9.5%; OR 1.78; 95% CI 1.15, 2.76), attributable to a greater increase among those who transitioned.</w:t>
      </w:r>
    </w:p>
    <w:p w14:paraId="186B988D" w14:textId="77777777" w:rsidR="005632DC" w:rsidRPr="0047058F" w:rsidRDefault="005632DC" w:rsidP="00A340EE">
      <w:r w:rsidRPr="0047058F">
        <w:t>Rates of GAD increased between 2010 (2.8%) and 2015 (5.4%) in the longitudinal cohort (OR 1.97; 95% CI 1.18, 3.30). Rates of GAD in 2010 were higher among those who had transitioned compared to those who remained in the Regular ADF in 2015 (4.6% vs 2.0%; OR 2.40; 95% CI 1.05, 5.52); however, they were similar between groups in 2015 (5.0% vs 5.5%). This was mostly a result of a larger increase among those who remained in the Regular ADF in 2015. Social phobia and OCD did not differ in 2010 or 2015 between those who had transitioned compared to those who remained in the Regular ADF in 2015. PTSD and any anxiety disorder have been discussed in the previous section.</w:t>
      </w:r>
    </w:p>
    <w:p w14:paraId="72C8110B" w14:textId="77777777" w:rsidR="00A340EE" w:rsidRPr="0047058F" w:rsidRDefault="00A340EE" w:rsidP="00860F45">
      <w:pPr>
        <w:pStyle w:val="Heading2"/>
      </w:pPr>
      <w:bookmarkStart w:id="204" w:name="_Toc532474369"/>
      <w:r w:rsidRPr="0047058F">
        <w:t>Affective disorders</w:t>
      </w:r>
      <w:bookmarkEnd w:id="202"/>
      <w:bookmarkEnd w:id="203"/>
      <w:bookmarkEnd w:id="204"/>
    </w:p>
    <w:p w14:paraId="0042D035" w14:textId="77777777" w:rsidR="00A340EE" w:rsidRPr="0047058F" w:rsidRDefault="00A340EE" w:rsidP="00A340EE">
      <w:pPr>
        <w:autoSpaceDE w:val="0"/>
        <w:autoSpaceDN w:val="0"/>
        <w:adjustRightInd w:val="0"/>
        <w:spacing w:after="240"/>
        <w:rPr>
          <w:rFonts w:cs="Calibri"/>
        </w:rPr>
      </w:pPr>
      <w:r w:rsidRPr="0047058F">
        <w:rPr>
          <w:rFonts w:cs="Calibri"/>
        </w:rPr>
        <w:t>This section looks at rates of 12-month ICD-10 affective disorder in the longitudinal cohort. The following three types of affective disorder were included:</w:t>
      </w:r>
    </w:p>
    <w:p w14:paraId="1E3A2273" w14:textId="77777777" w:rsidR="00A340EE" w:rsidRPr="0047058F" w:rsidRDefault="00A340EE" w:rsidP="00031ACA">
      <w:pPr>
        <w:pStyle w:val="Bullet"/>
        <w:numPr>
          <w:ilvl w:val="0"/>
          <w:numId w:val="1"/>
        </w:numPr>
        <w:ind w:left="360"/>
      </w:pPr>
      <w:r w:rsidRPr="0047058F">
        <w:rPr>
          <w:b/>
        </w:rPr>
        <w:t>Depressive episodes</w:t>
      </w:r>
      <w:r w:rsidRPr="0047058F">
        <w:t xml:space="preserve"> are a characteristic of a major depressive disorder and require that an individual has suffered from depressed mood lasting a minimum of two weeks, with associated symptoms or feelings of worthlessness, lack of appetite, difficulty with memory, reduced energy, low self-esteem, concentration problems and suicidal thoughts. Depressive episodes can be mild, moderate or severe. All three are included under the same heading. Hierarchy rules were applied to depressive episodes, such that a person could not have met criteria for a hypomanic or manic episode.</w:t>
      </w:r>
    </w:p>
    <w:p w14:paraId="37485B2A" w14:textId="77777777" w:rsidR="00A340EE" w:rsidRPr="0047058F" w:rsidRDefault="00A340EE" w:rsidP="00031ACA">
      <w:pPr>
        <w:pStyle w:val="Bullet"/>
        <w:numPr>
          <w:ilvl w:val="0"/>
          <w:numId w:val="1"/>
        </w:numPr>
        <w:ind w:left="360"/>
      </w:pPr>
      <w:r w:rsidRPr="0047058F">
        <w:rPr>
          <w:b/>
        </w:rPr>
        <w:t>Dysthymia</w:t>
      </w:r>
      <w:r w:rsidRPr="0047058F">
        <w:t xml:space="preserve"> is a chronic or pervasive disturbance of mood lasting several years that is not sufficiently severe or in which the depressive episodes are not sufficiently prolonged to warrant a diagnosis of a depressive disorder. Hierarchy rules were applied to dysthymia, such that to have this mental disorder, a person could not have met criteria for a hypomanic or manic episode, and could not have reported episodes of severe or moderate depression within the first two years of dysthymia.</w:t>
      </w:r>
    </w:p>
    <w:p w14:paraId="6DDE23C3" w14:textId="77777777" w:rsidR="00A340EE" w:rsidRPr="0047058F" w:rsidRDefault="00A340EE" w:rsidP="00031ACA">
      <w:pPr>
        <w:pStyle w:val="Bullet"/>
        <w:numPr>
          <w:ilvl w:val="0"/>
          <w:numId w:val="1"/>
        </w:numPr>
        <w:ind w:left="360"/>
      </w:pPr>
      <w:r w:rsidRPr="0047058F">
        <w:rPr>
          <w:b/>
          <w:iCs/>
        </w:rPr>
        <w:t>Bipolar affective disorder</w:t>
      </w:r>
      <w:r w:rsidRPr="0047058F">
        <w:rPr>
          <w:iCs/>
        </w:rPr>
        <w:t xml:space="preserve"> </w:t>
      </w:r>
      <w:r w:rsidRPr="0047058F">
        <w:t>is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last 12 months, as follows:</w:t>
      </w:r>
    </w:p>
    <w:p w14:paraId="7E0ED0F2" w14:textId="2CD40C62" w:rsidR="00A340EE" w:rsidRPr="0047058F" w:rsidRDefault="00A340EE" w:rsidP="00031ACA">
      <w:pPr>
        <w:pStyle w:val="Bullet"/>
        <w:numPr>
          <w:ilvl w:val="0"/>
          <w:numId w:val="9"/>
        </w:numPr>
      </w:pPr>
      <w:r w:rsidRPr="0047058F">
        <w:rPr>
          <w:b/>
          <w:iCs/>
        </w:rPr>
        <w:t>Hypomanic episodes</w:t>
      </w:r>
      <w:r w:rsidRPr="0047058F">
        <w:rPr>
          <w:iCs/>
        </w:rPr>
        <w:t xml:space="preserve"> </w:t>
      </w:r>
      <w:r w:rsidRPr="0047058F">
        <w:t>last at least four consecutive days and are considered abnormal to the individual. These episodes are characterised by increased activity, talkativeness, elevated mood, disrupted concentration, decreased need for sleep</w:t>
      </w:r>
      <w:r w:rsidR="00555B53">
        <w:t>,</w:t>
      </w:r>
      <w:r w:rsidRPr="0047058F">
        <w:t xml:space="preserve"> and disrupted judgement manifest</w:t>
      </w:r>
      <w:r w:rsidR="008307CD">
        <w:t>ing</w:t>
      </w:r>
      <w:r w:rsidRPr="0047058F">
        <w:t xml:space="preserve"> as risk-taking (for example, mild spending sprees). In a subgroup of people, these mental disorders are particularly characterised by irritability. To meet criteria for the ‘with hierarchy’ version, the person cannot have met criteria for an episode of mania.</w:t>
      </w:r>
    </w:p>
    <w:p w14:paraId="1972BD57" w14:textId="77777777" w:rsidR="00A340EE" w:rsidRPr="0047058F" w:rsidRDefault="00A340EE" w:rsidP="00031ACA">
      <w:pPr>
        <w:pStyle w:val="Bullet"/>
        <w:numPr>
          <w:ilvl w:val="0"/>
          <w:numId w:val="10"/>
        </w:numPr>
        <w:rPr>
          <w:rFonts w:asciiTheme="minorHAnsi" w:eastAsia="MS Gothic" w:hAnsiTheme="minorHAnsi" w:cstheme="minorHAnsi"/>
        </w:rPr>
      </w:pPr>
      <w:r w:rsidRPr="0047058F">
        <w:rPr>
          <w:b/>
          <w:iCs/>
        </w:rPr>
        <w:t>Mania</w:t>
      </w:r>
      <w:r w:rsidRPr="0047058F">
        <w:rPr>
          <w:iCs/>
        </w:rPr>
        <w:t xml:space="preserve"> </w:t>
      </w:r>
      <w:r w:rsidRPr="0047058F">
        <w:t>is similar to hypomania but is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14:paraId="61D67BF5" w14:textId="77777777" w:rsidR="00A340EE" w:rsidRPr="0047058F" w:rsidRDefault="00A340EE" w:rsidP="00A340EE">
      <w:r w:rsidRPr="0047058F">
        <w:t>Table 4.3 shows the unweighted prevalence of 12-month ICD-10 affective disorders in 2010 and 2015 for the longitudinal cohort, according to whether they had transitioned or remained in the Regular ADF in 2015. Figure 4.3 illustrates the per cent change in rates of 12-month ICD-10 affective disorders between 2010 and 2015 in Transitioned ADF and 2015 Regular ADF.</w:t>
      </w:r>
    </w:p>
    <w:p w14:paraId="7C5E5F89" w14:textId="77777777" w:rsidR="00A340EE" w:rsidRPr="0047058F" w:rsidRDefault="00A340EE" w:rsidP="00A340EE">
      <w:r w:rsidRPr="0047058F">
        <w:t>The most commonly detected affective disorder in the longitudinal cohort was depressive episodes, with 13.8% meeting criteria for this disorder in 2010 and 13.4% in 2015. Much lower rates of dysthymia (2010: 2.2%, 2015: 4.5%) and bipolar affective disorder (2010: 4.1%, 2015: 5.9%) were detected. Dysthymia was the only affective disorder that showed a significant increase between 2010 and 2015 in the longitudinal cohort overall (2.2% vs 4.5%; OR 2.11; 95% CI 1.19, 3.74). Rates of all other affective disorders did not significantly change in the cohort as a whole between 2010 and 2015.</w:t>
      </w:r>
    </w:p>
    <w:p w14:paraId="4B83FC6F" w14:textId="77777777" w:rsidR="00A340EE" w:rsidRPr="0047058F" w:rsidRDefault="00A340EE" w:rsidP="00A340EE">
      <w:r w:rsidRPr="0047058F">
        <w:t>Rates of all disorders except dysthymia were similar in both 2010 and 2015 among those who had transitioned compared to those who remained in the Regular ADF in 2015. For dysthymia, those who had transitioned had higher rates in 2015 compared to those who remained in the Regular ADF (7.3% vs 3.2%; OR 2.36; 95% CI 1.22, 4.58). This resulted from a large increase in prevalence between 2010 and 2015 among those who had transitioned. Any affective disorder has been discussed previously.</w:t>
      </w:r>
    </w:p>
    <w:p w14:paraId="21781D4C" w14:textId="77777777" w:rsidR="005632DC" w:rsidRPr="0047058F" w:rsidRDefault="005632DC" w:rsidP="00A340EE">
      <w:pPr>
        <w:pStyle w:val="FigureName"/>
      </w:pPr>
      <w:bookmarkStart w:id="205" w:name="_Toc532473636"/>
      <w:bookmarkStart w:id="206" w:name="_Ref384555332"/>
      <w:bookmarkStart w:id="207" w:name="_Toc529117510"/>
      <w:r w:rsidRPr="0047058F">
        <w:t>Figure 4.3</w:t>
      </w:r>
      <w:r w:rsidRPr="0047058F">
        <w:tab/>
        <w:t>Per cent change in rates of 12-month ICD-10 affective disorders between 2010 and 2015 in Transitioned ADF and 2015 Regular ADF</w:t>
      </w:r>
      <w:bookmarkEnd w:id="205"/>
    </w:p>
    <w:p w14:paraId="1808A076" w14:textId="77777777" w:rsidR="00EA1CF1" w:rsidRPr="0047058F" w:rsidRDefault="005632DC" w:rsidP="00EA1CF1">
      <w:pPr>
        <w:spacing w:after="360"/>
      </w:pPr>
      <w:r w:rsidRPr="0047058F">
        <w:rPr>
          <w:noProof/>
          <w:lang w:eastAsia="en-AU"/>
        </w:rPr>
        <w:drawing>
          <wp:inline distT="0" distB="0" distL="0" distR="0" wp14:anchorId="61134263" wp14:editId="5150CAB4">
            <wp:extent cx="4572000" cy="2743200"/>
            <wp:effectExtent l="0" t="0" r="0" b="0"/>
            <wp:docPr id="62" name="Chart 62" descr="Figure 4.3 Per cent change in rates of 12-month ICD-10 affective disorders between 2010 and 2015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009D05" w14:textId="77777777" w:rsidR="005632DC" w:rsidRPr="0047058F" w:rsidRDefault="005632DC" w:rsidP="005632DC">
      <w:pPr>
        <w:sectPr w:rsidR="005632DC" w:rsidRPr="0047058F" w:rsidSect="001E395F">
          <w:footerReference w:type="even" r:id="rId25"/>
          <w:footerReference w:type="default" r:id="rId26"/>
          <w:pgSz w:w="9979" w:h="14170" w:code="243"/>
          <w:pgMar w:top="1440" w:right="1152" w:bottom="1440" w:left="1728" w:header="576" w:footer="576" w:gutter="0"/>
          <w:cols w:space="708"/>
          <w:docGrid w:linePitch="360"/>
        </w:sectPr>
      </w:pPr>
    </w:p>
    <w:p w14:paraId="18948D9A" w14:textId="77777777" w:rsidR="00A340EE" w:rsidRPr="0047058F" w:rsidRDefault="00A340EE" w:rsidP="00A340EE">
      <w:pPr>
        <w:pStyle w:val="TableName"/>
      </w:pPr>
      <w:bookmarkStart w:id="208" w:name="_Toc532473580"/>
      <w:r w:rsidRPr="0047058F">
        <w:t>Table 4.3</w:t>
      </w:r>
      <w:bookmarkEnd w:id="206"/>
      <w:r w:rsidRPr="0047058F">
        <w:tab/>
        <w:t>Rates of 12-month ICD-10 affective disorders in 2010 and 2015 in Transitioned ADF and 2015 Regular ADF</w:t>
      </w:r>
      <w:bookmarkEnd w:id="207"/>
      <w:bookmarkEnd w:id="208"/>
    </w:p>
    <w:tbl>
      <w:tblPr>
        <w:tblStyle w:val="TWRPTable"/>
        <w:tblW w:w="5000" w:type="pct"/>
        <w:tblLayout w:type="fixed"/>
        <w:tblLook w:val="0000" w:firstRow="0" w:lastRow="0" w:firstColumn="0" w:lastColumn="0" w:noHBand="0" w:noVBand="0"/>
        <w:tblDescription w:val="Table 4.3 Rates of 12-month ICD-10 affective disorders in 2010 and 2015 in Transitioned ADF and 2015 Regular ADF"/>
      </w:tblPr>
      <w:tblGrid>
        <w:gridCol w:w="1352"/>
        <w:gridCol w:w="554"/>
        <w:gridCol w:w="554"/>
        <w:gridCol w:w="555"/>
        <w:gridCol w:w="555"/>
        <w:gridCol w:w="555"/>
        <w:gridCol w:w="557"/>
        <w:gridCol w:w="555"/>
        <w:gridCol w:w="555"/>
        <w:gridCol w:w="555"/>
        <w:gridCol w:w="555"/>
        <w:gridCol w:w="555"/>
        <w:gridCol w:w="561"/>
        <w:gridCol w:w="1164"/>
        <w:gridCol w:w="1164"/>
        <w:gridCol w:w="1160"/>
      </w:tblGrid>
      <w:tr w:rsidR="00A340EE" w:rsidRPr="0047058F" w14:paraId="045D59B3" w14:textId="77777777" w:rsidTr="000D5576">
        <w:trPr>
          <w:tblHeader/>
        </w:trPr>
        <w:tc>
          <w:tcPr>
            <w:tcW w:w="588" w:type="pct"/>
            <w:tcBorders>
              <w:top w:val="single" w:sz="4" w:space="0" w:color="000000"/>
              <w:bottom w:val="nil"/>
            </w:tcBorders>
          </w:tcPr>
          <w:p w14:paraId="16091D0C" w14:textId="77777777" w:rsidR="00A340EE" w:rsidRPr="0047058F" w:rsidRDefault="00A340EE" w:rsidP="000D5576">
            <w:pPr>
              <w:pStyle w:val="TableText"/>
              <w:rPr>
                <w:b/>
              </w:rPr>
            </w:pPr>
          </w:p>
        </w:tc>
        <w:tc>
          <w:tcPr>
            <w:tcW w:w="1447" w:type="pct"/>
            <w:gridSpan w:val="6"/>
            <w:tcBorders>
              <w:top w:val="single" w:sz="4" w:space="0" w:color="000000"/>
              <w:bottom w:val="single" w:sz="4" w:space="0" w:color="000000"/>
            </w:tcBorders>
          </w:tcPr>
          <w:p w14:paraId="76AC0F80" w14:textId="77777777" w:rsidR="00A340EE" w:rsidRPr="0047058F" w:rsidRDefault="00A340EE" w:rsidP="000D5576">
            <w:pPr>
              <w:pStyle w:val="TableText"/>
              <w:jc w:val="center"/>
              <w:rPr>
                <w:b/>
              </w:rPr>
            </w:pPr>
            <w:r w:rsidRPr="0047058F">
              <w:rPr>
                <w:rFonts w:eastAsia="MS Mincho"/>
                <w:b/>
              </w:rPr>
              <w:t>2010 ADF Mental Health Prevalence and Wellbeing Study</w:t>
            </w:r>
          </w:p>
        </w:tc>
        <w:tc>
          <w:tcPr>
            <w:tcW w:w="1449" w:type="pct"/>
            <w:gridSpan w:val="6"/>
            <w:tcBorders>
              <w:top w:val="single" w:sz="4" w:space="0" w:color="000000"/>
              <w:bottom w:val="single" w:sz="4" w:space="0" w:color="000000"/>
            </w:tcBorders>
          </w:tcPr>
          <w:p w14:paraId="41DB9FE7" w14:textId="77777777" w:rsidR="00A340EE" w:rsidRPr="0047058F" w:rsidRDefault="00A340EE" w:rsidP="000D5576">
            <w:pPr>
              <w:pStyle w:val="TableText"/>
              <w:jc w:val="center"/>
              <w:rPr>
                <w:rFonts w:eastAsia="MS Mincho"/>
                <w:b/>
              </w:rPr>
            </w:pPr>
            <w:r w:rsidRPr="0047058F">
              <w:rPr>
                <w:rFonts w:eastAsia="MS Mincho"/>
                <w:b/>
              </w:rPr>
              <w:t>2015 Transition and Wellbeing Research Programme</w:t>
            </w:r>
          </w:p>
        </w:tc>
        <w:tc>
          <w:tcPr>
            <w:tcW w:w="1517" w:type="pct"/>
            <w:gridSpan w:val="3"/>
            <w:tcBorders>
              <w:top w:val="single" w:sz="4" w:space="0" w:color="000000"/>
              <w:bottom w:val="single" w:sz="4" w:space="0" w:color="000000"/>
            </w:tcBorders>
          </w:tcPr>
          <w:p w14:paraId="21924B3E" w14:textId="77777777" w:rsidR="00A340EE" w:rsidRPr="0047058F" w:rsidRDefault="00A340EE" w:rsidP="000D5576">
            <w:pPr>
              <w:pStyle w:val="TableText"/>
              <w:jc w:val="center"/>
              <w:rPr>
                <w:rFonts w:eastAsia="MS Mincho"/>
                <w:b/>
              </w:rPr>
            </w:pPr>
            <w:r w:rsidRPr="0047058F">
              <w:rPr>
                <w:rFonts w:eastAsia="MS Mincho"/>
                <w:b/>
              </w:rPr>
              <w:t>Odds ratio</w:t>
            </w:r>
          </w:p>
        </w:tc>
      </w:tr>
      <w:tr w:rsidR="000D5576" w:rsidRPr="0047058F" w14:paraId="08518D2D" w14:textId="77777777" w:rsidTr="000D5576">
        <w:trPr>
          <w:tblHeader/>
        </w:trPr>
        <w:tc>
          <w:tcPr>
            <w:tcW w:w="588" w:type="pct"/>
            <w:vMerge w:val="restart"/>
            <w:tcBorders>
              <w:top w:val="nil"/>
            </w:tcBorders>
            <w:vAlign w:val="bottom"/>
          </w:tcPr>
          <w:p w14:paraId="0C46E925" w14:textId="77777777" w:rsidR="000D5576" w:rsidRPr="0047058F" w:rsidRDefault="000D5576" w:rsidP="000D5576">
            <w:pPr>
              <w:pStyle w:val="TableText"/>
              <w:rPr>
                <w:b/>
              </w:rPr>
            </w:pPr>
            <w:r w:rsidRPr="0047058F">
              <w:rPr>
                <w:rFonts w:eastAsia="Times New Roman"/>
                <w:b/>
                <w:lang w:eastAsia="en-AU"/>
              </w:rPr>
              <w:t>ICD-10 affective disorder</w:t>
            </w:r>
          </w:p>
        </w:tc>
        <w:tc>
          <w:tcPr>
            <w:tcW w:w="481" w:type="pct"/>
            <w:gridSpan w:val="2"/>
            <w:tcBorders>
              <w:top w:val="single" w:sz="4" w:space="0" w:color="000000"/>
              <w:bottom w:val="single" w:sz="4" w:space="0" w:color="000000"/>
            </w:tcBorders>
            <w:vAlign w:val="bottom"/>
          </w:tcPr>
          <w:p w14:paraId="176ADE00" w14:textId="77777777" w:rsidR="000D5576" w:rsidRPr="0047058F" w:rsidRDefault="000D5576" w:rsidP="000D5576">
            <w:pPr>
              <w:pStyle w:val="TableText"/>
              <w:jc w:val="center"/>
              <w:rPr>
                <w:rFonts w:eastAsia="MS Mincho"/>
                <w:b/>
              </w:rPr>
            </w:pPr>
            <w:r w:rsidRPr="0047058F">
              <w:rPr>
                <w:rFonts w:eastAsia="MS Mincho"/>
                <w:b/>
              </w:rPr>
              <w:t>Transitioned ADF</w:t>
            </w:r>
            <w:r w:rsidRPr="0047058F">
              <w:rPr>
                <w:rFonts w:eastAsia="MS Mincho"/>
                <w:b/>
              </w:rPr>
              <w:br/>
              <w:t>n = 261</w:t>
            </w:r>
          </w:p>
        </w:tc>
        <w:tc>
          <w:tcPr>
            <w:tcW w:w="482" w:type="pct"/>
            <w:gridSpan w:val="2"/>
            <w:tcBorders>
              <w:top w:val="single" w:sz="4" w:space="0" w:color="000000"/>
              <w:bottom w:val="single" w:sz="4" w:space="0" w:color="000000"/>
            </w:tcBorders>
            <w:vAlign w:val="bottom"/>
          </w:tcPr>
          <w:p w14:paraId="79D36A42" w14:textId="77777777" w:rsidR="000D5576" w:rsidRPr="0047058F" w:rsidRDefault="000D5576" w:rsidP="000D5576">
            <w:pPr>
              <w:pStyle w:val="TableText"/>
              <w:jc w:val="center"/>
              <w:rPr>
                <w:rFonts w:eastAsia="MS Mincho"/>
                <w:b/>
              </w:rPr>
            </w:pPr>
            <w:r w:rsidRPr="0047058F">
              <w:rPr>
                <w:rFonts w:eastAsia="MS Mincho"/>
                <w:b/>
              </w:rPr>
              <w:t>2015 Regular ADF</w:t>
            </w:r>
            <w:r w:rsidRPr="0047058F">
              <w:rPr>
                <w:rFonts w:eastAsia="MS Mincho"/>
                <w:b/>
              </w:rPr>
              <w:br/>
              <w:t>n = 559</w:t>
            </w:r>
          </w:p>
        </w:tc>
        <w:tc>
          <w:tcPr>
            <w:tcW w:w="483" w:type="pct"/>
            <w:gridSpan w:val="2"/>
            <w:tcBorders>
              <w:top w:val="single" w:sz="4" w:space="0" w:color="000000"/>
              <w:bottom w:val="single" w:sz="4" w:space="0" w:color="000000"/>
            </w:tcBorders>
            <w:vAlign w:val="bottom"/>
          </w:tcPr>
          <w:p w14:paraId="3EA05206" w14:textId="77777777" w:rsidR="000D5576" w:rsidRPr="0047058F" w:rsidRDefault="000D5576" w:rsidP="000D5576">
            <w:pPr>
              <w:pStyle w:val="TableText"/>
              <w:jc w:val="center"/>
              <w:rPr>
                <w:b/>
              </w:rPr>
            </w:pPr>
            <w:r w:rsidRPr="0047058F">
              <w:rPr>
                <w:rFonts w:eastAsia="MS Mincho"/>
                <w:b/>
              </w:rPr>
              <w:t>Total</w:t>
            </w:r>
            <w:r w:rsidRPr="0047058F">
              <w:rPr>
                <w:rFonts w:eastAsia="MS Mincho"/>
                <w:b/>
              </w:rPr>
              <w:br/>
              <w:t>n = 820</w:t>
            </w:r>
          </w:p>
        </w:tc>
        <w:tc>
          <w:tcPr>
            <w:tcW w:w="482" w:type="pct"/>
            <w:gridSpan w:val="2"/>
            <w:tcBorders>
              <w:top w:val="single" w:sz="4" w:space="0" w:color="000000"/>
              <w:bottom w:val="single" w:sz="4" w:space="0" w:color="000000"/>
            </w:tcBorders>
            <w:vAlign w:val="bottom"/>
          </w:tcPr>
          <w:p w14:paraId="27778753" w14:textId="77777777" w:rsidR="000D5576" w:rsidRPr="0047058F" w:rsidRDefault="000D5576" w:rsidP="000D5576">
            <w:pPr>
              <w:pStyle w:val="TableText"/>
              <w:jc w:val="center"/>
              <w:rPr>
                <w:b/>
              </w:rPr>
            </w:pPr>
            <w:r w:rsidRPr="0047058F">
              <w:rPr>
                <w:rFonts w:eastAsia="MS Mincho"/>
                <w:b/>
              </w:rPr>
              <w:t>Transitioned ADF</w:t>
            </w:r>
            <w:r w:rsidRPr="0047058F">
              <w:rPr>
                <w:rFonts w:eastAsia="MS Mincho"/>
                <w:b/>
              </w:rPr>
              <w:br/>
              <w:t>n = 261</w:t>
            </w:r>
          </w:p>
        </w:tc>
        <w:tc>
          <w:tcPr>
            <w:tcW w:w="482" w:type="pct"/>
            <w:gridSpan w:val="2"/>
            <w:tcBorders>
              <w:top w:val="single" w:sz="4" w:space="0" w:color="000000"/>
              <w:bottom w:val="single" w:sz="4" w:space="0" w:color="000000"/>
            </w:tcBorders>
            <w:vAlign w:val="bottom"/>
          </w:tcPr>
          <w:p w14:paraId="2F8F3825" w14:textId="77777777" w:rsidR="000D5576" w:rsidRPr="0047058F" w:rsidRDefault="000D5576" w:rsidP="000D5576">
            <w:pPr>
              <w:pStyle w:val="TableText"/>
              <w:jc w:val="center"/>
              <w:rPr>
                <w:b/>
              </w:rPr>
            </w:pPr>
            <w:r w:rsidRPr="0047058F">
              <w:rPr>
                <w:rFonts w:eastAsia="MS Mincho"/>
                <w:b/>
              </w:rPr>
              <w:t>2015 Regular ADF</w:t>
            </w:r>
            <w:r w:rsidRPr="0047058F">
              <w:rPr>
                <w:rFonts w:eastAsia="MS Mincho"/>
                <w:b/>
              </w:rPr>
              <w:br/>
              <w:t>n = 559</w:t>
            </w:r>
          </w:p>
        </w:tc>
        <w:tc>
          <w:tcPr>
            <w:tcW w:w="484" w:type="pct"/>
            <w:gridSpan w:val="2"/>
            <w:tcBorders>
              <w:top w:val="single" w:sz="4" w:space="0" w:color="000000"/>
              <w:bottom w:val="single" w:sz="4" w:space="0" w:color="000000"/>
            </w:tcBorders>
            <w:vAlign w:val="bottom"/>
          </w:tcPr>
          <w:p w14:paraId="2469B7BD" w14:textId="77777777" w:rsidR="000D5576" w:rsidRPr="0047058F" w:rsidRDefault="000D5576" w:rsidP="000D5576">
            <w:pPr>
              <w:pStyle w:val="TableText"/>
              <w:jc w:val="center"/>
              <w:rPr>
                <w:rFonts w:eastAsia="MS Mincho"/>
                <w:b/>
              </w:rPr>
            </w:pPr>
            <w:r w:rsidRPr="0047058F">
              <w:rPr>
                <w:rFonts w:eastAsia="MS Mincho"/>
                <w:b/>
              </w:rPr>
              <w:t>Total</w:t>
            </w:r>
            <w:r w:rsidRPr="0047058F">
              <w:rPr>
                <w:rFonts w:eastAsia="MS Mincho"/>
                <w:b/>
              </w:rPr>
              <w:br/>
              <w:t>n = 820</w:t>
            </w:r>
          </w:p>
        </w:tc>
        <w:tc>
          <w:tcPr>
            <w:tcW w:w="506" w:type="pct"/>
            <w:tcBorders>
              <w:top w:val="single" w:sz="4" w:space="0" w:color="000000"/>
              <w:bottom w:val="single" w:sz="4" w:space="0" w:color="000000"/>
            </w:tcBorders>
            <w:vAlign w:val="bottom"/>
          </w:tcPr>
          <w:p w14:paraId="06BA8E67" w14:textId="77777777" w:rsidR="000D5576" w:rsidRPr="0047058F" w:rsidRDefault="000D5576" w:rsidP="000D5576">
            <w:pPr>
              <w:pStyle w:val="TableText"/>
              <w:jc w:val="center"/>
              <w:rPr>
                <w:rFonts w:eastAsia="MS Mincho"/>
                <w:b/>
              </w:rPr>
            </w:pPr>
            <w:r w:rsidRPr="0047058F">
              <w:rPr>
                <w:rFonts w:eastAsia="MS Mincho"/>
                <w:b/>
              </w:rPr>
              <w:t>2010: Transitioned 2015 vs Regular 2015</w:t>
            </w:r>
          </w:p>
        </w:tc>
        <w:tc>
          <w:tcPr>
            <w:tcW w:w="506" w:type="pct"/>
            <w:tcBorders>
              <w:top w:val="single" w:sz="4" w:space="0" w:color="000000"/>
              <w:bottom w:val="single" w:sz="4" w:space="0" w:color="000000"/>
            </w:tcBorders>
            <w:vAlign w:val="bottom"/>
          </w:tcPr>
          <w:p w14:paraId="3DF5B67F" w14:textId="77777777" w:rsidR="000D5576" w:rsidRPr="0047058F" w:rsidRDefault="000D5576" w:rsidP="000D5576">
            <w:pPr>
              <w:pStyle w:val="TableText"/>
              <w:jc w:val="center"/>
              <w:rPr>
                <w:rFonts w:eastAsia="MS Mincho"/>
                <w:b/>
              </w:rPr>
            </w:pPr>
            <w:r w:rsidRPr="0047058F">
              <w:rPr>
                <w:rFonts w:eastAsia="MS Mincho"/>
                <w:b/>
              </w:rPr>
              <w:t>2015: Transitioned 2015 vs Regular 2015</w:t>
            </w:r>
          </w:p>
        </w:tc>
        <w:tc>
          <w:tcPr>
            <w:tcW w:w="505" w:type="pct"/>
            <w:tcBorders>
              <w:top w:val="single" w:sz="4" w:space="0" w:color="000000"/>
              <w:bottom w:val="single" w:sz="4" w:space="0" w:color="000000"/>
            </w:tcBorders>
            <w:vAlign w:val="bottom"/>
          </w:tcPr>
          <w:p w14:paraId="1666FF01" w14:textId="77777777" w:rsidR="000D5576" w:rsidRPr="0047058F" w:rsidRDefault="000D5576" w:rsidP="000D5576">
            <w:pPr>
              <w:pStyle w:val="TableText"/>
              <w:jc w:val="center"/>
              <w:rPr>
                <w:rFonts w:eastAsia="MS Mincho"/>
                <w:b/>
              </w:rPr>
            </w:pPr>
            <w:r w:rsidRPr="0047058F">
              <w:rPr>
                <w:rFonts w:eastAsia="MS Mincho"/>
                <w:b/>
              </w:rPr>
              <w:t>2015 total vs 2010 total</w:t>
            </w:r>
          </w:p>
        </w:tc>
      </w:tr>
      <w:tr w:rsidR="000D5576" w:rsidRPr="0047058F" w14:paraId="2639ADEF" w14:textId="77777777" w:rsidTr="000D5576">
        <w:trPr>
          <w:tblHeader/>
        </w:trPr>
        <w:tc>
          <w:tcPr>
            <w:tcW w:w="588" w:type="pct"/>
            <w:vMerge/>
            <w:tcBorders>
              <w:bottom w:val="single" w:sz="4" w:space="0" w:color="000000"/>
            </w:tcBorders>
          </w:tcPr>
          <w:p w14:paraId="3BA1B996" w14:textId="77777777" w:rsidR="000D5576" w:rsidRPr="0047058F" w:rsidRDefault="000D5576" w:rsidP="000D5576">
            <w:pPr>
              <w:pStyle w:val="TableText"/>
              <w:rPr>
                <w:rFonts w:cs="Arial"/>
                <w:b/>
              </w:rPr>
            </w:pPr>
          </w:p>
        </w:tc>
        <w:tc>
          <w:tcPr>
            <w:tcW w:w="241" w:type="pct"/>
            <w:tcBorders>
              <w:top w:val="single" w:sz="4" w:space="0" w:color="000000"/>
              <w:bottom w:val="single" w:sz="4" w:space="0" w:color="000000"/>
            </w:tcBorders>
          </w:tcPr>
          <w:p w14:paraId="465978D9" w14:textId="77777777" w:rsidR="000D5576" w:rsidRPr="0047058F" w:rsidRDefault="000D5576" w:rsidP="000D5576">
            <w:pPr>
              <w:pStyle w:val="TableText"/>
              <w:jc w:val="right"/>
              <w:rPr>
                <w:rFonts w:cs="Arial"/>
                <w:b/>
              </w:rPr>
            </w:pPr>
            <w:r w:rsidRPr="0047058F">
              <w:rPr>
                <w:rFonts w:cs="Arial"/>
                <w:b/>
              </w:rPr>
              <w:t>n</w:t>
            </w:r>
          </w:p>
        </w:tc>
        <w:tc>
          <w:tcPr>
            <w:tcW w:w="241" w:type="pct"/>
            <w:tcBorders>
              <w:top w:val="single" w:sz="4" w:space="0" w:color="000000"/>
              <w:bottom w:val="single" w:sz="4" w:space="0" w:color="000000"/>
            </w:tcBorders>
          </w:tcPr>
          <w:p w14:paraId="717DF000" w14:textId="77777777" w:rsidR="000D5576" w:rsidRPr="0047058F" w:rsidRDefault="000D5576" w:rsidP="000D5576">
            <w:pPr>
              <w:pStyle w:val="TableText"/>
              <w:jc w:val="right"/>
              <w:rPr>
                <w:rFonts w:cs="Arial"/>
                <w:b/>
              </w:rPr>
            </w:pPr>
            <w:r w:rsidRPr="0047058F">
              <w:rPr>
                <w:rFonts w:cs="Arial"/>
                <w:b/>
              </w:rPr>
              <w:t>%</w:t>
            </w:r>
          </w:p>
        </w:tc>
        <w:tc>
          <w:tcPr>
            <w:tcW w:w="241" w:type="pct"/>
            <w:tcBorders>
              <w:top w:val="single" w:sz="4" w:space="0" w:color="000000"/>
              <w:bottom w:val="single" w:sz="4" w:space="0" w:color="000000"/>
            </w:tcBorders>
          </w:tcPr>
          <w:p w14:paraId="076D21AC" w14:textId="77777777" w:rsidR="000D5576" w:rsidRPr="0047058F" w:rsidRDefault="000D5576" w:rsidP="000D5576">
            <w:pPr>
              <w:pStyle w:val="TableText"/>
              <w:jc w:val="right"/>
              <w:rPr>
                <w:rFonts w:cs="Arial"/>
                <w:b/>
              </w:rPr>
            </w:pPr>
            <w:r w:rsidRPr="0047058F">
              <w:rPr>
                <w:rFonts w:cs="Arial"/>
                <w:b/>
              </w:rPr>
              <w:t>n</w:t>
            </w:r>
          </w:p>
        </w:tc>
        <w:tc>
          <w:tcPr>
            <w:tcW w:w="241" w:type="pct"/>
            <w:tcBorders>
              <w:top w:val="single" w:sz="4" w:space="0" w:color="000000"/>
              <w:bottom w:val="single" w:sz="4" w:space="0" w:color="000000"/>
            </w:tcBorders>
          </w:tcPr>
          <w:p w14:paraId="00B165BB" w14:textId="77777777" w:rsidR="000D5576" w:rsidRPr="0047058F" w:rsidRDefault="000D5576" w:rsidP="000D5576">
            <w:pPr>
              <w:pStyle w:val="TableText"/>
              <w:jc w:val="right"/>
              <w:rPr>
                <w:rFonts w:cs="Arial"/>
                <w:b/>
              </w:rPr>
            </w:pPr>
            <w:r w:rsidRPr="0047058F">
              <w:rPr>
                <w:rFonts w:cs="Arial"/>
                <w:b/>
              </w:rPr>
              <w:t>%</w:t>
            </w:r>
          </w:p>
        </w:tc>
        <w:tc>
          <w:tcPr>
            <w:tcW w:w="241" w:type="pct"/>
            <w:tcBorders>
              <w:top w:val="single" w:sz="4" w:space="0" w:color="000000"/>
              <w:bottom w:val="single" w:sz="4" w:space="0" w:color="000000"/>
            </w:tcBorders>
          </w:tcPr>
          <w:p w14:paraId="30986AC9" w14:textId="77777777" w:rsidR="000D5576" w:rsidRPr="0047058F" w:rsidRDefault="000D5576" w:rsidP="000D5576">
            <w:pPr>
              <w:pStyle w:val="TableText"/>
              <w:jc w:val="right"/>
              <w:rPr>
                <w:rFonts w:cs="Arial"/>
                <w:b/>
              </w:rPr>
            </w:pPr>
            <w:r w:rsidRPr="0047058F">
              <w:rPr>
                <w:rFonts w:cs="Arial"/>
                <w:b/>
              </w:rPr>
              <w:t>n</w:t>
            </w:r>
          </w:p>
        </w:tc>
        <w:tc>
          <w:tcPr>
            <w:tcW w:w="242" w:type="pct"/>
            <w:tcBorders>
              <w:top w:val="single" w:sz="4" w:space="0" w:color="000000"/>
              <w:bottom w:val="single" w:sz="4" w:space="0" w:color="000000"/>
            </w:tcBorders>
          </w:tcPr>
          <w:p w14:paraId="62456F2B" w14:textId="77777777" w:rsidR="000D5576" w:rsidRPr="0047058F" w:rsidRDefault="000D5576" w:rsidP="000D5576">
            <w:pPr>
              <w:pStyle w:val="TableText"/>
              <w:jc w:val="right"/>
              <w:rPr>
                <w:rFonts w:cs="Arial"/>
                <w:b/>
              </w:rPr>
            </w:pPr>
            <w:r w:rsidRPr="0047058F">
              <w:rPr>
                <w:rFonts w:cs="Arial"/>
                <w:b/>
              </w:rPr>
              <w:t>%</w:t>
            </w:r>
          </w:p>
        </w:tc>
        <w:tc>
          <w:tcPr>
            <w:tcW w:w="241" w:type="pct"/>
            <w:tcBorders>
              <w:top w:val="single" w:sz="4" w:space="0" w:color="000000"/>
              <w:bottom w:val="single" w:sz="4" w:space="0" w:color="000000"/>
            </w:tcBorders>
          </w:tcPr>
          <w:p w14:paraId="1CC6BB46" w14:textId="77777777" w:rsidR="000D5576" w:rsidRPr="0047058F" w:rsidRDefault="000D5576" w:rsidP="000D5576">
            <w:pPr>
              <w:pStyle w:val="TableText"/>
              <w:jc w:val="right"/>
              <w:rPr>
                <w:rFonts w:cs="Arial"/>
                <w:b/>
              </w:rPr>
            </w:pPr>
            <w:r w:rsidRPr="0047058F">
              <w:rPr>
                <w:rFonts w:cs="Arial"/>
                <w:b/>
              </w:rPr>
              <w:t>n</w:t>
            </w:r>
          </w:p>
        </w:tc>
        <w:tc>
          <w:tcPr>
            <w:tcW w:w="241" w:type="pct"/>
            <w:tcBorders>
              <w:top w:val="single" w:sz="4" w:space="0" w:color="000000"/>
              <w:bottom w:val="single" w:sz="4" w:space="0" w:color="000000"/>
            </w:tcBorders>
          </w:tcPr>
          <w:p w14:paraId="0F0B24C7" w14:textId="77777777" w:rsidR="000D5576" w:rsidRPr="0047058F" w:rsidRDefault="000D5576" w:rsidP="000D5576">
            <w:pPr>
              <w:pStyle w:val="TableText"/>
              <w:jc w:val="right"/>
              <w:rPr>
                <w:rFonts w:cs="Arial"/>
                <w:b/>
              </w:rPr>
            </w:pPr>
            <w:r w:rsidRPr="0047058F">
              <w:rPr>
                <w:rFonts w:cs="Arial"/>
                <w:b/>
              </w:rPr>
              <w:t>%</w:t>
            </w:r>
          </w:p>
        </w:tc>
        <w:tc>
          <w:tcPr>
            <w:tcW w:w="241" w:type="pct"/>
            <w:tcBorders>
              <w:top w:val="single" w:sz="4" w:space="0" w:color="000000"/>
              <w:bottom w:val="single" w:sz="4" w:space="0" w:color="000000"/>
            </w:tcBorders>
          </w:tcPr>
          <w:p w14:paraId="398EB08C" w14:textId="77777777" w:rsidR="000D5576" w:rsidRPr="0047058F" w:rsidRDefault="000D5576" w:rsidP="000D5576">
            <w:pPr>
              <w:pStyle w:val="TableText"/>
              <w:jc w:val="right"/>
              <w:rPr>
                <w:rFonts w:cs="Arial"/>
                <w:b/>
              </w:rPr>
            </w:pPr>
            <w:r w:rsidRPr="0047058F">
              <w:rPr>
                <w:rFonts w:cs="Arial"/>
                <w:b/>
              </w:rPr>
              <w:t>n</w:t>
            </w:r>
          </w:p>
        </w:tc>
        <w:tc>
          <w:tcPr>
            <w:tcW w:w="241" w:type="pct"/>
            <w:tcBorders>
              <w:top w:val="single" w:sz="4" w:space="0" w:color="000000"/>
              <w:bottom w:val="single" w:sz="4" w:space="0" w:color="000000"/>
            </w:tcBorders>
          </w:tcPr>
          <w:p w14:paraId="3217C4ED" w14:textId="77777777" w:rsidR="000D5576" w:rsidRPr="0047058F" w:rsidRDefault="000D5576" w:rsidP="000D5576">
            <w:pPr>
              <w:pStyle w:val="TableText"/>
              <w:jc w:val="right"/>
              <w:rPr>
                <w:rFonts w:cs="Arial"/>
                <w:b/>
              </w:rPr>
            </w:pPr>
            <w:r w:rsidRPr="0047058F">
              <w:rPr>
                <w:rFonts w:cs="Arial"/>
                <w:b/>
              </w:rPr>
              <w:t>%</w:t>
            </w:r>
          </w:p>
        </w:tc>
        <w:tc>
          <w:tcPr>
            <w:tcW w:w="241" w:type="pct"/>
            <w:tcBorders>
              <w:top w:val="single" w:sz="4" w:space="0" w:color="000000"/>
              <w:bottom w:val="single" w:sz="4" w:space="0" w:color="000000"/>
            </w:tcBorders>
          </w:tcPr>
          <w:p w14:paraId="54EA784F" w14:textId="77777777" w:rsidR="000D5576" w:rsidRPr="0047058F" w:rsidRDefault="000D5576" w:rsidP="000D5576">
            <w:pPr>
              <w:pStyle w:val="TableText"/>
              <w:jc w:val="right"/>
              <w:rPr>
                <w:rFonts w:cs="Arial"/>
                <w:b/>
              </w:rPr>
            </w:pPr>
            <w:r w:rsidRPr="0047058F">
              <w:rPr>
                <w:rFonts w:cs="Arial"/>
                <w:b/>
              </w:rPr>
              <w:t>n</w:t>
            </w:r>
          </w:p>
        </w:tc>
        <w:tc>
          <w:tcPr>
            <w:tcW w:w="243" w:type="pct"/>
            <w:tcBorders>
              <w:top w:val="single" w:sz="4" w:space="0" w:color="000000"/>
              <w:bottom w:val="single" w:sz="4" w:space="0" w:color="000000"/>
            </w:tcBorders>
          </w:tcPr>
          <w:p w14:paraId="42166217" w14:textId="77777777" w:rsidR="000D5576" w:rsidRPr="0047058F" w:rsidRDefault="000D5576" w:rsidP="000D5576">
            <w:pPr>
              <w:pStyle w:val="TableText"/>
              <w:jc w:val="right"/>
              <w:rPr>
                <w:rFonts w:cs="Arial"/>
                <w:b/>
              </w:rPr>
            </w:pPr>
            <w:r w:rsidRPr="0047058F">
              <w:rPr>
                <w:rFonts w:cs="Arial"/>
                <w:b/>
              </w:rPr>
              <w:t>%</w:t>
            </w:r>
          </w:p>
        </w:tc>
        <w:tc>
          <w:tcPr>
            <w:tcW w:w="506" w:type="pct"/>
            <w:tcBorders>
              <w:top w:val="single" w:sz="4" w:space="0" w:color="000000"/>
              <w:bottom w:val="single" w:sz="4" w:space="0" w:color="000000"/>
            </w:tcBorders>
          </w:tcPr>
          <w:p w14:paraId="6FBDDBB4" w14:textId="77777777" w:rsidR="000D5576" w:rsidRPr="0047058F" w:rsidRDefault="000D5576" w:rsidP="000D5576">
            <w:pPr>
              <w:pStyle w:val="TableText"/>
              <w:jc w:val="right"/>
              <w:rPr>
                <w:rFonts w:cs="Arial"/>
                <w:b/>
              </w:rPr>
            </w:pPr>
            <w:r w:rsidRPr="0047058F">
              <w:rPr>
                <w:rFonts w:eastAsia="MS Mincho"/>
                <w:b/>
              </w:rPr>
              <w:t>OR (95% CI)</w:t>
            </w:r>
          </w:p>
        </w:tc>
        <w:tc>
          <w:tcPr>
            <w:tcW w:w="506" w:type="pct"/>
            <w:tcBorders>
              <w:top w:val="single" w:sz="4" w:space="0" w:color="000000"/>
              <w:bottom w:val="single" w:sz="4" w:space="0" w:color="000000"/>
            </w:tcBorders>
          </w:tcPr>
          <w:p w14:paraId="61A26FF1" w14:textId="77777777" w:rsidR="000D5576" w:rsidRPr="0047058F" w:rsidRDefault="000D5576" w:rsidP="000D5576">
            <w:pPr>
              <w:pStyle w:val="TableText"/>
              <w:jc w:val="right"/>
              <w:rPr>
                <w:rFonts w:cs="Arial"/>
                <w:b/>
              </w:rPr>
            </w:pPr>
            <w:r w:rsidRPr="0047058F">
              <w:rPr>
                <w:rFonts w:eastAsia="MS Mincho"/>
                <w:b/>
              </w:rPr>
              <w:t>OR (95% CI)</w:t>
            </w:r>
          </w:p>
        </w:tc>
        <w:tc>
          <w:tcPr>
            <w:tcW w:w="505" w:type="pct"/>
            <w:tcBorders>
              <w:top w:val="single" w:sz="4" w:space="0" w:color="000000"/>
              <w:bottom w:val="single" w:sz="4" w:space="0" w:color="000000"/>
            </w:tcBorders>
          </w:tcPr>
          <w:p w14:paraId="2FAD4B97" w14:textId="77777777" w:rsidR="000D5576" w:rsidRPr="0047058F" w:rsidRDefault="000D5576" w:rsidP="000D5576">
            <w:pPr>
              <w:pStyle w:val="TableText"/>
              <w:jc w:val="right"/>
              <w:rPr>
                <w:rFonts w:cs="Arial"/>
                <w:b/>
              </w:rPr>
            </w:pPr>
            <w:r w:rsidRPr="0047058F">
              <w:rPr>
                <w:rFonts w:eastAsia="MS Mincho"/>
                <w:b/>
              </w:rPr>
              <w:t>OR (95% CI)</w:t>
            </w:r>
          </w:p>
        </w:tc>
      </w:tr>
      <w:tr w:rsidR="000D5576" w:rsidRPr="0047058F" w14:paraId="0C93F7D1"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Borders>
              <w:top w:val="single" w:sz="4" w:space="0" w:color="000000"/>
            </w:tcBorders>
          </w:tcPr>
          <w:p w14:paraId="0DD267A5" w14:textId="77777777" w:rsidR="00A340EE" w:rsidRPr="0047058F" w:rsidRDefault="00A340EE" w:rsidP="000D5576">
            <w:pPr>
              <w:pStyle w:val="TableText"/>
              <w:rPr>
                <w:rFonts w:cs="Calibri"/>
                <w:szCs w:val="14"/>
              </w:rPr>
            </w:pPr>
            <w:r w:rsidRPr="0047058F">
              <w:rPr>
                <w:rFonts w:cs="Calibri"/>
                <w:szCs w:val="14"/>
              </w:rPr>
              <w:t>Depressive episodes</w:t>
            </w:r>
          </w:p>
        </w:tc>
        <w:tc>
          <w:tcPr>
            <w:tcW w:w="241" w:type="pct"/>
            <w:tcBorders>
              <w:top w:val="single" w:sz="4" w:space="0" w:color="000000"/>
            </w:tcBorders>
          </w:tcPr>
          <w:p w14:paraId="5BDED2CC" w14:textId="77777777" w:rsidR="00A340EE" w:rsidRPr="0047058F" w:rsidRDefault="00A340EE" w:rsidP="000D5576">
            <w:pPr>
              <w:pStyle w:val="TableText"/>
              <w:jc w:val="right"/>
              <w:rPr>
                <w:rFonts w:eastAsia="Times New Roman" w:cs="Arial"/>
              </w:rPr>
            </w:pPr>
            <w:r w:rsidRPr="0047058F">
              <w:rPr>
                <w:rFonts w:eastAsia="Times New Roman" w:cs="Arial"/>
              </w:rPr>
              <w:t>42</w:t>
            </w:r>
          </w:p>
        </w:tc>
        <w:tc>
          <w:tcPr>
            <w:tcW w:w="241" w:type="pct"/>
            <w:tcBorders>
              <w:top w:val="single" w:sz="4" w:space="0" w:color="000000"/>
            </w:tcBorders>
          </w:tcPr>
          <w:p w14:paraId="0E49BC3F" w14:textId="77777777" w:rsidR="00A340EE" w:rsidRPr="0047058F" w:rsidRDefault="00A340EE" w:rsidP="000D5576">
            <w:pPr>
              <w:pStyle w:val="TableText"/>
              <w:jc w:val="right"/>
              <w:rPr>
                <w:rFonts w:eastAsia="Times New Roman" w:cs="Arial"/>
              </w:rPr>
            </w:pPr>
            <w:r w:rsidRPr="0047058F">
              <w:rPr>
                <w:rFonts w:eastAsia="Times New Roman" w:cs="Arial"/>
              </w:rPr>
              <w:t>16.1</w:t>
            </w:r>
          </w:p>
        </w:tc>
        <w:tc>
          <w:tcPr>
            <w:tcW w:w="241" w:type="pct"/>
            <w:tcBorders>
              <w:top w:val="single" w:sz="4" w:space="0" w:color="000000"/>
            </w:tcBorders>
          </w:tcPr>
          <w:p w14:paraId="3DC77216" w14:textId="77777777" w:rsidR="00A340EE" w:rsidRPr="0047058F" w:rsidRDefault="00A340EE" w:rsidP="000D5576">
            <w:pPr>
              <w:pStyle w:val="TableText"/>
              <w:jc w:val="right"/>
              <w:rPr>
                <w:rFonts w:eastAsia="Times New Roman" w:cs="Arial"/>
              </w:rPr>
            </w:pPr>
            <w:r w:rsidRPr="0047058F">
              <w:rPr>
                <w:rFonts w:eastAsia="Times New Roman" w:cs="Arial"/>
              </w:rPr>
              <w:t>71</w:t>
            </w:r>
          </w:p>
        </w:tc>
        <w:tc>
          <w:tcPr>
            <w:tcW w:w="241" w:type="pct"/>
            <w:tcBorders>
              <w:top w:val="single" w:sz="4" w:space="0" w:color="000000"/>
            </w:tcBorders>
          </w:tcPr>
          <w:p w14:paraId="27708E7C" w14:textId="77777777" w:rsidR="00A340EE" w:rsidRPr="0047058F" w:rsidRDefault="00A340EE" w:rsidP="000D5576">
            <w:pPr>
              <w:pStyle w:val="TableText"/>
              <w:jc w:val="right"/>
              <w:rPr>
                <w:rFonts w:eastAsia="Times New Roman" w:cs="Arial"/>
              </w:rPr>
            </w:pPr>
            <w:r w:rsidRPr="0047058F">
              <w:rPr>
                <w:rFonts w:eastAsia="Times New Roman" w:cs="Arial"/>
              </w:rPr>
              <w:t>12.7</w:t>
            </w:r>
          </w:p>
        </w:tc>
        <w:tc>
          <w:tcPr>
            <w:tcW w:w="241" w:type="pct"/>
            <w:tcBorders>
              <w:top w:val="single" w:sz="4" w:space="0" w:color="000000"/>
            </w:tcBorders>
          </w:tcPr>
          <w:p w14:paraId="2416F261" w14:textId="77777777" w:rsidR="00A340EE" w:rsidRPr="0047058F" w:rsidRDefault="00A340EE" w:rsidP="000D5576">
            <w:pPr>
              <w:pStyle w:val="TableText"/>
              <w:jc w:val="right"/>
            </w:pPr>
            <w:r w:rsidRPr="0047058F">
              <w:rPr>
                <w:rFonts w:eastAsia="Times New Roman" w:cs="Arial"/>
              </w:rPr>
              <w:t>113</w:t>
            </w:r>
          </w:p>
        </w:tc>
        <w:tc>
          <w:tcPr>
            <w:tcW w:w="242" w:type="pct"/>
            <w:tcBorders>
              <w:top w:val="single" w:sz="4" w:space="0" w:color="000000"/>
            </w:tcBorders>
          </w:tcPr>
          <w:p w14:paraId="1F5D4A15" w14:textId="77777777" w:rsidR="00A340EE" w:rsidRPr="0047058F" w:rsidRDefault="00A340EE" w:rsidP="000D5576">
            <w:pPr>
              <w:pStyle w:val="TableText"/>
              <w:jc w:val="right"/>
            </w:pPr>
            <w:r w:rsidRPr="0047058F">
              <w:rPr>
                <w:rFonts w:eastAsia="Times New Roman" w:cs="Arial"/>
              </w:rPr>
              <w:t>13.8</w:t>
            </w:r>
          </w:p>
        </w:tc>
        <w:tc>
          <w:tcPr>
            <w:tcW w:w="241" w:type="pct"/>
            <w:tcBorders>
              <w:top w:val="single" w:sz="4" w:space="0" w:color="000000"/>
            </w:tcBorders>
          </w:tcPr>
          <w:p w14:paraId="58EFCF1C" w14:textId="77777777" w:rsidR="00A340EE" w:rsidRPr="0047058F" w:rsidRDefault="00A340EE" w:rsidP="000D5576">
            <w:pPr>
              <w:pStyle w:val="TableText"/>
              <w:jc w:val="right"/>
            </w:pPr>
            <w:r w:rsidRPr="0047058F">
              <w:rPr>
                <w:rFonts w:eastAsia="Times New Roman" w:cs="Arial"/>
              </w:rPr>
              <w:t>37</w:t>
            </w:r>
          </w:p>
        </w:tc>
        <w:tc>
          <w:tcPr>
            <w:tcW w:w="241" w:type="pct"/>
            <w:tcBorders>
              <w:top w:val="single" w:sz="4" w:space="0" w:color="000000"/>
            </w:tcBorders>
          </w:tcPr>
          <w:p w14:paraId="02E949F4" w14:textId="77777777" w:rsidR="00A340EE" w:rsidRPr="0047058F" w:rsidRDefault="00A340EE" w:rsidP="000D5576">
            <w:pPr>
              <w:pStyle w:val="TableText"/>
              <w:jc w:val="right"/>
            </w:pPr>
            <w:r w:rsidRPr="0047058F">
              <w:rPr>
                <w:rFonts w:eastAsia="Times New Roman" w:cs="Arial"/>
              </w:rPr>
              <w:t>14.2</w:t>
            </w:r>
          </w:p>
        </w:tc>
        <w:tc>
          <w:tcPr>
            <w:tcW w:w="241" w:type="pct"/>
            <w:tcBorders>
              <w:top w:val="single" w:sz="4" w:space="0" w:color="000000"/>
            </w:tcBorders>
          </w:tcPr>
          <w:p w14:paraId="4AC6D4E1" w14:textId="77777777" w:rsidR="00A340EE" w:rsidRPr="0047058F" w:rsidRDefault="00A340EE" w:rsidP="000D5576">
            <w:pPr>
              <w:pStyle w:val="TableText"/>
              <w:jc w:val="right"/>
            </w:pPr>
            <w:r w:rsidRPr="0047058F">
              <w:rPr>
                <w:rFonts w:eastAsia="Times New Roman" w:cs="Arial"/>
              </w:rPr>
              <w:t>73</w:t>
            </w:r>
          </w:p>
        </w:tc>
        <w:tc>
          <w:tcPr>
            <w:tcW w:w="241" w:type="pct"/>
            <w:tcBorders>
              <w:top w:val="single" w:sz="4" w:space="0" w:color="000000"/>
            </w:tcBorders>
          </w:tcPr>
          <w:p w14:paraId="48E1A145" w14:textId="77777777" w:rsidR="00A340EE" w:rsidRPr="0047058F" w:rsidRDefault="00A340EE" w:rsidP="000D5576">
            <w:pPr>
              <w:pStyle w:val="TableText"/>
              <w:jc w:val="right"/>
            </w:pPr>
            <w:r w:rsidRPr="0047058F">
              <w:rPr>
                <w:rFonts w:eastAsia="Times New Roman" w:cs="Arial"/>
              </w:rPr>
              <w:t>13.1</w:t>
            </w:r>
          </w:p>
        </w:tc>
        <w:tc>
          <w:tcPr>
            <w:tcW w:w="241" w:type="pct"/>
            <w:tcBorders>
              <w:top w:val="single" w:sz="4" w:space="0" w:color="000000"/>
            </w:tcBorders>
          </w:tcPr>
          <w:p w14:paraId="12F4A345" w14:textId="77777777" w:rsidR="00A340EE" w:rsidRPr="0047058F" w:rsidRDefault="00A340EE" w:rsidP="000D5576">
            <w:pPr>
              <w:pStyle w:val="TableText"/>
              <w:jc w:val="right"/>
            </w:pPr>
            <w:r w:rsidRPr="0047058F">
              <w:rPr>
                <w:rFonts w:eastAsia="Times New Roman" w:cs="Arial"/>
              </w:rPr>
              <w:t>110</w:t>
            </w:r>
          </w:p>
        </w:tc>
        <w:tc>
          <w:tcPr>
            <w:tcW w:w="243" w:type="pct"/>
            <w:tcBorders>
              <w:top w:val="single" w:sz="4" w:space="0" w:color="000000"/>
            </w:tcBorders>
          </w:tcPr>
          <w:p w14:paraId="4E284151" w14:textId="77777777" w:rsidR="00A340EE" w:rsidRPr="0047058F" w:rsidRDefault="00A340EE" w:rsidP="000D5576">
            <w:pPr>
              <w:pStyle w:val="TableText"/>
              <w:jc w:val="right"/>
            </w:pPr>
            <w:r w:rsidRPr="0047058F">
              <w:rPr>
                <w:rFonts w:eastAsia="Times New Roman" w:cs="Arial"/>
              </w:rPr>
              <w:t>13.4</w:t>
            </w:r>
          </w:p>
        </w:tc>
        <w:tc>
          <w:tcPr>
            <w:tcW w:w="506" w:type="pct"/>
            <w:tcBorders>
              <w:top w:val="single" w:sz="4" w:space="0" w:color="000000"/>
            </w:tcBorders>
          </w:tcPr>
          <w:p w14:paraId="795EA38E" w14:textId="77777777" w:rsidR="00A340EE" w:rsidRPr="0047058F" w:rsidRDefault="00A340EE" w:rsidP="000D5576">
            <w:pPr>
              <w:pStyle w:val="TableText"/>
              <w:jc w:val="right"/>
              <w:rPr>
                <w:szCs w:val="14"/>
              </w:rPr>
            </w:pPr>
            <w:r w:rsidRPr="0047058F">
              <w:rPr>
                <w:rFonts w:eastAsia="Times New Roman" w:cs="Arial"/>
                <w:szCs w:val="14"/>
              </w:rPr>
              <w:t>1.32 (0.87–1.99)</w:t>
            </w:r>
          </w:p>
        </w:tc>
        <w:tc>
          <w:tcPr>
            <w:tcW w:w="506" w:type="pct"/>
            <w:tcBorders>
              <w:top w:val="single" w:sz="4" w:space="0" w:color="000000"/>
            </w:tcBorders>
          </w:tcPr>
          <w:p w14:paraId="3EB56457" w14:textId="77777777" w:rsidR="00A340EE" w:rsidRPr="0047058F" w:rsidRDefault="00A340EE" w:rsidP="000D5576">
            <w:pPr>
              <w:pStyle w:val="TableText"/>
              <w:jc w:val="right"/>
              <w:rPr>
                <w:szCs w:val="14"/>
              </w:rPr>
            </w:pPr>
            <w:r w:rsidRPr="0047058F">
              <w:rPr>
                <w:rFonts w:eastAsia="Times New Roman" w:cs="Arial"/>
                <w:szCs w:val="14"/>
              </w:rPr>
              <w:t>1.10 (0.72–1.68)</w:t>
            </w:r>
          </w:p>
        </w:tc>
        <w:tc>
          <w:tcPr>
            <w:tcW w:w="505" w:type="pct"/>
            <w:tcBorders>
              <w:top w:val="single" w:sz="4" w:space="0" w:color="000000"/>
            </w:tcBorders>
          </w:tcPr>
          <w:p w14:paraId="4FD72ADB" w14:textId="77777777" w:rsidR="00A340EE" w:rsidRPr="0047058F" w:rsidRDefault="00A340EE" w:rsidP="000D5576">
            <w:pPr>
              <w:pStyle w:val="TableText"/>
              <w:jc w:val="right"/>
              <w:rPr>
                <w:szCs w:val="14"/>
              </w:rPr>
            </w:pPr>
            <w:r w:rsidRPr="0047058F">
              <w:rPr>
                <w:rFonts w:eastAsia="Times New Roman" w:cs="Arial"/>
                <w:szCs w:val="14"/>
              </w:rPr>
              <w:t>0.97 (0.73–1.29)</w:t>
            </w:r>
          </w:p>
        </w:tc>
      </w:tr>
      <w:tr w:rsidR="000D5576" w:rsidRPr="0047058F" w14:paraId="1432FDE9" w14:textId="77777777" w:rsidTr="000D5576">
        <w:tc>
          <w:tcPr>
            <w:tcW w:w="588" w:type="pct"/>
          </w:tcPr>
          <w:p w14:paraId="2396C1C1" w14:textId="77777777" w:rsidR="00A340EE" w:rsidRPr="0047058F" w:rsidRDefault="00A340EE" w:rsidP="000D5576">
            <w:pPr>
              <w:pStyle w:val="TableText"/>
              <w:rPr>
                <w:rFonts w:cs="Calibri"/>
                <w:szCs w:val="14"/>
              </w:rPr>
            </w:pPr>
            <w:r w:rsidRPr="0047058F">
              <w:rPr>
                <w:rFonts w:cs="Calibri"/>
                <w:szCs w:val="14"/>
              </w:rPr>
              <w:t>Dysthymia</w:t>
            </w:r>
          </w:p>
        </w:tc>
        <w:tc>
          <w:tcPr>
            <w:tcW w:w="241" w:type="pct"/>
          </w:tcPr>
          <w:p w14:paraId="6993BEC2" w14:textId="77777777" w:rsidR="00A340EE" w:rsidRPr="0047058F" w:rsidRDefault="00A340EE" w:rsidP="000D5576">
            <w:pPr>
              <w:pStyle w:val="TableText"/>
              <w:jc w:val="right"/>
              <w:rPr>
                <w:rFonts w:eastAsia="Times New Roman" w:cs="Arial"/>
              </w:rPr>
            </w:pPr>
            <w:r w:rsidRPr="0047058F">
              <w:rPr>
                <w:rFonts w:eastAsia="Times New Roman" w:cs="Arial"/>
              </w:rPr>
              <w:t>5</w:t>
            </w:r>
          </w:p>
        </w:tc>
        <w:tc>
          <w:tcPr>
            <w:tcW w:w="241" w:type="pct"/>
          </w:tcPr>
          <w:p w14:paraId="640A1AC6" w14:textId="77777777" w:rsidR="00A340EE" w:rsidRPr="0047058F" w:rsidRDefault="00A340EE" w:rsidP="000D5576">
            <w:pPr>
              <w:pStyle w:val="TableText"/>
              <w:jc w:val="right"/>
              <w:rPr>
                <w:rFonts w:eastAsia="Times New Roman" w:cs="Arial"/>
              </w:rPr>
            </w:pPr>
            <w:r w:rsidRPr="0047058F">
              <w:rPr>
                <w:rFonts w:eastAsia="Times New Roman" w:cs="Arial"/>
              </w:rPr>
              <w:t>1.9</w:t>
            </w:r>
          </w:p>
        </w:tc>
        <w:tc>
          <w:tcPr>
            <w:tcW w:w="241" w:type="pct"/>
          </w:tcPr>
          <w:p w14:paraId="72B21942"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241" w:type="pct"/>
          </w:tcPr>
          <w:p w14:paraId="357FF86E" w14:textId="77777777" w:rsidR="00A340EE" w:rsidRPr="0047058F" w:rsidRDefault="00A340EE" w:rsidP="000D5576">
            <w:pPr>
              <w:pStyle w:val="TableText"/>
              <w:jc w:val="right"/>
              <w:rPr>
                <w:rFonts w:eastAsia="Times New Roman" w:cs="Arial"/>
              </w:rPr>
            </w:pPr>
            <w:r w:rsidRPr="0047058F">
              <w:rPr>
                <w:rFonts w:eastAsia="Times New Roman" w:cs="Arial"/>
              </w:rPr>
              <w:t>2.3</w:t>
            </w:r>
          </w:p>
        </w:tc>
        <w:tc>
          <w:tcPr>
            <w:tcW w:w="241" w:type="pct"/>
          </w:tcPr>
          <w:p w14:paraId="096A6CC1" w14:textId="77777777" w:rsidR="00A340EE" w:rsidRPr="0047058F" w:rsidRDefault="00A340EE" w:rsidP="000D5576">
            <w:pPr>
              <w:pStyle w:val="TableText"/>
              <w:jc w:val="right"/>
            </w:pPr>
            <w:r w:rsidRPr="0047058F">
              <w:rPr>
                <w:rFonts w:eastAsia="Times New Roman" w:cs="Arial"/>
              </w:rPr>
              <w:t>18</w:t>
            </w:r>
          </w:p>
        </w:tc>
        <w:tc>
          <w:tcPr>
            <w:tcW w:w="242" w:type="pct"/>
          </w:tcPr>
          <w:p w14:paraId="52DAE4F4" w14:textId="77777777" w:rsidR="00A340EE" w:rsidRPr="0047058F" w:rsidRDefault="00A340EE" w:rsidP="000D5576">
            <w:pPr>
              <w:pStyle w:val="TableText"/>
              <w:jc w:val="right"/>
            </w:pPr>
            <w:r w:rsidRPr="0047058F">
              <w:rPr>
                <w:rFonts w:eastAsia="Times New Roman" w:cs="Arial"/>
              </w:rPr>
              <w:t>2.2</w:t>
            </w:r>
          </w:p>
        </w:tc>
        <w:tc>
          <w:tcPr>
            <w:tcW w:w="241" w:type="pct"/>
          </w:tcPr>
          <w:p w14:paraId="328E515D" w14:textId="77777777" w:rsidR="00A340EE" w:rsidRPr="0047058F" w:rsidRDefault="00A340EE" w:rsidP="000D5576">
            <w:pPr>
              <w:pStyle w:val="TableText"/>
              <w:jc w:val="right"/>
            </w:pPr>
            <w:r w:rsidRPr="0047058F">
              <w:rPr>
                <w:rFonts w:eastAsia="Times New Roman" w:cs="Arial"/>
              </w:rPr>
              <w:t>19</w:t>
            </w:r>
          </w:p>
        </w:tc>
        <w:tc>
          <w:tcPr>
            <w:tcW w:w="241" w:type="pct"/>
          </w:tcPr>
          <w:p w14:paraId="18D425C5" w14:textId="77777777" w:rsidR="00A340EE" w:rsidRPr="0047058F" w:rsidRDefault="00A340EE" w:rsidP="000D5576">
            <w:pPr>
              <w:pStyle w:val="TableText"/>
              <w:jc w:val="right"/>
            </w:pPr>
            <w:r w:rsidRPr="0047058F">
              <w:rPr>
                <w:rFonts w:eastAsia="Times New Roman" w:cs="Arial"/>
              </w:rPr>
              <w:t>7.3</w:t>
            </w:r>
          </w:p>
        </w:tc>
        <w:tc>
          <w:tcPr>
            <w:tcW w:w="241" w:type="pct"/>
          </w:tcPr>
          <w:p w14:paraId="1DB9A6E6" w14:textId="77777777" w:rsidR="00A340EE" w:rsidRPr="0047058F" w:rsidRDefault="00A340EE" w:rsidP="000D5576">
            <w:pPr>
              <w:pStyle w:val="TableText"/>
              <w:jc w:val="right"/>
            </w:pPr>
            <w:r w:rsidRPr="0047058F">
              <w:rPr>
                <w:rFonts w:eastAsia="Times New Roman" w:cs="Arial"/>
              </w:rPr>
              <w:t>18</w:t>
            </w:r>
          </w:p>
        </w:tc>
        <w:tc>
          <w:tcPr>
            <w:tcW w:w="241" w:type="pct"/>
          </w:tcPr>
          <w:p w14:paraId="76447F19" w14:textId="77777777" w:rsidR="00A340EE" w:rsidRPr="0047058F" w:rsidRDefault="00A340EE" w:rsidP="000D5576">
            <w:pPr>
              <w:pStyle w:val="TableText"/>
              <w:jc w:val="right"/>
            </w:pPr>
            <w:r w:rsidRPr="0047058F">
              <w:rPr>
                <w:rFonts w:eastAsia="Times New Roman" w:cs="Arial"/>
              </w:rPr>
              <w:t>3.2</w:t>
            </w:r>
          </w:p>
        </w:tc>
        <w:tc>
          <w:tcPr>
            <w:tcW w:w="241" w:type="pct"/>
          </w:tcPr>
          <w:p w14:paraId="3CCCCF1A" w14:textId="77777777" w:rsidR="00A340EE" w:rsidRPr="0047058F" w:rsidRDefault="00A340EE" w:rsidP="000D5576">
            <w:pPr>
              <w:pStyle w:val="TableText"/>
              <w:jc w:val="right"/>
            </w:pPr>
            <w:r w:rsidRPr="0047058F">
              <w:rPr>
                <w:rFonts w:eastAsia="Times New Roman" w:cs="Arial"/>
              </w:rPr>
              <w:t>37</w:t>
            </w:r>
          </w:p>
        </w:tc>
        <w:tc>
          <w:tcPr>
            <w:tcW w:w="243" w:type="pct"/>
          </w:tcPr>
          <w:p w14:paraId="1831FD60" w14:textId="77777777" w:rsidR="00A340EE" w:rsidRPr="0047058F" w:rsidRDefault="00A340EE" w:rsidP="000D5576">
            <w:pPr>
              <w:pStyle w:val="TableText"/>
              <w:jc w:val="right"/>
            </w:pPr>
            <w:r w:rsidRPr="0047058F">
              <w:rPr>
                <w:rFonts w:eastAsia="Times New Roman" w:cs="Arial"/>
              </w:rPr>
              <w:t>4.5</w:t>
            </w:r>
          </w:p>
        </w:tc>
        <w:tc>
          <w:tcPr>
            <w:tcW w:w="506" w:type="pct"/>
          </w:tcPr>
          <w:p w14:paraId="50D2190D" w14:textId="77777777" w:rsidR="00A340EE" w:rsidRPr="0047058F" w:rsidRDefault="00A340EE" w:rsidP="000D5576">
            <w:pPr>
              <w:pStyle w:val="TableText"/>
              <w:jc w:val="right"/>
              <w:rPr>
                <w:szCs w:val="14"/>
              </w:rPr>
            </w:pPr>
            <w:r w:rsidRPr="0047058F">
              <w:rPr>
                <w:rFonts w:eastAsia="Times New Roman" w:cs="Arial"/>
                <w:szCs w:val="14"/>
              </w:rPr>
              <w:t>0.82 (0.29–2.33)</w:t>
            </w:r>
          </w:p>
        </w:tc>
        <w:tc>
          <w:tcPr>
            <w:tcW w:w="506" w:type="pct"/>
          </w:tcPr>
          <w:p w14:paraId="2717E503" w14:textId="77777777" w:rsidR="00A340EE" w:rsidRPr="0047058F" w:rsidRDefault="00A340EE" w:rsidP="000D5576">
            <w:pPr>
              <w:pStyle w:val="TableText"/>
              <w:jc w:val="right"/>
              <w:rPr>
                <w:szCs w:val="14"/>
              </w:rPr>
            </w:pPr>
            <w:r w:rsidRPr="0047058F">
              <w:rPr>
                <w:rFonts w:eastAsia="Times New Roman" w:cs="Arial"/>
                <w:szCs w:val="14"/>
              </w:rPr>
              <w:t>2.36 (1.22–4.58)</w:t>
            </w:r>
          </w:p>
        </w:tc>
        <w:tc>
          <w:tcPr>
            <w:tcW w:w="505" w:type="pct"/>
          </w:tcPr>
          <w:p w14:paraId="5AB95D09" w14:textId="77777777" w:rsidR="00A340EE" w:rsidRPr="0047058F" w:rsidRDefault="00A340EE" w:rsidP="000D5576">
            <w:pPr>
              <w:pStyle w:val="TableText"/>
              <w:jc w:val="right"/>
              <w:rPr>
                <w:szCs w:val="14"/>
              </w:rPr>
            </w:pPr>
            <w:r w:rsidRPr="0047058F">
              <w:rPr>
                <w:rFonts w:eastAsia="Times New Roman" w:cs="Arial"/>
                <w:szCs w:val="14"/>
              </w:rPr>
              <w:t>2.11 (1.19–3.74)</w:t>
            </w:r>
          </w:p>
        </w:tc>
      </w:tr>
      <w:tr w:rsidR="000D5576" w:rsidRPr="0047058F" w14:paraId="24FB477C" w14:textId="77777777" w:rsidTr="000D5576">
        <w:trPr>
          <w:cnfStyle w:val="000000100000" w:firstRow="0" w:lastRow="0" w:firstColumn="0" w:lastColumn="0" w:oddVBand="0" w:evenVBand="0" w:oddHBand="1" w:evenHBand="0" w:firstRowFirstColumn="0" w:firstRowLastColumn="0" w:lastRowFirstColumn="0" w:lastRowLastColumn="0"/>
        </w:trPr>
        <w:tc>
          <w:tcPr>
            <w:tcW w:w="588" w:type="pct"/>
          </w:tcPr>
          <w:p w14:paraId="03438CBE" w14:textId="77777777" w:rsidR="00A340EE" w:rsidRPr="0047058F" w:rsidRDefault="00A340EE" w:rsidP="000D5576">
            <w:pPr>
              <w:pStyle w:val="TableText"/>
              <w:rPr>
                <w:rFonts w:cs="Calibri"/>
                <w:szCs w:val="14"/>
              </w:rPr>
            </w:pPr>
            <w:r w:rsidRPr="0047058F">
              <w:rPr>
                <w:rFonts w:cs="Calibri"/>
                <w:szCs w:val="14"/>
              </w:rPr>
              <w:t>Bipolar affective disorder</w:t>
            </w:r>
          </w:p>
        </w:tc>
        <w:tc>
          <w:tcPr>
            <w:tcW w:w="241" w:type="pct"/>
          </w:tcPr>
          <w:p w14:paraId="517B183C"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241" w:type="pct"/>
          </w:tcPr>
          <w:p w14:paraId="7A5D8D03" w14:textId="77777777" w:rsidR="00A340EE" w:rsidRPr="0047058F" w:rsidRDefault="00A340EE" w:rsidP="000D5576">
            <w:pPr>
              <w:pStyle w:val="TableText"/>
              <w:jc w:val="right"/>
              <w:rPr>
                <w:rFonts w:eastAsia="Times New Roman" w:cs="Arial"/>
              </w:rPr>
            </w:pPr>
            <w:r w:rsidRPr="0047058F">
              <w:rPr>
                <w:rFonts w:eastAsia="Times New Roman" w:cs="Arial"/>
              </w:rPr>
              <w:t>5.0</w:t>
            </w:r>
          </w:p>
        </w:tc>
        <w:tc>
          <w:tcPr>
            <w:tcW w:w="241" w:type="pct"/>
          </w:tcPr>
          <w:p w14:paraId="71F7AD6A" w14:textId="77777777" w:rsidR="00A340EE" w:rsidRPr="0047058F" w:rsidRDefault="00A340EE" w:rsidP="000D5576">
            <w:pPr>
              <w:pStyle w:val="TableText"/>
              <w:jc w:val="right"/>
              <w:rPr>
                <w:rFonts w:eastAsia="Times New Roman" w:cs="Arial"/>
              </w:rPr>
            </w:pPr>
            <w:r w:rsidRPr="0047058F">
              <w:rPr>
                <w:rFonts w:eastAsia="Times New Roman" w:cs="Arial"/>
              </w:rPr>
              <w:t>21</w:t>
            </w:r>
          </w:p>
        </w:tc>
        <w:tc>
          <w:tcPr>
            <w:tcW w:w="241" w:type="pct"/>
          </w:tcPr>
          <w:p w14:paraId="45C4A921" w14:textId="77777777" w:rsidR="00A340EE" w:rsidRPr="0047058F" w:rsidRDefault="00A340EE" w:rsidP="000D5576">
            <w:pPr>
              <w:pStyle w:val="TableText"/>
              <w:jc w:val="right"/>
              <w:rPr>
                <w:rFonts w:eastAsia="Times New Roman" w:cs="Arial"/>
              </w:rPr>
            </w:pPr>
            <w:r w:rsidRPr="0047058F">
              <w:rPr>
                <w:rFonts w:eastAsia="Times New Roman" w:cs="Arial"/>
              </w:rPr>
              <w:t>3.8</w:t>
            </w:r>
          </w:p>
        </w:tc>
        <w:tc>
          <w:tcPr>
            <w:tcW w:w="241" w:type="pct"/>
          </w:tcPr>
          <w:p w14:paraId="249926F0" w14:textId="77777777" w:rsidR="00A340EE" w:rsidRPr="0047058F" w:rsidRDefault="00A340EE" w:rsidP="000D5576">
            <w:pPr>
              <w:pStyle w:val="TableText"/>
              <w:jc w:val="right"/>
            </w:pPr>
            <w:r w:rsidRPr="0047058F">
              <w:rPr>
                <w:rFonts w:eastAsia="Times New Roman" w:cs="Arial"/>
              </w:rPr>
              <w:t>34</w:t>
            </w:r>
          </w:p>
        </w:tc>
        <w:tc>
          <w:tcPr>
            <w:tcW w:w="242" w:type="pct"/>
          </w:tcPr>
          <w:p w14:paraId="227797C3" w14:textId="77777777" w:rsidR="00A340EE" w:rsidRPr="0047058F" w:rsidRDefault="00A340EE" w:rsidP="000D5576">
            <w:pPr>
              <w:pStyle w:val="TableText"/>
              <w:jc w:val="right"/>
            </w:pPr>
            <w:r w:rsidRPr="0047058F">
              <w:rPr>
                <w:rFonts w:eastAsia="Times New Roman" w:cs="Arial"/>
              </w:rPr>
              <w:t>4.1</w:t>
            </w:r>
          </w:p>
        </w:tc>
        <w:tc>
          <w:tcPr>
            <w:tcW w:w="241" w:type="pct"/>
          </w:tcPr>
          <w:p w14:paraId="6105CDC2" w14:textId="77777777" w:rsidR="00A340EE" w:rsidRPr="0047058F" w:rsidRDefault="00A340EE" w:rsidP="000D5576">
            <w:pPr>
              <w:pStyle w:val="TableText"/>
              <w:jc w:val="right"/>
            </w:pPr>
            <w:r w:rsidRPr="0047058F">
              <w:rPr>
                <w:rFonts w:eastAsia="Times New Roman" w:cs="Arial"/>
              </w:rPr>
              <w:t>20</w:t>
            </w:r>
          </w:p>
        </w:tc>
        <w:tc>
          <w:tcPr>
            <w:tcW w:w="241" w:type="pct"/>
          </w:tcPr>
          <w:p w14:paraId="36B374FA" w14:textId="77777777" w:rsidR="00A340EE" w:rsidRPr="0047058F" w:rsidRDefault="00A340EE" w:rsidP="000D5576">
            <w:pPr>
              <w:pStyle w:val="TableText"/>
              <w:jc w:val="right"/>
            </w:pPr>
            <w:r w:rsidRPr="0047058F">
              <w:rPr>
                <w:rFonts w:eastAsia="Times New Roman" w:cs="Arial"/>
              </w:rPr>
              <w:t>7.7</w:t>
            </w:r>
          </w:p>
        </w:tc>
        <w:tc>
          <w:tcPr>
            <w:tcW w:w="241" w:type="pct"/>
          </w:tcPr>
          <w:p w14:paraId="1D9B6B12" w14:textId="77777777" w:rsidR="00A340EE" w:rsidRPr="0047058F" w:rsidRDefault="00A340EE" w:rsidP="000D5576">
            <w:pPr>
              <w:pStyle w:val="TableText"/>
              <w:jc w:val="right"/>
            </w:pPr>
            <w:r w:rsidRPr="0047058F">
              <w:rPr>
                <w:rFonts w:eastAsia="Times New Roman" w:cs="Arial"/>
              </w:rPr>
              <w:t>28</w:t>
            </w:r>
          </w:p>
        </w:tc>
        <w:tc>
          <w:tcPr>
            <w:tcW w:w="241" w:type="pct"/>
          </w:tcPr>
          <w:p w14:paraId="6E67599E" w14:textId="77777777" w:rsidR="00A340EE" w:rsidRPr="0047058F" w:rsidRDefault="00A340EE" w:rsidP="000D5576">
            <w:pPr>
              <w:pStyle w:val="TableText"/>
              <w:jc w:val="right"/>
            </w:pPr>
            <w:r w:rsidRPr="0047058F">
              <w:rPr>
                <w:rFonts w:eastAsia="Times New Roman" w:cs="Arial"/>
              </w:rPr>
              <w:t>5.0</w:t>
            </w:r>
          </w:p>
        </w:tc>
        <w:tc>
          <w:tcPr>
            <w:tcW w:w="241" w:type="pct"/>
          </w:tcPr>
          <w:p w14:paraId="0DE5F890" w14:textId="77777777" w:rsidR="00A340EE" w:rsidRPr="0047058F" w:rsidRDefault="00A340EE" w:rsidP="000D5576">
            <w:pPr>
              <w:pStyle w:val="TableText"/>
              <w:jc w:val="right"/>
            </w:pPr>
            <w:r w:rsidRPr="0047058F">
              <w:rPr>
                <w:rFonts w:eastAsia="Times New Roman" w:cs="Arial"/>
              </w:rPr>
              <w:t>48</w:t>
            </w:r>
          </w:p>
        </w:tc>
        <w:tc>
          <w:tcPr>
            <w:tcW w:w="243" w:type="pct"/>
          </w:tcPr>
          <w:p w14:paraId="4A7D7105" w14:textId="77777777" w:rsidR="00A340EE" w:rsidRPr="0047058F" w:rsidRDefault="00A340EE" w:rsidP="000D5576">
            <w:pPr>
              <w:pStyle w:val="TableText"/>
              <w:jc w:val="right"/>
            </w:pPr>
            <w:r w:rsidRPr="0047058F">
              <w:rPr>
                <w:rFonts w:eastAsia="Times New Roman" w:cs="Arial"/>
              </w:rPr>
              <w:t>5.9</w:t>
            </w:r>
          </w:p>
        </w:tc>
        <w:tc>
          <w:tcPr>
            <w:tcW w:w="506" w:type="pct"/>
          </w:tcPr>
          <w:p w14:paraId="4965BC4F" w14:textId="77777777" w:rsidR="00A340EE" w:rsidRPr="0047058F" w:rsidRDefault="00A340EE" w:rsidP="000D5576">
            <w:pPr>
              <w:pStyle w:val="TableText"/>
              <w:jc w:val="right"/>
              <w:rPr>
                <w:szCs w:val="14"/>
              </w:rPr>
            </w:pPr>
            <w:r w:rsidRPr="0047058F">
              <w:rPr>
                <w:rFonts w:eastAsia="Times New Roman" w:cs="Arial"/>
                <w:szCs w:val="14"/>
              </w:rPr>
              <w:t>1.34 (0.66–2.73)</w:t>
            </w:r>
          </w:p>
        </w:tc>
        <w:tc>
          <w:tcPr>
            <w:tcW w:w="506" w:type="pct"/>
          </w:tcPr>
          <w:p w14:paraId="5EF60754" w14:textId="77777777" w:rsidR="00A340EE" w:rsidRPr="0047058F" w:rsidRDefault="00A340EE" w:rsidP="000D5576">
            <w:pPr>
              <w:pStyle w:val="TableText"/>
              <w:jc w:val="right"/>
              <w:rPr>
                <w:szCs w:val="14"/>
              </w:rPr>
            </w:pPr>
            <w:r w:rsidRPr="0047058F">
              <w:rPr>
                <w:rFonts w:eastAsia="Times New Roman" w:cs="Arial"/>
                <w:szCs w:val="14"/>
              </w:rPr>
              <w:t>1.57 (0.87–2.85)</w:t>
            </w:r>
          </w:p>
        </w:tc>
        <w:tc>
          <w:tcPr>
            <w:tcW w:w="505" w:type="pct"/>
          </w:tcPr>
          <w:p w14:paraId="1F83F92F" w14:textId="77777777" w:rsidR="00A340EE" w:rsidRPr="0047058F" w:rsidRDefault="00A340EE" w:rsidP="000D5576">
            <w:pPr>
              <w:pStyle w:val="TableText"/>
              <w:jc w:val="right"/>
              <w:rPr>
                <w:szCs w:val="14"/>
              </w:rPr>
            </w:pPr>
            <w:r w:rsidRPr="0047058F">
              <w:rPr>
                <w:rFonts w:eastAsia="Times New Roman" w:cs="Arial"/>
                <w:szCs w:val="14"/>
              </w:rPr>
              <w:t>1.45 (0.92–2.28)</w:t>
            </w:r>
          </w:p>
        </w:tc>
      </w:tr>
      <w:tr w:rsidR="000D5576" w:rsidRPr="0047058F" w14:paraId="21F7CF37" w14:textId="77777777" w:rsidTr="000D5576">
        <w:tc>
          <w:tcPr>
            <w:tcW w:w="588" w:type="pct"/>
          </w:tcPr>
          <w:p w14:paraId="56F2177E" w14:textId="77777777" w:rsidR="00A340EE" w:rsidRPr="0047058F" w:rsidRDefault="00A340EE" w:rsidP="000D5576">
            <w:pPr>
              <w:pStyle w:val="TableText"/>
              <w:rPr>
                <w:rFonts w:cs="Calibri"/>
                <w:szCs w:val="14"/>
              </w:rPr>
            </w:pPr>
            <w:r w:rsidRPr="0047058F">
              <w:rPr>
                <w:rFonts w:cs="Calibri"/>
                <w:szCs w:val="14"/>
              </w:rPr>
              <w:t>Any affective disorder</w:t>
            </w:r>
          </w:p>
        </w:tc>
        <w:tc>
          <w:tcPr>
            <w:tcW w:w="241" w:type="pct"/>
          </w:tcPr>
          <w:p w14:paraId="207C2680" w14:textId="77777777" w:rsidR="00A340EE" w:rsidRPr="0047058F" w:rsidRDefault="00A340EE" w:rsidP="000D5576">
            <w:pPr>
              <w:pStyle w:val="TableText"/>
              <w:jc w:val="right"/>
              <w:rPr>
                <w:rFonts w:eastAsia="Times New Roman" w:cs="Arial"/>
              </w:rPr>
            </w:pPr>
            <w:r w:rsidRPr="0047058F">
              <w:rPr>
                <w:rFonts w:eastAsia="Times New Roman"/>
              </w:rPr>
              <w:t>55</w:t>
            </w:r>
          </w:p>
        </w:tc>
        <w:tc>
          <w:tcPr>
            <w:tcW w:w="241" w:type="pct"/>
          </w:tcPr>
          <w:p w14:paraId="55DDBB4A" w14:textId="77777777" w:rsidR="00A340EE" w:rsidRPr="0047058F" w:rsidRDefault="00A340EE" w:rsidP="000D5576">
            <w:pPr>
              <w:pStyle w:val="TableText"/>
              <w:jc w:val="right"/>
              <w:rPr>
                <w:rFonts w:eastAsia="Times New Roman" w:cs="Arial"/>
              </w:rPr>
            </w:pPr>
            <w:r w:rsidRPr="0047058F">
              <w:rPr>
                <w:rFonts w:eastAsia="Times New Roman"/>
              </w:rPr>
              <w:t>21.1</w:t>
            </w:r>
          </w:p>
        </w:tc>
        <w:tc>
          <w:tcPr>
            <w:tcW w:w="241" w:type="pct"/>
          </w:tcPr>
          <w:p w14:paraId="3666E7F7" w14:textId="77777777" w:rsidR="00A340EE" w:rsidRPr="0047058F" w:rsidRDefault="00A340EE" w:rsidP="000D5576">
            <w:pPr>
              <w:pStyle w:val="TableText"/>
              <w:jc w:val="right"/>
              <w:rPr>
                <w:rFonts w:eastAsia="Times New Roman" w:cs="Arial"/>
              </w:rPr>
            </w:pPr>
            <w:r w:rsidRPr="0047058F">
              <w:rPr>
                <w:rFonts w:eastAsia="Times New Roman"/>
              </w:rPr>
              <w:t>95</w:t>
            </w:r>
          </w:p>
        </w:tc>
        <w:tc>
          <w:tcPr>
            <w:tcW w:w="241" w:type="pct"/>
          </w:tcPr>
          <w:p w14:paraId="24DDBFA8" w14:textId="77777777" w:rsidR="00A340EE" w:rsidRPr="0047058F" w:rsidRDefault="00A340EE" w:rsidP="000D5576">
            <w:pPr>
              <w:pStyle w:val="TableText"/>
              <w:jc w:val="right"/>
              <w:rPr>
                <w:rFonts w:eastAsia="Times New Roman" w:cs="Arial"/>
              </w:rPr>
            </w:pPr>
            <w:r w:rsidRPr="0047058F">
              <w:rPr>
                <w:rFonts w:eastAsia="Times New Roman"/>
              </w:rPr>
              <w:t>17.0</w:t>
            </w:r>
          </w:p>
        </w:tc>
        <w:tc>
          <w:tcPr>
            <w:tcW w:w="241" w:type="pct"/>
          </w:tcPr>
          <w:p w14:paraId="6A0E4A19" w14:textId="77777777" w:rsidR="00A340EE" w:rsidRPr="0047058F" w:rsidRDefault="00A340EE" w:rsidP="000D5576">
            <w:pPr>
              <w:pStyle w:val="TableText"/>
              <w:jc w:val="right"/>
            </w:pPr>
            <w:r w:rsidRPr="0047058F">
              <w:rPr>
                <w:rFonts w:eastAsia="Times New Roman"/>
              </w:rPr>
              <w:t>150</w:t>
            </w:r>
          </w:p>
        </w:tc>
        <w:tc>
          <w:tcPr>
            <w:tcW w:w="242" w:type="pct"/>
          </w:tcPr>
          <w:p w14:paraId="413D9885" w14:textId="77777777" w:rsidR="00A340EE" w:rsidRPr="0047058F" w:rsidRDefault="00A340EE" w:rsidP="000D5576">
            <w:pPr>
              <w:pStyle w:val="TableText"/>
              <w:jc w:val="right"/>
            </w:pPr>
            <w:r w:rsidRPr="0047058F">
              <w:rPr>
                <w:rFonts w:eastAsia="Times New Roman"/>
              </w:rPr>
              <w:t>18.3</w:t>
            </w:r>
          </w:p>
        </w:tc>
        <w:tc>
          <w:tcPr>
            <w:tcW w:w="241" w:type="pct"/>
          </w:tcPr>
          <w:p w14:paraId="7310EE52" w14:textId="77777777" w:rsidR="00A340EE" w:rsidRPr="0047058F" w:rsidRDefault="00A340EE" w:rsidP="000D5576">
            <w:pPr>
              <w:pStyle w:val="TableText"/>
              <w:jc w:val="right"/>
            </w:pPr>
            <w:r w:rsidRPr="0047058F">
              <w:rPr>
                <w:rFonts w:eastAsia="Times New Roman"/>
              </w:rPr>
              <w:t>61</w:t>
            </w:r>
          </w:p>
        </w:tc>
        <w:tc>
          <w:tcPr>
            <w:tcW w:w="241" w:type="pct"/>
          </w:tcPr>
          <w:p w14:paraId="6B93AEFB" w14:textId="77777777" w:rsidR="00A340EE" w:rsidRPr="0047058F" w:rsidRDefault="00A340EE" w:rsidP="000D5576">
            <w:pPr>
              <w:pStyle w:val="TableText"/>
              <w:jc w:val="right"/>
            </w:pPr>
            <w:r w:rsidRPr="0047058F">
              <w:rPr>
                <w:rFonts w:eastAsia="Times New Roman"/>
              </w:rPr>
              <w:t>23.4</w:t>
            </w:r>
          </w:p>
        </w:tc>
        <w:tc>
          <w:tcPr>
            <w:tcW w:w="241" w:type="pct"/>
          </w:tcPr>
          <w:p w14:paraId="1BACC24E" w14:textId="77777777" w:rsidR="00A340EE" w:rsidRPr="0047058F" w:rsidRDefault="00A340EE" w:rsidP="000D5576">
            <w:pPr>
              <w:pStyle w:val="TableText"/>
              <w:jc w:val="right"/>
            </w:pPr>
            <w:r w:rsidRPr="0047058F">
              <w:rPr>
                <w:rFonts w:eastAsia="Times New Roman"/>
              </w:rPr>
              <w:t>112</w:t>
            </w:r>
          </w:p>
        </w:tc>
        <w:tc>
          <w:tcPr>
            <w:tcW w:w="241" w:type="pct"/>
          </w:tcPr>
          <w:p w14:paraId="4DA6EC33" w14:textId="77777777" w:rsidR="00A340EE" w:rsidRPr="0047058F" w:rsidRDefault="00A340EE" w:rsidP="000D5576">
            <w:pPr>
              <w:pStyle w:val="TableText"/>
              <w:jc w:val="right"/>
            </w:pPr>
            <w:r w:rsidRPr="0047058F">
              <w:rPr>
                <w:rFonts w:eastAsia="Times New Roman"/>
              </w:rPr>
              <w:t>20.0</w:t>
            </w:r>
          </w:p>
        </w:tc>
        <w:tc>
          <w:tcPr>
            <w:tcW w:w="241" w:type="pct"/>
          </w:tcPr>
          <w:p w14:paraId="17C02D68" w14:textId="77777777" w:rsidR="00A340EE" w:rsidRPr="0047058F" w:rsidRDefault="00A340EE" w:rsidP="000D5576">
            <w:pPr>
              <w:pStyle w:val="TableText"/>
              <w:jc w:val="right"/>
            </w:pPr>
            <w:r w:rsidRPr="0047058F">
              <w:rPr>
                <w:rFonts w:eastAsia="Times New Roman"/>
              </w:rPr>
              <w:t>173</w:t>
            </w:r>
          </w:p>
        </w:tc>
        <w:tc>
          <w:tcPr>
            <w:tcW w:w="243" w:type="pct"/>
          </w:tcPr>
          <w:p w14:paraId="429AB032" w14:textId="77777777" w:rsidR="00A340EE" w:rsidRPr="0047058F" w:rsidRDefault="00A340EE" w:rsidP="000D5576">
            <w:pPr>
              <w:pStyle w:val="TableText"/>
              <w:jc w:val="right"/>
            </w:pPr>
            <w:r w:rsidRPr="0047058F">
              <w:rPr>
                <w:rFonts w:eastAsia="Times New Roman"/>
              </w:rPr>
              <w:t>21.1</w:t>
            </w:r>
          </w:p>
        </w:tc>
        <w:tc>
          <w:tcPr>
            <w:tcW w:w="506" w:type="pct"/>
          </w:tcPr>
          <w:p w14:paraId="43663798"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1.30 (0.90–1.89)</w:t>
            </w:r>
          </w:p>
        </w:tc>
        <w:tc>
          <w:tcPr>
            <w:tcW w:w="506" w:type="pct"/>
          </w:tcPr>
          <w:p w14:paraId="436F9C5C"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1.22 (0.85–1.73)</w:t>
            </w:r>
          </w:p>
        </w:tc>
        <w:tc>
          <w:tcPr>
            <w:tcW w:w="505" w:type="pct"/>
          </w:tcPr>
          <w:p w14:paraId="2BCE3C9B"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1.20 (0.94–1.54)</w:t>
            </w:r>
          </w:p>
        </w:tc>
      </w:tr>
    </w:tbl>
    <w:p w14:paraId="3AD540B4" w14:textId="77777777" w:rsidR="00A340EE" w:rsidRPr="0047058F" w:rsidRDefault="00A340EE" w:rsidP="00A340EE">
      <w:pPr>
        <w:pStyle w:val="TableNotes"/>
        <w:rPr>
          <w:rFonts w:cs="Calibri"/>
        </w:rPr>
      </w:pPr>
      <w:r w:rsidRPr="0047058F">
        <w:t>Note: A description of each of the ICD-10 disorder classes is provided in the glossary.</w:t>
      </w:r>
    </w:p>
    <w:p w14:paraId="22201D6C" w14:textId="77777777" w:rsidR="005632DC" w:rsidRPr="0047058F" w:rsidRDefault="005632DC" w:rsidP="005632DC">
      <w:pPr>
        <w:sectPr w:rsidR="005632DC" w:rsidRPr="0047058F" w:rsidSect="00294C13">
          <w:footerReference w:type="even" r:id="rId27"/>
          <w:footerReference w:type="default" r:id="rId28"/>
          <w:pgSz w:w="14170" w:h="9979" w:orient="landscape" w:code="243"/>
          <w:pgMar w:top="1872" w:right="1440" w:bottom="1152" w:left="1440" w:header="576" w:footer="576" w:gutter="0"/>
          <w:cols w:space="708"/>
          <w:docGrid w:linePitch="360"/>
        </w:sectPr>
      </w:pPr>
      <w:bookmarkStart w:id="209" w:name="_Ref387052087"/>
      <w:bookmarkStart w:id="210" w:name="_Toc529117563"/>
    </w:p>
    <w:p w14:paraId="45157E84" w14:textId="77777777" w:rsidR="00A340EE" w:rsidRPr="0047058F" w:rsidRDefault="00A340EE" w:rsidP="00860F45">
      <w:pPr>
        <w:pStyle w:val="Heading2"/>
      </w:pPr>
      <w:bookmarkStart w:id="211" w:name="_Toc381263150"/>
      <w:bookmarkStart w:id="212" w:name="_Toc529117470"/>
      <w:bookmarkStart w:id="213" w:name="_Toc532474370"/>
      <w:bookmarkEnd w:id="209"/>
      <w:bookmarkEnd w:id="210"/>
      <w:r w:rsidRPr="0047058F">
        <w:t>Alcohol disorders</w:t>
      </w:r>
      <w:bookmarkEnd w:id="211"/>
      <w:bookmarkEnd w:id="212"/>
      <w:bookmarkEnd w:id="213"/>
    </w:p>
    <w:p w14:paraId="64A37654" w14:textId="77777777" w:rsidR="00A340EE" w:rsidRPr="0047058F" w:rsidRDefault="00A340EE" w:rsidP="00A340EE">
      <w:r w:rsidRPr="0047058F">
        <w:t>This section looks at rates of lifetime and 12-month ICD-10 alcohol disorder in the longitudinal cohort. The following two types of alcohol disorder were included:</w:t>
      </w:r>
    </w:p>
    <w:p w14:paraId="6DFF4F54" w14:textId="685D8BD8" w:rsidR="00A340EE" w:rsidRPr="0047058F" w:rsidRDefault="00A340EE" w:rsidP="00031ACA">
      <w:pPr>
        <w:pStyle w:val="Bullet"/>
        <w:numPr>
          <w:ilvl w:val="0"/>
          <w:numId w:val="1"/>
        </w:numPr>
        <w:ind w:left="360"/>
      </w:pPr>
      <w:r w:rsidRPr="0047058F">
        <w:rPr>
          <w:b/>
        </w:rPr>
        <w:t>Alcohol harmful use:</w:t>
      </w:r>
      <w:r w:rsidRPr="0047058F">
        <w:t xml:space="preserve"> a pattern of alcohol use that is damaging to health. The damage may be physical or mental (in the absence of the diagnosis of dependence syndrome (ICD-10). Diagnosis requires high levels of alcohol consumption that </w:t>
      </w:r>
      <w:r w:rsidR="00831A9D">
        <w:t>are</w:t>
      </w:r>
      <w:r w:rsidRPr="0047058F">
        <w:t xml:space="preserve"> damaging the person’s physical or mental health. Each participant was initially asked if they consumed 12 or more standard alcoholic drinks in a 12-month period. If so, they were then asked questions about their level of consumption. A diagnosis of alcohol harmful use was applied if the alcohol interfered with either work or other responsibilities; caused arguments with their family or friends; was consumed in a situation where the person could get hurt; resulted in being stopped or arrested by police; or if the participant continued to consume alcohol despite experiencing social or interpersonal problems related to their drinking during the last 12 months. A person could not meet criteria for alcohol harmful use if they met criteria for alcohol dependence.</w:t>
      </w:r>
    </w:p>
    <w:p w14:paraId="7693290C" w14:textId="77777777" w:rsidR="00A340EE" w:rsidRPr="0047058F" w:rsidRDefault="00A340EE" w:rsidP="00031ACA">
      <w:pPr>
        <w:pStyle w:val="Bullet"/>
        <w:numPr>
          <w:ilvl w:val="0"/>
          <w:numId w:val="1"/>
        </w:numPr>
        <w:ind w:left="360"/>
      </w:pPr>
      <w:r w:rsidRPr="0047058F">
        <w:rPr>
          <w:b/>
        </w:rPr>
        <w:t>Alcohol dependence:</w:t>
      </w:r>
      <w:r w:rsidRPr="0047058F">
        <w:t xml:space="preserve"> a cluster of cognitive, behavioural and physiological characteristics indicating that the person continues to use alcohol despite significant alcohol-related problems (ICD-10). This is characterised by increased prioritisation of alcohol in a person’s life. The defining feature of alcohol dependence is a strong, overwhelming desire to use alcohol despite experiencing several associated problems. A diagnosis is given if the person reported three or more of the following symptoms in the last 12 months:</w:t>
      </w:r>
    </w:p>
    <w:p w14:paraId="069AA1FB" w14:textId="77777777" w:rsidR="00A340EE" w:rsidRPr="0047058F" w:rsidRDefault="00A340EE" w:rsidP="00F77104">
      <w:pPr>
        <w:pStyle w:val="Dash"/>
        <w:spacing w:after="120"/>
      </w:pPr>
      <w:r w:rsidRPr="0047058F">
        <w:t>a strong and irresistible urge to consume alcohol</w:t>
      </w:r>
    </w:p>
    <w:p w14:paraId="7544CDF5" w14:textId="77777777" w:rsidR="00A340EE" w:rsidRPr="0047058F" w:rsidRDefault="00A340EE" w:rsidP="00F77104">
      <w:pPr>
        <w:pStyle w:val="Dash"/>
        <w:spacing w:after="120"/>
      </w:pPr>
      <w:r w:rsidRPr="0047058F">
        <w:t>a tolerance to the effects of alcohol</w:t>
      </w:r>
    </w:p>
    <w:p w14:paraId="6B9E1D8C" w14:textId="77777777" w:rsidR="00A340EE" w:rsidRPr="0047058F" w:rsidRDefault="00A340EE" w:rsidP="00F77104">
      <w:pPr>
        <w:pStyle w:val="Dash"/>
        <w:spacing w:after="120"/>
      </w:pPr>
      <w:r w:rsidRPr="0047058F">
        <w:t>an inability to stop or reduce alcohol consumption</w:t>
      </w:r>
    </w:p>
    <w:p w14:paraId="2BE07348" w14:textId="77777777" w:rsidR="00A340EE" w:rsidRPr="0047058F" w:rsidRDefault="00A340EE" w:rsidP="00F77104">
      <w:pPr>
        <w:pStyle w:val="Dash"/>
        <w:spacing w:after="120"/>
      </w:pPr>
      <w:r w:rsidRPr="0047058F">
        <w:t>withdrawal symptoms upon cessation or reduction of alcohol intake</w:t>
      </w:r>
    </w:p>
    <w:p w14:paraId="5CB34887" w14:textId="77777777" w:rsidR="00A340EE" w:rsidRPr="0047058F" w:rsidRDefault="00A340EE" w:rsidP="00F77104">
      <w:pPr>
        <w:pStyle w:val="Dash"/>
        <w:spacing w:after="120"/>
      </w:pPr>
      <w:r w:rsidRPr="0047058F">
        <w:t>continuing to drink despite it causing emotional or physical problems</w:t>
      </w:r>
    </w:p>
    <w:p w14:paraId="64F245CC" w14:textId="77777777" w:rsidR="00A340EE" w:rsidRPr="0047058F" w:rsidRDefault="00A340EE" w:rsidP="00A340EE">
      <w:pPr>
        <w:pStyle w:val="Dash"/>
        <w:rPr>
          <w:rFonts w:eastAsia="MS Mincho"/>
        </w:rPr>
      </w:pPr>
      <w:r w:rsidRPr="0047058F">
        <w:t>a reduction in important activities because of or in order to drink.</w:t>
      </w:r>
    </w:p>
    <w:p w14:paraId="3D6C8C62" w14:textId="77777777" w:rsidR="00A340EE" w:rsidRPr="0047058F" w:rsidRDefault="00A340EE" w:rsidP="00A340EE">
      <w:r w:rsidRPr="0047058F">
        <w:t>Table 4.4 shows the unweighted prevalence of 12-month ICD-10 alcohol disorders in 2010 and 2015 for the longitudinal cohort, according to whether they had transitioned or remained in the Regular ADF in 2015. Figure 4.4 illustrates the per cent change in rates of 12-month ICD-10 alcohol disorders between 2010 and 2015 in Transitioned ADF and 2015 Regular ADF.</w:t>
      </w:r>
    </w:p>
    <w:p w14:paraId="08526D50" w14:textId="77777777" w:rsidR="005632DC" w:rsidRPr="0047058F" w:rsidRDefault="005632DC" w:rsidP="005632DC">
      <w:pPr>
        <w:sectPr w:rsidR="005632DC" w:rsidRPr="0047058F" w:rsidSect="001E395F">
          <w:footerReference w:type="even" r:id="rId29"/>
          <w:footerReference w:type="default" r:id="rId30"/>
          <w:pgSz w:w="9979" w:h="14170" w:code="243"/>
          <w:pgMar w:top="1440" w:right="1152" w:bottom="1440" w:left="1728" w:header="576" w:footer="576" w:gutter="0"/>
          <w:cols w:space="708"/>
          <w:docGrid w:linePitch="360"/>
        </w:sectPr>
      </w:pPr>
      <w:bookmarkStart w:id="214" w:name="_Ref384555394"/>
      <w:bookmarkStart w:id="215" w:name="_Toc529117511"/>
    </w:p>
    <w:p w14:paraId="5D384424" w14:textId="77777777" w:rsidR="00A340EE" w:rsidRPr="0047058F" w:rsidRDefault="00A340EE" w:rsidP="00A340EE">
      <w:pPr>
        <w:pStyle w:val="TableName"/>
      </w:pPr>
      <w:bookmarkStart w:id="216" w:name="_Toc532473581"/>
      <w:r w:rsidRPr="0047058F">
        <w:t>Table 4.4</w:t>
      </w:r>
      <w:bookmarkEnd w:id="214"/>
      <w:r w:rsidRPr="0047058F">
        <w:tab/>
        <w:t>Rates of 12-month ICD-10 alcohol disorders in 2010 and 2015 in Transitioned ADF and 2015 Regular ADF</w:t>
      </w:r>
      <w:bookmarkEnd w:id="215"/>
      <w:bookmarkEnd w:id="216"/>
    </w:p>
    <w:tbl>
      <w:tblPr>
        <w:tblStyle w:val="TWRPTable"/>
        <w:tblW w:w="5000" w:type="pct"/>
        <w:tblLayout w:type="fixed"/>
        <w:tblLook w:val="0000" w:firstRow="0" w:lastRow="0" w:firstColumn="0" w:lastColumn="0" w:noHBand="0" w:noVBand="0"/>
        <w:tblDescription w:val="Table 4.4 Rates of 12-month ICD-10 alcohol disorders in 2010 and 2015 in Transitioned ADF and 2015 Regular ADF"/>
      </w:tblPr>
      <w:tblGrid>
        <w:gridCol w:w="1384"/>
        <w:gridCol w:w="560"/>
        <w:gridCol w:w="565"/>
        <w:gridCol w:w="559"/>
        <w:gridCol w:w="564"/>
        <w:gridCol w:w="559"/>
        <w:gridCol w:w="561"/>
        <w:gridCol w:w="559"/>
        <w:gridCol w:w="561"/>
        <w:gridCol w:w="559"/>
        <w:gridCol w:w="561"/>
        <w:gridCol w:w="559"/>
        <w:gridCol w:w="561"/>
        <w:gridCol w:w="1132"/>
        <w:gridCol w:w="1132"/>
        <w:gridCol w:w="1130"/>
      </w:tblGrid>
      <w:tr w:rsidR="00A340EE" w:rsidRPr="0047058F" w14:paraId="29829080" w14:textId="77777777" w:rsidTr="000D5576">
        <w:trPr>
          <w:tblHeader/>
        </w:trPr>
        <w:tc>
          <w:tcPr>
            <w:tcW w:w="601" w:type="pct"/>
            <w:tcBorders>
              <w:top w:val="single" w:sz="4" w:space="0" w:color="000000"/>
              <w:bottom w:val="nil"/>
            </w:tcBorders>
          </w:tcPr>
          <w:p w14:paraId="529B0E1E" w14:textId="77777777" w:rsidR="00A340EE" w:rsidRPr="0047058F" w:rsidRDefault="00A340EE" w:rsidP="000D5576">
            <w:pPr>
              <w:pStyle w:val="TableText"/>
              <w:rPr>
                <w:b/>
              </w:rPr>
            </w:pPr>
          </w:p>
        </w:tc>
        <w:tc>
          <w:tcPr>
            <w:tcW w:w="1462" w:type="pct"/>
            <w:gridSpan w:val="6"/>
            <w:tcBorders>
              <w:top w:val="single" w:sz="4" w:space="0" w:color="000000"/>
              <w:bottom w:val="single" w:sz="4" w:space="0" w:color="000000"/>
            </w:tcBorders>
          </w:tcPr>
          <w:p w14:paraId="2179641A" w14:textId="77777777" w:rsidR="00A340EE" w:rsidRPr="0047058F" w:rsidRDefault="00A340EE" w:rsidP="000D5576">
            <w:pPr>
              <w:pStyle w:val="TableText"/>
              <w:jc w:val="center"/>
              <w:rPr>
                <w:b/>
              </w:rPr>
            </w:pPr>
            <w:r w:rsidRPr="0047058F">
              <w:rPr>
                <w:rFonts w:eastAsia="MS Mincho"/>
                <w:b/>
              </w:rPr>
              <w:t>2010 ADF Mental Health Prevalence and Wellbeing Study</w:t>
            </w:r>
          </w:p>
        </w:tc>
        <w:tc>
          <w:tcPr>
            <w:tcW w:w="1460" w:type="pct"/>
            <w:gridSpan w:val="6"/>
            <w:tcBorders>
              <w:top w:val="single" w:sz="4" w:space="0" w:color="000000"/>
              <w:bottom w:val="single" w:sz="4" w:space="0" w:color="000000"/>
            </w:tcBorders>
          </w:tcPr>
          <w:p w14:paraId="4901ECB2" w14:textId="77777777" w:rsidR="00A340EE" w:rsidRPr="0047058F" w:rsidRDefault="00A340EE" w:rsidP="000D5576">
            <w:pPr>
              <w:pStyle w:val="TableText"/>
              <w:jc w:val="center"/>
              <w:rPr>
                <w:rFonts w:eastAsia="MS Mincho"/>
                <w:b/>
              </w:rPr>
            </w:pPr>
            <w:r w:rsidRPr="0047058F">
              <w:rPr>
                <w:rFonts w:eastAsia="MS Mincho"/>
                <w:b/>
              </w:rPr>
              <w:t>2015 Transition and Wellbeing Research Programme</w:t>
            </w:r>
          </w:p>
        </w:tc>
        <w:tc>
          <w:tcPr>
            <w:tcW w:w="1477" w:type="pct"/>
            <w:gridSpan w:val="3"/>
            <w:tcBorders>
              <w:top w:val="single" w:sz="4" w:space="0" w:color="000000"/>
              <w:bottom w:val="single" w:sz="4" w:space="0" w:color="000000"/>
            </w:tcBorders>
          </w:tcPr>
          <w:p w14:paraId="69E24BCB" w14:textId="77777777" w:rsidR="00A340EE" w:rsidRPr="0047058F" w:rsidRDefault="00A340EE" w:rsidP="000D5576">
            <w:pPr>
              <w:pStyle w:val="TableText"/>
              <w:jc w:val="center"/>
              <w:rPr>
                <w:rFonts w:eastAsia="MS Mincho"/>
                <w:b/>
              </w:rPr>
            </w:pPr>
            <w:r w:rsidRPr="0047058F">
              <w:rPr>
                <w:rFonts w:eastAsia="MS Mincho"/>
                <w:b/>
              </w:rPr>
              <w:t>Odds ratio</w:t>
            </w:r>
          </w:p>
        </w:tc>
      </w:tr>
      <w:tr w:rsidR="000D5576" w:rsidRPr="0047058F" w14:paraId="1EF880CA" w14:textId="77777777" w:rsidTr="000D5576">
        <w:trPr>
          <w:tblHeader/>
        </w:trPr>
        <w:tc>
          <w:tcPr>
            <w:tcW w:w="601" w:type="pct"/>
            <w:vMerge w:val="restart"/>
            <w:tcBorders>
              <w:top w:val="nil"/>
              <w:bottom w:val="nil"/>
            </w:tcBorders>
            <w:vAlign w:val="bottom"/>
          </w:tcPr>
          <w:p w14:paraId="10EE4B9B" w14:textId="77777777" w:rsidR="000D5576" w:rsidRPr="0047058F" w:rsidRDefault="000D5576" w:rsidP="000D5576">
            <w:pPr>
              <w:pStyle w:val="TableText"/>
              <w:rPr>
                <w:b/>
              </w:rPr>
            </w:pPr>
            <w:r w:rsidRPr="0047058F">
              <w:rPr>
                <w:rFonts w:eastAsia="Times New Roman"/>
                <w:b/>
                <w:lang w:eastAsia="en-AU"/>
              </w:rPr>
              <w:t>ICD-10 alcohol disorder</w:t>
            </w:r>
          </w:p>
        </w:tc>
        <w:tc>
          <w:tcPr>
            <w:tcW w:w="488" w:type="pct"/>
            <w:gridSpan w:val="2"/>
            <w:tcBorders>
              <w:top w:val="single" w:sz="4" w:space="0" w:color="000000"/>
              <w:bottom w:val="single" w:sz="4" w:space="0" w:color="000000"/>
            </w:tcBorders>
            <w:vAlign w:val="bottom"/>
          </w:tcPr>
          <w:p w14:paraId="20D72944" w14:textId="77777777" w:rsidR="000D5576" w:rsidRPr="0047058F" w:rsidRDefault="000D5576" w:rsidP="000D5576">
            <w:pPr>
              <w:pStyle w:val="TableText"/>
              <w:jc w:val="center"/>
              <w:rPr>
                <w:rFonts w:eastAsia="MS Mincho"/>
                <w:b/>
              </w:rPr>
            </w:pPr>
            <w:r w:rsidRPr="0047058F">
              <w:rPr>
                <w:rFonts w:eastAsia="MS Mincho"/>
                <w:b/>
              </w:rPr>
              <w:t>Transitioned ADF</w:t>
            </w:r>
            <w:r w:rsidRPr="0047058F">
              <w:rPr>
                <w:rFonts w:eastAsia="MS Mincho"/>
                <w:b/>
              </w:rPr>
              <w:br/>
              <w:t>n = 261</w:t>
            </w:r>
          </w:p>
        </w:tc>
        <w:tc>
          <w:tcPr>
            <w:tcW w:w="488" w:type="pct"/>
            <w:gridSpan w:val="2"/>
            <w:tcBorders>
              <w:top w:val="single" w:sz="4" w:space="0" w:color="000000"/>
              <w:bottom w:val="single" w:sz="4" w:space="0" w:color="000000"/>
            </w:tcBorders>
            <w:vAlign w:val="bottom"/>
          </w:tcPr>
          <w:p w14:paraId="7956D2C4" w14:textId="77777777" w:rsidR="000D5576" w:rsidRPr="0047058F" w:rsidRDefault="000D5576" w:rsidP="000D5576">
            <w:pPr>
              <w:pStyle w:val="TableText"/>
              <w:jc w:val="center"/>
              <w:rPr>
                <w:rFonts w:eastAsia="MS Mincho"/>
                <w:b/>
              </w:rPr>
            </w:pPr>
            <w:r w:rsidRPr="0047058F">
              <w:rPr>
                <w:rFonts w:eastAsia="MS Mincho"/>
                <w:b/>
              </w:rPr>
              <w:t>2015 Regular ADF</w:t>
            </w:r>
            <w:r w:rsidRPr="0047058F">
              <w:rPr>
                <w:rFonts w:eastAsia="MS Mincho"/>
                <w:b/>
              </w:rPr>
              <w:br/>
              <w:t>n = 559</w:t>
            </w:r>
          </w:p>
        </w:tc>
        <w:tc>
          <w:tcPr>
            <w:tcW w:w="487" w:type="pct"/>
            <w:gridSpan w:val="2"/>
            <w:tcBorders>
              <w:top w:val="single" w:sz="4" w:space="0" w:color="000000"/>
              <w:bottom w:val="single" w:sz="4" w:space="0" w:color="000000"/>
            </w:tcBorders>
            <w:vAlign w:val="bottom"/>
          </w:tcPr>
          <w:p w14:paraId="12E0AAD5" w14:textId="77777777" w:rsidR="000D5576" w:rsidRPr="0047058F" w:rsidRDefault="000D5576" w:rsidP="000D5576">
            <w:pPr>
              <w:pStyle w:val="TableText"/>
              <w:jc w:val="center"/>
              <w:rPr>
                <w:b/>
              </w:rPr>
            </w:pPr>
            <w:r w:rsidRPr="0047058F">
              <w:rPr>
                <w:rFonts w:eastAsia="MS Mincho"/>
                <w:b/>
              </w:rPr>
              <w:t>Total</w:t>
            </w:r>
            <w:r w:rsidRPr="0047058F">
              <w:rPr>
                <w:rFonts w:eastAsia="MS Mincho"/>
                <w:b/>
              </w:rPr>
              <w:br/>
              <w:t>n = 820</w:t>
            </w:r>
          </w:p>
        </w:tc>
        <w:tc>
          <w:tcPr>
            <w:tcW w:w="487" w:type="pct"/>
            <w:gridSpan w:val="2"/>
            <w:tcBorders>
              <w:top w:val="single" w:sz="4" w:space="0" w:color="000000"/>
              <w:bottom w:val="single" w:sz="4" w:space="0" w:color="000000"/>
            </w:tcBorders>
            <w:vAlign w:val="bottom"/>
          </w:tcPr>
          <w:p w14:paraId="50066A25" w14:textId="77777777" w:rsidR="000D5576" w:rsidRPr="0047058F" w:rsidRDefault="000D5576" w:rsidP="000D5576">
            <w:pPr>
              <w:pStyle w:val="TableText"/>
              <w:jc w:val="center"/>
              <w:rPr>
                <w:b/>
              </w:rPr>
            </w:pPr>
            <w:r w:rsidRPr="0047058F">
              <w:rPr>
                <w:rFonts w:eastAsia="MS Mincho"/>
                <w:b/>
              </w:rPr>
              <w:t>Transitioned ADF</w:t>
            </w:r>
            <w:r w:rsidRPr="0047058F">
              <w:rPr>
                <w:rFonts w:eastAsia="MS Mincho"/>
                <w:b/>
              </w:rPr>
              <w:br/>
              <w:t>n = 261</w:t>
            </w:r>
          </w:p>
        </w:tc>
        <w:tc>
          <w:tcPr>
            <w:tcW w:w="487" w:type="pct"/>
            <w:gridSpan w:val="2"/>
            <w:tcBorders>
              <w:top w:val="single" w:sz="4" w:space="0" w:color="000000"/>
              <w:bottom w:val="single" w:sz="4" w:space="0" w:color="000000"/>
            </w:tcBorders>
            <w:vAlign w:val="bottom"/>
          </w:tcPr>
          <w:p w14:paraId="2122F332" w14:textId="77777777" w:rsidR="000D5576" w:rsidRPr="0047058F" w:rsidRDefault="000D5576" w:rsidP="000D5576">
            <w:pPr>
              <w:pStyle w:val="TableText"/>
              <w:jc w:val="center"/>
              <w:rPr>
                <w:b/>
              </w:rPr>
            </w:pPr>
            <w:r w:rsidRPr="0047058F">
              <w:rPr>
                <w:rFonts w:eastAsia="MS Mincho"/>
                <w:b/>
              </w:rPr>
              <w:t>2015 Regular ADF</w:t>
            </w:r>
            <w:r w:rsidRPr="0047058F">
              <w:rPr>
                <w:rFonts w:eastAsia="MS Mincho"/>
                <w:b/>
              </w:rPr>
              <w:br/>
              <w:t>n = 559</w:t>
            </w:r>
          </w:p>
        </w:tc>
        <w:tc>
          <w:tcPr>
            <w:tcW w:w="487" w:type="pct"/>
            <w:gridSpan w:val="2"/>
            <w:tcBorders>
              <w:top w:val="single" w:sz="4" w:space="0" w:color="000000"/>
              <w:bottom w:val="single" w:sz="4" w:space="0" w:color="000000"/>
            </w:tcBorders>
            <w:vAlign w:val="bottom"/>
          </w:tcPr>
          <w:p w14:paraId="54D89244" w14:textId="77777777" w:rsidR="000D5576" w:rsidRPr="0047058F" w:rsidRDefault="000D5576" w:rsidP="000D5576">
            <w:pPr>
              <w:pStyle w:val="TableText"/>
              <w:jc w:val="center"/>
              <w:rPr>
                <w:rFonts w:eastAsia="MS Mincho"/>
                <w:b/>
              </w:rPr>
            </w:pPr>
            <w:r w:rsidRPr="0047058F">
              <w:rPr>
                <w:rFonts w:eastAsia="MS Mincho"/>
                <w:b/>
              </w:rPr>
              <w:t>Total</w:t>
            </w:r>
            <w:r w:rsidRPr="0047058F">
              <w:rPr>
                <w:rFonts w:eastAsia="MS Mincho"/>
                <w:b/>
              </w:rPr>
              <w:br/>
              <w:t>n = 820</w:t>
            </w:r>
          </w:p>
        </w:tc>
        <w:tc>
          <w:tcPr>
            <w:tcW w:w="492" w:type="pct"/>
            <w:tcBorders>
              <w:top w:val="single" w:sz="4" w:space="0" w:color="000000"/>
              <w:bottom w:val="single" w:sz="4" w:space="0" w:color="000000"/>
            </w:tcBorders>
            <w:vAlign w:val="bottom"/>
          </w:tcPr>
          <w:p w14:paraId="13701106" w14:textId="77777777" w:rsidR="000D5576" w:rsidRPr="0047058F" w:rsidRDefault="000D5576" w:rsidP="000D5576">
            <w:pPr>
              <w:pStyle w:val="TableText"/>
              <w:jc w:val="center"/>
              <w:rPr>
                <w:rFonts w:eastAsia="MS Mincho"/>
                <w:b/>
              </w:rPr>
            </w:pPr>
            <w:r w:rsidRPr="0047058F">
              <w:rPr>
                <w:rFonts w:eastAsia="MS Mincho"/>
                <w:b/>
              </w:rPr>
              <w:t>2010: Transitioned 2015 vs Regular 2015</w:t>
            </w:r>
          </w:p>
        </w:tc>
        <w:tc>
          <w:tcPr>
            <w:tcW w:w="492" w:type="pct"/>
            <w:tcBorders>
              <w:top w:val="single" w:sz="4" w:space="0" w:color="000000"/>
              <w:bottom w:val="single" w:sz="4" w:space="0" w:color="000000"/>
            </w:tcBorders>
            <w:vAlign w:val="bottom"/>
          </w:tcPr>
          <w:p w14:paraId="4D49D03F" w14:textId="77777777" w:rsidR="000D5576" w:rsidRPr="0047058F" w:rsidRDefault="000D5576" w:rsidP="000D5576">
            <w:pPr>
              <w:pStyle w:val="TableText"/>
              <w:jc w:val="center"/>
              <w:rPr>
                <w:rFonts w:eastAsia="MS Mincho"/>
                <w:b/>
              </w:rPr>
            </w:pPr>
            <w:r w:rsidRPr="0047058F">
              <w:rPr>
                <w:rFonts w:eastAsia="MS Mincho"/>
                <w:b/>
              </w:rPr>
              <w:t>2015: Transitioned 2015 vs Regular 2015</w:t>
            </w:r>
          </w:p>
        </w:tc>
        <w:tc>
          <w:tcPr>
            <w:tcW w:w="492" w:type="pct"/>
            <w:tcBorders>
              <w:top w:val="single" w:sz="4" w:space="0" w:color="000000"/>
              <w:bottom w:val="single" w:sz="4" w:space="0" w:color="000000"/>
            </w:tcBorders>
            <w:vAlign w:val="bottom"/>
          </w:tcPr>
          <w:p w14:paraId="23C6DC27" w14:textId="77777777" w:rsidR="000D5576" w:rsidRPr="0047058F" w:rsidRDefault="000D5576" w:rsidP="000D5576">
            <w:pPr>
              <w:pStyle w:val="TableText"/>
              <w:jc w:val="center"/>
              <w:rPr>
                <w:rFonts w:eastAsia="MS Mincho"/>
                <w:b/>
              </w:rPr>
            </w:pPr>
            <w:r w:rsidRPr="0047058F">
              <w:rPr>
                <w:rFonts w:eastAsia="MS Mincho"/>
                <w:b/>
              </w:rPr>
              <w:t>2015 total vs 2010 total</w:t>
            </w:r>
          </w:p>
        </w:tc>
      </w:tr>
      <w:tr w:rsidR="000D5576" w:rsidRPr="0047058F" w14:paraId="48813A01" w14:textId="77777777" w:rsidTr="000D5576">
        <w:trPr>
          <w:tblHeader/>
        </w:trPr>
        <w:tc>
          <w:tcPr>
            <w:tcW w:w="601" w:type="pct"/>
            <w:vMerge/>
            <w:tcBorders>
              <w:top w:val="nil"/>
              <w:bottom w:val="nil"/>
            </w:tcBorders>
          </w:tcPr>
          <w:p w14:paraId="3E7176D6" w14:textId="77777777" w:rsidR="000D5576" w:rsidRPr="0047058F" w:rsidRDefault="000D5576" w:rsidP="000D5576">
            <w:pPr>
              <w:pStyle w:val="TableText"/>
              <w:rPr>
                <w:rFonts w:cs="Arial"/>
                <w:b/>
              </w:rPr>
            </w:pPr>
          </w:p>
        </w:tc>
        <w:tc>
          <w:tcPr>
            <w:tcW w:w="243" w:type="pct"/>
            <w:tcBorders>
              <w:top w:val="single" w:sz="4" w:space="0" w:color="000000"/>
              <w:bottom w:val="single" w:sz="4" w:space="0" w:color="000000"/>
            </w:tcBorders>
          </w:tcPr>
          <w:p w14:paraId="21E8C516"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79DDB28F" w14:textId="77777777" w:rsidR="000D5576" w:rsidRPr="0047058F" w:rsidRDefault="000D5576" w:rsidP="000D5576">
            <w:pPr>
              <w:pStyle w:val="TableText"/>
              <w:jc w:val="right"/>
              <w:rPr>
                <w:rFonts w:cs="Arial"/>
                <w:b/>
              </w:rPr>
            </w:pPr>
            <w:r w:rsidRPr="0047058F">
              <w:rPr>
                <w:rFonts w:cs="Arial"/>
                <w:b/>
              </w:rPr>
              <w:t>%</w:t>
            </w:r>
          </w:p>
        </w:tc>
        <w:tc>
          <w:tcPr>
            <w:tcW w:w="243" w:type="pct"/>
            <w:tcBorders>
              <w:top w:val="single" w:sz="4" w:space="0" w:color="000000"/>
              <w:bottom w:val="single" w:sz="4" w:space="0" w:color="000000"/>
            </w:tcBorders>
          </w:tcPr>
          <w:p w14:paraId="4918026C"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3921C76C" w14:textId="77777777" w:rsidR="000D5576" w:rsidRPr="0047058F" w:rsidRDefault="000D5576" w:rsidP="000D5576">
            <w:pPr>
              <w:pStyle w:val="TableText"/>
              <w:jc w:val="right"/>
              <w:rPr>
                <w:rFonts w:cs="Arial"/>
                <w:b/>
              </w:rPr>
            </w:pPr>
            <w:r w:rsidRPr="0047058F">
              <w:rPr>
                <w:rFonts w:cs="Arial"/>
                <w:b/>
              </w:rPr>
              <w:t>%</w:t>
            </w:r>
          </w:p>
        </w:tc>
        <w:tc>
          <w:tcPr>
            <w:tcW w:w="243" w:type="pct"/>
            <w:tcBorders>
              <w:top w:val="single" w:sz="4" w:space="0" w:color="000000"/>
              <w:bottom w:val="single" w:sz="4" w:space="0" w:color="000000"/>
            </w:tcBorders>
          </w:tcPr>
          <w:p w14:paraId="5FEC3A12"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047CBB74" w14:textId="77777777" w:rsidR="000D5576" w:rsidRPr="0047058F" w:rsidRDefault="000D5576" w:rsidP="000D5576">
            <w:pPr>
              <w:pStyle w:val="TableText"/>
              <w:jc w:val="right"/>
              <w:rPr>
                <w:rFonts w:cs="Arial"/>
                <w:b/>
              </w:rPr>
            </w:pPr>
            <w:r w:rsidRPr="0047058F">
              <w:rPr>
                <w:rFonts w:cs="Arial"/>
                <w:b/>
              </w:rPr>
              <w:t>%</w:t>
            </w:r>
          </w:p>
        </w:tc>
        <w:tc>
          <w:tcPr>
            <w:tcW w:w="243" w:type="pct"/>
            <w:tcBorders>
              <w:top w:val="single" w:sz="4" w:space="0" w:color="000000"/>
              <w:bottom w:val="single" w:sz="4" w:space="0" w:color="000000"/>
            </w:tcBorders>
          </w:tcPr>
          <w:p w14:paraId="40300EBB"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0EB2019D" w14:textId="77777777" w:rsidR="000D5576" w:rsidRPr="0047058F" w:rsidRDefault="000D5576" w:rsidP="000D5576">
            <w:pPr>
              <w:pStyle w:val="TableText"/>
              <w:jc w:val="right"/>
              <w:rPr>
                <w:rFonts w:cs="Arial"/>
                <w:b/>
              </w:rPr>
            </w:pPr>
            <w:r w:rsidRPr="0047058F">
              <w:rPr>
                <w:rFonts w:cs="Arial"/>
                <w:b/>
              </w:rPr>
              <w:t>%</w:t>
            </w:r>
          </w:p>
        </w:tc>
        <w:tc>
          <w:tcPr>
            <w:tcW w:w="243" w:type="pct"/>
            <w:tcBorders>
              <w:top w:val="single" w:sz="4" w:space="0" w:color="000000"/>
              <w:bottom w:val="single" w:sz="4" w:space="0" w:color="000000"/>
            </w:tcBorders>
          </w:tcPr>
          <w:p w14:paraId="5DF4AA2B"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0E310E10" w14:textId="77777777" w:rsidR="000D5576" w:rsidRPr="0047058F" w:rsidRDefault="000D5576" w:rsidP="000D5576">
            <w:pPr>
              <w:pStyle w:val="TableText"/>
              <w:jc w:val="right"/>
              <w:rPr>
                <w:rFonts w:cs="Arial"/>
                <w:b/>
              </w:rPr>
            </w:pPr>
            <w:r w:rsidRPr="0047058F">
              <w:rPr>
                <w:rFonts w:cs="Arial"/>
                <w:b/>
              </w:rPr>
              <w:t>%</w:t>
            </w:r>
          </w:p>
        </w:tc>
        <w:tc>
          <w:tcPr>
            <w:tcW w:w="243" w:type="pct"/>
            <w:tcBorders>
              <w:top w:val="single" w:sz="4" w:space="0" w:color="000000"/>
              <w:bottom w:val="single" w:sz="4" w:space="0" w:color="000000"/>
            </w:tcBorders>
          </w:tcPr>
          <w:p w14:paraId="0AF53882" w14:textId="77777777" w:rsidR="000D5576" w:rsidRPr="0047058F" w:rsidRDefault="000D5576" w:rsidP="000D5576">
            <w:pPr>
              <w:pStyle w:val="TableText"/>
              <w:jc w:val="right"/>
              <w:rPr>
                <w:rFonts w:cs="Arial"/>
                <w:b/>
              </w:rPr>
            </w:pPr>
            <w:r w:rsidRPr="0047058F">
              <w:rPr>
                <w:rFonts w:cs="Arial"/>
                <w:b/>
              </w:rPr>
              <w:t>n</w:t>
            </w:r>
          </w:p>
        </w:tc>
        <w:tc>
          <w:tcPr>
            <w:tcW w:w="244" w:type="pct"/>
            <w:tcBorders>
              <w:top w:val="single" w:sz="4" w:space="0" w:color="000000"/>
              <w:bottom w:val="single" w:sz="4" w:space="0" w:color="000000"/>
            </w:tcBorders>
          </w:tcPr>
          <w:p w14:paraId="7C858BA5" w14:textId="77777777" w:rsidR="000D5576" w:rsidRPr="0047058F" w:rsidRDefault="000D5576" w:rsidP="000D5576">
            <w:pPr>
              <w:pStyle w:val="TableText"/>
              <w:jc w:val="right"/>
              <w:rPr>
                <w:rFonts w:cs="Arial"/>
                <w:b/>
              </w:rPr>
            </w:pPr>
            <w:r w:rsidRPr="0047058F">
              <w:rPr>
                <w:rFonts w:cs="Arial"/>
                <w:b/>
              </w:rPr>
              <w:t>%</w:t>
            </w:r>
          </w:p>
        </w:tc>
        <w:tc>
          <w:tcPr>
            <w:tcW w:w="492" w:type="pct"/>
            <w:tcBorders>
              <w:top w:val="single" w:sz="4" w:space="0" w:color="000000"/>
              <w:bottom w:val="single" w:sz="4" w:space="0" w:color="000000"/>
            </w:tcBorders>
          </w:tcPr>
          <w:p w14:paraId="2A4B3087" w14:textId="77777777" w:rsidR="000D5576" w:rsidRPr="0047058F" w:rsidRDefault="000D5576" w:rsidP="000D5576">
            <w:pPr>
              <w:pStyle w:val="TableText"/>
              <w:jc w:val="right"/>
              <w:rPr>
                <w:rFonts w:cs="Arial"/>
                <w:b/>
              </w:rPr>
            </w:pPr>
            <w:r w:rsidRPr="0047058F">
              <w:rPr>
                <w:rFonts w:eastAsia="MS Mincho"/>
                <w:b/>
              </w:rPr>
              <w:t>OR (95% CI)</w:t>
            </w:r>
          </w:p>
        </w:tc>
        <w:tc>
          <w:tcPr>
            <w:tcW w:w="492" w:type="pct"/>
            <w:tcBorders>
              <w:top w:val="single" w:sz="4" w:space="0" w:color="000000"/>
              <w:bottom w:val="single" w:sz="4" w:space="0" w:color="000000"/>
            </w:tcBorders>
          </w:tcPr>
          <w:p w14:paraId="219180FD" w14:textId="77777777" w:rsidR="000D5576" w:rsidRPr="0047058F" w:rsidRDefault="000D5576" w:rsidP="000D5576">
            <w:pPr>
              <w:pStyle w:val="TableText"/>
              <w:jc w:val="right"/>
              <w:rPr>
                <w:rFonts w:cs="Arial"/>
                <w:b/>
              </w:rPr>
            </w:pPr>
            <w:r w:rsidRPr="0047058F">
              <w:rPr>
                <w:rFonts w:eastAsia="MS Mincho"/>
                <w:b/>
              </w:rPr>
              <w:t>OR (95% CI)</w:t>
            </w:r>
          </w:p>
        </w:tc>
        <w:tc>
          <w:tcPr>
            <w:tcW w:w="492" w:type="pct"/>
            <w:tcBorders>
              <w:top w:val="single" w:sz="4" w:space="0" w:color="000000"/>
              <w:bottom w:val="single" w:sz="4" w:space="0" w:color="000000"/>
            </w:tcBorders>
          </w:tcPr>
          <w:p w14:paraId="660E2A7F" w14:textId="77777777" w:rsidR="000D5576" w:rsidRPr="0047058F" w:rsidRDefault="000D5576" w:rsidP="000D5576">
            <w:pPr>
              <w:pStyle w:val="TableText"/>
              <w:jc w:val="right"/>
              <w:rPr>
                <w:rFonts w:cs="Arial"/>
                <w:b/>
              </w:rPr>
            </w:pPr>
            <w:r w:rsidRPr="0047058F">
              <w:rPr>
                <w:rFonts w:eastAsia="MS Mincho"/>
                <w:b/>
              </w:rPr>
              <w:t>OR (95% CI)</w:t>
            </w:r>
          </w:p>
        </w:tc>
      </w:tr>
      <w:tr w:rsidR="000D5576" w:rsidRPr="0047058F" w14:paraId="6760377C" w14:textId="77777777" w:rsidTr="000D5576">
        <w:trPr>
          <w:cnfStyle w:val="000000100000" w:firstRow="0" w:lastRow="0" w:firstColumn="0" w:lastColumn="0" w:oddVBand="0" w:evenVBand="0" w:oddHBand="1" w:evenHBand="0" w:firstRowFirstColumn="0" w:firstRowLastColumn="0" w:lastRowFirstColumn="0" w:lastRowLastColumn="0"/>
        </w:trPr>
        <w:tc>
          <w:tcPr>
            <w:tcW w:w="601" w:type="pct"/>
            <w:tcBorders>
              <w:top w:val="nil"/>
            </w:tcBorders>
          </w:tcPr>
          <w:p w14:paraId="209B1979" w14:textId="77777777" w:rsidR="00A340EE" w:rsidRPr="0047058F" w:rsidRDefault="00A340EE" w:rsidP="000D5576">
            <w:pPr>
              <w:pStyle w:val="TableText"/>
              <w:rPr>
                <w:rFonts w:cs="Calibri"/>
                <w:szCs w:val="14"/>
              </w:rPr>
            </w:pPr>
            <w:r w:rsidRPr="0047058F">
              <w:rPr>
                <w:rFonts w:cs="Calibri"/>
                <w:szCs w:val="14"/>
              </w:rPr>
              <w:t>Alcohol harmful use</w:t>
            </w:r>
          </w:p>
        </w:tc>
        <w:tc>
          <w:tcPr>
            <w:tcW w:w="243" w:type="pct"/>
            <w:tcBorders>
              <w:top w:val="single" w:sz="4" w:space="0" w:color="000000"/>
            </w:tcBorders>
          </w:tcPr>
          <w:p w14:paraId="792CFA04"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244" w:type="pct"/>
            <w:tcBorders>
              <w:top w:val="single" w:sz="4" w:space="0" w:color="000000"/>
            </w:tcBorders>
          </w:tcPr>
          <w:p w14:paraId="4D805B19" w14:textId="77777777" w:rsidR="00A340EE" w:rsidRPr="0047058F" w:rsidRDefault="00A340EE" w:rsidP="000D5576">
            <w:pPr>
              <w:pStyle w:val="TableText"/>
              <w:jc w:val="right"/>
              <w:rPr>
                <w:rFonts w:eastAsia="Times New Roman" w:cs="Arial"/>
              </w:rPr>
            </w:pPr>
            <w:r w:rsidRPr="0047058F">
              <w:rPr>
                <w:rFonts w:eastAsia="Times New Roman" w:cs="Arial"/>
              </w:rPr>
              <w:t>4.6</w:t>
            </w:r>
          </w:p>
        </w:tc>
        <w:tc>
          <w:tcPr>
            <w:tcW w:w="243" w:type="pct"/>
            <w:tcBorders>
              <w:top w:val="single" w:sz="4" w:space="0" w:color="000000"/>
            </w:tcBorders>
          </w:tcPr>
          <w:p w14:paraId="50339A6F"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244" w:type="pct"/>
            <w:tcBorders>
              <w:top w:val="single" w:sz="4" w:space="0" w:color="000000"/>
            </w:tcBorders>
          </w:tcPr>
          <w:p w14:paraId="66B871AF" w14:textId="77777777" w:rsidR="00A340EE" w:rsidRPr="0047058F" w:rsidRDefault="00A340EE" w:rsidP="000D5576">
            <w:pPr>
              <w:pStyle w:val="TableText"/>
              <w:jc w:val="right"/>
              <w:rPr>
                <w:rFonts w:eastAsia="Times New Roman" w:cs="Arial"/>
              </w:rPr>
            </w:pPr>
            <w:r w:rsidRPr="0047058F">
              <w:rPr>
                <w:rFonts w:eastAsia="Times New Roman" w:cs="Arial"/>
              </w:rPr>
              <w:t>2.1</w:t>
            </w:r>
          </w:p>
        </w:tc>
        <w:tc>
          <w:tcPr>
            <w:tcW w:w="243" w:type="pct"/>
            <w:tcBorders>
              <w:top w:val="single" w:sz="4" w:space="0" w:color="000000"/>
            </w:tcBorders>
          </w:tcPr>
          <w:p w14:paraId="4CEE2CDA" w14:textId="77777777" w:rsidR="00A340EE" w:rsidRPr="0047058F" w:rsidRDefault="00A340EE" w:rsidP="000D5576">
            <w:pPr>
              <w:pStyle w:val="TableText"/>
              <w:jc w:val="right"/>
            </w:pPr>
            <w:r w:rsidRPr="0047058F">
              <w:rPr>
                <w:rFonts w:eastAsia="Times New Roman" w:cs="Arial"/>
              </w:rPr>
              <w:t>24</w:t>
            </w:r>
          </w:p>
        </w:tc>
        <w:tc>
          <w:tcPr>
            <w:tcW w:w="244" w:type="pct"/>
            <w:tcBorders>
              <w:top w:val="single" w:sz="4" w:space="0" w:color="000000"/>
            </w:tcBorders>
          </w:tcPr>
          <w:p w14:paraId="683B7EB6" w14:textId="77777777" w:rsidR="00A340EE" w:rsidRPr="0047058F" w:rsidRDefault="00A340EE" w:rsidP="000D5576">
            <w:pPr>
              <w:pStyle w:val="TableText"/>
              <w:jc w:val="right"/>
            </w:pPr>
            <w:r w:rsidRPr="0047058F">
              <w:rPr>
                <w:rFonts w:eastAsia="Times New Roman" w:cs="Arial"/>
              </w:rPr>
              <w:t>2.9</w:t>
            </w:r>
          </w:p>
        </w:tc>
        <w:tc>
          <w:tcPr>
            <w:tcW w:w="243" w:type="pct"/>
            <w:tcBorders>
              <w:top w:val="single" w:sz="4" w:space="0" w:color="000000"/>
            </w:tcBorders>
          </w:tcPr>
          <w:p w14:paraId="4D78EBF3" w14:textId="77777777" w:rsidR="00A340EE" w:rsidRPr="0047058F" w:rsidRDefault="00A340EE" w:rsidP="000D5576">
            <w:pPr>
              <w:pStyle w:val="TableText"/>
              <w:jc w:val="right"/>
            </w:pPr>
            <w:r w:rsidRPr="0047058F">
              <w:rPr>
                <w:rFonts w:eastAsia="Times New Roman" w:cs="Arial"/>
              </w:rPr>
              <w:t>9</w:t>
            </w:r>
          </w:p>
        </w:tc>
        <w:tc>
          <w:tcPr>
            <w:tcW w:w="244" w:type="pct"/>
            <w:tcBorders>
              <w:top w:val="single" w:sz="4" w:space="0" w:color="000000"/>
            </w:tcBorders>
          </w:tcPr>
          <w:p w14:paraId="3300AF55" w14:textId="77777777" w:rsidR="00A340EE" w:rsidRPr="0047058F" w:rsidRDefault="00A340EE" w:rsidP="000D5576">
            <w:pPr>
              <w:pStyle w:val="TableText"/>
              <w:jc w:val="right"/>
            </w:pPr>
            <w:r w:rsidRPr="0047058F">
              <w:rPr>
                <w:rFonts w:eastAsia="Times New Roman" w:cs="Arial"/>
              </w:rPr>
              <w:t>3.4</w:t>
            </w:r>
          </w:p>
        </w:tc>
        <w:tc>
          <w:tcPr>
            <w:tcW w:w="243" w:type="pct"/>
            <w:tcBorders>
              <w:top w:val="single" w:sz="4" w:space="0" w:color="000000"/>
            </w:tcBorders>
          </w:tcPr>
          <w:p w14:paraId="3C53127E" w14:textId="77777777" w:rsidR="00A340EE" w:rsidRPr="0047058F" w:rsidRDefault="00A340EE" w:rsidP="000D5576">
            <w:pPr>
              <w:pStyle w:val="TableText"/>
              <w:jc w:val="right"/>
            </w:pPr>
            <w:r w:rsidRPr="0047058F">
              <w:rPr>
                <w:rFonts w:eastAsia="Times New Roman" w:cs="Arial"/>
              </w:rPr>
              <w:t>6</w:t>
            </w:r>
          </w:p>
        </w:tc>
        <w:tc>
          <w:tcPr>
            <w:tcW w:w="244" w:type="pct"/>
            <w:tcBorders>
              <w:top w:val="single" w:sz="4" w:space="0" w:color="000000"/>
            </w:tcBorders>
          </w:tcPr>
          <w:p w14:paraId="59F9319B" w14:textId="77777777" w:rsidR="00A340EE" w:rsidRPr="0047058F" w:rsidRDefault="00A340EE" w:rsidP="000D5576">
            <w:pPr>
              <w:pStyle w:val="TableText"/>
              <w:jc w:val="right"/>
            </w:pPr>
            <w:r w:rsidRPr="0047058F">
              <w:rPr>
                <w:rFonts w:eastAsia="Times New Roman" w:cs="Arial"/>
              </w:rPr>
              <w:t>1.1</w:t>
            </w:r>
          </w:p>
        </w:tc>
        <w:tc>
          <w:tcPr>
            <w:tcW w:w="243" w:type="pct"/>
            <w:tcBorders>
              <w:top w:val="single" w:sz="4" w:space="0" w:color="000000"/>
            </w:tcBorders>
          </w:tcPr>
          <w:p w14:paraId="47F0EC3D" w14:textId="77777777" w:rsidR="00A340EE" w:rsidRPr="0047058F" w:rsidRDefault="00A340EE" w:rsidP="000D5576">
            <w:pPr>
              <w:pStyle w:val="TableText"/>
              <w:jc w:val="right"/>
            </w:pPr>
            <w:r w:rsidRPr="0047058F">
              <w:rPr>
                <w:rFonts w:eastAsia="Times New Roman" w:cs="Arial"/>
              </w:rPr>
              <w:t>15</w:t>
            </w:r>
          </w:p>
        </w:tc>
        <w:tc>
          <w:tcPr>
            <w:tcW w:w="244" w:type="pct"/>
            <w:tcBorders>
              <w:top w:val="single" w:sz="4" w:space="0" w:color="000000"/>
            </w:tcBorders>
          </w:tcPr>
          <w:p w14:paraId="00A3AD57" w14:textId="77777777" w:rsidR="00A340EE" w:rsidRPr="0047058F" w:rsidRDefault="00A340EE" w:rsidP="000D5576">
            <w:pPr>
              <w:pStyle w:val="TableText"/>
              <w:jc w:val="right"/>
            </w:pPr>
            <w:r w:rsidRPr="0047058F">
              <w:rPr>
                <w:rFonts w:eastAsia="Times New Roman" w:cs="Arial"/>
              </w:rPr>
              <w:t>1.8</w:t>
            </w:r>
          </w:p>
        </w:tc>
        <w:tc>
          <w:tcPr>
            <w:tcW w:w="492" w:type="pct"/>
            <w:tcBorders>
              <w:top w:val="single" w:sz="4" w:space="0" w:color="000000"/>
            </w:tcBorders>
          </w:tcPr>
          <w:p w14:paraId="223D9988" w14:textId="77777777" w:rsidR="00A340EE" w:rsidRPr="0047058F" w:rsidRDefault="00A340EE" w:rsidP="000D5576">
            <w:pPr>
              <w:pStyle w:val="TableText"/>
              <w:jc w:val="right"/>
              <w:rPr>
                <w:szCs w:val="14"/>
              </w:rPr>
            </w:pPr>
            <w:r w:rsidRPr="0047058F">
              <w:rPr>
                <w:rFonts w:eastAsia="Times New Roman" w:cs="Arial"/>
                <w:szCs w:val="14"/>
              </w:rPr>
              <w:t>2.20 (0.97–4.96)</w:t>
            </w:r>
          </w:p>
        </w:tc>
        <w:tc>
          <w:tcPr>
            <w:tcW w:w="492" w:type="pct"/>
            <w:tcBorders>
              <w:top w:val="single" w:sz="4" w:space="0" w:color="000000"/>
            </w:tcBorders>
          </w:tcPr>
          <w:p w14:paraId="3037AF5B" w14:textId="77777777" w:rsidR="00A340EE" w:rsidRPr="0047058F" w:rsidRDefault="00A340EE" w:rsidP="000D5576">
            <w:pPr>
              <w:pStyle w:val="TableText"/>
              <w:jc w:val="right"/>
              <w:rPr>
                <w:szCs w:val="14"/>
              </w:rPr>
            </w:pPr>
            <w:r w:rsidRPr="0047058F">
              <w:rPr>
                <w:rFonts w:eastAsia="Times New Roman" w:cs="Arial"/>
                <w:szCs w:val="14"/>
              </w:rPr>
              <w:t>3.29 (1.16–9.35)</w:t>
            </w:r>
          </w:p>
        </w:tc>
        <w:tc>
          <w:tcPr>
            <w:tcW w:w="492" w:type="pct"/>
            <w:tcBorders>
              <w:top w:val="single" w:sz="4" w:space="0" w:color="000000"/>
            </w:tcBorders>
          </w:tcPr>
          <w:p w14:paraId="634EF6D5" w14:textId="77777777" w:rsidR="00A340EE" w:rsidRPr="0047058F" w:rsidRDefault="00A340EE" w:rsidP="000D5576">
            <w:pPr>
              <w:pStyle w:val="TableText"/>
              <w:jc w:val="right"/>
              <w:rPr>
                <w:szCs w:val="14"/>
              </w:rPr>
            </w:pPr>
            <w:r w:rsidRPr="0047058F">
              <w:rPr>
                <w:rFonts w:eastAsia="Times New Roman" w:cs="Arial"/>
                <w:szCs w:val="14"/>
              </w:rPr>
              <w:t>0.62 (0.32–1.19)</w:t>
            </w:r>
          </w:p>
        </w:tc>
      </w:tr>
      <w:tr w:rsidR="000D5576" w:rsidRPr="0047058F" w14:paraId="60A864C4" w14:textId="77777777" w:rsidTr="000D5576">
        <w:tc>
          <w:tcPr>
            <w:tcW w:w="601" w:type="pct"/>
          </w:tcPr>
          <w:p w14:paraId="713D79FE" w14:textId="77777777" w:rsidR="00A340EE" w:rsidRPr="0047058F" w:rsidRDefault="00A340EE" w:rsidP="000D5576">
            <w:pPr>
              <w:pStyle w:val="TableText"/>
              <w:rPr>
                <w:rFonts w:cs="Calibri"/>
                <w:szCs w:val="14"/>
              </w:rPr>
            </w:pPr>
            <w:r w:rsidRPr="0047058F">
              <w:rPr>
                <w:rFonts w:cs="Calibri"/>
                <w:szCs w:val="14"/>
              </w:rPr>
              <w:t>Alcohol dependence</w:t>
            </w:r>
          </w:p>
        </w:tc>
        <w:tc>
          <w:tcPr>
            <w:tcW w:w="243" w:type="pct"/>
          </w:tcPr>
          <w:p w14:paraId="5E7DFF55" w14:textId="77777777" w:rsidR="00A340EE" w:rsidRPr="0047058F" w:rsidRDefault="00A340EE" w:rsidP="000D5576">
            <w:pPr>
              <w:pStyle w:val="TableText"/>
              <w:jc w:val="right"/>
              <w:rPr>
                <w:rFonts w:eastAsia="Times New Roman" w:cs="Arial"/>
              </w:rPr>
            </w:pPr>
            <w:r w:rsidRPr="0047058F">
              <w:rPr>
                <w:rFonts w:eastAsia="Times New Roman" w:cs="Arial"/>
              </w:rPr>
              <w:t>8</w:t>
            </w:r>
          </w:p>
        </w:tc>
        <w:tc>
          <w:tcPr>
            <w:tcW w:w="244" w:type="pct"/>
          </w:tcPr>
          <w:p w14:paraId="22B935AD" w14:textId="77777777" w:rsidR="00A340EE" w:rsidRPr="0047058F" w:rsidRDefault="00A340EE" w:rsidP="000D5576">
            <w:pPr>
              <w:pStyle w:val="TableText"/>
              <w:jc w:val="right"/>
              <w:rPr>
                <w:rFonts w:eastAsia="Times New Roman" w:cs="Arial"/>
              </w:rPr>
            </w:pPr>
            <w:r w:rsidRPr="0047058F">
              <w:rPr>
                <w:rFonts w:eastAsia="Times New Roman" w:cs="Arial"/>
              </w:rPr>
              <w:t>3.1</w:t>
            </w:r>
          </w:p>
        </w:tc>
        <w:tc>
          <w:tcPr>
            <w:tcW w:w="243" w:type="pct"/>
          </w:tcPr>
          <w:p w14:paraId="364CE080" w14:textId="77777777" w:rsidR="00A340EE" w:rsidRPr="0047058F" w:rsidRDefault="00A340EE" w:rsidP="000D5576">
            <w:pPr>
              <w:pStyle w:val="TableText"/>
              <w:jc w:val="right"/>
              <w:rPr>
                <w:rFonts w:eastAsia="Times New Roman" w:cs="Arial"/>
              </w:rPr>
            </w:pPr>
            <w:r w:rsidRPr="0047058F">
              <w:rPr>
                <w:rFonts w:eastAsia="Times New Roman" w:cs="Arial"/>
              </w:rPr>
              <w:t>21</w:t>
            </w:r>
          </w:p>
        </w:tc>
        <w:tc>
          <w:tcPr>
            <w:tcW w:w="244" w:type="pct"/>
          </w:tcPr>
          <w:p w14:paraId="3E4D603F" w14:textId="77777777" w:rsidR="00A340EE" w:rsidRPr="0047058F" w:rsidRDefault="00A340EE" w:rsidP="000D5576">
            <w:pPr>
              <w:pStyle w:val="TableText"/>
              <w:jc w:val="right"/>
              <w:rPr>
                <w:rFonts w:eastAsia="Times New Roman" w:cs="Arial"/>
              </w:rPr>
            </w:pPr>
            <w:r w:rsidRPr="0047058F">
              <w:rPr>
                <w:rFonts w:eastAsia="Times New Roman" w:cs="Arial"/>
              </w:rPr>
              <w:t>3.8</w:t>
            </w:r>
          </w:p>
        </w:tc>
        <w:tc>
          <w:tcPr>
            <w:tcW w:w="243" w:type="pct"/>
          </w:tcPr>
          <w:p w14:paraId="3972313F" w14:textId="77777777" w:rsidR="00A340EE" w:rsidRPr="0047058F" w:rsidRDefault="00A340EE" w:rsidP="000D5576">
            <w:pPr>
              <w:pStyle w:val="TableText"/>
              <w:jc w:val="right"/>
            </w:pPr>
            <w:r w:rsidRPr="0047058F">
              <w:rPr>
                <w:rFonts w:eastAsia="Times New Roman" w:cs="Arial"/>
              </w:rPr>
              <w:t>29</w:t>
            </w:r>
          </w:p>
        </w:tc>
        <w:tc>
          <w:tcPr>
            <w:tcW w:w="244" w:type="pct"/>
          </w:tcPr>
          <w:p w14:paraId="6CD807FD" w14:textId="77777777" w:rsidR="00A340EE" w:rsidRPr="0047058F" w:rsidRDefault="00A340EE" w:rsidP="000D5576">
            <w:pPr>
              <w:pStyle w:val="TableText"/>
              <w:jc w:val="right"/>
            </w:pPr>
            <w:r w:rsidRPr="0047058F">
              <w:rPr>
                <w:rFonts w:eastAsia="Times New Roman" w:cs="Arial"/>
              </w:rPr>
              <w:t>3.5</w:t>
            </w:r>
          </w:p>
        </w:tc>
        <w:tc>
          <w:tcPr>
            <w:tcW w:w="243" w:type="pct"/>
          </w:tcPr>
          <w:p w14:paraId="36B76767" w14:textId="77777777" w:rsidR="00A340EE" w:rsidRPr="0047058F" w:rsidRDefault="00A340EE" w:rsidP="000D5576">
            <w:pPr>
              <w:pStyle w:val="TableText"/>
              <w:jc w:val="right"/>
            </w:pPr>
            <w:r w:rsidRPr="0047058F">
              <w:rPr>
                <w:rFonts w:eastAsia="Times New Roman" w:cs="Arial"/>
              </w:rPr>
              <w:t>15</w:t>
            </w:r>
          </w:p>
        </w:tc>
        <w:tc>
          <w:tcPr>
            <w:tcW w:w="244" w:type="pct"/>
          </w:tcPr>
          <w:p w14:paraId="3506A2E0" w14:textId="77777777" w:rsidR="00A340EE" w:rsidRPr="0047058F" w:rsidRDefault="00A340EE" w:rsidP="000D5576">
            <w:pPr>
              <w:pStyle w:val="TableText"/>
              <w:jc w:val="right"/>
            </w:pPr>
            <w:r w:rsidRPr="0047058F">
              <w:rPr>
                <w:rFonts w:eastAsia="Times New Roman" w:cs="Arial"/>
              </w:rPr>
              <w:t>5.7</w:t>
            </w:r>
          </w:p>
        </w:tc>
        <w:tc>
          <w:tcPr>
            <w:tcW w:w="243" w:type="pct"/>
          </w:tcPr>
          <w:p w14:paraId="5AA337A7" w14:textId="77777777" w:rsidR="00A340EE" w:rsidRPr="0047058F" w:rsidRDefault="00A340EE" w:rsidP="000D5576">
            <w:pPr>
              <w:pStyle w:val="TableText"/>
              <w:jc w:val="right"/>
            </w:pPr>
            <w:r w:rsidRPr="0047058F">
              <w:rPr>
                <w:rFonts w:eastAsia="Times New Roman" w:cs="Arial"/>
              </w:rPr>
              <w:t>22</w:t>
            </w:r>
          </w:p>
        </w:tc>
        <w:tc>
          <w:tcPr>
            <w:tcW w:w="244" w:type="pct"/>
          </w:tcPr>
          <w:p w14:paraId="429AD80F" w14:textId="77777777" w:rsidR="00A340EE" w:rsidRPr="0047058F" w:rsidRDefault="00A340EE" w:rsidP="000D5576">
            <w:pPr>
              <w:pStyle w:val="TableText"/>
              <w:jc w:val="right"/>
            </w:pPr>
            <w:r w:rsidRPr="0047058F">
              <w:rPr>
                <w:rFonts w:eastAsia="Times New Roman" w:cs="Arial"/>
              </w:rPr>
              <w:t>3.9</w:t>
            </w:r>
          </w:p>
        </w:tc>
        <w:tc>
          <w:tcPr>
            <w:tcW w:w="243" w:type="pct"/>
          </w:tcPr>
          <w:p w14:paraId="495FA1D9" w14:textId="77777777" w:rsidR="00A340EE" w:rsidRPr="0047058F" w:rsidRDefault="00A340EE" w:rsidP="000D5576">
            <w:pPr>
              <w:pStyle w:val="TableText"/>
              <w:jc w:val="right"/>
            </w:pPr>
            <w:r w:rsidRPr="0047058F">
              <w:rPr>
                <w:rFonts w:eastAsia="Times New Roman" w:cs="Arial"/>
              </w:rPr>
              <w:t>37</w:t>
            </w:r>
          </w:p>
        </w:tc>
        <w:tc>
          <w:tcPr>
            <w:tcW w:w="244" w:type="pct"/>
          </w:tcPr>
          <w:p w14:paraId="74D0D8F9" w14:textId="77777777" w:rsidR="00A340EE" w:rsidRPr="0047058F" w:rsidRDefault="00A340EE" w:rsidP="000D5576">
            <w:pPr>
              <w:pStyle w:val="TableText"/>
              <w:jc w:val="right"/>
            </w:pPr>
            <w:r w:rsidRPr="0047058F">
              <w:rPr>
                <w:rFonts w:eastAsia="Times New Roman" w:cs="Arial"/>
              </w:rPr>
              <w:t>4.5</w:t>
            </w:r>
          </w:p>
        </w:tc>
        <w:tc>
          <w:tcPr>
            <w:tcW w:w="492" w:type="pct"/>
          </w:tcPr>
          <w:p w14:paraId="0B20ABD1" w14:textId="77777777" w:rsidR="00A340EE" w:rsidRPr="0047058F" w:rsidRDefault="00A340EE" w:rsidP="000D5576">
            <w:pPr>
              <w:pStyle w:val="TableText"/>
              <w:jc w:val="right"/>
              <w:rPr>
                <w:szCs w:val="14"/>
              </w:rPr>
            </w:pPr>
            <w:r w:rsidRPr="0047058F">
              <w:rPr>
                <w:rFonts w:eastAsia="Times New Roman" w:cs="Arial"/>
                <w:szCs w:val="14"/>
              </w:rPr>
              <w:t>0.81 (0.35–1.85)</w:t>
            </w:r>
          </w:p>
        </w:tc>
        <w:tc>
          <w:tcPr>
            <w:tcW w:w="492" w:type="pct"/>
          </w:tcPr>
          <w:p w14:paraId="7F6C1F01" w14:textId="77777777" w:rsidR="00A340EE" w:rsidRPr="0047058F" w:rsidRDefault="00A340EE" w:rsidP="000D5576">
            <w:pPr>
              <w:pStyle w:val="TableText"/>
              <w:jc w:val="right"/>
              <w:rPr>
                <w:szCs w:val="14"/>
              </w:rPr>
            </w:pPr>
            <w:r w:rsidRPr="0047058F">
              <w:rPr>
                <w:rFonts w:eastAsia="Times New Roman" w:cs="Arial"/>
                <w:szCs w:val="14"/>
              </w:rPr>
              <w:t>1.49 (0.76–2.92)</w:t>
            </w:r>
          </w:p>
        </w:tc>
        <w:tc>
          <w:tcPr>
            <w:tcW w:w="492" w:type="pct"/>
          </w:tcPr>
          <w:p w14:paraId="71EE5E66" w14:textId="77777777" w:rsidR="00A340EE" w:rsidRPr="0047058F" w:rsidRDefault="00A340EE" w:rsidP="000D5576">
            <w:pPr>
              <w:pStyle w:val="TableText"/>
              <w:jc w:val="right"/>
              <w:rPr>
                <w:szCs w:val="14"/>
              </w:rPr>
            </w:pPr>
            <w:r w:rsidRPr="0047058F">
              <w:rPr>
                <w:rFonts w:eastAsia="Times New Roman" w:cs="Arial"/>
                <w:szCs w:val="14"/>
              </w:rPr>
              <w:t>1.29 (0.78–2.14)</w:t>
            </w:r>
          </w:p>
        </w:tc>
      </w:tr>
      <w:tr w:rsidR="000D5576" w:rsidRPr="0047058F" w14:paraId="3113F9DB" w14:textId="77777777" w:rsidTr="000D5576">
        <w:trPr>
          <w:cnfStyle w:val="000000100000" w:firstRow="0" w:lastRow="0" w:firstColumn="0" w:lastColumn="0" w:oddVBand="0" w:evenVBand="0" w:oddHBand="1" w:evenHBand="0" w:firstRowFirstColumn="0" w:firstRowLastColumn="0" w:lastRowFirstColumn="0" w:lastRowLastColumn="0"/>
        </w:trPr>
        <w:tc>
          <w:tcPr>
            <w:tcW w:w="601" w:type="pct"/>
          </w:tcPr>
          <w:p w14:paraId="372E9AD4" w14:textId="77777777" w:rsidR="00A340EE" w:rsidRPr="0047058F" w:rsidRDefault="00A340EE" w:rsidP="000D5576">
            <w:pPr>
              <w:pStyle w:val="TableText"/>
              <w:rPr>
                <w:rFonts w:cs="Calibri"/>
                <w:szCs w:val="14"/>
              </w:rPr>
            </w:pPr>
            <w:r w:rsidRPr="0047058F">
              <w:rPr>
                <w:rFonts w:cs="Calibri"/>
                <w:szCs w:val="14"/>
              </w:rPr>
              <w:t>Any alcohol disorder</w:t>
            </w:r>
          </w:p>
        </w:tc>
        <w:tc>
          <w:tcPr>
            <w:tcW w:w="243" w:type="pct"/>
          </w:tcPr>
          <w:p w14:paraId="11F698E0" w14:textId="77777777" w:rsidR="00A340EE" w:rsidRPr="0047058F" w:rsidRDefault="00A340EE" w:rsidP="000D5576">
            <w:pPr>
              <w:pStyle w:val="TableText"/>
              <w:jc w:val="right"/>
              <w:rPr>
                <w:rFonts w:eastAsia="Times New Roman" w:cs="Arial"/>
              </w:rPr>
            </w:pPr>
            <w:r w:rsidRPr="0047058F">
              <w:rPr>
                <w:rFonts w:eastAsia="Times New Roman"/>
              </w:rPr>
              <w:t>20</w:t>
            </w:r>
          </w:p>
        </w:tc>
        <w:tc>
          <w:tcPr>
            <w:tcW w:w="244" w:type="pct"/>
          </w:tcPr>
          <w:p w14:paraId="3C538565" w14:textId="77777777" w:rsidR="00A340EE" w:rsidRPr="0047058F" w:rsidRDefault="00A340EE" w:rsidP="000D5576">
            <w:pPr>
              <w:pStyle w:val="TableText"/>
              <w:jc w:val="right"/>
              <w:rPr>
                <w:rFonts w:eastAsia="Times New Roman" w:cs="Arial"/>
              </w:rPr>
            </w:pPr>
            <w:r w:rsidRPr="0047058F">
              <w:rPr>
                <w:rFonts w:eastAsia="Times New Roman"/>
              </w:rPr>
              <w:t>7.7</w:t>
            </w:r>
          </w:p>
        </w:tc>
        <w:tc>
          <w:tcPr>
            <w:tcW w:w="243" w:type="pct"/>
          </w:tcPr>
          <w:p w14:paraId="6B313A1F" w14:textId="77777777" w:rsidR="00A340EE" w:rsidRPr="0047058F" w:rsidRDefault="00A340EE" w:rsidP="000D5576">
            <w:pPr>
              <w:pStyle w:val="TableText"/>
              <w:jc w:val="right"/>
              <w:rPr>
                <w:rFonts w:eastAsia="Times New Roman" w:cs="Arial"/>
              </w:rPr>
            </w:pPr>
            <w:r w:rsidRPr="0047058F">
              <w:rPr>
                <w:rFonts w:eastAsia="Times New Roman"/>
              </w:rPr>
              <w:t>33</w:t>
            </w:r>
          </w:p>
        </w:tc>
        <w:tc>
          <w:tcPr>
            <w:tcW w:w="244" w:type="pct"/>
          </w:tcPr>
          <w:p w14:paraId="5A8FAD92" w14:textId="77777777" w:rsidR="00A340EE" w:rsidRPr="0047058F" w:rsidRDefault="00A340EE" w:rsidP="000D5576">
            <w:pPr>
              <w:pStyle w:val="TableText"/>
              <w:jc w:val="right"/>
              <w:rPr>
                <w:rFonts w:eastAsia="Times New Roman" w:cs="Arial"/>
              </w:rPr>
            </w:pPr>
            <w:r w:rsidRPr="0047058F">
              <w:rPr>
                <w:rFonts w:eastAsia="Times New Roman"/>
              </w:rPr>
              <w:t>5.9</w:t>
            </w:r>
          </w:p>
        </w:tc>
        <w:tc>
          <w:tcPr>
            <w:tcW w:w="243" w:type="pct"/>
          </w:tcPr>
          <w:p w14:paraId="5502B30C" w14:textId="77777777" w:rsidR="00A340EE" w:rsidRPr="0047058F" w:rsidRDefault="00A340EE" w:rsidP="000D5576">
            <w:pPr>
              <w:pStyle w:val="TableText"/>
              <w:jc w:val="right"/>
            </w:pPr>
            <w:r w:rsidRPr="0047058F">
              <w:rPr>
                <w:rFonts w:eastAsia="Times New Roman"/>
              </w:rPr>
              <w:t>53</w:t>
            </w:r>
          </w:p>
        </w:tc>
        <w:tc>
          <w:tcPr>
            <w:tcW w:w="244" w:type="pct"/>
          </w:tcPr>
          <w:p w14:paraId="639BBA9C" w14:textId="77777777" w:rsidR="00A340EE" w:rsidRPr="0047058F" w:rsidRDefault="00A340EE" w:rsidP="000D5576">
            <w:pPr>
              <w:pStyle w:val="TableText"/>
              <w:jc w:val="right"/>
            </w:pPr>
            <w:r w:rsidRPr="0047058F">
              <w:rPr>
                <w:rFonts w:eastAsia="Times New Roman"/>
              </w:rPr>
              <w:t>6.5</w:t>
            </w:r>
          </w:p>
        </w:tc>
        <w:tc>
          <w:tcPr>
            <w:tcW w:w="243" w:type="pct"/>
          </w:tcPr>
          <w:p w14:paraId="6852D80C" w14:textId="77777777" w:rsidR="00A340EE" w:rsidRPr="0047058F" w:rsidRDefault="00A340EE" w:rsidP="000D5576">
            <w:pPr>
              <w:pStyle w:val="TableText"/>
              <w:jc w:val="right"/>
            </w:pPr>
            <w:r w:rsidRPr="0047058F">
              <w:rPr>
                <w:rFonts w:eastAsia="Times New Roman"/>
              </w:rPr>
              <w:t>24</w:t>
            </w:r>
          </w:p>
        </w:tc>
        <w:tc>
          <w:tcPr>
            <w:tcW w:w="244" w:type="pct"/>
          </w:tcPr>
          <w:p w14:paraId="4D373B58" w14:textId="77777777" w:rsidR="00A340EE" w:rsidRPr="0047058F" w:rsidRDefault="00A340EE" w:rsidP="000D5576">
            <w:pPr>
              <w:pStyle w:val="TableText"/>
              <w:jc w:val="right"/>
            </w:pPr>
            <w:r w:rsidRPr="0047058F">
              <w:rPr>
                <w:rFonts w:eastAsia="Times New Roman"/>
              </w:rPr>
              <w:t>9.2</w:t>
            </w:r>
          </w:p>
        </w:tc>
        <w:tc>
          <w:tcPr>
            <w:tcW w:w="243" w:type="pct"/>
          </w:tcPr>
          <w:p w14:paraId="5AEC89E4" w14:textId="77777777" w:rsidR="00A340EE" w:rsidRPr="0047058F" w:rsidRDefault="00A340EE" w:rsidP="000D5576">
            <w:pPr>
              <w:pStyle w:val="TableText"/>
              <w:jc w:val="right"/>
            </w:pPr>
            <w:r w:rsidRPr="0047058F">
              <w:rPr>
                <w:rFonts w:eastAsia="Times New Roman"/>
              </w:rPr>
              <w:t>28</w:t>
            </w:r>
          </w:p>
        </w:tc>
        <w:tc>
          <w:tcPr>
            <w:tcW w:w="244" w:type="pct"/>
          </w:tcPr>
          <w:p w14:paraId="3F72D163" w14:textId="23FE62F5" w:rsidR="00A340EE" w:rsidRPr="0047058F" w:rsidRDefault="00A340EE" w:rsidP="000D5576">
            <w:pPr>
              <w:pStyle w:val="TableText"/>
              <w:jc w:val="right"/>
            </w:pPr>
            <w:r w:rsidRPr="0047058F">
              <w:rPr>
                <w:rFonts w:eastAsia="Times New Roman"/>
              </w:rPr>
              <w:t>5</w:t>
            </w:r>
            <w:r w:rsidR="008D79C8">
              <w:rPr>
                <w:rFonts w:eastAsia="Times New Roman"/>
              </w:rPr>
              <w:t>.0</w:t>
            </w:r>
          </w:p>
        </w:tc>
        <w:tc>
          <w:tcPr>
            <w:tcW w:w="243" w:type="pct"/>
          </w:tcPr>
          <w:p w14:paraId="32D78979" w14:textId="77777777" w:rsidR="00A340EE" w:rsidRPr="0047058F" w:rsidRDefault="00A340EE" w:rsidP="000D5576">
            <w:pPr>
              <w:pStyle w:val="TableText"/>
              <w:jc w:val="right"/>
            </w:pPr>
            <w:r w:rsidRPr="0047058F">
              <w:rPr>
                <w:rFonts w:eastAsia="Times New Roman"/>
              </w:rPr>
              <w:t>52</w:t>
            </w:r>
          </w:p>
        </w:tc>
        <w:tc>
          <w:tcPr>
            <w:tcW w:w="244" w:type="pct"/>
          </w:tcPr>
          <w:p w14:paraId="11C1BDE1" w14:textId="77777777" w:rsidR="00A340EE" w:rsidRPr="0047058F" w:rsidRDefault="00A340EE" w:rsidP="000D5576">
            <w:pPr>
              <w:pStyle w:val="TableText"/>
              <w:jc w:val="right"/>
            </w:pPr>
            <w:r w:rsidRPr="0047058F">
              <w:rPr>
                <w:rFonts w:eastAsia="Times New Roman"/>
              </w:rPr>
              <w:t>6.3</w:t>
            </w:r>
          </w:p>
        </w:tc>
        <w:tc>
          <w:tcPr>
            <w:tcW w:w="492" w:type="pct"/>
          </w:tcPr>
          <w:p w14:paraId="509E08D3"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1.32 (0.74–2.35)</w:t>
            </w:r>
          </w:p>
        </w:tc>
        <w:tc>
          <w:tcPr>
            <w:tcW w:w="492" w:type="pct"/>
          </w:tcPr>
          <w:p w14:paraId="59C5674F"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1.92 (1.09–3.38)</w:t>
            </w:r>
          </w:p>
        </w:tc>
        <w:tc>
          <w:tcPr>
            <w:tcW w:w="492" w:type="pct"/>
          </w:tcPr>
          <w:p w14:paraId="051927AE" w14:textId="77777777" w:rsidR="00A340EE" w:rsidRPr="0047058F" w:rsidRDefault="00A340EE" w:rsidP="000D5576">
            <w:pPr>
              <w:pStyle w:val="TableText"/>
              <w:jc w:val="right"/>
              <w:rPr>
                <w:rFonts w:eastAsia="Times New Roman" w:cs="Arial"/>
                <w:szCs w:val="14"/>
              </w:rPr>
            </w:pPr>
            <w:r w:rsidRPr="0047058F">
              <w:rPr>
                <w:rFonts w:eastAsia="Times New Roman" w:cs="Arial"/>
                <w:szCs w:val="14"/>
              </w:rPr>
              <w:t>0.98 (0.66–1.46)</w:t>
            </w:r>
          </w:p>
        </w:tc>
      </w:tr>
    </w:tbl>
    <w:p w14:paraId="66651083" w14:textId="77777777" w:rsidR="00A340EE" w:rsidRPr="0047058F" w:rsidRDefault="00A340EE" w:rsidP="00A340EE">
      <w:pPr>
        <w:pStyle w:val="TableNotes"/>
        <w:rPr>
          <w:rFonts w:cs="Calibri"/>
        </w:rPr>
      </w:pPr>
      <w:r w:rsidRPr="0047058F">
        <w:t>Note: A description of each of the ICD-10 disorder classes is provided in the glossary.</w:t>
      </w:r>
    </w:p>
    <w:p w14:paraId="4E375625" w14:textId="77777777" w:rsidR="005632DC" w:rsidRPr="0047058F" w:rsidRDefault="005632DC" w:rsidP="00A340EE">
      <w:pPr>
        <w:sectPr w:rsidR="005632DC" w:rsidRPr="0047058F" w:rsidSect="00294C13">
          <w:footerReference w:type="even" r:id="rId31"/>
          <w:footerReference w:type="default" r:id="rId32"/>
          <w:pgSz w:w="14170" w:h="9979" w:orient="landscape" w:code="243"/>
          <w:pgMar w:top="1872" w:right="1440" w:bottom="1152" w:left="1440" w:header="576" w:footer="576" w:gutter="0"/>
          <w:cols w:space="708"/>
          <w:docGrid w:linePitch="360"/>
        </w:sectPr>
      </w:pPr>
      <w:bookmarkStart w:id="217" w:name="_Ref387051972"/>
      <w:bookmarkStart w:id="218" w:name="_Toc529117564"/>
    </w:p>
    <w:p w14:paraId="3BF09A24" w14:textId="77777777" w:rsidR="005632DC" w:rsidRPr="0047058F" w:rsidRDefault="005632DC" w:rsidP="00A340EE">
      <w:r w:rsidRPr="0047058F">
        <w:t>Overall, alcohol disorders were detected at relatively low levels, and did not significantly differ between 2010 and 2015 among the cohort as a whole. Alcohol dependence (2010: 3.5%, 2015: 4.5%) was detected at higher levels at both time points than alcohol harmful use (2010: 2.9%, 2015: 1.8%). Alcohol harmful use was similar in 2010 among those who had transitioned and those who remained in the Regular ADF in 2015 (4.6% vs 2.1%; OR 2.20; 95% CI 0.97, 4.96), but higher in 2015 among those who had transitioned (3.4% vs 1.1%; OR 3.29; 95% CI 1.16, 9.35). Alcohol dependence did not differ between groups at either time point. Any alcohol disorder has been discussed previously.</w:t>
      </w:r>
    </w:p>
    <w:p w14:paraId="1856229C" w14:textId="77777777" w:rsidR="00A340EE" w:rsidRPr="0047058F" w:rsidRDefault="00A340EE" w:rsidP="00A340EE">
      <w:pPr>
        <w:pStyle w:val="FigureName"/>
      </w:pPr>
      <w:bookmarkStart w:id="219" w:name="_Toc532473637"/>
      <w:r w:rsidRPr="0047058F">
        <w:t>Figure 4.4</w:t>
      </w:r>
      <w:bookmarkEnd w:id="217"/>
      <w:r w:rsidRPr="0047058F">
        <w:tab/>
        <w:t>Per cent change in rates of 12-month ICD-10 alcohol disorders between 2010 and 2015 in Transitioned ADF and 2015 Regular ADF</w:t>
      </w:r>
      <w:bookmarkEnd w:id="218"/>
      <w:bookmarkEnd w:id="219"/>
    </w:p>
    <w:p w14:paraId="3B7A71BF" w14:textId="77777777" w:rsidR="00EA1CF1" w:rsidRPr="0047058F" w:rsidRDefault="00A340EE" w:rsidP="00EA1CF1">
      <w:pPr>
        <w:spacing w:after="360"/>
      </w:pPr>
      <w:r w:rsidRPr="0047058F">
        <w:rPr>
          <w:noProof/>
          <w:lang w:eastAsia="en-AU"/>
        </w:rPr>
        <w:drawing>
          <wp:inline distT="0" distB="0" distL="0" distR="0" wp14:anchorId="435F9835" wp14:editId="7089EA47">
            <wp:extent cx="4572000" cy="2743200"/>
            <wp:effectExtent l="0" t="0" r="0" b="0"/>
            <wp:docPr id="14" name="Chart 14" descr="Figure 4.4 Per cent change in rates of 12-month ICD-10 alcohol disorders between 2010 and 2015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6A7344" w14:textId="77777777" w:rsidR="00A340EE" w:rsidRPr="0047058F" w:rsidRDefault="00A340EE" w:rsidP="00860F45">
      <w:pPr>
        <w:pStyle w:val="Heading2"/>
      </w:pPr>
      <w:bookmarkStart w:id="220" w:name="_Toc381263151"/>
      <w:bookmarkStart w:id="221" w:name="_Toc529117471"/>
      <w:bookmarkStart w:id="222" w:name="_Toc532474371"/>
      <w:r w:rsidRPr="0047058F">
        <w:t>MHPWS 12-month ICD-10 CIDI disorder predicting Transition and Wellbeing Research Programme 12-month ICD-10 CIDI disorder</w:t>
      </w:r>
      <w:bookmarkEnd w:id="220"/>
      <w:bookmarkEnd w:id="221"/>
      <w:bookmarkEnd w:id="222"/>
    </w:p>
    <w:p w14:paraId="05D4F177" w14:textId="77777777" w:rsidR="00A340EE" w:rsidRPr="0047058F" w:rsidRDefault="00A340EE" w:rsidP="00A340EE">
      <w:r w:rsidRPr="0047058F">
        <w:t>Table 4.5 shows the proportions of 12-month ICD-10 disorder and no disorder on the CIDI in 2010 cross-tabulated by the same grouping of CIDI diagnoses in 2015, among the entire longitudinal cohort, and according to whether they had transitioned (Transitioned ADF) compared to remained in the Regular ADF in 2015 (2015 Regular ADF).</w:t>
      </w:r>
    </w:p>
    <w:p w14:paraId="1781E770" w14:textId="77777777" w:rsidR="005632DC" w:rsidRPr="0047058F" w:rsidRDefault="005632DC" w:rsidP="005632DC">
      <w:pPr>
        <w:sectPr w:rsidR="005632DC" w:rsidRPr="0047058F" w:rsidSect="001E395F">
          <w:footerReference w:type="even" r:id="rId34"/>
          <w:footerReference w:type="default" r:id="rId35"/>
          <w:pgSz w:w="9979" w:h="14170" w:code="243"/>
          <w:pgMar w:top="1440" w:right="1152" w:bottom="1440" w:left="1728" w:header="576" w:footer="576" w:gutter="0"/>
          <w:cols w:space="708"/>
          <w:docGrid w:linePitch="360"/>
        </w:sectPr>
      </w:pPr>
      <w:bookmarkStart w:id="223" w:name="_Ref384555509"/>
      <w:bookmarkStart w:id="224" w:name="_Toc529117512"/>
    </w:p>
    <w:p w14:paraId="6D9861B1" w14:textId="77777777" w:rsidR="00A340EE" w:rsidRPr="0047058F" w:rsidRDefault="00A340EE" w:rsidP="00A340EE">
      <w:pPr>
        <w:pStyle w:val="TableName"/>
      </w:pPr>
      <w:bookmarkStart w:id="225" w:name="_Toc532473582"/>
      <w:r w:rsidRPr="0047058F">
        <w:t>Table 4.5</w:t>
      </w:r>
      <w:bookmarkEnd w:id="223"/>
      <w:r w:rsidRPr="0047058F">
        <w:tab/>
        <w:t>Proportion of entire longitudinal cohort meeting criteria for 12-month disorder in 2010 who do/do not meet criteria in 2015</w:t>
      </w:r>
      <w:bookmarkEnd w:id="224"/>
      <w:bookmarkEnd w:id="225"/>
    </w:p>
    <w:tbl>
      <w:tblPr>
        <w:tblStyle w:val="TWRPTable"/>
        <w:tblW w:w="5000" w:type="pct"/>
        <w:tblLayout w:type="fixed"/>
        <w:tblLook w:val="0000" w:firstRow="0" w:lastRow="0" w:firstColumn="0" w:lastColumn="0" w:noHBand="0" w:noVBand="0"/>
        <w:tblDescription w:val="Table 4.5 Proportion of entire longitudinal cohort meeting criteria for 12-month disorder in 2010 who do/do not meet criteria in 2015"/>
      </w:tblPr>
      <w:tblGrid>
        <w:gridCol w:w="2252"/>
        <w:gridCol w:w="776"/>
        <w:gridCol w:w="654"/>
        <w:gridCol w:w="654"/>
        <w:gridCol w:w="651"/>
        <w:gridCol w:w="654"/>
        <w:gridCol w:w="651"/>
        <w:gridCol w:w="658"/>
        <w:gridCol w:w="651"/>
        <w:gridCol w:w="651"/>
        <w:gridCol w:w="713"/>
        <w:gridCol w:w="594"/>
        <w:gridCol w:w="654"/>
        <w:gridCol w:w="651"/>
        <w:gridCol w:w="642"/>
      </w:tblGrid>
      <w:tr w:rsidR="000D5576" w:rsidRPr="0047058F" w14:paraId="5FEB6DF0" w14:textId="77777777" w:rsidTr="000D5576">
        <w:trPr>
          <w:tblHeader/>
        </w:trPr>
        <w:tc>
          <w:tcPr>
            <w:tcW w:w="979" w:type="pct"/>
            <w:vMerge w:val="restart"/>
            <w:tcBorders>
              <w:top w:val="single" w:sz="4" w:space="0" w:color="000000"/>
            </w:tcBorders>
            <w:vAlign w:val="bottom"/>
          </w:tcPr>
          <w:p w14:paraId="09E8B160" w14:textId="77777777" w:rsidR="000D5576" w:rsidRPr="0047058F" w:rsidRDefault="000D5576" w:rsidP="000D5576">
            <w:pPr>
              <w:pStyle w:val="TableText"/>
            </w:pPr>
            <w:r w:rsidRPr="0047058F">
              <w:rPr>
                <w:rFonts w:eastAsia="Times New Roman"/>
                <w:b/>
                <w:lang w:eastAsia="en-AU"/>
              </w:rPr>
              <w:t>ICD-10 disorder</w:t>
            </w:r>
          </w:p>
        </w:tc>
        <w:tc>
          <w:tcPr>
            <w:tcW w:w="621" w:type="pct"/>
            <w:gridSpan w:val="2"/>
            <w:vMerge w:val="restart"/>
            <w:tcBorders>
              <w:top w:val="single" w:sz="4" w:space="0" w:color="000000"/>
              <w:bottom w:val="single" w:sz="4" w:space="0" w:color="000000"/>
            </w:tcBorders>
            <w:vAlign w:val="bottom"/>
          </w:tcPr>
          <w:p w14:paraId="3EE95CE8" w14:textId="77777777" w:rsidR="000D5576" w:rsidRPr="0047058F" w:rsidRDefault="000D5576" w:rsidP="000D5576">
            <w:pPr>
              <w:pStyle w:val="TableText"/>
              <w:jc w:val="center"/>
              <w:rPr>
                <w:b/>
              </w:rPr>
            </w:pPr>
            <w:r w:rsidRPr="0047058F">
              <w:rPr>
                <w:rFonts w:eastAsia="MS Mincho"/>
                <w:b/>
              </w:rPr>
              <w:t>2010 ADF Mental Health Prevalence and Wellbeing Study</w:t>
            </w:r>
            <w:r w:rsidRPr="0047058F">
              <w:rPr>
                <w:rFonts w:eastAsia="MS Mincho"/>
                <w:b/>
              </w:rPr>
              <w:br/>
              <w:t>n = 810</w:t>
            </w:r>
          </w:p>
        </w:tc>
        <w:tc>
          <w:tcPr>
            <w:tcW w:w="3400" w:type="pct"/>
            <w:gridSpan w:val="12"/>
            <w:tcBorders>
              <w:top w:val="single" w:sz="4" w:space="0" w:color="000000"/>
              <w:bottom w:val="single" w:sz="4" w:space="0" w:color="000000"/>
            </w:tcBorders>
          </w:tcPr>
          <w:p w14:paraId="199E107E" w14:textId="77777777" w:rsidR="000D5576" w:rsidRPr="0047058F" w:rsidRDefault="000D5576" w:rsidP="000D5576">
            <w:pPr>
              <w:pStyle w:val="TableText"/>
              <w:jc w:val="center"/>
              <w:rPr>
                <w:rFonts w:eastAsia="MS Mincho"/>
                <w:b/>
              </w:rPr>
            </w:pPr>
            <w:r w:rsidRPr="0047058F">
              <w:rPr>
                <w:rFonts w:eastAsia="MS Mincho"/>
                <w:b/>
              </w:rPr>
              <w:t>2015 Transition and Wellbeing Research Programme</w:t>
            </w:r>
          </w:p>
        </w:tc>
      </w:tr>
      <w:tr w:rsidR="000D5576" w:rsidRPr="0047058F" w14:paraId="2BBAFD90" w14:textId="77777777" w:rsidTr="000D5576">
        <w:trPr>
          <w:tblHeader/>
        </w:trPr>
        <w:tc>
          <w:tcPr>
            <w:tcW w:w="979" w:type="pct"/>
            <w:vMerge/>
          </w:tcPr>
          <w:p w14:paraId="65E58AEB" w14:textId="77777777" w:rsidR="000D5576" w:rsidRPr="0047058F" w:rsidRDefault="000D5576" w:rsidP="000D5576">
            <w:pPr>
              <w:pStyle w:val="TableText"/>
            </w:pPr>
          </w:p>
        </w:tc>
        <w:tc>
          <w:tcPr>
            <w:tcW w:w="621" w:type="pct"/>
            <w:gridSpan w:val="2"/>
            <w:vMerge/>
            <w:tcBorders>
              <w:top w:val="single" w:sz="4" w:space="0" w:color="000000"/>
              <w:bottom w:val="single" w:sz="4" w:space="0" w:color="000000"/>
            </w:tcBorders>
          </w:tcPr>
          <w:p w14:paraId="320F4771" w14:textId="77777777" w:rsidR="000D5576" w:rsidRPr="0047058F" w:rsidRDefault="000D5576" w:rsidP="000D5576">
            <w:pPr>
              <w:pStyle w:val="TableText"/>
              <w:rPr>
                <w:b/>
              </w:rPr>
            </w:pPr>
          </w:p>
        </w:tc>
        <w:tc>
          <w:tcPr>
            <w:tcW w:w="1134" w:type="pct"/>
            <w:gridSpan w:val="4"/>
            <w:tcBorders>
              <w:top w:val="single" w:sz="4" w:space="0" w:color="000000"/>
              <w:bottom w:val="single" w:sz="4" w:space="0" w:color="000000"/>
            </w:tcBorders>
            <w:vAlign w:val="bottom"/>
          </w:tcPr>
          <w:p w14:paraId="0F348D60" w14:textId="77777777" w:rsidR="000D5576" w:rsidRPr="0047058F" w:rsidRDefault="000D5576" w:rsidP="000D5576">
            <w:pPr>
              <w:pStyle w:val="TableText"/>
              <w:jc w:val="center"/>
              <w:rPr>
                <w:b/>
              </w:rPr>
            </w:pPr>
            <w:r w:rsidRPr="0047058F">
              <w:rPr>
                <w:rFonts w:eastAsia="MS Mincho"/>
                <w:b/>
              </w:rPr>
              <w:t>Transitioned ADF</w:t>
            </w:r>
            <w:r w:rsidRPr="0047058F">
              <w:rPr>
                <w:rFonts w:eastAsia="MS Mincho"/>
                <w:b/>
              </w:rPr>
              <w:br/>
              <w:t>n = 261</w:t>
            </w:r>
          </w:p>
        </w:tc>
        <w:tc>
          <w:tcPr>
            <w:tcW w:w="1162" w:type="pct"/>
            <w:gridSpan w:val="4"/>
            <w:tcBorders>
              <w:top w:val="single" w:sz="4" w:space="0" w:color="000000"/>
              <w:bottom w:val="single" w:sz="4" w:space="0" w:color="000000"/>
            </w:tcBorders>
            <w:vAlign w:val="bottom"/>
          </w:tcPr>
          <w:p w14:paraId="6E204EC0" w14:textId="77777777" w:rsidR="000D5576" w:rsidRPr="0047058F" w:rsidRDefault="000D5576" w:rsidP="000D5576">
            <w:pPr>
              <w:pStyle w:val="TableText"/>
              <w:jc w:val="center"/>
              <w:rPr>
                <w:rFonts w:eastAsia="MS Mincho"/>
                <w:b/>
              </w:rPr>
            </w:pPr>
            <w:r w:rsidRPr="0047058F">
              <w:rPr>
                <w:rFonts w:eastAsia="MS Mincho"/>
                <w:b/>
              </w:rPr>
              <w:t>2015 Regular ADF</w:t>
            </w:r>
            <w:r w:rsidRPr="0047058F">
              <w:rPr>
                <w:rFonts w:eastAsia="MS Mincho"/>
                <w:b/>
              </w:rPr>
              <w:br/>
              <w:t>n = 559</w:t>
            </w:r>
          </w:p>
        </w:tc>
        <w:tc>
          <w:tcPr>
            <w:tcW w:w="1104" w:type="pct"/>
            <w:gridSpan w:val="4"/>
            <w:tcBorders>
              <w:top w:val="single" w:sz="4" w:space="0" w:color="000000"/>
              <w:bottom w:val="single" w:sz="4" w:space="0" w:color="000000"/>
            </w:tcBorders>
            <w:vAlign w:val="bottom"/>
          </w:tcPr>
          <w:p w14:paraId="687A0266" w14:textId="77777777" w:rsidR="000D5576" w:rsidRPr="0047058F" w:rsidRDefault="000D5576" w:rsidP="000D5576">
            <w:pPr>
              <w:pStyle w:val="TableText"/>
              <w:jc w:val="center"/>
              <w:rPr>
                <w:rFonts w:eastAsia="MS Mincho"/>
                <w:b/>
              </w:rPr>
            </w:pPr>
            <w:r w:rsidRPr="0047058F">
              <w:rPr>
                <w:rFonts w:eastAsia="MS Mincho"/>
                <w:b/>
              </w:rPr>
              <w:t>Total</w:t>
            </w:r>
            <w:r w:rsidRPr="0047058F">
              <w:rPr>
                <w:rFonts w:eastAsia="MS Mincho"/>
                <w:b/>
              </w:rPr>
              <w:br/>
              <w:t>n = 810</w:t>
            </w:r>
          </w:p>
        </w:tc>
      </w:tr>
      <w:tr w:rsidR="000D5576" w:rsidRPr="0047058F" w14:paraId="347367C6" w14:textId="77777777" w:rsidTr="000D5576">
        <w:trPr>
          <w:tblHeader/>
        </w:trPr>
        <w:tc>
          <w:tcPr>
            <w:tcW w:w="979" w:type="pct"/>
            <w:vMerge/>
          </w:tcPr>
          <w:p w14:paraId="3F9E567A" w14:textId="77777777" w:rsidR="000D5576" w:rsidRPr="0047058F" w:rsidRDefault="000D5576" w:rsidP="000D5576">
            <w:pPr>
              <w:pStyle w:val="TableText"/>
            </w:pPr>
          </w:p>
        </w:tc>
        <w:tc>
          <w:tcPr>
            <w:tcW w:w="621" w:type="pct"/>
            <w:gridSpan w:val="2"/>
            <w:vMerge/>
            <w:tcBorders>
              <w:top w:val="single" w:sz="4" w:space="0" w:color="000000"/>
              <w:bottom w:val="single" w:sz="4" w:space="0" w:color="000000"/>
            </w:tcBorders>
          </w:tcPr>
          <w:p w14:paraId="38686601" w14:textId="77777777" w:rsidR="000D5576" w:rsidRPr="0047058F" w:rsidRDefault="000D5576" w:rsidP="000D5576">
            <w:pPr>
              <w:pStyle w:val="TableText"/>
              <w:rPr>
                <w:rFonts w:eastAsia="MS Mincho"/>
                <w:b/>
              </w:rPr>
            </w:pPr>
          </w:p>
        </w:tc>
        <w:tc>
          <w:tcPr>
            <w:tcW w:w="567" w:type="pct"/>
            <w:gridSpan w:val="2"/>
            <w:tcBorders>
              <w:top w:val="single" w:sz="4" w:space="0" w:color="000000"/>
              <w:bottom w:val="single" w:sz="4" w:space="0" w:color="000000"/>
            </w:tcBorders>
          </w:tcPr>
          <w:p w14:paraId="181E0C7B" w14:textId="77777777" w:rsidR="000D5576" w:rsidRPr="0047058F" w:rsidRDefault="000D5576" w:rsidP="000D5576">
            <w:pPr>
              <w:pStyle w:val="TableText"/>
              <w:jc w:val="center"/>
              <w:rPr>
                <w:b/>
              </w:rPr>
            </w:pPr>
            <w:r w:rsidRPr="0047058F">
              <w:rPr>
                <w:rFonts w:eastAsia="MS Mincho"/>
                <w:b/>
              </w:rPr>
              <w:t>Disorder</w:t>
            </w:r>
          </w:p>
        </w:tc>
        <w:tc>
          <w:tcPr>
            <w:tcW w:w="567" w:type="pct"/>
            <w:gridSpan w:val="2"/>
            <w:tcBorders>
              <w:top w:val="single" w:sz="4" w:space="0" w:color="000000"/>
              <w:bottom w:val="single" w:sz="4" w:space="0" w:color="000000"/>
            </w:tcBorders>
          </w:tcPr>
          <w:p w14:paraId="53D19589" w14:textId="77777777" w:rsidR="000D5576" w:rsidRPr="0047058F" w:rsidRDefault="000D5576" w:rsidP="000D5576">
            <w:pPr>
              <w:pStyle w:val="TableText"/>
              <w:jc w:val="center"/>
              <w:rPr>
                <w:b/>
              </w:rPr>
            </w:pPr>
            <w:r w:rsidRPr="0047058F">
              <w:rPr>
                <w:rFonts w:eastAsia="MS Mincho"/>
                <w:b/>
              </w:rPr>
              <w:t>No disorder</w:t>
            </w:r>
          </w:p>
        </w:tc>
        <w:tc>
          <w:tcPr>
            <w:tcW w:w="569" w:type="pct"/>
            <w:gridSpan w:val="2"/>
            <w:tcBorders>
              <w:top w:val="single" w:sz="4" w:space="0" w:color="000000"/>
              <w:bottom w:val="single" w:sz="4" w:space="0" w:color="000000"/>
            </w:tcBorders>
          </w:tcPr>
          <w:p w14:paraId="2A629438" w14:textId="77777777" w:rsidR="000D5576" w:rsidRPr="0047058F" w:rsidRDefault="000D5576" w:rsidP="000D5576">
            <w:pPr>
              <w:pStyle w:val="TableText"/>
              <w:jc w:val="center"/>
              <w:rPr>
                <w:rFonts w:eastAsia="MS Mincho"/>
                <w:b/>
              </w:rPr>
            </w:pPr>
            <w:r w:rsidRPr="0047058F">
              <w:rPr>
                <w:rFonts w:eastAsia="MS Mincho"/>
                <w:b/>
              </w:rPr>
              <w:t>Disorder</w:t>
            </w:r>
          </w:p>
        </w:tc>
        <w:tc>
          <w:tcPr>
            <w:tcW w:w="593" w:type="pct"/>
            <w:gridSpan w:val="2"/>
            <w:tcBorders>
              <w:top w:val="single" w:sz="4" w:space="0" w:color="000000"/>
              <w:bottom w:val="single" w:sz="4" w:space="0" w:color="000000"/>
            </w:tcBorders>
          </w:tcPr>
          <w:p w14:paraId="22DCEDF4" w14:textId="77777777" w:rsidR="000D5576" w:rsidRPr="0047058F" w:rsidRDefault="000D5576" w:rsidP="000D5576">
            <w:pPr>
              <w:pStyle w:val="TableText"/>
              <w:jc w:val="center"/>
              <w:rPr>
                <w:rFonts w:eastAsia="MS Mincho"/>
                <w:b/>
              </w:rPr>
            </w:pPr>
            <w:r w:rsidRPr="0047058F">
              <w:rPr>
                <w:rFonts w:eastAsia="MS Mincho"/>
                <w:b/>
              </w:rPr>
              <w:t>No disorder</w:t>
            </w:r>
          </w:p>
        </w:tc>
        <w:tc>
          <w:tcPr>
            <w:tcW w:w="542" w:type="pct"/>
            <w:gridSpan w:val="2"/>
            <w:tcBorders>
              <w:top w:val="single" w:sz="4" w:space="0" w:color="000000"/>
              <w:bottom w:val="single" w:sz="4" w:space="0" w:color="000000"/>
            </w:tcBorders>
          </w:tcPr>
          <w:p w14:paraId="10A179AB" w14:textId="77777777" w:rsidR="000D5576" w:rsidRPr="0047058F" w:rsidRDefault="000D5576" w:rsidP="000D5576">
            <w:pPr>
              <w:pStyle w:val="TableText"/>
              <w:jc w:val="center"/>
              <w:rPr>
                <w:rFonts w:eastAsia="MS Mincho"/>
                <w:b/>
              </w:rPr>
            </w:pPr>
            <w:r w:rsidRPr="0047058F">
              <w:rPr>
                <w:rFonts w:eastAsia="MS Mincho"/>
                <w:b/>
              </w:rPr>
              <w:t>Disorder</w:t>
            </w:r>
          </w:p>
        </w:tc>
        <w:tc>
          <w:tcPr>
            <w:tcW w:w="562" w:type="pct"/>
            <w:gridSpan w:val="2"/>
            <w:tcBorders>
              <w:top w:val="single" w:sz="4" w:space="0" w:color="000000"/>
              <w:bottom w:val="single" w:sz="4" w:space="0" w:color="000000"/>
            </w:tcBorders>
          </w:tcPr>
          <w:p w14:paraId="1DC5484D" w14:textId="77777777" w:rsidR="000D5576" w:rsidRPr="0047058F" w:rsidRDefault="000D5576" w:rsidP="000D5576">
            <w:pPr>
              <w:pStyle w:val="TableText"/>
              <w:jc w:val="center"/>
              <w:rPr>
                <w:rFonts w:eastAsia="MS Mincho"/>
                <w:b/>
              </w:rPr>
            </w:pPr>
            <w:r w:rsidRPr="0047058F">
              <w:rPr>
                <w:rFonts w:eastAsia="MS Mincho"/>
                <w:b/>
              </w:rPr>
              <w:t>No disorder</w:t>
            </w:r>
          </w:p>
        </w:tc>
      </w:tr>
      <w:tr w:rsidR="000D5576" w:rsidRPr="0047058F" w14:paraId="4E3AF107" w14:textId="77777777" w:rsidTr="000D5576">
        <w:trPr>
          <w:tblHeader/>
        </w:trPr>
        <w:tc>
          <w:tcPr>
            <w:tcW w:w="979" w:type="pct"/>
            <w:vMerge/>
            <w:tcBorders>
              <w:bottom w:val="single" w:sz="4" w:space="0" w:color="000000"/>
            </w:tcBorders>
          </w:tcPr>
          <w:p w14:paraId="4A60DA71" w14:textId="77777777" w:rsidR="000D5576" w:rsidRPr="0047058F" w:rsidRDefault="000D5576" w:rsidP="000D5576">
            <w:pPr>
              <w:pStyle w:val="TableText"/>
              <w:rPr>
                <w:rFonts w:eastAsia="Times New Roman"/>
                <w:b/>
                <w:lang w:eastAsia="en-AU"/>
              </w:rPr>
            </w:pPr>
          </w:p>
        </w:tc>
        <w:tc>
          <w:tcPr>
            <w:tcW w:w="337" w:type="pct"/>
            <w:tcBorders>
              <w:top w:val="single" w:sz="4" w:space="0" w:color="000000"/>
              <w:bottom w:val="single" w:sz="4" w:space="0" w:color="000000"/>
            </w:tcBorders>
            <w:vAlign w:val="bottom"/>
          </w:tcPr>
          <w:p w14:paraId="00A8EDC8" w14:textId="77777777" w:rsidR="000D5576" w:rsidRPr="0047058F" w:rsidRDefault="000D5576" w:rsidP="00F77104">
            <w:pPr>
              <w:pStyle w:val="TableText"/>
              <w:rPr>
                <w:rFonts w:cs="Arial"/>
                <w:b/>
              </w:rPr>
            </w:pPr>
            <w:r w:rsidRPr="0047058F">
              <w:rPr>
                <w:rFonts w:cs="Arial"/>
                <w:b/>
              </w:rPr>
              <w:t>Met criteria</w:t>
            </w:r>
          </w:p>
        </w:tc>
        <w:tc>
          <w:tcPr>
            <w:tcW w:w="284" w:type="pct"/>
            <w:tcBorders>
              <w:top w:val="single" w:sz="4" w:space="0" w:color="000000"/>
              <w:bottom w:val="single" w:sz="4" w:space="0" w:color="000000"/>
            </w:tcBorders>
            <w:vAlign w:val="bottom"/>
          </w:tcPr>
          <w:p w14:paraId="6BB6C521" w14:textId="77777777" w:rsidR="000D5576" w:rsidRPr="0047058F" w:rsidRDefault="000D5576" w:rsidP="000D5576">
            <w:pPr>
              <w:pStyle w:val="TableText"/>
              <w:jc w:val="right"/>
              <w:rPr>
                <w:rFonts w:cs="Arial"/>
                <w:b/>
              </w:rPr>
            </w:pPr>
            <w:r w:rsidRPr="0047058F">
              <w:rPr>
                <w:rFonts w:cs="Arial"/>
                <w:b/>
              </w:rPr>
              <w:t>n</w:t>
            </w:r>
          </w:p>
        </w:tc>
        <w:tc>
          <w:tcPr>
            <w:tcW w:w="284" w:type="pct"/>
            <w:tcBorders>
              <w:top w:val="single" w:sz="4" w:space="0" w:color="000000"/>
              <w:bottom w:val="single" w:sz="4" w:space="0" w:color="000000"/>
            </w:tcBorders>
            <w:vAlign w:val="bottom"/>
          </w:tcPr>
          <w:p w14:paraId="5DB57B06" w14:textId="77777777" w:rsidR="000D5576" w:rsidRPr="0047058F" w:rsidRDefault="000D5576" w:rsidP="000D5576">
            <w:pPr>
              <w:pStyle w:val="TableText"/>
              <w:jc w:val="right"/>
              <w:rPr>
                <w:rFonts w:cs="Arial"/>
                <w:b/>
              </w:rPr>
            </w:pPr>
            <w:r w:rsidRPr="0047058F">
              <w:rPr>
                <w:rFonts w:cs="Arial"/>
                <w:b/>
              </w:rPr>
              <w:t>n</w:t>
            </w:r>
          </w:p>
        </w:tc>
        <w:tc>
          <w:tcPr>
            <w:tcW w:w="283" w:type="pct"/>
            <w:tcBorders>
              <w:top w:val="single" w:sz="4" w:space="0" w:color="000000"/>
              <w:bottom w:val="single" w:sz="4" w:space="0" w:color="000000"/>
            </w:tcBorders>
            <w:vAlign w:val="bottom"/>
          </w:tcPr>
          <w:p w14:paraId="163D7A1C" w14:textId="77777777" w:rsidR="000D5576" w:rsidRPr="0047058F" w:rsidRDefault="000D5576" w:rsidP="000D5576">
            <w:pPr>
              <w:pStyle w:val="TableText"/>
              <w:jc w:val="right"/>
              <w:rPr>
                <w:rFonts w:cs="Arial"/>
                <w:b/>
              </w:rPr>
            </w:pPr>
            <w:r w:rsidRPr="0047058F">
              <w:rPr>
                <w:rFonts w:cs="Arial"/>
                <w:b/>
              </w:rPr>
              <w:t>%</w:t>
            </w:r>
          </w:p>
        </w:tc>
        <w:tc>
          <w:tcPr>
            <w:tcW w:w="284" w:type="pct"/>
            <w:tcBorders>
              <w:top w:val="single" w:sz="4" w:space="0" w:color="000000"/>
              <w:bottom w:val="single" w:sz="4" w:space="0" w:color="000000"/>
            </w:tcBorders>
            <w:vAlign w:val="bottom"/>
          </w:tcPr>
          <w:p w14:paraId="4F825159" w14:textId="77777777" w:rsidR="000D5576" w:rsidRPr="0047058F" w:rsidRDefault="000D5576" w:rsidP="000D5576">
            <w:pPr>
              <w:pStyle w:val="TableText"/>
              <w:jc w:val="right"/>
              <w:rPr>
                <w:rFonts w:cs="Arial"/>
                <w:b/>
              </w:rPr>
            </w:pPr>
            <w:r w:rsidRPr="0047058F">
              <w:rPr>
                <w:rFonts w:cs="Arial"/>
                <w:b/>
              </w:rPr>
              <w:t>n</w:t>
            </w:r>
          </w:p>
        </w:tc>
        <w:tc>
          <w:tcPr>
            <w:tcW w:w="283" w:type="pct"/>
            <w:tcBorders>
              <w:top w:val="single" w:sz="4" w:space="0" w:color="000000"/>
              <w:bottom w:val="single" w:sz="4" w:space="0" w:color="000000"/>
            </w:tcBorders>
            <w:vAlign w:val="bottom"/>
          </w:tcPr>
          <w:p w14:paraId="5577A09E" w14:textId="77777777" w:rsidR="000D5576" w:rsidRPr="0047058F" w:rsidRDefault="000D5576" w:rsidP="000D5576">
            <w:pPr>
              <w:pStyle w:val="TableText"/>
              <w:jc w:val="right"/>
              <w:rPr>
                <w:rFonts w:cs="Arial"/>
                <w:b/>
              </w:rPr>
            </w:pPr>
            <w:r w:rsidRPr="0047058F">
              <w:rPr>
                <w:rFonts w:cs="Arial"/>
                <w:b/>
              </w:rPr>
              <w:t>%</w:t>
            </w:r>
          </w:p>
        </w:tc>
        <w:tc>
          <w:tcPr>
            <w:tcW w:w="286" w:type="pct"/>
            <w:tcBorders>
              <w:top w:val="single" w:sz="4" w:space="0" w:color="000000"/>
              <w:bottom w:val="single" w:sz="4" w:space="0" w:color="000000"/>
            </w:tcBorders>
            <w:vAlign w:val="bottom"/>
          </w:tcPr>
          <w:p w14:paraId="6959ACB4" w14:textId="77777777" w:rsidR="000D5576" w:rsidRPr="0047058F" w:rsidRDefault="000D5576" w:rsidP="000D5576">
            <w:pPr>
              <w:pStyle w:val="TableText"/>
              <w:jc w:val="right"/>
              <w:rPr>
                <w:rFonts w:cs="Arial"/>
                <w:b/>
              </w:rPr>
            </w:pPr>
            <w:r w:rsidRPr="0047058F">
              <w:rPr>
                <w:rFonts w:cs="Arial"/>
                <w:b/>
              </w:rPr>
              <w:t>n</w:t>
            </w:r>
          </w:p>
        </w:tc>
        <w:tc>
          <w:tcPr>
            <w:tcW w:w="283" w:type="pct"/>
            <w:tcBorders>
              <w:top w:val="single" w:sz="4" w:space="0" w:color="000000"/>
              <w:bottom w:val="single" w:sz="4" w:space="0" w:color="000000"/>
            </w:tcBorders>
            <w:vAlign w:val="bottom"/>
          </w:tcPr>
          <w:p w14:paraId="30437764" w14:textId="77777777" w:rsidR="000D5576" w:rsidRPr="0047058F" w:rsidRDefault="000D5576" w:rsidP="000D5576">
            <w:pPr>
              <w:pStyle w:val="TableText"/>
              <w:jc w:val="right"/>
              <w:rPr>
                <w:rFonts w:cs="Arial"/>
                <w:b/>
              </w:rPr>
            </w:pPr>
            <w:r w:rsidRPr="0047058F">
              <w:rPr>
                <w:rFonts w:cs="Arial"/>
                <w:b/>
              </w:rPr>
              <w:t>%</w:t>
            </w:r>
          </w:p>
        </w:tc>
        <w:tc>
          <w:tcPr>
            <w:tcW w:w="283" w:type="pct"/>
            <w:tcBorders>
              <w:top w:val="single" w:sz="4" w:space="0" w:color="000000"/>
              <w:bottom w:val="single" w:sz="4" w:space="0" w:color="000000"/>
            </w:tcBorders>
            <w:vAlign w:val="bottom"/>
          </w:tcPr>
          <w:p w14:paraId="274816CA" w14:textId="77777777" w:rsidR="000D5576" w:rsidRPr="0047058F" w:rsidRDefault="000D5576" w:rsidP="000D5576">
            <w:pPr>
              <w:pStyle w:val="TableText"/>
              <w:jc w:val="right"/>
              <w:rPr>
                <w:rFonts w:cs="Arial"/>
                <w:b/>
              </w:rPr>
            </w:pPr>
            <w:r w:rsidRPr="0047058F">
              <w:rPr>
                <w:rFonts w:cs="Arial"/>
                <w:b/>
              </w:rPr>
              <w:t>n</w:t>
            </w:r>
          </w:p>
        </w:tc>
        <w:tc>
          <w:tcPr>
            <w:tcW w:w="310" w:type="pct"/>
            <w:tcBorders>
              <w:top w:val="single" w:sz="4" w:space="0" w:color="000000"/>
              <w:bottom w:val="single" w:sz="4" w:space="0" w:color="000000"/>
            </w:tcBorders>
            <w:vAlign w:val="bottom"/>
          </w:tcPr>
          <w:p w14:paraId="139F0699" w14:textId="77777777" w:rsidR="000D5576" w:rsidRPr="0047058F" w:rsidRDefault="000D5576" w:rsidP="000D5576">
            <w:pPr>
              <w:pStyle w:val="TableText"/>
              <w:jc w:val="right"/>
              <w:rPr>
                <w:rFonts w:cs="Arial"/>
                <w:b/>
              </w:rPr>
            </w:pPr>
            <w:r w:rsidRPr="0047058F">
              <w:rPr>
                <w:rFonts w:cs="Arial"/>
                <w:b/>
              </w:rPr>
              <w:t>%</w:t>
            </w:r>
          </w:p>
        </w:tc>
        <w:tc>
          <w:tcPr>
            <w:tcW w:w="258" w:type="pct"/>
            <w:tcBorders>
              <w:top w:val="single" w:sz="4" w:space="0" w:color="000000"/>
              <w:bottom w:val="single" w:sz="4" w:space="0" w:color="000000"/>
            </w:tcBorders>
            <w:vAlign w:val="bottom"/>
          </w:tcPr>
          <w:p w14:paraId="56CCCC6F" w14:textId="77777777" w:rsidR="000D5576" w:rsidRPr="0047058F" w:rsidRDefault="000D5576" w:rsidP="000D5576">
            <w:pPr>
              <w:pStyle w:val="TableText"/>
              <w:jc w:val="right"/>
              <w:rPr>
                <w:rFonts w:cs="Arial"/>
                <w:b/>
              </w:rPr>
            </w:pPr>
            <w:r w:rsidRPr="0047058F">
              <w:rPr>
                <w:rFonts w:cs="Arial"/>
                <w:b/>
              </w:rPr>
              <w:t>n</w:t>
            </w:r>
          </w:p>
        </w:tc>
        <w:tc>
          <w:tcPr>
            <w:tcW w:w="284" w:type="pct"/>
            <w:tcBorders>
              <w:top w:val="single" w:sz="4" w:space="0" w:color="000000"/>
              <w:bottom w:val="single" w:sz="4" w:space="0" w:color="000000"/>
            </w:tcBorders>
            <w:vAlign w:val="bottom"/>
          </w:tcPr>
          <w:p w14:paraId="09CBA8A7" w14:textId="77777777" w:rsidR="000D5576" w:rsidRPr="0047058F" w:rsidRDefault="000D5576" w:rsidP="000D5576">
            <w:pPr>
              <w:pStyle w:val="TableText"/>
              <w:jc w:val="right"/>
              <w:rPr>
                <w:rFonts w:cs="Arial"/>
                <w:b/>
              </w:rPr>
            </w:pPr>
            <w:r w:rsidRPr="0047058F">
              <w:rPr>
                <w:rFonts w:cs="Arial"/>
                <w:b/>
              </w:rPr>
              <w:t>%</w:t>
            </w:r>
          </w:p>
        </w:tc>
        <w:tc>
          <w:tcPr>
            <w:tcW w:w="283" w:type="pct"/>
            <w:tcBorders>
              <w:top w:val="single" w:sz="4" w:space="0" w:color="000000"/>
              <w:bottom w:val="single" w:sz="4" w:space="0" w:color="000000"/>
            </w:tcBorders>
            <w:vAlign w:val="bottom"/>
          </w:tcPr>
          <w:p w14:paraId="6511B87A" w14:textId="77777777" w:rsidR="000D5576" w:rsidRPr="0047058F" w:rsidRDefault="000D5576" w:rsidP="000D5576">
            <w:pPr>
              <w:pStyle w:val="TableText"/>
              <w:jc w:val="right"/>
              <w:rPr>
                <w:rFonts w:cs="Arial"/>
                <w:b/>
              </w:rPr>
            </w:pPr>
            <w:r w:rsidRPr="0047058F">
              <w:rPr>
                <w:rFonts w:cs="Arial"/>
                <w:b/>
              </w:rPr>
              <w:t>n</w:t>
            </w:r>
          </w:p>
        </w:tc>
        <w:tc>
          <w:tcPr>
            <w:tcW w:w="279" w:type="pct"/>
            <w:tcBorders>
              <w:top w:val="single" w:sz="4" w:space="0" w:color="000000"/>
              <w:bottom w:val="single" w:sz="4" w:space="0" w:color="000000"/>
            </w:tcBorders>
            <w:vAlign w:val="bottom"/>
          </w:tcPr>
          <w:p w14:paraId="73DF07CB" w14:textId="77777777" w:rsidR="000D5576" w:rsidRPr="0047058F" w:rsidRDefault="000D5576" w:rsidP="000D5576">
            <w:pPr>
              <w:pStyle w:val="TableText"/>
              <w:jc w:val="right"/>
              <w:rPr>
                <w:rFonts w:cs="Arial"/>
                <w:b/>
              </w:rPr>
            </w:pPr>
            <w:r w:rsidRPr="0047058F">
              <w:rPr>
                <w:rFonts w:cs="Arial"/>
                <w:b/>
              </w:rPr>
              <w:t>%</w:t>
            </w:r>
          </w:p>
        </w:tc>
      </w:tr>
      <w:tr w:rsidR="00A340EE" w:rsidRPr="0047058F" w14:paraId="008C1FF6"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single" w:sz="4" w:space="0" w:color="000000"/>
              <w:bottom w:val="nil"/>
            </w:tcBorders>
          </w:tcPr>
          <w:p w14:paraId="463D842A" w14:textId="77777777" w:rsidR="00A340EE" w:rsidRPr="0047058F" w:rsidRDefault="00A340EE" w:rsidP="000D5576">
            <w:pPr>
              <w:pStyle w:val="TableText"/>
              <w:rPr>
                <w:rFonts w:cs="Calibri"/>
                <w:szCs w:val="14"/>
              </w:rPr>
            </w:pPr>
            <w:r w:rsidRPr="0047058F">
              <w:rPr>
                <w:rFonts w:cs="Calibri"/>
                <w:szCs w:val="14"/>
              </w:rPr>
              <w:t>Any anxiety disorder</w:t>
            </w:r>
          </w:p>
        </w:tc>
        <w:tc>
          <w:tcPr>
            <w:tcW w:w="337" w:type="pct"/>
            <w:tcBorders>
              <w:top w:val="single" w:sz="4" w:space="0" w:color="000000"/>
              <w:bottom w:val="nil"/>
            </w:tcBorders>
          </w:tcPr>
          <w:p w14:paraId="41042B4E" w14:textId="77777777" w:rsidR="00A340EE" w:rsidRPr="0047058F" w:rsidRDefault="00A340EE" w:rsidP="00F77104">
            <w:pPr>
              <w:pStyle w:val="TableText"/>
            </w:pPr>
            <w:r w:rsidRPr="0047058F">
              <w:t>No</w:t>
            </w:r>
          </w:p>
        </w:tc>
        <w:tc>
          <w:tcPr>
            <w:tcW w:w="284" w:type="pct"/>
            <w:tcBorders>
              <w:top w:val="single" w:sz="4" w:space="0" w:color="000000"/>
              <w:bottom w:val="nil"/>
            </w:tcBorders>
          </w:tcPr>
          <w:p w14:paraId="57FE2654" w14:textId="77777777" w:rsidR="00A340EE" w:rsidRPr="0047058F" w:rsidRDefault="00A340EE" w:rsidP="000D5576">
            <w:pPr>
              <w:pStyle w:val="TableText"/>
              <w:jc w:val="right"/>
              <w:rPr>
                <w:rFonts w:eastAsia="Times New Roman" w:cs="Arial"/>
              </w:rPr>
            </w:pPr>
            <w:r w:rsidRPr="0047058F">
              <w:rPr>
                <w:rFonts w:eastAsia="Times New Roman" w:cs="Arial"/>
              </w:rPr>
              <w:t>553</w:t>
            </w:r>
          </w:p>
        </w:tc>
        <w:tc>
          <w:tcPr>
            <w:tcW w:w="284" w:type="pct"/>
            <w:tcBorders>
              <w:top w:val="single" w:sz="4" w:space="0" w:color="000000"/>
              <w:bottom w:val="nil"/>
            </w:tcBorders>
          </w:tcPr>
          <w:p w14:paraId="4C1139EF" w14:textId="77777777" w:rsidR="00A340EE" w:rsidRPr="0047058F" w:rsidRDefault="00A340EE" w:rsidP="000D5576">
            <w:pPr>
              <w:pStyle w:val="TableText"/>
              <w:jc w:val="right"/>
            </w:pPr>
            <w:r w:rsidRPr="0047058F">
              <w:rPr>
                <w:rFonts w:eastAsia="Times New Roman" w:cs="Arial"/>
              </w:rPr>
              <w:t>36</w:t>
            </w:r>
          </w:p>
        </w:tc>
        <w:tc>
          <w:tcPr>
            <w:tcW w:w="283" w:type="pct"/>
            <w:tcBorders>
              <w:top w:val="single" w:sz="4" w:space="0" w:color="000000"/>
              <w:bottom w:val="nil"/>
            </w:tcBorders>
          </w:tcPr>
          <w:p w14:paraId="4BE8625C" w14:textId="77777777" w:rsidR="00A340EE" w:rsidRPr="0047058F" w:rsidRDefault="00A340EE" w:rsidP="000D5576">
            <w:pPr>
              <w:pStyle w:val="TableText"/>
              <w:jc w:val="right"/>
            </w:pPr>
            <w:r w:rsidRPr="0047058F">
              <w:rPr>
                <w:rFonts w:eastAsia="Times New Roman" w:cs="Arial"/>
              </w:rPr>
              <w:t>22.4</w:t>
            </w:r>
          </w:p>
        </w:tc>
        <w:tc>
          <w:tcPr>
            <w:tcW w:w="284" w:type="pct"/>
            <w:tcBorders>
              <w:top w:val="single" w:sz="4" w:space="0" w:color="000000"/>
              <w:bottom w:val="nil"/>
            </w:tcBorders>
          </w:tcPr>
          <w:p w14:paraId="2D1249C7" w14:textId="77777777" w:rsidR="00A340EE" w:rsidRPr="0047058F" w:rsidRDefault="00A340EE" w:rsidP="000D5576">
            <w:pPr>
              <w:pStyle w:val="TableText"/>
              <w:jc w:val="right"/>
            </w:pPr>
            <w:r w:rsidRPr="0047058F">
              <w:rPr>
                <w:rFonts w:eastAsia="Times New Roman" w:cs="Arial"/>
              </w:rPr>
              <w:t>125</w:t>
            </w:r>
          </w:p>
        </w:tc>
        <w:tc>
          <w:tcPr>
            <w:tcW w:w="283" w:type="pct"/>
            <w:tcBorders>
              <w:top w:val="single" w:sz="4" w:space="0" w:color="000000"/>
              <w:bottom w:val="nil"/>
            </w:tcBorders>
          </w:tcPr>
          <w:p w14:paraId="31A50F6A" w14:textId="77777777" w:rsidR="00A340EE" w:rsidRPr="0047058F" w:rsidRDefault="00A340EE" w:rsidP="000D5576">
            <w:pPr>
              <w:pStyle w:val="TableText"/>
              <w:jc w:val="right"/>
            </w:pPr>
            <w:r w:rsidRPr="0047058F">
              <w:rPr>
                <w:rFonts w:eastAsia="Times New Roman" w:cs="Arial"/>
              </w:rPr>
              <w:t>77.6</w:t>
            </w:r>
          </w:p>
        </w:tc>
        <w:tc>
          <w:tcPr>
            <w:tcW w:w="286" w:type="pct"/>
            <w:tcBorders>
              <w:top w:val="single" w:sz="4" w:space="0" w:color="000000"/>
              <w:bottom w:val="nil"/>
            </w:tcBorders>
          </w:tcPr>
          <w:p w14:paraId="244D3139" w14:textId="77777777" w:rsidR="00A340EE" w:rsidRPr="0047058F" w:rsidRDefault="00A340EE" w:rsidP="000D5576">
            <w:pPr>
              <w:pStyle w:val="TableText"/>
              <w:jc w:val="right"/>
            </w:pPr>
            <w:r w:rsidRPr="0047058F">
              <w:rPr>
                <w:rFonts w:eastAsia="Times New Roman" w:cs="Arial"/>
              </w:rPr>
              <w:t>94</w:t>
            </w:r>
          </w:p>
        </w:tc>
        <w:tc>
          <w:tcPr>
            <w:tcW w:w="283" w:type="pct"/>
            <w:tcBorders>
              <w:top w:val="single" w:sz="4" w:space="0" w:color="000000"/>
              <w:bottom w:val="nil"/>
            </w:tcBorders>
          </w:tcPr>
          <w:p w14:paraId="406617C5" w14:textId="77777777" w:rsidR="00A340EE" w:rsidRPr="0047058F" w:rsidRDefault="00A340EE" w:rsidP="000D5576">
            <w:pPr>
              <w:pStyle w:val="TableText"/>
              <w:jc w:val="right"/>
            </w:pPr>
            <w:r w:rsidRPr="0047058F">
              <w:rPr>
                <w:rFonts w:eastAsia="Times New Roman" w:cs="Arial"/>
              </w:rPr>
              <w:t>24.0</w:t>
            </w:r>
          </w:p>
        </w:tc>
        <w:tc>
          <w:tcPr>
            <w:tcW w:w="283" w:type="pct"/>
            <w:tcBorders>
              <w:top w:val="single" w:sz="4" w:space="0" w:color="000000"/>
              <w:bottom w:val="nil"/>
            </w:tcBorders>
          </w:tcPr>
          <w:p w14:paraId="27AAC605" w14:textId="77777777" w:rsidR="00A340EE" w:rsidRPr="0047058F" w:rsidRDefault="00A340EE" w:rsidP="000D5576">
            <w:pPr>
              <w:pStyle w:val="TableText"/>
              <w:jc w:val="right"/>
            </w:pPr>
            <w:r w:rsidRPr="0047058F">
              <w:rPr>
                <w:rFonts w:eastAsia="Times New Roman" w:cs="Arial"/>
              </w:rPr>
              <w:t>298</w:t>
            </w:r>
          </w:p>
        </w:tc>
        <w:tc>
          <w:tcPr>
            <w:tcW w:w="310" w:type="pct"/>
            <w:tcBorders>
              <w:top w:val="single" w:sz="4" w:space="0" w:color="000000"/>
              <w:bottom w:val="nil"/>
            </w:tcBorders>
          </w:tcPr>
          <w:p w14:paraId="5D7B8568" w14:textId="77777777" w:rsidR="00A340EE" w:rsidRPr="0047058F" w:rsidRDefault="00A340EE" w:rsidP="000D5576">
            <w:pPr>
              <w:pStyle w:val="TableText"/>
              <w:jc w:val="right"/>
            </w:pPr>
            <w:r w:rsidRPr="0047058F">
              <w:rPr>
                <w:rFonts w:eastAsia="Times New Roman" w:cs="Arial"/>
              </w:rPr>
              <w:t>76.0</w:t>
            </w:r>
          </w:p>
        </w:tc>
        <w:tc>
          <w:tcPr>
            <w:tcW w:w="258" w:type="pct"/>
            <w:tcBorders>
              <w:top w:val="single" w:sz="4" w:space="0" w:color="000000"/>
              <w:bottom w:val="nil"/>
            </w:tcBorders>
          </w:tcPr>
          <w:p w14:paraId="66B9CD95" w14:textId="77777777" w:rsidR="00A340EE" w:rsidRPr="0047058F" w:rsidRDefault="00A340EE" w:rsidP="000D5576">
            <w:pPr>
              <w:pStyle w:val="TableText"/>
              <w:jc w:val="right"/>
            </w:pPr>
            <w:r w:rsidRPr="0047058F">
              <w:rPr>
                <w:rFonts w:eastAsia="Times New Roman" w:cs="Arial"/>
              </w:rPr>
              <w:t>130</w:t>
            </w:r>
          </w:p>
        </w:tc>
        <w:tc>
          <w:tcPr>
            <w:tcW w:w="284" w:type="pct"/>
            <w:tcBorders>
              <w:top w:val="single" w:sz="4" w:space="0" w:color="000000"/>
              <w:bottom w:val="nil"/>
            </w:tcBorders>
          </w:tcPr>
          <w:p w14:paraId="0110AF10" w14:textId="77777777" w:rsidR="00A340EE" w:rsidRPr="0047058F" w:rsidRDefault="00A340EE" w:rsidP="000D5576">
            <w:pPr>
              <w:pStyle w:val="TableText"/>
              <w:jc w:val="right"/>
            </w:pPr>
            <w:r w:rsidRPr="0047058F">
              <w:rPr>
                <w:rFonts w:eastAsia="Times New Roman" w:cs="Arial"/>
              </w:rPr>
              <w:t>23.5</w:t>
            </w:r>
          </w:p>
        </w:tc>
        <w:tc>
          <w:tcPr>
            <w:tcW w:w="283" w:type="pct"/>
            <w:tcBorders>
              <w:top w:val="single" w:sz="4" w:space="0" w:color="000000"/>
              <w:bottom w:val="nil"/>
            </w:tcBorders>
          </w:tcPr>
          <w:p w14:paraId="7818BBCC" w14:textId="77777777" w:rsidR="00A340EE" w:rsidRPr="0047058F" w:rsidRDefault="00A340EE" w:rsidP="000D5576">
            <w:pPr>
              <w:pStyle w:val="TableText"/>
              <w:jc w:val="right"/>
            </w:pPr>
            <w:r w:rsidRPr="0047058F">
              <w:rPr>
                <w:rFonts w:eastAsia="Times New Roman" w:cs="Arial"/>
              </w:rPr>
              <w:t>423</w:t>
            </w:r>
          </w:p>
        </w:tc>
        <w:tc>
          <w:tcPr>
            <w:tcW w:w="279" w:type="pct"/>
            <w:tcBorders>
              <w:top w:val="single" w:sz="4" w:space="0" w:color="000000"/>
              <w:bottom w:val="nil"/>
            </w:tcBorders>
          </w:tcPr>
          <w:p w14:paraId="67E969C9" w14:textId="77777777" w:rsidR="00A340EE" w:rsidRPr="0047058F" w:rsidRDefault="00A340EE" w:rsidP="000D5576">
            <w:pPr>
              <w:pStyle w:val="TableText"/>
              <w:jc w:val="right"/>
            </w:pPr>
            <w:r w:rsidRPr="0047058F">
              <w:rPr>
                <w:rFonts w:eastAsia="Times New Roman" w:cs="Arial"/>
              </w:rPr>
              <w:t>76.5</w:t>
            </w:r>
          </w:p>
        </w:tc>
      </w:tr>
      <w:tr w:rsidR="003876A3" w:rsidRPr="0047058F" w14:paraId="600A651B" w14:textId="77777777" w:rsidTr="000D5576">
        <w:tc>
          <w:tcPr>
            <w:tcW w:w="979" w:type="pct"/>
            <w:vMerge/>
            <w:tcBorders>
              <w:top w:val="nil"/>
              <w:bottom w:val="nil"/>
            </w:tcBorders>
            <w:shd w:val="clear" w:color="auto" w:fill="C1D9FF"/>
          </w:tcPr>
          <w:p w14:paraId="1AB2CEFA"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58BAFF8C"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18EA8214" w14:textId="77777777" w:rsidR="00A340EE" w:rsidRPr="0047058F" w:rsidRDefault="00A340EE" w:rsidP="000D5576">
            <w:pPr>
              <w:pStyle w:val="TableText"/>
              <w:jc w:val="right"/>
            </w:pPr>
            <w:r w:rsidRPr="0047058F">
              <w:t>267</w:t>
            </w:r>
          </w:p>
        </w:tc>
        <w:tc>
          <w:tcPr>
            <w:tcW w:w="284" w:type="pct"/>
            <w:tcBorders>
              <w:top w:val="nil"/>
              <w:bottom w:val="nil"/>
            </w:tcBorders>
            <w:shd w:val="clear" w:color="auto" w:fill="C1D9FF"/>
          </w:tcPr>
          <w:p w14:paraId="778CFDBF" w14:textId="77777777" w:rsidR="00A340EE" w:rsidRPr="0047058F" w:rsidRDefault="00A340EE" w:rsidP="000D5576">
            <w:pPr>
              <w:pStyle w:val="TableText"/>
              <w:jc w:val="right"/>
            </w:pPr>
            <w:r w:rsidRPr="0047058F">
              <w:rPr>
                <w:rFonts w:eastAsia="Times New Roman" w:cs="Arial"/>
              </w:rPr>
              <w:t>75</w:t>
            </w:r>
          </w:p>
        </w:tc>
        <w:tc>
          <w:tcPr>
            <w:tcW w:w="283" w:type="pct"/>
            <w:tcBorders>
              <w:top w:val="nil"/>
              <w:bottom w:val="nil"/>
            </w:tcBorders>
            <w:shd w:val="clear" w:color="auto" w:fill="C1D9FF"/>
          </w:tcPr>
          <w:p w14:paraId="76EF8956" w14:textId="77777777" w:rsidR="00A340EE" w:rsidRPr="0047058F" w:rsidRDefault="00A340EE" w:rsidP="000D5576">
            <w:pPr>
              <w:pStyle w:val="TableText"/>
              <w:jc w:val="right"/>
            </w:pPr>
            <w:r w:rsidRPr="0047058F">
              <w:rPr>
                <w:rFonts w:eastAsia="Times New Roman" w:cs="Arial"/>
              </w:rPr>
              <w:t>75.0</w:t>
            </w:r>
          </w:p>
        </w:tc>
        <w:tc>
          <w:tcPr>
            <w:tcW w:w="284" w:type="pct"/>
            <w:tcBorders>
              <w:top w:val="nil"/>
              <w:bottom w:val="nil"/>
            </w:tcBorders>
            <w:shd w:val="clear" w:color="auto" w:fill="C1D9FF"/>
          </w:tcPr>
          <w:p w14:paraId="5E74994F" w14:textId="77777777" w:rsidR="00A340EE" w:rsidRPr="0047058F" w:rsidRDefault="00A340EE" w:rsidP="000D5576">
            <w:pPr>
              <w:pStyle w:val="TableText"/>
              <w:jc w:val="right"/>
            </w:pPr>
            <w:r w:rsidRPr="0047058F">
              <w:rPr>
                <w:rFonts w:eastAsia="Times New Roman" w:cs="Arial"/>
              </w:rPr>
              <w:t>25</w:t>
            </w:r>
          </w:p>
        </w:tc>
        <w:tc>
          <w:tcPr>
            <w:tcW w:w="283" w:type="pct"/>
            <w:tcBorders>
              <w:top w:val="nil"/>
              <w:bottom w:val="nil"/>
            </w:tcBorders>
            <w:shd w:val="clear" w:color="auto" w:fill="C1D9FF"/>
          </w:tcPr>
          <w:p w14:paraId="3A2A4949" w14:textId="77777777" w:rsidR="00A340EE" w:rsidRPr="0047058F" w:rsidRDefault="00A340EE" w:rsidP="000D5576">
            <w:pPr>
              <w:pStyle w:val="TableText"/>
              <w:jc w:val="right"/>
            </w:pPr>
            <w:r w:rsidRPr="0047058F">
              <w:rPr>
                <w:rFonts w:eastAsia="Times New Roman" w:cs="Arial"/>
              </w:rPr>
              <w:t>25.0</w:t>
            </w:r>
          </w:p>
        </w:tc>
        <w:tc>
          <w:tcPr>
            <w:tcW w:w="286" w:type="pct"/>
            <w:tcBorders>
              <w:top w:val="nil"/>
              <w:bottom w:val="nil"/>
            </w:tcBorders>
            <w:shd w:val="clear" w:color="auto" w:fill="C1D9FF"/>
          </w:tcPr>
          <w:p w14:paraId="034A4A58" w14:textId="77777777" w:rsidR="00A340EE" w:rsidRPr="0047058F" w:rsidRDefault="00A340EE" w:rsidP="000D5576">
            <w:pPr>
              <w:pStyle w:val="TableText"/>
              <w:jc w:val="right"/>
            </w:pPr>
            <w:r w:rsidRPr="0047058F">
              <w:rPr>
                <w:rFonts w:eastAsia="Times New Roman" w:cs="Arial"/>
              </w:rPr>
              <w:t>105</w:t>
            </w:r>
          </w:p>
        </w:tc>
        <w:tc>
          <w:tcPr>
            <w:tcW w:w="283" w:type="pct"/>
            <w:tcBorders>
              <w:top w:val="nil"/>
              <w:bottom w:val="nil"/>
            </w:tcBorders>
            <w:shd w:val="clear" w:color="auto" w:fill="C1D9FF"/>
          </w:tcPr>
          <w:p w14:paraId="5412B6C2" w14:textId="77777777" w:rsidR="00A340EE" w:rsidRPr="0047058F" w:rsidRDefault="00A340EE" w:rsidP="000D5576">
            <w:pPr>
              <w:pStyle w:val="TableText"/>
              <w:jc w:val="right"/>
            </w:pPr>
            <w:r w:rsidRPr="0047058F">
              <w:rPr>
                <w:rFonts w:eastAsia="Times New Roman" w:cs="Arial"/>
              </w:rPr>
              <w:t>62.9</w:t>
            </w:r>
          </w:p>
        </w:tc>
        <w:tc>
          <w:tcPr>
            <w:tcW w:w="283" w:type="pct"/>
            <w:tcBorders>
              <w:top w:val="nil"/>
              <w:bottom w:val="nil"/>
            </w:tcBorders>
            <w:shd w:val="clear" w:color="auto" w:fill="C1D9FF"/>
          </w:tcPr>
          <w:p w14:paraId="6CFA116F" w14:textId="77777777" w:rsidR="00A340EE" w:rsidRPr="0047058F" w:rsidRDefault="00A340EE" w:rsidP="000D5576">
            <w:pPr>
              <w:pStyle w:val="TableText"/>
              <w:jc w:val="right"/>
            </w:pPr>
            <w:r w:rsidRPr="0047058F">
              <w:rPr>
                <w:rFonts w:eastAsia="Times New Roman" w:cs="Arial"/>
              </w:rPr>
              <w:t>62</w:t>
            </w:r>
          </w:p>
        </w:tc>
        <w:tc>
          <w:tcPr>
            <w:tcW w:w="310" w:type="pct"/>
            <w:tcBorders>
              <w:top w:val="nil"/>
              <w:bottom w:val="nil"/>
            </w:tcBorders>
            <w:shd w:val="clear" w:color="auto" w:fill="C1D9FF"/>
          </w:tcPr>
          <w:p w14:paraId="507BC1D0" w14:textId="77777777" w:rsidR="00A340EE" w:rsidRPr="0047058F" w:rsidRDefault="00A340EE" w:rsidP="000D5576">
            <w:pPr>
              <w:pStyle w:val="TableText"/>
              <w:jc w:val="right"/>
            </w:pPr>
            <w:r w:rsidRPr="0047058F">
              <w:rPr>
                <w:rFonts w:eastAsia="Times New Roman" w:cs="Arial"/>
              </w:rPr>
              <w:t>37.1</w:t>
            </w:r>
          </w:p>
        </w:tc>
        <w:tc>
          <w:tcPr>
            <w:tcW w:w="258" w:type="pct"/>
            <w:tcBorders>
              <w:top w:val="nil"/>
              <w:bottom w:val="nil"/>
            </w:tcBorders>
            <w:shd w:val="clear" w:color="auto" w:fill="C1D9FF"/>
          </w:tcPr>
          <w:p w14:paraId="36C73762" w14:textId="77777777" w:rsidR="00A340EE" w:rsidRPr="0047058F" w:rsidRDefault="00A340EE" w:rsidP="000D5576">
            <w:pPr>
              <w:pStyle w:val="TableText"/>
              <w:jc w:val="right"/>
            </w:pPr>
            <w:r w:rsidRPr="0047058F">
              <w:rPr>
                <w:rFonts w:eastAsia="Times New Roman" w:cs="Arial"/>
              </w:rPr>
              <w:t>180</w:t>
            </w:r>
          </w:p>
        </w:tc>
        <w:tc>
          <w:tcPr>
            <w:tcW w:w="284" w:type="pct"/>
            <w:tcBorders>
              <w:top w:val="nil"/>
              <w:bottom w:val="nil"/>
            </w:tcBorders>
            <w:shd w:val="clear" w:color="auto" w:fill="C1D9FF"/>
          </w:tcPr>
          <w:p w14:paraId="13A476E2" w14:textId="77777777" w:rsidR="00A340EE" w:rsidRPr="0047058F" w:rsidRDefault="00A340EE" w:rsidP="000D5576">
            <w:pPr>
              <w:pStyle w:val="TableText"/>
              <w:jc w:val="right"/>
            </w:pPr>
            <w:r w:rsidRPr="0047058F">
              <w:rPr>
                <w:rFonts w:eastAsia="Times New Roman" w:cs="Arial"/>
              </w:rPr>
              <w:t>67.4</w:t>
            </w:r>
          </w:p>
        </w:tc>
        <w:tc>
          <w:tcPr>
            <w:tcW w:w="283" w:type="pct"/>
            <w:tcBorders>
              <w:top w:val="nil"/>
              <w:bottom w:val="nil"/>
            </w:tcBorders>
            <w:shd w:val="clear" w:color="auto" w:fill="C1D9FF"/>
          </w:tcPr>
          <w:p w14:paraId="27716C22" w14:textId="77777777" w:rsidR="00A340EE" w:rsidRPr="0047058F" w:rsidRDefault="00A340EE" w:rsidP="000D5576">
            <w:pPr>
              <w:pStyle w:val="TableText"/>
              <w:jc w:val="right"/>
            </w:pPr>
            <w:r w:rsidRPr="0047058F">
              <w:rPr>
                <w:rFonts w:eastAsia="Times New Roman" w:cs="Arial"/>
              </w:rPr>
              <w:t>87</w:t>
            </w:r>
          </w:p>
        </w:tc>
        <w:tc>
          <w:tcPr>
            <w:tcW w:w="279" w:type="pct"/>
            <w:tcBorders>
              <w:top w:val="nil"/>
              <w:bottom w:val="nil"/>
            </w:tcBorders>
            <w:shd w:val="clear" w:color="auto" w:fill="C1D9FF"/>
          </w:tcPr>
          <w:p w14:paraId="454E1863" w14:textId="77777777" w:rsidR="00A340EE" w:rsidRPr="0047058F" w:rsidRDefault="00A340EE" w:rsidP="000D5576">
            <w:pPr>
              <w:pStyle w:val="TableText"/>
              <w:jc w:val="right"/>
            </w:pPr>
            <w:r w:rsidRPr="0047058F">
              <w:rPr>
                <w:rFonts w:eastAsia="Times New Roman" w:cs="Arial"/>
              </w:rPr>
              <w:t>32.6</w:t>
            </w:r>
          </w:p>
        </w:tc>
      </w:tr>
      <w:tr w:rsidR="000D5576" w:rsidRPr="0047058F" w14:paraId="3D0C2150"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09D5A02B" w14:textId="77777777" w:rsidR="00A340EE" w:rsidRPr="0047058F" w:rsidRDefault="00A340EE" w:rsidP="000D5576">
            <w:pPr>
              <w:pStyle w:val="TableText"/>
              <w:rPr>
                <w:rFonts w:cs="Calibri"/>
                <w:szCs w:val="14"/>
              </w:rPr>
            </w:pPr>
            <w:r w:rsidRPr="0047058F">
              <w:rPr>
                <w:rFonts w:cs="Calibri"/>
                <w:szCs w:val="14"/>
              </w:rPr>
              <w:t>Panic attack</w:t>
            </w:r>
          </w:p>
        </w:tc>
        <w:tc>
          <w:tcPr>
            <w:tcW w:w="337" w:type="pct"/>
            <w:tcBorders>
              <w:top w:val="nil"/>
              <w:bottom w:val="nil"/>
            </w:tcBorders>
            <w:shd w:val="clear" w:color="auto" w:fill="auto"/>
          </w:tcPr>
          <w:p w14:paraId="636E3F8D"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1788EB54" w14:textId="77777777" w:rsidR="00A340EE" w:rsidRPr="0047058F" w:rsidRDefault="00A340EE" w:rsidP="000D5576">
            <w:pPr>
              <w:pStyle w:val="TableText"/>
              <w:jc w:val="right"/>
            </w:pPr>
            <w:r w:rsidRPr="0047058F">
              <w:t>707</w:t>
            </w:r>
          </w:p>
        </w:tc>
        <w:tc>
          <w:tcPr>
            <w:tcW w:w="284" w:type="pct"/>
            <w:tcBorders>
              <w:top w:val="nil"/>
              <w:bottom w:val="nil"/>
            </w:tcBorders>
            <w:shd w:val="clear" w:color="auto" w:fill="auto"/>
          </w:tcPr>
          <w:p w14:paraId="7AB8A697" w14:textId="77777777" w:rsidR="00A340EE" w:rsidRPr="0047058F" w:rsidRDefault="00A340EE" w:rsidP="000D5576">
            <w:pPr>
              <w:pStyle w:val="TableText"/>
              <w:jc w:val="right"/>
            </w:pPr>
            <w:r w:rsidRPr="0047058F">
              <w:rPr>
                <w:rFonts w:eastAsia="Times New Roman" w:cs="Arial"/>
              </w:rPr>
              <w:t>25</w:t>
            </w:r>
          </w:p>
        </w:tc>
        <w:tc>
          <w:tcPr>
            <w:tcW w:w="283" w:type="pct"/>
            <w:tcBorders>
              <w:top w:val="nil"/>
              <w:bottom w:val="nil"/>
            </w:tcBorders>
            <w:shd w:val="clear" w:color="auto" w:fill="auto"/>
          </w:tcPr>
          <w:p w14:paraId="18DBEE16" w14:textId="77777777" w:rsidR="00A340EE" w:rsidRPr="0047058F" w:rsidRDefault="00A340EE" w:rsidP="000D5576">
            <w:pPr>
              <w:pStyle w:val="TableText"/>
              <w:jc w:val="right"/>
            </w:pPr>
            <w:r w:rsidRPr="0047058F">
              <w:rPr>
                <w:rFonts w:eastAsia="Times New Roman" w:cs="Arial"/>
              </w:rPr>
              <w:t>11.5</w:t>
            </w:r>
          </w:p>
        </w:tc>
        <w:tc>
          <w:tcPr>
            <w:tcW w:w="284" w:type="pct"/>
            <w:tcBorders>
              <w:top w:val="nil"/>
              <w:bottom w:val="nil"/>
            </w:tcBorders>
            <w:shd w:val="clear" w:color="auto" w:fill="auto"/>
          </w:tcPr>
          <w:p w14:paraId="484985F4" w14:textId="77777777" w:rsidR="00A340EE" w:rsidRPr="0047058F" w:rsidRDefault="00A340EE" w:rsidP="000D5576">
            <w:pPr>
              <w:pStyle w:val="TableText"/>
              <w:jc w:val="right"/>
            </w:pPr>
            <w:r w:rsidRPr="0047058F">
              <w:rPr>
                <w:rFonts w:eastAsia="Times New Roman" w:cs="Arial"/>
              </w:rPr>
              <w:t>192</w:t>
            </w:r>
          </w:p>
        </w:tc>
        <w:tc>
          <w:tcPr>
            <w:tcW w:w="283" w:type="pct"/>
            <w:tcBorders>
              <w:top w:val="nil"/>
              <w:bottom w:val="nil"/>
            </w:tcBorders>
            <w:shd w:val="clear" w:color="auto" w:fill="auto"/>
          </w:tcPr>
          <w:p w14:paraId="47A4B1D0" w14:textId="77777777" w:rsidR="00A340EE" w:rsidRPr="0047058F" w:rsidRDefault="00A340EE" w:rsidP="000D5576">
            <w:pPr>
              <w:pStyle w:val="TableText"/>
              <w:jc w:val="right"/>
            </w:pPr>
            <w:r w:rsidRPr="0047058F">
              <w:rPr>
                <w:rFonts w:eastAsia="Times New Roman" w:cs="Arial"/>
              </w:rPr>
              <w:t>88.5</w:t>
            </w:r>
          </w:p>
        </w:tc>
        <w:tc>
          <w:tcPr>
            <w:tcW w:w="286" w:type="pct"/>
            <w:tcBorders>
              <w:top w:val="nil"/>
              <w:bottom w:val="nil"/>
            </w:tcBorders>
            <w:shd w:val="clear" w:color="auto" w:fill="auto"/>
          </w:tcPr>
          <w:p w14:paraId="1446600B" w14:textId="77777777" w:rsidR="00A340EE" w:rsidRPr="0047058F" w:rsidRDefault="00A340EE" w:rsidP="000D5576">
            <w:pPr>
              <w:pStyle w:val="TableText"/>
              <w:jc w:val="right"/>
            </w:pPr>
            <w:r w:rsidRPr="0047058F">
              <w:rPr>
                <w:rFonts w:eastAsia="Times New Roman" w:cs="Arial"/>
              </w:rPr>
              <w:t>63</w:t>
            </w:r>
          </w:p>
        </w:tc>
        <w:tc>
          <w:tcPr>
            <w:tcW w:w="283" w:type="pct"/>
            <w:tcBorders>
              <w:top w:val="nil"/>
              <w:bottom w:val="nil"/>
            </w:tcBorders>
            <w:shd w:val="clear" w:color="auto" w:fill="auto"/>
          </w:tcPr>
          <w:p w14:paraId="6ADF338D" w14:textId="77777777" w:rsidR="00A340EE" w:rsidRPr="0047058F" w:rsidRDefault="00A340EE" w:rsidP="000D5576">
            <w:pPr>
              <w:pStyle w:val="TableText"/>
              <w:jc w:val="right"/>
            </w:pPr>
            <w:r w:rsidRPr="0047058F">
              <w:rPr>
                <w:rFonts w:eastAsia="Times New Roman" w:cs="Arial"/>
              </w:rPr>
              <w:t>12.9</w:t>
            </w:r>
          </w:p>
        </w:tc>
        <w:tc>
          <w:tcPr>
            <w:tcW w:w="283" w:type="pct"/>
            <w:tcBorders>
              <w:top w:val="nil"/>
              <w:bottom w:val="nil"/>
            </w:tcBorders>
            <w:shd w:val="clear" w:color="auto" w:fill="auto"/>
          </w:tcPr>
          <w:p w14:paraId="0FC992D9" w14:textId="77777777" w:rsidR="00A340EE" w:rsidRPr="0047058F" w:rsidRDefault="00A340EE" w:rsidP="000D5576">
            <w:pPr>
              <w:pStyle w:val="TableText"/>
              <w:jc w:val="right"/>
            </w:pPr>
            <w:r w:rsidRPr="0047058F">
              <w:rPr>
                <w:rFonts w:eastAsia="Times New Roman" w:cs="Arial"/>
              </w:rPr>
              <w:t>427</w:t>
            </w:r>
          </w:p>
        </w:tc>
        <w:tc>
          <w:tcPr>
            <w:tcW w:w="310" w:type="pct"/>
            <w:tcBorders>
              <w:top w:val="nil"/>
              <w:bottom w:val="nil"/>
            </w:tcBorders>
            <w:shd w:val="clear" w:color="auto" w:fill="auto"/>
          </w:tcPr>
          <w:p w14:paraId="43135497" w14:textId="77777777" w:rsidR="00A340EE" w:rsidRPr="0047058F" w:rsidRDefault="00A340EE" w:rsidP="000D5576">
            <w:pPr>
              <w:pStyle w:val="TableText"/>
              <w:jc w:val="right"/>
            </w:pPr>
            <w:r w:rsidRPr="0047058F">
              <w:rPr>
                <w:rFonts w:eastAsia="Times New Roman" w:cs="Arial"/>
              </w:rPr>
              <w:t>87.1</w:t>
            </w:r>
          </w:p>
        </w:tc>
        <w:tc>
          <w:tcPr>
            <w:tcW w:w="258" w:type="pct"/>
            <w:tcBorders>
              <w:top w:val="nil"/>
              <w:bottom w:val="nil"/>
            </w:tcBorders>
            <w:shd w:val="clear" w:color="auto" w:fill="auto"/>
          </w:tcPr>
          <w:p w14:paraId="57A102D0" w14:textId="77777777" w:rsidR="00A340EE" w:rsidRPr="0047058F" w:rsidRDefault="00A340EE" w:rsidP="000D5576">
            <w:pPr>
              <w:pStyle w:val="TableText"/>
              <w:jc w:val="right"/>
            </w:pPr>
            <w:r w:rsidRPr="0047058F">
              <w:rPr>
                <w:rFonts w:eastAsia="Times New Roman" w:cs="Arial"/>
              </w:rPr>
              <w:t>88</w:t>
            </w:r>
          </w:p>
        </w:tc>
        <w:tc>
          <w:tcPr>
            <w:tcW w:w="284" w:type="pct"/>
            <w:tcBorders>
              <w:top w:val="nil"/>
              <w:bottom w:val="nil"/>
            </w:tcBorders>
            <w:shd w:val="clear" w:color="auto" w:fill="auto"/>
          </w:tcPr>
          <w:p w14:paraId="56F5DD39" w14:textId="77777777" w:rsidR="00A340EE" w:rsidRPr="0047058F" w:rsidRDefault="00A340EE" w:rsidP="000D5576">
            <w:pPr>
              <w:pStyle w:val="TableText"/>
              <w:jc w:val="right"/>
            </w:pPr>
            <w:r w:rsidRPr="0047058F">
              <w:rPr>
                <w:rFonts w:eastAsia="Times New Roman" w:cs="Arial"/>
              </w:rPr>
              <w:t>12.4</w:t>
            </w:r>
          </w:p>
        </w:tc>
        <w:tc>
          <w:tcPr>
            <w:tcW w:w="283" w:type="pct"/>
            <w:tcBorders>
              <w:top w:val="nil"/>
              <w:bottom w:val="nil"/>
            </w:tcBorders>
            <w:shd w:val="clear" w:color="auto" w:fill="auto"/>
          </w:tcPr>
          <w:p w14:paraId="3134B09F" w14:textId="77777777" w:rsidR="00A340EE" w:rsidRPr="0047058F" w:rsidRDefault="00A340EE" w:rsidP="000D5576">
            <w:pPr>
              <w:pStyle w:val="TableText"/>
              <w:jc w:val="right"/>
            </w:pPr>
            <w:r w:rsidRPr="0047058F">
              <w:rPr>
                <w:rFonts w:eastAsia="Times New Roman" w:cs="Arial"/>
              </w:rPr>
              <w:t>619</w:t>
            </w:r>
          </w:p>
        </w:tc>
        <w:tc>
          <w:tcPr>
            <w:tcW w:w="279" w:type="pct"/>
            <w:tcBorders>
              <w:top w:val="nil"/>
              <w:bottom w:val="nil"/>
            </w:tcBorders>
            <w:shd w:val="clear" w:color="auto" w:fill="auto"/>
          </w:tcPr>
          <w:p w14:paraId="4D68803A" w14:textId="77777777" w:rsidR="00A340EE" w:rsidRPr="0047058F" w:rsidRDefault="00A340EE" w:rsidP="000D5576">
            <w:pPr>
              <w:pStyle w:val="TableText"/>
              <w:jc w:val="right"/>
            </w:pPr>
            <w:r w:rsidRPr="0047058F">
              <w:rPr>
                <w:rFonts w:eastAsia="Times New Roman" w:cs="Arial"/>
              </w:rPr>
              <w:t>87.6</w:t>
            </w:r>
          </w:p>
        </w:tc>
      </w:tr>
      <w:tr w:rsidR="00A340EE" w:rsidRPr="0047058F" w14:paraId="54E6E0A1" w14:textId="77777777" w:rsidTr="0035755E">
        <w:tc>
          <w:tcPr>
            <w:tcW w:w="979" w:type="pct"/>
            <w:vMerge/>
            <w:tcBorders>
              <w:top w:val="nil"/>
              <w:bottom w:val="nil"/>
            </w:tcBorders>
          </w:tcPr>
          <w:p w14:paraId="1566D7A7" w14:textId="77777777" w:rsidR="00A340EE" w:rsidRPr="0047058F" w:rsidRDefault="00A340EE" w:rsidP="000D5576">
            <w:pPr>
              <w:pStyle w:val="TableText"/>
              <w:rPr>
                <w:rFonts w:cs="Calibri"/>
                <w:szCs w:val="14"/>
              </w:rPr>
            </w:pPr>
          </w:p>
        </w:tc>
        <w:tc>
          <w:tcPr>
            <w:tcW w:w="337" w:type="pct"/>
            <w:tcBorders>
              <w:top w:val="nil"/>
              <w:bottom w:val="nil"/>
            </w:tcBorders>
          </w:tcPr>
          <w:p w14:paraId="256BD020" w14:textId="77777777" w:rsidR="00A340EE" w:rsidRPr="0047058F" w:rsidRDefault="00A340EE" w:rsidP="00F77104">
            <w:pPr>
              <w:pStyle w:val="TableText"/>
            </w:pPr>
            <w:r w:rsidRPr="0047058F">
              <w:t>Yes</w:t>
            </w:r>
          </w:p>
        </w:tc>
        <w:tc>
          <w:tcPr>
            <w:tcW w:w="284" w:type="pct"/>
            <w:tcBorders>
              <w:top w:val="nil"/>
              <w:bottom w:val="nil"/>
            </w:tcBorders>
          </w:tcPr>
          <w:p w14:paraId="341C26C7" w14:textId="77777777" w:rsidR="00A340EE" w:rsidRPr="0047058F" w:rsidRDefault="00A340EE" w:rsidP="000D5576">
            <w:pPr>
              <w:pStyle w:val="TableText"/>
              <w:jc w:val="right"/>
            </w:pPr>
            <w:r w:rsidRPr="0047058F">
              <w:t>113</w:t>
            </w:r>
          </w:p>
        </w:tc>
        <w:tc>
          <w:tcPr>
            <w:tcW w:w="284" w:type="pct"/>
            <w:tcBorders>
              <w:top w:val="nil"/>
              <w:bottom w:val="nil"/>
            </w:tcBorders>
          </w:tcPr>
          <w:p w14:paraId="37088140" w14:textId="77777777" w:rsidR="00A340EE" w:rsidRPr="0047058F" w:rsidRDefault="00A340EE" w:rsidP="000D5576">
            <w:pPr>
              <w:pStyle w:val="TableText"/>
              <w:jc w:val="right"/>
            </w:pPr>
            <w:r w:rsidRPr="0047058F">
              <w:rPr>
                <w:rFonts w:eastAsia="Times New Roman" w:cs="Arial"/>
              </w:rPr>
              <w:t>21</w:t>
            </w:r>
          </w:p>
        </w:tc>
        <w:tc>
          <w:tcPr>
            <w:tcW w:w="283" w:type="pct"/>
            <w:tcBorders>
              <w:top w:val="nil"/>
              <w:bottom w:val="nil"/>
            </w:tcBorders>
          </w:tcPr>
          <w:p w14:paraId="5C534FBC" w14:textId="77777777" w:rsidR="00A340EE" w:rsidRPr="0047058F" w:rsidRDefault="00A340EE" w:rsidP="000D5576">
            <w:pPr>
              <w:pStyle w:val="TableText"/>
              <w:jc w:val="right"/>
            </w:pPr>
            <w:r w:rsidRPr="0047058F">
              <w:rPr>
                <w:rFonts w:eastAsia="Times New Roman" w:cs="Arial"/>
              </w:rPr>
              <w:t>47.7</w:t>
            </w:r>
          </w:p>
        </w:tc>
        <w:tc>
          <w:tcPr>
            <w:tcW w:w="284" w:type="pct"/>
            <w:tcBorders>
              <w:top w:val="nil"/>
              <w:bottom w:val="nil"/>
            </w:tcBorders>
          </w:tcPr>
          <w:p w14:paraId="0326D730" w14:textId="77777777" w:rsidR="00A340EE" w:rsidRPr="0047058F" w:rsidRDefault="00A340EE" w:rsidP="000D5576">
            <w:pPr>
              <w:pStyle w:val="TableText"/>
              <w:jc w:val="right"/>
            </w:pPr>
            <w:r w:rsidRPr="0047058F">
              <w:rPr>
                <w:rFonts w:eastAsia="Times New Roman" w:cs="Arial"/>
              </w:rPr>
              <w:t>23</w:t>
            </w:r>
          </w:p>
        </w:tc>
        <w:tc>
          <w:tcPr>
            <w:tcW w:w="283" w:type="pct"/>
            <w:tcBorders>
              <w:top w:val="nil"/>
              <w:bottom w:val="nil"/>
            </w:tcBorders>
          </w:tcPr>
          <w:p w14:paraId="0419F188" w14:textId="77777777" w:rsidR="00A340EE" w:rsidRPr="0047058F" w:rsidRDefault="00A340EE" w:rsidP="000D5576">
            <w:pPr>
              <w:pStyle w:val="TableText"/>
              <w:jc w:val="right"/>
            </w:pPr>
            <w:r w:rsidRPr="0047058F">
              <w:rPr>
                <w:rFonts w:eastAsia="Times New Roman" w:cs="Arial"/>
              </w:rPr>
              <w:t>52.3</w:t>
            </w:r>
          </w:p>
        </w:tc>
        <w:tc>
          <w:tcPr>
            <w:tcW w:w="286" w:type="pct"/>
            <w:tcBorders>
              <w:top w:val="nil"/>
              <w:bottom w:val="nil"/>
            </w:tcBorders>
          </w:tcPr>
          <w:p w14:paraId="72539E83" w14:textId="77777777" w:rsidR="00A340EE" w:rsidRPr="0047058F" w:rsidRDefault="00A340EE" w:rsidP="000D5576">
            <w:pPr>
              <w:pStyle w:val="TableText"/>
              <w:jc w:val="right"/>
            </w:pPr>
            <w:r w:rsidRPr="0047058F">
              <w:rPr>
                <w:rFonts w:eastAsia="Times New Roman" w:cs="Arial"/>
              </w:rPr>
              <w:t>22</w:t>
            </w:r>
          </w:p>
        </w:tc>
        <w:tc>
          <w:tcPr>
            <w:tcW w:w="283" w:type="pct"/>
            <w:tcBorders>
              <w:top w:val="nil"/>
              <w:bottom w:val="nil"/>
            </w:tcBorders>
          </w:tcPr>
          <w:p w14:paraId="0CF4E997" w14:textId="77777777" w:rsidR="00A340EE" w:rsidRPr="0047058F" w:rsidRDefault="00A340EE" w:rsidP="000D5576">
            <w:pPr>
              <w:pStyle w:val="TableText"/>
              <w:jc w:val="right"/>
            </w:pPr>
            <w:r w:rsidRPr="0047058F">
              <w:rPr>
                <w:rFonts w:eastAsia="Times New Roman" w:cs="Arial"/>
              </w:rPr>
              <w:t>31.9</w:t>
            </w:r>
          </w:p>
        </w:tc>
        <w:tc>
          <w:tcPr>
            <w:tcW w:w="283" w:type="pct"/>
            <w:tcBorders>
              <w:top w:val="nil"/>
              <w:bottom w:val="nil"/>
            </w:tcBorders>
          </w:tcPr>
          <w:p w14:paraId="2AB200AD" w14:textId="77777777" w:rsidR="00A340EE" w:rsidRPr="0047058F" w:rsidRDefault="00A340EE" w:rsidP="000D5576">
            <w:pPr>
              <w:pStyle w:val="TableText"/>
              <w:jc w:val="right"/>
            </w:pPr>
            <w:r w:rsidRPr="0047058F">
              <w:rPr>
                <w:rFonts w:eastAsia="Times New Roman" w:cs="Arial"/>
              </w:rPr>
              <w:t>47</w:t>
            </w:r>
          </w:p>
        </w:tc>
        <w:tc>
          <w:tcPr>
            <w:tcW w:w="310" w:type="pct"/>
            <w:tcBorders>
              <w:top w:val="nil"/>
              <w:bottom w:val="nil"/>
            </w:tcBorders>
          </w:tcPr>
          <w:p w14:paraId="09D0B6E1" w14:textId="77777777" w:rsidR="00A340EE" w:rsidRPr="0047058F" w:rsidRDefault="00A340EE" w:rsidP="000D5576">
            <w:pPr>
              <w:pStyle w:val="TableText"/>
              <w:jc w:val="right"/>
            </w:pPr>
            <w:r w:rsidRPr="0047058F">
              <w:rPr>
                <w:rFonts w:eastAsia="Times New Roman" w:cs="Arial"/>
              </w:rPr>
              <w:t>68.1</w:t>
            </w:r>
          </w:p>
        </w:tc>
        <w:tc>
          <w:tcPr>
            <w:tcW w:w="258" w:type="pct"/>
            <w:tcBorders>
              <w:top w:val="nil"/>
              <w:bottom w:val="nil"/>
            </w:tcBorders>
          </w:tcPr>
          <w:p w14:paraId="27049AE6" w14:textId="77777777" w:rsidR="00A340EE" w:rsidRPr="0047058F" w:rsidRDefault="00A340EE" w:rsidP="000D5576">
            <w:pPr>
              <w:pStyle w:val="TableText"/>
              <w:jc w:val="right"/>
            </w:pPr>
            <w:r w:rsidRPr="0047058F">
              <w:rPr>
                <w:rFonts w:eastAsia="Times New Roman" w:cs="Arial"/>
              </w:rPr>
              <w:t>43</w:t>
            </w:r>
          </w:p>
        </w:tc>
        <w:tc>
          <w:tcPr>
            <w:tcW w:w="284" w:type="pct"/>
            <w:tcBorders>
              <w:top w:val="nil"/>
              <w:bottom w:val="nil"/>
            </w:tcBorders>
          </w:tcPr>
          <w:p w14:paraId="76B73621" w14:textId="77777777" w:rsidR="00A340EE" w:rsidRPr="0047058F" w:rsidRDefault="00A340EE" w:rsidP="000D5576">
            <w:pPr>
              <w:pStyle w:val="TableText"/>
              <w:jc w:val="right"/>
            </w:pPr>
            <w:r w:rsidRPr="0047058F">
              <w:rPr>
                <w:rFonts w:eastAsia="Times New Roman" w:cs="Arial"/>
              </w:rPr>
              <w:t>38.1</w:t>
            </w:r>
          </w:p>
        </w:tc>
        <w:tc>
          <w:tcPr>
            <w:tcW w:w="283" w:type="pct"/>
            <w:tcBorders>
              <w:top w:val="nil"/>
              <w:bottom w:val="nil"/>
            </w:tcBorders>
          </w:tcPr>
          <w:p w14:paraId="6DA48240" w14:textId="77777777" w:rsidR="00A340EE" w:rsidRPr="0047058F" w:rsidRDefault="00A340EE" w:rsidP="000D5576">
            <w:pPr>
              <w:pStyle w:val="TableText"/>
              <w:jc w:val="right"/>
            </w:pPr>
            <w:r w:rsidRPr="0047058F">
              <w:rPr>
                <w:rFonts w:eastAsia="Times New Roman" w:cs="Arial"/>
              </w:rPr>
              <w:t>70</w:t>
            </w:r>
          </w:p>
        </w:tc>
        <w:tc>
          <w:tcPr>
            <w:tcW w:w="279" w:type="pct"/>
            <w:tcBorders>
              <w:top w:val="nil"/>
              <w:bottom w:val="nil"/>
            </w:tcBorders>
          </w:tcPr>
          <w:p w14:paraId="5B25D19A" w14:textId="77777777" w:rsidR="00A340EE" w:rsidRPr="0047058F" w:rsidRDefault="00A340EE" w:rsidP="000D5576">
            <w:pPr>
              <w:pStyle w:val="TableText"/>
              <w:jc w:val="right"/>
            </w:pPr>
            <w:r w:rsidRPr="0047058F">
              <w:rPr>
                <w:rFonts w:eastAsia="Times New Roman" w:cs="Arial"/>
              </w:rPr>
              <w:t>61.9</w:t>
            </w:r>
          </w:p>
        </w:tc>
      </w:tr>
      <w:tr w:rsidR="00A340EE" w:rsidRPr="0047058F" w14:paraId="2531AAF8"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3844589B" w14:textId="77777777" w:rsidR="00A340EE" w:rsidRPr="0047058F" w:rsidRDefault="00A340EE" w:rsidP="000D5576">
            <w:pPr>
              <w:pStyle w:val="TableText"/>
              <w:rPr>
                <w:rFonts w:cs="Calibri"/>
                <w:szCs w:val="14"/>
              </w:rPr>
            </w:pPr>
            <w:r w:rsidRPr="0047058F">
              <w:rPr>
                <w:rFonts w:cs="Calibri"/>
                <w:szCs w:val="14"/>
              </w:rPr>
              <w:t>Panic disorder</w:t>
            </w:r>
          </w:p>
        </w:tc>
        <w:tc>
          <w:tcPr>
            <w:tcW w:w="337" w:type="pct"/>
            <w:tcBorders>
              <w:top w:val="nil"/>
              <w:bottom w:val="nil"/>
            </w:tcBorders>
          </w:tcPr>
          <w:p w14:paraId="3107FD2A" w14:textId="77777777" w:rsidR="00A340EE" w:rsidRPr="0047058F" w:rsidRDefault="00A340EE" w:rsidP="00F77104">
            <w:pPr>
              <w:pStyle w:val="TableText"/>
            </w:pPr>
            <w:r w:rsidRPr="0047058F">
              <w:t>No</w:t>
            </w:r>
          </w:p>
        </w:tc>
        <w:tc>
          <w:tcPr>
            <w:tcW w:w="284" w:type="pct"/>
            <w:tcBorders>
              <w:top w:val="nil"/>
              <w:bottom w:val="nil"/>
            </w:tcBorders>
          </w:tcPr>
          <w:p w14:paraId="1A87F958" w14:textId="77777777" w:rsidR="00A340EE" w:rsidRPr="0047058F" w:rsidRDefault="00A340EE" w:rsidP="000D5576">
            <w:pPr>
              <w:pStyle w:val="TableText"/>
              <w:jc w:val="right"/>
            </w:pPr>
            <w:r w:rsidRPr="0047058F">
              <w:t>786</w:t>
            </w:r>
          </w:p>
        </w:tc>
        <w:tc>
          <w:tcPr>
            <w:tcW w:w="284" w:type="pct"/>
            <w:tcBorders>
              <w:top w:val="nil"/>
              <w:bottom w:val="nil"/>
            </w:tcBorders>
          </w:tcPr>
          <w:p w14:paraId="6D756A93" w14:textId="77777777" w:rsidR="00A340EE" w:rsidRPr="0047058F" w:rsidRDefault="00A340EE" w:rsidP="000D5576">
            <w:pPr>
              <w:pStyle w:val="TableText"/>
              <w:jc w:val="right"/>
            </w:pPr>
            <w:r w:rsidRPr="0047058F">
              <w:rPr>
                <w:rFonts w:eastAsia="Times New Roman" w:cs="Arial"/>
              </w:rPr>
              <w:t>17</w:t>
            </w:r>
          </w:p>
        </w:tc>
        <w:tc>
          <w:tcPr>
            <w:tcW w:w="283" w:type="pct"/>
            <w:tcBorders>
              <w:top w:val="nil"/>
              <w:bottom w:val="nil"/>
            </w:tcBorders>
          </w:tcPr>
          <w:p w14:paraId="4C867FCA" w14:textId="77777777" w:rsidR="00A340EE" w:rsidRPr="0047058F" w:rsidRDefault="00A340EE" w:rsidP="000D5576">
            <w:pPr>
              <w:pStyle w:val="TableText"/>
              <w:jc w:val="right"/>
            </w:pPr>
            <w:r w:rsidRPr="0047058F">
              <w:rPr>
                <w:rFonts w:eastAsia="Times New Roman" w:cs="Arial"/>
              </w:rPr>
              <w:t>6.9</w:t>
            </w:r>
          </w:p>
        </w:tc>
        <w:tc>
          <w:tcPr>
            <w:tcW w:w="284" w:type="pct"/>
            <w:tcBorders>
              <w:top w:val="nil"/>
              <w:bottom w:val="nil"/>
            </w:tcBorders>
          </w:tcPr>
          <w:p w14:paraId="5EE141EC" w14:textId="77777777" w:rsidR="00A340EE" w:rsidRPr="0047058F" w:rsidRDefault="00A340EE" w:rsidP="000D5576">
            <w:pPr>
              <w:pStyle w:val="TableText"/>
              <w:jc w:val="right"/>
            </w:pPr>
            <w:r w:rsidRPr="0047058F">
              <w:rPr>
                <w:rFonts w:eastAsia="Times New Roman" w:cs="Arial"/>
              </w:rPr>
              <w:t>230</w:t>
            </w:r>
          </w:p>
        </w:tc>
        <w:tc>
          <w:tcPr>
            <w:tcW w:w="283" w:type="pct"/>
            <w:tcBorders>
              <w:top w:val="nil"/>
              <w:bottom w:val="nil"/>
            </w:tcBorders>
          </w:tcPr>
          <w:p w14:paraId="02AAD6E6" w14:textId="77777777" w:rsidR="00A340EE" w:rsidRPr="0047058F" w:rsidRDefault="00A340EE" w:rsidP="000D5576">
            <w:pPr>
              <w:pStyle w:val="TableText"/>
              <w:jc w:val="right"/>
            </w:pPr>
            <w:r w:rsidRPr="0047058F">
              <w:rPr>
                <w:rFonts w:eastAsia="Times New Roman" w:cs="Arial"/>
              </w:rPr>
              <w:t>93.1</w:t>
            </w:r>
          </w:p>
        </w:tc>
        <w:tc>
          <w:tcPr>
            <w:tcW w:w="286" w:type="pct"/>
            <w:tcBorders>
              <w:top w:val="nil"/>
              <w:bottom w:val="nil"/>
            </w:tcBorders>
          </w:tcPr>
          <w:p w14:paraId="6F02F910" w14:textId="77777777" w:rsidR="00A340EE" w:rsidRPr="0047058F" w:rsidRDefault="00A340EE" w:rsidP="000D5576">
            <w:pPr>
              <w:pStyle w:val="TableText"/>
              <w:jc w:val="right"/>
            </w:pPr>
            <w:r w:rsidRPr="0047058F">
              <w:rPr>
                <w:rFonts w:eastAsia="Times New Roman" w:cs="Arial"/>
              </w:rPr>
              <w:t>11</w:t>
            </w:r>
          </w:p>
        </w:tc>
        <w:tc>
          <w:tcPr>
            <w:tcW w:w="283" w:type="pct"/>
            <w:tcBorders>
              <w:top w:val="nil"/>
              <w:bottom w:val="nil"/>
            </w:tcBorders>
          </w:tcPr>
          <w:p w14:paraId="6019CDE7" w14:textId="77777777" w:rsidR="00A340EE" w:rsidRPr="0047058F" w:rsidRDefault="00A340EE" w:rsidP="000D5576">
            <w:pPr>
              <w:pStyle w:val="TableText"/>
              <w:jc w:val="right"/>
            </w:pPr>
            <w:r w:rsidRPr="0047058F">
              <w:rPr>
                <w:rFonts w:eastAsia="Times New Roman" w:cs="Arial"/>
              </w:rPr>
              <w:t>2.0</w:t>
            </w:r>
          </w:p>
        </w:tc>
        <w:tc>
          <w:tcPr>
            <w:tcW w:w="283" w:type="pct"/>
            <w:tcBorders>
              <w:top w:val="nil"/>
              <w:bottom w:val="nil"/>
            </w:tcBorders>
          </w:tcPr>
          <w:p w14:paraId="58FD07D5" w14:textId="77777777" w:rsidR="00A340EE" w:rsidRPr="0047058F" w:rsidRDefault="00A340EE" w:rsidP="000D5576">
            <w:pPr>
              <w:pStyle w:val="TableText"/>
              <w:jc w:val="right"/>
            </w:pPr>
            <w:r w:rsidRPr="0047058F">
              <w:rPr>
                <w:rFonts w:eastAsia="Times New Roman" w:cs="Arial"/>
              </w:rPr>
              <w:t>528</w:t>
            </w:r>
          </w:p>
        </w:tc>
        <w:tc>
          <w:tcPr>
            <w:tcW w:w="310" w:type="pct"/>
            <w:tcBorders>
              <w:top w:val="nil"/>
              <w:bottom w:val="nil"/>
            </w:tcBorders>
          </w:tcPr>
          <w:p w14:paraId="7E226C50" w14:textId="77777777" w:rsidR="00A340EE" w:rsidRPr="0047058F" w:rsidRDefault="00A340EE" w:rsidP="000D5576">
            <w:pPr>
              <w:pStyle w:val="TableText"/>
              <w:jc w:val="right"/>
            </w:pPr>
            <w:r w:rsidRPr="0047058F">
              <w:rPr>
                <w:rFonts w:eastAsia="Times New Roman" w:cs="Arial"/>
              </w:rPr>
              <w:t>98.0</w:t>
            </w:r>
          </w:p>
        </w:tc>
        <w:tc>
          <w:tcPr>
            <w:tcW w:w="258" w:type="pct"/>
            <w:tcBorders>
              <w:top w:val="nil"/>
              <w:bottom w:val="nil"/>
            </w:tcBorders>
          </w:tcPr>
          <w:p w14:paraId="09A23586" w14:textId="77777777" w:rsidR="00A340EE" w:rsidRPr="0047058F" w:rsidRDefault="00A340EE" w:rsidP="000D5576">
            <w:pPr>
              <w:pStyle w:val="TableText"/>
              <w:jc w:val="right"/>
            </w:pPr>
            <w:r w:rsidRPr="0047058F">
              <w:rPr>
                <w:rFonts w:eastAsia="Times New Roman" w:cs="Arial"/>
              </w:rPr>
              <w:t>28</w:t>
            </w:r>
          </w:p>
        </w:tc>
        <w:tc>
          <w:tcPr>
            <w:tcW w:w="284" w:type="pct"/>
            <w:tcBorders>
              <w:top w:val="nil"/>
              <w:bottom w:val="nil"/>
            </w:tcBorders>
          </w:tcPr>
          <w:p w14:paraId="2EEBFDEB" w14:textId="77777777" w:rsidR="00A340EE" w:rsidRPr="0047058F" w:rsidRDefault="00A340EE" w:rsidP="000D5576">
            <w:pPr>
              <w:pStyle w:val="TableText"/>
              <w:jc w:val="right"/>
            </w:pPr>
            <w:r w:rsidRPr="0047058F">
              <w:rPr>
                <w:rFonts w:eastAsia="Times New Roman" w:cs="Arial"/>
              </w:rPr>
              <w:t>3.6</w:t>
            </w:r>
          </w:p>
        </w:tc>
        <w:tc>
          <w:tcPr>
            <w:tcW w:w="283" w:type="pct"/>
            <w:tcBorders>
              <w:top w:val="nil"/>
              <w:bottom w:val="nil"/>
            </w:tcBorders>
          </w:tcPr>
          <w:p w14:paraId="2E78E89A" w14:textId="77777777" w:rsidR="00A340EE" w:rsidRPr="0047058F" w:rsidRDefault="00A340EE" w:rsidP="000D5576">
            <w:pPr>
              <w:pStyle w:val="TableText"/>
              <w:jc w:val="right"/>
            </w:pPr>
            <w:r w:rsidRPr="0047058F">
              <w:rPr>
                <w:rFonts w:eastAsia="Times New Roman" w:cs="Arial"/>
              </w:rPr>
              <w:t>758</w:t>
            </w:r>
          </w:p>
        </w:tc>
        <w:tc>
          <w:tcPr>
            <w:tcW w:w="279" w:type="pct"/>
            <w:tcBorders>
              <w:top w:val="nil"/>
              <w:bottom w:val="nil"/>
            </w:tcBorders>
          </w:tcPr>
          <w:p w14:paraId="6F8039AE" w14:textId="77777777" w:rsidR="00A340EE" w:rsidRPr="0047058F" w:rsidRDefault="00A340EE" w:rsidP="000D5576">
            <w:pPr>
              <w:pStyle w:val="TableText"/>
              <w:jc w:val="right"/>
            </w:pPr>
            <w:r w:rsidRPr="0047058F">
              <w:rPr>
                <w:rFonts w:eastAsia="Times New Roman" w:cs="Arial"/>
              </w:rPr>
              <w:t>96.4</w:t>
            </w:r>
          </w:p>
        </w:tc>
      </w:tr>
      <w:tr w:rsidR="003876A3" w:rsidRPr="0047058F" w14:paraId="217EF77A" w14:textId="77777777" w:rsidTr="000D5576">
        <w:tc>
          <w:tcPr>
            <w:tcW w:w="979" w:type="pct"/>
            <w:vMerge/>
            <w:tcBorders>
              <w:top w:val="nil"/>
              <w:bottom w:val="nil"/>
            </w:tcBorders>
            <w:shd w:val="clear" w:color="auto" w:fill="C1D9FF"/>
          </w:tcPr>
          <w:p w14:paraId="7D78AF27"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19E45AD0"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687CA9EA" w14:textId="77777777" w:rsidR="00A340EE" w:rsidRPr="0047058F" w:rsidRDefault="00A340EE" w:rsidP="000D5576">
            <w:pPr>
              <w:pStyle w:val="TableText"/>
              <w:jc w:val="right"/>
            </w:pPr>
            <w:r w:rsidRPr="0047058F">
              <w:t>34</w:t>
            </w:r>
          </w:p>
        </w:tc>
        <w:tc>
          <w:tcPr>
            <w:tcW w:w="284" w:type="pct"/>
            <w:tcBorders>
              <w:top w:val="nil"/>
              <w:bottom w:val="nil"/>
            </w:tcBorders>
            <w:shd w:val="clear" w:color="auto" w:fill="C1D9FF"/>
          </w:tcPr>
          <w:p w14:paraId="118F535F" w14:textId="77777777" w:rsidR="00A340EE" w:rsidRPr="0047058F" w:rsidRDefault="00A340EE" w:rsidP="000D5576">
            <w:pPr>
              <w:pStyle w:val="TableText"/>
              <w:jc w:val="right"/>
            </w:pPr>
            <w:r w:rsidRPr="0047058F">
              <w:rPr>
                <w:rFonts w:eastAsia="Times New Roman" w:cs="Arial"/>
              </w:rPr>
              <w:t>4</w:t>
            </w:r>
          </w:p>
        </w:tc>
        <w:tc>
          <w:tcPr>
            <w:tcW w:w="283" w:type="pct"/>
            <w:tcBorders>
              <w:top w:val="nil"/>
              <w:bottom w:val="nil"/>
            </w:tcBorders>
            <w:shd w:val="clear" w:color="auto" w:fill="C1D9FF"/>
          </w:tcPr>
          <w:p w14:paraId="427E236D" w14:textId="77777777" w:rsidR="00A340EE" w:rsidRPr="0047058F" w:rsidRDefault="00A340EE" w:rsidP="000D5576">
            <w:pPr>
              <w:pStyle w:val="TableText"/>
              <w:jc w:val="right"/>
            </w:pPr>
            <w:r w:rsidRPr="0047058F">
              <w:rPr>
                <w:rFonts w:eastAsia="Times New Roman" w:cs="Arial"/>
              </w:rPr>
              <w:t>28.6</w:t>
            </w:r>
          </w:p>
        </w:tc>
        <w:tc>
          <w:tcPr>
            <w:tcW w:w="284" w:type="pct"/>
            <w:tcBorders>
              <w:top w:val="nil"/>
              <w:bottom w:val="nil"/>
            </w:tcBorders>
            <w:shd w:val="clear" w:color="auto" w:fill="C1D9FF"/>
          </w:tcPr>
          <w:p w14:paraId="7C21E41C" w14:textId="77777777" w:rsidR="00A340EE" w:rsidRPr="0047058F" w:rsidRDefault="00A340EE" w:rsidP="000D5576">
            <w:pPr>
              <w:pStyle w:val="TableText"/>
              <w:jc w:val="right"/>
            </w:pPr>
            <w:r w:rsidRPr="0047058F">
              <w:rPr>
                <w:rFonts w:eastAsia="Times New Roman" w:cs="Arial"/>
              </w:rPr>
              <w:t>10</w:t>
            </w:r>
          </w:p>
        </w:tc>
        <w:tc>
          <w:tcPr>
            <w:tcW w:w="283" w:type="pct"/>
            <w:tcBorders>
              <w:top w:val="nil"/>
              <w:bottom w:val="nil"/>
            </w:tcBorders>
            <w:shd w:val="clear" w:color="auto" w:fill="C1D9FF"/>
          </w:tcPr>
          <w:p w14:paraId="3B390C5E" w14:textId="77777777" w:rsidR="00A340EE" w:rsidRPr="0047058F" w:rsidRDefault="00A340EE" w:rsidP="000D5576">
            <w:pPr>
              <w:pStyle w:val="TableText"/>
              <w:jc w:val="right"/>
            </w:pPr>
            <w:r w:rsidRPr="0047058F">
              <w:rPr>
                <w:rFonts w:eastAsia="Times New Roman" w:cs="Arial"/>
              </w:rPr>
              <w:t>71.4</w:t>
            </w:r>
          </w:p>
        </w:tc>
        <w:tc>
          <w:tcPr>
            <w:tcW w:w="286" w:type="pct"/>
            <w:tcBorders>
              <w:top w:val="nil"/>
              <w:bottom w:val="nil"/>
            </w:tcBorders>
            <w:shd w:val="clear" w:color="auto" w:fill="C1D9FF"/>
          </w:tcPr>
          <w:p w14:paraId="169C5847" w14:textId="77777777" w:rsidR="00A340EE" w:rsidRPr="0047058F" w:rsidRDefault="00A340EE" w:rsidP="000D5576">
            <w:pPr>
              <w:pStyle w:val="TableText"/>
              <w:jc w:val="right"/>
            </w:pPr>
            <w:r w:rsidRPr="0047058F">
              <w:rPr>
                <w:rFonts w:eastAsia="Times New Roman" w:cs="Arial"/>
              </w:rPr>
              <w:t>2</w:t>
            </w:r>
          </w:p>
        </w:tc>
        <w:tc>
          <w:tcPr>
            <w:tcW w:w="283" w:type="pct"/>
            <w:tcBorders>
              <w:top w:val="nil"/>
              <w:bottom w:val="nil"/>
            </w:tcBorders>
            <w:shd w:val="clear" w:color="auto" w:fill="C1D9FF"/>
          </w:tcPr>
          <w:p w14:paraId="06F36560" w14:textId="77777777" w:rsidR="00A340EE" w:rsidRPr="0047058F" w:rsidRDefault="00A340EE" w:rsidP="000D5576">
            <w:pPr>
              <w:pStyle w:val="TableText"/>
              <w:jc w:val="right"/>
            </w:pPr>
            <w:r w:rsidRPr="0047058F">
              <w:rPr>
                <w:rFonts w:eastAsia="Times New Roman" w:cs="Arial"/>
              </w:rPr>
              <w:t>10.0</w:t>
            </w:r>
          </w:p>
        </w:tc>
        <w:tc>
          <w:tcPr>
            <w:tcW w:w="283" w:type="pct"/>
            <w:tcBorders>
              <w:top w:val="nil"/>
              <w:bottom w:val="nil"/>
            </w:tcBorders>
            <w:shd w:val="clear" w:color="auto" w:fill="C1D9FF"/>
          </w:tcPr>
          <w:p w14:paraId="4284D596" w14:textId="77777777" w:rsidR="00A340EE" w:rsidRPr="0047058F" w:rsidRDefault="00A340EE" w:rsidP="000D5576">
            <w:pPr>
              <w:pStyle w:val="TableText"/>
              <w:jc w:val="right"/>
            </w:pPr>
            <w:r w:rsidRPr="0047058F">
              <w:rPr>
                <w:rFonts w:eastAsia="Times New Roman" w:cs="Arial"/>
              </w:rPr>
              <w:t>18</w:t>
            </w:r>
          </w:p>
        </w:tc>
        <w:tc>
          <w:tcPr>
            <w:tcW w:w="310" w:type="pct"/>
            <w:tcBorders>
              <w:top w:val="nil"/>
              <w:bottom w:val="nil"/>
            </w:tcBorders>
            <w:shd w:val="clear" w:color="auto" w:fill="C1D9FF"/>
          </w:tcPr>
          <w:p w14:paraId="7D02C0CB" w14:textId="77777777" w:rsidR="00A340EE" w:rsidRPr="0047058F" w:rsidRDefault="00A340EE" w:rsidP="000D5576">
            <w:pPr>
              <w:pStyle w:val="TableText"/>
              <w:jc w:val="right"/>
            </w:pPr>
            <w:r w:rsidRPr="0047058F">
              <w:rPr>
                <w:rFonts w:eastAsia="Times New Roman" w:cs="Arial"/>
              </w:rPr>
              <w:t>90.0</w:t>
            </w:r>
          </w:p>
        </w:tc>
        <w:tc>
          <w:tcPr>
            <w:tcW w:w="258" w:type="pct"/>
            <w:tcBorders>
              <w:top w:val="nil"/>
              <w:bottom w:val="nil"/>
            </w:tcBorders>
            <w:shd w:val="clear" w:color="auto" w:fill="C1D9FF"/>
          </w:tcPr>
          <w:p w14:paraId="6DAB1BC3" w14:textId="77777777" w:rsidR="00A340EE" w:rsidRPr="0047058F" w:rsidRDefault="00A340EE" w:rsidP="000D5576">
            <w:pPr>
              <w:pStyle w:val="TableText"/>
              <w:jc w:val="right"/>
            </w:pPr>
            <w:r w:rsidRPr="0047058F">
              <w:rPr>
                <w:rFonts w:eastAsia="Times New Roman" w:cs="Arial"/>
              </w:rPr>
              <w:t>6</w:t>
            </w:r>
          </w:p>
        </w:tc>
        <w:tc>
          <w:tcPr>
            <w:tcW w:w="284" w:type="pct"/>
            <w:tcBorders>
              <w:top w:val="nil"/>
              <w:bottom w:val="nil"/>
            </w:tcBorders>
            <w:shd w:val="clear" w:color="auto" w:fill="C1D9FF"/>
          </w:tcPr>
          <w:p w14:paraId="5854F6F5" w14:textId="77777777" w:rsidR="00A340EE" w:rsidRPr="0047058F" w:rsidRDefault="00A340EE" w:rsidP="000D5576">
            <w:pPr>
              <w:pStyle w:val="TableText"/>
              <w:jc w:val="right"/>
            </w:pPr>
            <w:r w:rsidRPr="0047058F">
              <w:rPr>
                <w:rFonts w:eastAsia="Times New Roman" w:cs="Arial"/>
              </w:rPr>
              <w:t>17.6</w:t>
            </w:r>
          </w:p>
        </w:tc>
        <w:tc>
          <w:tcPr>
            <w:tcW w:w="283" w:type="pct"/>
            <w:tcBorders>
              <w:top w:val="nil"/>
              <w:bottom w:val="nil"/>
            </w:tcBorders>
            <w:shd w:val="clear" w:color="auto" w:fill="C1D9FF"/>
          </w:tcPr>
          <w:p w14:paraId="4E92FD3B" w14:textId="77777777" w:rsidR="00A340EE" w:rsidRPr="0047058F" w:rsidRDefault="00A340EE" w:rsidP="000D5576">
            <w:pPr>
              <w:pStyle w:val="TableText"/>
              <w:jc w:val="right"/>
            </w:pPr>
            <w:r w:rsidRPr="0047058F">
              <w:rPr>
                <w:rFonts w:eastAsia="Times New Roman" w:cs="Arial"/>
              </w:rPr>
              <w:t>28</w:t>
            </w:r>
          </w:p>
        </w:tc>
        <w:tc>
          <w:tcPr>
            <w:tcW w:w="279" w:type="pct"/>
            <w:tcBorders>
              <w:top w:val="nil"/>
              <w:bottom w:val="nil"/>
            </w:tcBorders>
            <w:shd w:val="clear" w:color="auto" w:fill="C1D9FF"/>
          </w:tcPr>
          <w:p w14:paraId="78098D4F" w14:textId="77777777" w:rsidR="00A340EE" w:rsidRPr="0047058F" w:rsidRDefault="00A340EE" w:rsidP="000D5576">
            <w:pPr>
              <w:pStyle w:val="TableText"/>
              <w:jc w:val="right"/>
            </w:pPr>
            <w:r w:rsidRPr="0047058F">
              <w:rPr>
                <w:rFonts w:eastAsia="Times New Roman" w:cs="Arial"/>
              </w:rPr>
              <w:t>82.4</w:t>
            </w:r>
          </w:p>
        </w:tc>
      </w:tr>
      <w:tr w:rsidR="000D5576" w:rsidRPr="0047058F" w14:paraId="238B66C1"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1EE8CCD4" w14:textId="77777777" w:rsidR="00A340EE" w:rsidRPr="0047058F" w:rsidRDefault="00A340EE" w:rsidP="000D5576">
            <w:pPr>
              <w:pStyle w:val="TableText"/>
              <w:rPr>
                <w:rFonts w:cs="Calibri"/>
                <w:szCs w:val="14"/>
              </w:rPr>
            </w:pPr>
            <w:r w:rsidRPr="0047058F">
              <w:rPr>
                <w:rFonts w:cs="Calibri"/>
                <w:szCs w:val="14"/>
              </w:rPr>
              <w:t>Agoraphobia</w:t>
            </w:r>
          </w:p>
        </w:tc>
        <w:tc>
          <w:tcPr>
            <w:tcW w:w="337" w:type="pct"/>
            <w:tcBorders>
              <w:top w:val="nil"/>
              <w:bottom w:val="nil"/>
            </w:tcBorders>
            <w:shd w:val="clear" w:color="auto" w:fill="auto"/>
          </w:tcPr>
          <w:p w14:paraId="64069BC2"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6C924AE6" w14:textId="77777777" w:rsidR="00A340EE" w:rsidRPr="0047058F" w:rsidRDefault="00A340EE" w:rsidP="000D5576">
            <w:pPr>
              <w:pStyle w:val="TableText"/>
              <w:jc w:val="right"/>
            </w:pPr>
            <w:r w:rsidRPr="0047058F">
              <w:t>776</w:t>
            </w:r>
          </w:p>
        </w:tc>
        <w:tc>
          <w:tcPr>
            <w:tcW w:w="284" w:type="pct"/>
            <w:tcBorders>
              <w:top w:val="nil"/>
              <w:bottom w:val="nil"/>
            </w:tcBorders>
            <w:shd w:val="clear" w:color="auto" w:fill="auto"/>
          </w:tcPr>
          <w:p w14:paraId="43504933" w14:textId="77777777" w:rsidR="00A340EE" w:rsidRPr="0047058F" w:rsidRDefault="00A340EE" w:rsidP="000D5576">
            <w:pPr>
              <w:pStyle w:val="TableText"/>
              <w:jc w:val="right"/>
            </w:pPr>
            <w:r w:rsidRPr="0047058F">
              <w:rPr>
                <w:rFonts w:eastAsia="Times New Roman" w:cs="Arial"/>
              </w:rPr>
              <w:t>28</w:t>
            </w:r>
          </w:p>
        </w:tc>
        <w:tc>
          <w:tcPr>
            <w:tcW w:w="283" w:type="pct"/>
            <w:tcBorders>
              <w:top w:val="nil"/>
              <w:bottom w:val="nil"/>
            </w:tcBorders>
            <w:shd w:val="clear" w:color="auto" w:fill="auto"/>
          </w:tcPr>
          <w:p w14:paraId="7A14F5E0" w14:textId="77777777" w:rsidR="00A340EE" w:rsidRPr="0047058F" w:rsidRDefault="00A340EE" w:rsidP="000D5576">
            <w:pPr>
              <w:pStyle w:val="TableText"/>
              <w:jc w:val="right"/>
            </w:pPr>
            <w:r w:rsidRPr="0047058F">
              <w:rPr>
                <w:rFonts w:eastAsia="Times New Roman" w:cs="Arial"/>
              </w:rPr>
              <w:t>11.7</w:t>
            </w:r>
          </w:p>
        </w:tc>
        <w:tc>
          <w:tcPr>
            <w:tcW w:w="284" w:type="pct"/>
            <w:tcBorders>
              <w:top w:val="nil"/>
              <w:bottom w:val="nil"/>
            </w:tcBorders>
            <w:shd w:val="clear" w:color="auto" w:fill="auto"/>
          </w:tcPr>
          <w:p w14:paraId="1129961A" w14:textId="77777777" w:rsidR="00A340EE" w:rsidRPr="0047058F" w:rsidRDefault="00A340EE" w:rsidP="000D5576">
            <w:pPr>
              <w:pStyle w:val="TableText"/>
              <w:jc w:val="right"/>
            </w:pPr>
            <w:r w:rsidRPr="0047058F">
              <w:rPr>
                <w:rFonts w:eastAsia="Times New Roman" w:cs="Arial"/>
              </w:rPr>
              <w:t>211</w:t>
            </w:r>
          </w:p>
        </w:tc>
        <w:tc>
          <w:tcPr>
            <w:tcW w:w="283" w:type="pct"/>
            <w:tcBorders>
              <w:top w:val="nil"/>
              <w:bottom w:val="nil"/>
            </w:tcBorders>
            <w:shd w:val="clear" w:color="auto" w:fill="auto"/>
          </w:tcPr>
          <w:p w14:paraId="03702383" w14:textId="77777777" w:rsidR="00A340EE" w:rsidRPr="0047058F" w:rsidRDefault="00A340EE" w:rsidP="000D5576">
            <w:pPr>
              <w:pStyle w:val="TableText"/>
              <w:jc w:val="right"/>
            </w:pPr>
            <w:r w:rsidRPr="0047058F">
              <w:rPr>
                <w:rFonts w:eastAsia="Times New Roman" w:cs="Arial"/>
              </w:rPr>
              <w:t>88.3</w:t>
            </w:r>
          </w:p>
        </w:tc>
        <w:tc>
          <w:tcPr>
            <w:tcW w:w="286" w:type="pct"/>
            <w:tcBorders>
              <w:top w:val="nil"/>
              <w:bottom w:val="nil"/>
            </w:tcBorders>
            <w:shd w:val="clear" w:color="auto" w:fill="auto"/>
          </w:tcPr>
          <w:p w14:paraId="000F17AF" w14:textId="77777777" w:rsidR="00A340EE" w:rsidRPr="0047058F" w:rsidRDefault="00A340EE" w:rsidP="000D5576">
            <w:pPr>
              <w:pStyle w:val="TableText"/>
              <w:jc w:val="right"/>
            </w:pPr>
            <w:r w:rsidRPr="0047058F">
              <w:rPr>
                <w:rFonts w:eastAsia="Times New Roman" w:cs="Arial"/>
              </w:rPr>
              <w:t>32</w:t>
            </w:r>
          </w:p>
        </w:tc>
        <w:tc>
          <w:tcPr>
            <w:tcW w:w="283" w:type="pct"/>
            <w:tcBorders>
              <w:top w:val="nil"/>
              <w:bottom w:val="nil"/>
            </w:tcBorders>
            <w:shd w:val="clear" w:color="auto" w:fill="auto"/>
          </w:tcPr>
          <w:p w14:paraId="5E0C45CD" w14:textId="77777777" w:rsidR="00A340EE" w:rsidRPr="0047058F" w:rsidRDefault="00A340EE" w:rsidP="000D5576">
            <w:pPr>
              <w:pStyle w:val="TableText"/>
              <w:jc w:val="right"/>
            </w:pPr>
            <w:r w:rsidRPr="0047058F">
              <w:rPr>
                <w:rFonts w:eastAsia="Times New Roman" w:cs="Arial"/>
              </w:rPr>
              <w:t>6.0</w:t>
            </w:r>
          </w:p>
        </w:tc>
        <w:tc>
          <w:tcPr>
            <w:tcW w:w="283" w:type="pct"/>
            <w:tcBorders>
              <w:top w:val="nil"/>
              <w:bottom w:val="nil"/>
            </w:tcBorders>
            <w:shd w:val="clear" w:color="auto" w:fill="auto"/>
          </w:tcPr>
          <w:p w14:paraId="17DEB047" w14:textId="77777777" w:rsidR="00A340EE" w:rsidRPr="0047058F" w:rsidRDefault="00A340EE" w:rsidP="000D5576">
            <w:pPr>
              <w:pStyle w:val="TableText"/>
              <w:jc w:val="right"/>
            </w:pPr>
            <w:r w:rsidRPr="0047058F">
              <w:rPr>
                <w:rFonts w:eastAsia="Times New Roman" w:cs="Arial"/>
              </w:rPr>
              <w:t>505</w:t>
            </w:r>
          </w:p>
        </w:tc>
        <w:tc>
          <w:tcPr>
            <w:tcW w:w="310" w:type="pct"/>
            <w:tcBorders>
              <w:top w:val="nil"/>
              <w:bottom w:val="nil"/>
            </w:tcBorders>
            <w:shd w:val="clear" w:color="auto" w:fill="auto"/>
          </w:tcPr>
          <w:p w14:paraId="551D5CFF" w14:textId="77777777" w:rsidR="00A340EE" w:rsidRPr="0047058F" w:rsidRDefault="00A340EE" w:rsidP="000D5576">
            <w:pPr>
              <w:pStyle w:val="TableText"/>
              <w:jc w:val="right"/>
            </w:pPr>
            <w:r w:rsidRPr="0047058F">
              <w:rPr>
                <w:rFonts w:eastAsia="Times New Roman" w:cs="Arial"/>
              </w:rPr>
              <w:t>94.0</w:t>
            </w:r>
          </w:p>
        </w:tc>
        <w:tc>
          <w:tcPr>
            <w:tcW w:w="258" w:type="pct"/>
            <w:tcBorders>
              <w:top w:val="nil"/>
              <w:bottom w:val="nil"/>
            </w:tcBorders>
            <w:shd w:val="clear" w:color="auto" w:fill="auto"/>
          </w:tcPr>
          <w:p w14:paraId="62858E3B" w14:textId="77777777" w:rsidR="00A340EE" w:rsidRPr="0047058F" w:rsidRDefault="00A340EE" w:rsidP="000D5576">
            <w:pPr>
              <w:pStyle w:val="TableText"/>
              <w:jc w:val="right"/>
            </w:pPr>
            <w:r w:rsidRPr="0047058F">
              <w:rPr>
                <w:rFonts w:eastAsia="Times New Roman" w:cs="Arial"/>
              </w:rPr>
              <w:t>60</w:t>
            </w:r>
          </w:p>
        </w:tc>
        <w:tc>
          <w:tcPr>
            <w:tcW w:w="284" w:type="pct"/>
            <w:tcBorders>
              <w:top w:val="nil"/>
              <w:bottom w:val="nil"/>
            </w:tcBorders>
            <w:shd w:val="clear" w:color="auto" w:fill="auto"/>
          </w:tcPr>
          <w:p w14:paraId="38AE6758" w14:textId="77777777" w:rsidR="00A340EE" w:rsidRPr="0047058F" w:rsidRDefault="00A340EE" w:rsidP="000D5576">
            <w:pPr>
              <w:pStyle w:val="TableText"/>
              <w:jc w:val="right"/>
            </w:pPr>
            <w:r w:rsidRPr="0047058F">
              <w:rPr>
                <w:rFonts w:eastAsia="Times New Roman" w:cs="Arial"/>
              </w:rPr>
              <w:t>7.7</w:t>
            </w:r>
          </w:p>
        </w:tc>
        <w:tc>
          <w:tcPr>
            <w:tcW w:w="283" w:type="pct"/>
            <w:tcBorders>
              <w:top w:val="nil"/>
              <w:bottom w:val="nil"/>
            </w:tcBorders>
            <w:shd w:val="clear" w:color="auto" w:fill="auto"/>
          </w:tcPr>
          <w:p w14:paraId="15BF62C1" w14:textId="77777777" w:rsidR="00A340EE" w:rsidRPr="0047058F" w:rsidRDefault="00A340EE" w:rsidP="000D5576">
            <w:pPr>
              <w:pStyle w:val="TableText"/>
              <w:jc w:val="right"/>
            </w:pPr>
            <w:r w:rsidRPr="0047058F">
              <w:rPr>
                <w:rFonts w:eastAsia="Times New Roman" w:cs="Arial"/>
              </w:rPr>
              <w:t>716</w:t>
            </w:r>
          </w:p>
        </w:tc>
        <w:tc>
          <w:tcPr>
            <w:tcW w:w="279" w:type="pct"/>
            <w:tcBorders>
              <w:top w:val="nil"/>
              <w:bottom w:val="nil"/>
            </w:tcBorders>
            <w:shd w:val="clear" w:color="auto" w:fill="auto"/>
          </w:tcPr>
          <w:p w14:paraId="6A3C3A09" w14:textId="77777777" w:rsidR="00A340EE" w:rsidRPr="0047058F" w:rsidRDefault="00A340EE" w:rsidP="000D5576">
            <w:pPr>
              <w:pStyle w:val="TableText"/>
              <w:jc w:val="right"/>
            </w:pPr>
            <w:r w:rsidRPr="0047058F">
              <w:rPr>
                <w:rFonts w:eastAsia="Times New Roman" w:cs="Arial"/>
              </w:rPr>
              <w:t>92.3</w:t>
            </w:r>
          </w:p>
        </w:tc>
      </w:tr>
      <w:tr w:rsidR="00A340EE" w:rsidRPr="0047058F" w14:paraId="02AC6238" w14:textId="77777777" w:rsidTr="0035755E">
        <w:tc>
          <w:tcPr>
            <w:tcW w:w="979" w:type="pct"/>
            <w:vMerge/>
            <w:tcBorders>
              <w:top w:val="nil"/>
              <w:bottom w:val="nil"/>
            </w:tcBorders>
          </w:tcPr>
          <w:p w14:paraId="35F1BAC7" w14:textId="77777777" w:rsidR="00A340EE" w:rsidRPr="0047058F" w:rsidRDefault="00A340EE" w:rsidP="000D5576">
            <w:pPr>
              <w:pStyle w:val="TableText"/>
              <w:rPr>
                <w:rFonts w:cs="Calibri"/>
                <w:szCs w:val="14"/>
              </w:rPr>
            </w:pPr>
          </w:p>
        </w:tc>
        <w:tc>
          <w:tcPr>
            <w:tcW w:w="337" w:type="pct"/>
            <w:tcBorders>
              <w:top w:val="nil"/>
              <w:bottom w:val="nil"/>
            </w:tcBorders>
          </w:tcPr>
          <w:p w14:paraId="159734C5" w14:textId="77777777" w:rsidR="00A340EE" w:rsidRPr="0047058F" w:rsidRDefault="00A340EE" w:rsidP="00F77104">
            <w:pPr>
              <w:pStyle w:val="TableText"/>
            </w:pPr>
            <w:r w:rsidRPr="0047058F">
              <w:t>Yes</w:t>
            </w:r>
          </w:p>
        </w:tc>
        <w:tc>
          <w:tcPr>
            <w:tcW w:w="284" w:type="pct"/>
            <w:tcBorders>
              <w:top w:val="nil"/>
              <w:bottom w:val="nil"/>
            </w:tcBorders>
          </w:tcPr>
          <w:p w14:paraId="64D02030" w14:textId="77777777" w:rsidR="00A340EE" w:rsidRPr="0047058F" w:rsidRDefault="00A340EE" w:rsidP="000D5576">
            <w:pPr>
              <w:pStyle w:val="TableText"/>
              <w:jc w:val="right"/>
            </w:pPr>
            <w:r w:rsidRPr="0047058F">
              <w:t>44</w:t>
            </w:r>
          </w:p>
        </w:tc>
        <w:tc>
          <w:tcPr>
            <w:tcW w:w="284" w:type="pct"/>
            <w:tcBorders>
              <w:top w:val="nil"/>
              <w:bottom w:val="nil"/>
            </w:tcBorders>
          </w:tcPr>
          <w:p w14:paraId="1F6FBB3D" w14:textId="77777777" w:rsidR="00A340EE" w:rsidRPr="0047058F" w:rsidRDefault="00A340EE" w:rsidP="000D5576">
            <w:pPr>
              <w:pStyle w:val="TableText"/>
              <w:jc w:val="right"/>
            </w:pPr>
            <w:r w:rsidRPr="0047058F">
              <w:rPr>
                <w:rFonts w:eastAsia="Times New Roman" w:cs="Arial"/>
              </w:rPr>
              <w:t>11</w:t>
            </w:r>
          </w:p>
        </w:tc>
        <w:tc>
          <w:tcPr>
            <w:tcW w:w="283" w:type="pct"/>
            <w:tcBorders>
              <w:top w:val="nil"/>
              <w:bottom w:val="nil"/>
            </w:tcBorders>
          </w:tcPr>
          <w:p w14:paraId="1C6ED8EC" w14:textId="77777777" w:rsidR="00A340EE" w:rsidRPr="0047058F" w:rsidRDefault="00A340EE" w:rsidP="000D5576">
            <w:pPr>
              <w:pStyle w:val="TableText"/>
              <w:jc w:val="right"/>
            </w:pPr>
            <w:r w:rsidRPr="0047058F">
              <w:rPr>
                <w:rFonts w:eastAsia="Times New Roman" w:cs="Arial"/>
              </w:rPr>
              <w:t>50.0</w:t>
            </w:r>
          </w:p>
        </w:tc>
        <w:tc>
          <w:tcPr>
            <w:tcW w:w="284" w:type="pct"/>
            <w:tcBorders>
              <w:top w:val="nil"/>
              <w:bottom w:val="nil"/>
            </w:tcBorders>
          </w:tcPr>
          <w:p w14:paraId="63848D54" w14:textId="77777777" w:rsidR="00A340EE" w:rsidRPr="0047058F" w:rsidRDefault="00A340EE" w:rsidP="000D5576">
            <w:pPr>
              <w:pStyle w:val="TableText"/>
              <w:jc w:val="right"/>
            </w:pPr>
            <w:r w:rsidRPr="0047058F">
              <w:rPr>
                <w:rFonts w:eastAsia="Times New Roman" w:cs="Arial"/>
              </w:rPr>
              <w:t>11</w:t>
            </w:r>
          </w:p>
        </w:tc>
        <w:tc>
          <w:tcPr>
            <w:tcW w:w="283" w:type="pct"/>
            <w:tcBorders>
              <w:top w:val="nil"/>
              <w:bottom w:val="nil"/>
            </w:tcBorders>
          </w:tcPr>
          <w:p w14:paraId="6F2EC72C" w14:textId="77777777" w:rsidR="00A340EE" w:rsidRPr="0047058F" w:rsidRDefault="00A340EE" w:rsidP="000D5576">
            <w:pPr>
              <w:pStyle w:val="TableText"/>
              <w:jc w:val="right"/>
            </w:pPr>
            <w:r w:rsidRPr="0047058F">
              <w:rPr>
                <w:rFonts w:eastAsia="Times New Roman" w:cs="Arial"/>
              </w:rPr>
              <w:t>50.0</w:t>
            </w:r>
          </w:p>
        </w:tc>
        <w:tc>
          <w:tcPr>
            <w:tcW w:w="286" w:type="pct"/>
            <w:tcBorders>
              <w:top w:val="nil"/>
              <w:bottom w:val="nil"/>
            </w:tcBorders>
          </w:tcPr>
          <w:p w14:paraId="709BE642" w14:textId="77777777" w:rsidR="00A340EE" w:rsidRPr="0047058F" w:rsidRDefault="00A340EE" w:rsidP="000D5576">
            <w:pPr>
              <w:pStyle w:val="TableText"/>
              <w:jc w:val="right"/>
            </w:pPr>
            <w:r w:rsidRPr="0047058F">
              <w:rPr>
                <w:rFonts w:eastAsia="Times New Roman" w:cs="Arial"/>
              </w:rPr>
              <w:t>5</w:t>
            </w:r>
          </w:p>
        </w:tc>
        <w:tc>
          <w:tcPr>
            <w:tcW w:w="283" w:type="pct"/>
            <w:tcBorders>
              <w:top w:val="nil"/>
              <w:bottom w:val="nil"/>
            </w:tcBorders>
          </w:tcPr>
          <w:p w14:paraId="27DD54CF" w14:textId="77777777" w:rsidR="00A340EE" w:rsidRPr="0047058F" w:rsidRDefault="00A340EE" w:rsidP="000D5576">
            <w:pPr>
              <w:pStyle w:val="TableText"/>
              <w:jc w:val="right"/>
            </w:pPr>
            <w:r w:rsidRPr="0047058F">
              <w:rPr>
                <w:rFonts w:eastAsia="Times New Roman" w:cs="Arial"/>
              </w:rPr>
              <w:t>22.7</w:t>
            </w:r>
          </w:p>
        </w:tc>
        <w:tc>
          <w:tcPr>
            <w:tcW w:w="283" w:type="pct"/>
            <w:tcBorders>
              <w:top w:val="nil"/>
              <w:bottom w:val="nil"/>
            </w:tcBorders>
          </w:tcPr>
          <w:p w14:paraId="710B5327" w14:textId="77777777" w:rsidR="00A340EE" w:rsidRPr="0047058F" w:rsidRDefault="00A340EE" w:rsidP="000D5576">
            <w:pPr>
              <w:pStyle w:val="TableText"/>
              <w:jc w:val="right"/>
            </w:pPr>
            <w:r w:rsidRPr="0047058F">
              <w:rPr>
                <w:rFonts w:eastAsia="Times New Roman" w:cs="Arial"/>
              </w:rPr>
              <w:t>17</w:t>
            </w:r>
          </w:p>
        </w:tc>
        <w:tc>
          <w:tcPr>
            <w:tcW w:w="310" w:type="pct"/>
            <w:tcBorders>
              <w:top w:val="nil"/>
              <w:bottom w:val="nil"/>
            </w:tcBorders>
          </w:tcPr>
          <w:p w14:paraId="5A81E3B8" w14:textId="77777777" w:rsidR="00A340EE" w:rsidRPr="0047058F" w:rsidRDefault="00A340EE" w:rsidP="000D5576">
            <w:pPr>
              <w:pStyle w:val="TableText"/>
              <w:jc w:val="right"/>
            </w:pPr>
            <w:r w:rsidRPr="0047058F">
              <w:rPr>
                <w:rFonts w:eastAsia="Times New Roman" w:cs="Arial"/>
              </w:rPr>
              <w:t>77.3</w:t>
            </w:r>
          </w:p>
        </w:tc>
        <w:tc>
          <w:tcPr>
            <w:tcW w:w="258" w:type="pct"/>
            <w:tcBorders>
              <w:top w:val="nil"/>
              <w:bottom w:val="nil"/>
            </w:tcBorders>
          </w:tcPr>
          <w:p w14:paraId="440A010E" w14:textId="77777777" w:rsidR="00A340EE" w:rsidRPr="0047058F" w:rsidRDefault="00A340EE" w:rsidP="000D5576">
            <w:pPr>
              <w:pStyle w:val="TableText"/>
              <w:jc w:val="right"/>
            </w:pPr>
            <w:r w:rsidRPr="0047058F">
              <w:rPr>
                <w:rFonts w:eastAsia="Times New Roman" w:cs="Arial"/>
              </w:rPr>
              <w:t>16</w:t>
            </w:r>
          </w:p>
        </w:tc>
        <w:tc>
          <w:tcPr>
            <w:tcW w:w="284" w:type="pct"/>
            <w:tcBorders>
              <w:top w:val="nil"/>
              <w:bottom w:val="nil"/>
            </w:tcBorders>
          </w:tcPr>
          <w:p w14:paraId="4ED74F8D" w14:textId="77777777" w:rsidR="00A340EE" w:rsidRPr="0047058F" w:rsidRDefault="00A340EE" w:rsidP="000D5576">
            <w:pPr>
              <w:pStyle w:val="TableText"/>
              <w:jc w:val="right"/>
            </w:pPr>
            <w:r w:rsidRPr="0047058F">
              <w:rPr>
                <w:rFonts w:eastAsia="Times New Roman" w:cs="Arial"/>
              </w:rPr>
              <w:t>36.4</w:t>
            </w:r>
          </w:p>
        </w:tc>
        <w:tc>
          <w:tcPr>
            <w:tcW w:w="283" w:type="pct"/>
            <w:tcBorders>
              <w:top w:val="nil"/>
              <w:bottom w:val="nil"/>
            </w:tcBorders>
          </w:tcPr>
          <w:p w14:paraId="3513A96B" w14:textId="77777777" w:rsidR="00A340EE" w:rsidRPr="0047058F" w:rsidRDefault="00A340EE" w:rsidP="000D5576">
            <w:pPr>
              <w:pStyle w:val="TableText"/>
              <w:jc w:val="right"/>
              <w:rPr>
                <w:rFonts w:eastAsia="Times New Roman" w:cs="Arial"/>
              </w:rPr>
            </w:pPr>
            <w:r w:rsidRPr="0047058F">
              <w:rPr>
                <w:rFonts w:eastAsia="Times New Roman" w:cs="Arial"/>
              </w:rPr>
              <w:t>28</w:t>
            </w:r>
          </w:p>
        </w:tc>
        <w:tc>
          <w:tcPr>
            <w:tcW w:w="279" w:type="pct"/>
            <w:tcBorders>
              <w:top w:val="nil"/>
              <w:bottom w:val="nil"/>
            </w:tcBorders>
          </w:tcPr>
          <w:p w14:paraId="4E573581" w14:textId="77777777" w:rsidR="00A340EE" w:rsidRPr="0047058F" w:rsidRDefault="00A340EE" w:rsidP="000D5576">
            <w:pPr>
              <w:pStyle w:val="TableText"/>
              <w:jc w:val="right"/>
              <w:rPr>
                <w:rFonts w:eastAsia="Times New Roman" w:cs="Arial"/>
              </w:rPr>
            </w:pPr>
            <w:r w:rsidRPr="0047058F">
              <w:rPr>
                <w:rFonts w:eastAsia="Times New Roman" w:cs="Arial"/>
              </w:rPr>
              <w:t>63.6</w:t>
            </w:r>
          </w:p>
        </w:tc>
      </w:tr>
      <w:tr w:rsidR="00A340EE" w:rsidRPr="0047058F" w14:paraId="02D71F33"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2A40B558" w14:textId="77777777" w:rsidR="00A340EE" w:rsidRPr="0047058F" w:rsidRDefault="00A340EE" w:rsidP="000D5576">
            <w:pPr>
              <w:pStyle w:val="TableText"/>
              <w:rPr>
                <w:rFonts w:cs="Calibri"/>
                <w:szCs w:val="14"/>
              </w:rPr>
            </w:pPr>
            <w:r w:rsidRPr="0047058F">
              <w:rPr>
                <w:rFonts w:cs="Calibri"/>
                <w:szCs w:val="14"/>
              </w:rPr>
              <w:t>Social phobia</w:t>
            </w:r>
          </w:p>
        </w:tc>
        <w:tc>
          <w:tcPr>
            <w:tcW w:w="337" w:type="pct"/>
            <w:tcBorders>
              <w:top w:val="nil"/>
              <w:bottom w:val="nil"/>
            </w:tcBorders>
          </w:tcPr>
          <w:p w14:paraId="0F79B0E3" w14:textId="77777777" w:rsidR="00A340EE" w:rsidRPr="0047058F" w:rsidRDefault="00A340EE" w:rsidP="00F77104">
            <w:pPr>
              <w:pStyle w:val="TableText"/>
            </w:pPr>
            <w:r w:rsidRPr="0047058F">
              <w:t>No</w:t>
            </w:r>
          </w:p>
        </w:tc>
        <w:tc>
          <w:tcPr>
            <w:tcW w:w="284" w:type="pct"/>
            <w:tcBorders>
              <w:top w:val="nil"/>
              <w:bottom w:val="nil"/>
            </w:tcBorders>
          </w:tcPr>
          <w:p w14:paraId="4A83BC9F" w14:textId="77777777" w:rsidR="00A340EE" w:rsidRPr="0047058F" w:rsidRDefault="00A340EE" w:rsidP="000D5576">
            <w:pPr>
              <w:pStyle w:val="TableText"/>
              <w:jc w:val="right"/>
            </w:pPr>
            <w:r w:rsidRPr="0047058F">
              <w:t>754</w:t>
            </w:r>
          </w:p>
        </w:tc>
        <w:tc>
          <w:tcPr>
            <w:tcW w:w="284" w:type="pct"/>
            <w:tcBorders>
              <w:top w:val="nil"/>
              <w:bottom w:val="nil"/>
            </w:tcBorders>
          </w:tcPr>
          <w:p w14:paraId="3AE7F688" w14:textId="77777777" w:rsidR="00A340EE" w:rsidRPr="0047058F" w:rsidRDefault="00A340EE" w:rsidP="000D5576">
            <w:pPr>
              <w:pStyle w:val="TableText"/>
              <w:jc w:val="right"/>
            </w:pPr>
            <w:r w:rsidRPr="0047058F">
              <w:rPr>
                <w:rFonts w:eastAsia="Times New Roman" w:cs="Arial"/>
              </w:rPr>
              <w:t>23</w:t>
            </w:r>
          </w:p>
        </w:tc>
        <w:tc>
          <w:tcPr>
            <w:tcW w:w="283" w:type="pct"/>
            <w:tcBorders>
              <w:top w:val="nil"/>
              <w:bottom w:val="nil"/>
            </w:tcBorders>
          </w:tcPr>
          <w:p w14:paraId="6FE97FEB" w14:textId="77777777" w:rsidR="00A340EE" w:rsidRPr="0047058F" w:rsidRDefault="00A340EE" w:rsidP="000D5576">
            <w:pPr>
              <w:pStyle w:val="TableText"/>
              <w:jc w:val="right"/>
            </w:pPr>
            <w:r w:rsidRPr="0047058F">
              <w:rPr>
                <w:rFonts w:eastAsia="Times New Roman" w:cs="Arial"/>
              </w:rPr>
              <w:t>9.7</w:t>
            </w:r>
          </w:p>
        </w:tc>
        <w:tc>
          <w:tcPr>
            <w:tcW w:w="284" w:type="pct"/>
            <w:tcBorders>
              <w:top w:val="nil"/>
              <w:bottom w:val="nil"/>
            </w:tcBorders>
          </w:tcPr>
          <w:p w14:paraId="6BDD4345" w14:textId="77777777" w:rsidR="00A340EE" w:rsidRPr="0047058F" w:rsidRDefault="00A340EE" w:rsidP="000D5576">
            <w:pPr>
              <w:pStyle w:val="TableText"/>
              <w:jc w:val="right"/>
            </w:pPr>
            <w:r w:rsidRPr="0047058F">
              <w:rPr>
                <w:rFonts w:eastAsia="Times New Roman" w:cs="Arial"/>
              </w:rPr>
              <w:t>213</w:t>
            </w:r>
          </w:p>
        </w:tc>
        <w:tc>
          <w:tcPr>
            <w:tcW w:w="283" w:type="pct"/>
            <w:tcBorders>
              <w:top w:val="nil"/>
              <w:bottom w:val="nil"/>
            </w:tcBorders>
          </w:tcPr>
          <w:p w14:paraId="226A934C" w14:textId="77777777" w:rsidR="00A340EE" w:rsidRPr="0047058F" w:rsidRDefault="00A340EE" w:rsidP="000D5576">
            <w:pPr>
              <w:pStyle w:val="TableText"/>
              <w:jc w:val="right"/>
            </w:pPr>
            <w:r w:rsidRPr="0047058F">
              <w:rPr>
                <w:rFonts w:eastAsia="Times New Roman" w:cs="Arial"/>
              </w:rPr>
              <w:t>90.3</w:t>
            </w:r>
          </w:p>
        </w:tc>
        <w:tc>
          <w:tcPr>
            <w:tcW w:w="286" w:type="pct"/>
            <w:tcBorders>
              <w:top w:val="nil"/>
              <w:bottom w:val="nil"/>
            </w:tcBorders>
          </w:tcPr>
          <w:p w14:paraId="6DA18D5E" w14:textId="77777777" w:rsidR="00A340EE" w:rsidRPr="0047058F" w:rsidRDefault="00A340EE" w:rsidP="000D5576">
            <w:pPr>
              <w:pStyle w:val="TableText"/>
              <w:jc w:val="right"/>
            </w:pPr>
            <w:r w:rsidRPr="0047058F">
              <w:rPr>
                <w:rFonts w:eastAsia="Times New Roman" w:cs="Arial"/>
              </w:rPr>
              <w:t>36</w:t>
            </w:r>
          </w:p>
        </w:tc>
        <w:tc>
          <w:tcPr>
            <w:tcW w:w="283" w:type="pct"/>
            <w:tcBorders>
              <w:top w:val="nil"/>
              <w:bottom w:val="nil"/>
            </w:tcBorders>
          </w:tcPr>
          <w:p w14:paraId="69B94948" w14:textId="77777777" w:rsidR="00A340EE" w:rsidRPr="0047058F" w:rsidRDefault="00A340EE" w:rsidP="000D5576">
            <w:pPr>
              <w:pStyle w:val="TableText"/>
              <w:jc w:val="right"/>
            </w:pPr>
            <w:r w:rsidRPr="0047058F">
              <w:rPr>
                <w:rFonts w:eastAsia="Times New Roman" w:cs="Arial"/>
              </w:rPr>
              <w:t>6.9</w:t>
            </w:r>
          </w:p>
        </w:tc>
        <w:tc>
          <w:tcPr>
            <w:tcW w:w="283" w:type="pct"/>
            <w:tcBorders>
              <w:top w:val="nil"/>
              <w:bottom w:val="nil"/>
            </w:tcBorders>
          </w:tcPr>
          <w:p w14:paraId="043D2BFF" w14:textId="77777777" w:rsidR="00A340EE" w:rsidRPr="0047058F" w:rsidRDefault="00A340EE" w:rsidP="000D5576">
            <w:pPr>
              <w:pStyle w:val="TableText"/>
              <w:jc w:val="right"/>
            </w:pPr>
            <w:r w:rsidRPr="0047058F">
              <w:rPr>
                <w:rFonts w:eastAsia="Times New Roman" w:cs="Arial"/>
              </w:rPr>
              <w:t>482</w:t>
            </w:r>
          </w:p>
        </w:tc>
        <w:tc>
          <w:tcPr>
            <w:tcW w:w="310" w:type="pct"/>
            <w:tcBorders>
              <w:top w:val="nil"/>
              <w:bottom w:val="nil"/>
            </w:tcBorders>
          </w:tcPr>
          <w:p w14:paraId="39CD8B23" w14:textId="77777777" w:rsidR="00A340EE" w:rsidRPr="0047058F" w:rsidRDefault="00A340EE" w:rsidP="000D5576">
            <w:pPr>
              <w:pStyle w:val="TableText"/>
              <w:jc w:val="right"/>
            </w:pPr>
            <w:r w:rsidRPr="0047058F">
              <w:rPr>
                <w:rFonts w:eastAsia="Times New Roman" w:cs="Arial"/>
              </w:rPr>
              <w:t>93.1</w:t>
            </w:r>
          </w:p>
        </w:tc>
        <w:tc>
          <w:tcPr>
            <w:tcW w:w="258" w:type="pct"/>
            <w:tcBorders>
              <w:top w:val="nil"/>
              <w:bottom w:val="nil"/>
            </w:tcBorders>
          </w:tcPr>
          <w:p w14:paraId="1D5F8BB8" w14:textId="77777777" w:rsidR="00A340EE" w:rsidRPr="0047058F" w:rsidRDefault="00A340EE" w:rsidP="000D5576">
            <w:pPr>
              <w:pStyle w:val="TableText"/>
              <w:jc w:val="right"/>
            </w:pPr>
            <w:r w:rsidRPr="0047058F">
              <w:rPr>
                <w:rFonts w:eastAsia="Times New Roman" w:cs="Arial"/>
              </w:rPr>
              <w:t>59</w:t>
            </w:r>
          </w:p>
        </w:tc>
        <w:tc>
          <w:tcPr>
            <w:tcW w:w="284" w:type="pct"/>
            <w:tcBorders>
              <w:top w:val="nil"/>
              <w:bottom w:val="nil"/>
            </w:tcBorders>
          </w:tcPr>
          <w:p w14:paraId="757FC8B0" w14:textId="77777777" w:rsidR="00A340EE" w:rsidRPr="0047058F" w:rsidRDefault="00A340EE" w:rsidP="000D5576">
            <w:pPr>
              <w:pStyle w:val="TableText"/>
              <w:jc w:val="right"/>
            </w:pPr>
            <w:r w:rsidRPr="0047058F">
              <w:rPr>
                <w:rFonts w:eastAsia="Times New Roman" w:cs="Arial"/>
              </w:rPr>
              <w:t>7.8</w:t>
            </w:r>
          </w:p>
        </w:tc>
        <w:tc>
          <w:tcPr>
            <w:tcW w:w="283" w:type="pct"/>
            <w:tcBorders>
              <w:top w:val="nil"/>
              <w:bottom w:val="nil"/>
            </w:tcBorders>
          </w:tcPr>
          <w:p w14:paraId="424306A4" w14:textId="77777777" w:rsidR="00A340EE" w:rsidRPr="0047058F" w:rsidRDefault="00A340EE" w:rsidP="000D5576">
            <w:pPr>
              <w:pStyle w:val="TableText"/>
              <w:jc w:val="right"/>
            </w:pPr>
            <w:r w:rsidRPr="0047058F">
              <w:rPr>
                <w:rFonts w:eastAsia="Times New Roman" w:cs="Arial"/>
              </w:rPr>
              <w:t>695</w:t>
            </w:r>
          </w:p>
        </w:tc>
        <w:tc>
          <w:tcPr>
            <w:tcW w:w="279" w:type="pct"/>
            <w:tcBorders>
              <w:top w:val="nil"/>
              <w:bottom w:val="nil"/>
            </w:tcBorders>
          </w:tcPr>
          <w:p w14:paraId="2062A16A" w14:textId="77777777" w:rsidR="00A340EE" w:rsidRPr="0047058F" w:rsidRDefault="00A340EE" w:rsidP="000D5576">
            <w:pPr>
              <w:pStyle w:val="TableText"/>
              <w:jc w:val="right"/>
            </w:pPr>
            <w:r w:rsidRPr="0047058F">
              <w:rPr>
                <w:rFonts w:eastAsia="Times New Roman" w:cs="Arial"/>
              </w:rPr>
              <w:t>92.2</w:t>
            </w:r>
          </w:p>
        </w:tc>
      </w:tr>
      <w:tr w:rsidR="003876A3" w:rsidRPr="0047058F" w14:paraId="61AAD88C" w14:textId="77777777" w:rsidTr="000D5576">
        <w:tc>
          <w:tcPr>
            <w:tcW w:w="979" w:type="pct"/>
            <w:vMerge/>
            <w:tcBorders>
              <w:top w:val="nil"/>
              <w:bottom w:val="nil"/>
            </w:tcBorders>
            <w:shd w:val="clear" w:color="auto" w:fill="C1D9FF"/>
          </w:tcPr>
          <w:p w14:paraId="11D4AA24"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268FECEA"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7A80A293" w14:textId="77777777" w:rsidR="00A340EE" w:rsidRPr="0047058F" w:rsidRDefault="00A340EE" w:rsidP="000D5576">
            <w:pPr>
              <w:pStyle w:val="TableText"/>
              <w:jc w:val="right"/>
            </w:pPr>
            <w:r w:rsidRPr="0047058F">
              <w:t>66</w:t>
            </w:r>
          </w:p>
        </w:tc>
        <w:tc>
          <w:tcPr>
            <w:tcW w:w="284" w:type="pct"/>
            <w:tcBorders>
              <w:top w:val="nil"/>
              <w:bottom w:val="nil"/>
            </w:tcBorders>
            <w:shd w:val="clear" w:color="auto" w:fill="C1D9FF"/>
          </w:tcPr>
          <w:p w14:paraId="33E9CBE0" w14:textId="77777777" w:rsidR="00A340EE" w:rsidRPr="0047058F" w:rsidRDefault="00A340EE" w:rsidP="000D5576">
            <w:pPr>
              <w:pStyle w:val="TableText"/>
              <w:jc w:val="right"/>
            </w:pPr>
            <w:r w:rsidRPr="0047058F">
              <w:rPr>
                <w:rFonts w:eastAsia="Times New Roman" w:cs="Arial"/>
              </w:rPr>
              <w:t>7</w:t>
            </w:r>
          </w:p>
        </w:tc>
        <w:tc>
          <w:tcPr>
            <w:tcW w:w="283" w:type="pct"/>
            <w:tcBorders>
              <w:top w:val="nil"/>
              <w:bottom w:val="nil"/>
            </w:tcBorders>
            <w:shd w:val="clear" w:color="auto" w:fill="C1D9FF"/>
          </w:tcPr>
          <w:p w14:paraId="2B3F2E90" w14:textId="77777777" w:rsidR="00A340EE" w:rsidRPr="0047058F" w:rsidRDefault="00A340EE" w:rsidP="000D5576">
            <w:pPr>
              <w:pStyle w:val="TableText"/>
              <w:jc w:val="right"/>
            </w:pPr>
            <w:r w:rsidRPr="0047058F">
              <w:rPr>
                <w:rFonts w:eastAsia="Times New Roman" w:cs="Arial"/>
              </w:rPr>
              <w:t>28.0</w:t>
            </w:r>
          </w:p>
        </w:tc>
        <w:tc>
          <w:tcPr>
            <w:tcW w:w="284" w:type="pct"/>
            <w:tcBorders>
              <w:top w:val="nil"/>
              <w:bottom w:val="nil"/>
            </w:tcBorders>
            <w:shd w:val="clear" w:color="auto" w:fill="C1D9FF"/>
          </w:tcPr>
          <w:p w14:paraId="31EA0A27" w14:textId="77777777" w:rsidR="00A340EE" w:rsidRPr="0047058F" w:rsidRDefault="00A340EE" w:rsidP="000D5576">
            <w:pPr>
              <w:pStyle w:val="TableText"/>
              <w:jc w:val="right"/>
            </w:pPr>
            <w:r w:rsidRPr="0047058F">
              <w:rPr>
                <w:rFonts w:eastAsia="Times New Roman" w:cs="Arial"/>
              </w:rPr>
              <w:t>18</w:t>
            </w:r>
          </w:p>
        </w:tc>
        <w:tc>
          <w:tcPr>
            <w:tcW w:w="283" w:type="pct"/>
            <w:tcBorders>
              <w:top w:val="nil"/>
              <w:bottom w:val="nil"/>
            </w:tcBorders>
            <w:shd w:val="clear" w:color="auto" w:fill="C1D9FF"/>
          </w:tcPr>
          <w:p w14:paraId="7A944AB6" w14:textId="77777777" w:rsidR="00A340EE" w:rsidRPr="0047058F" w:rsidRDefault="00A340EE" w:rsidP="000D5576">
            <w:pPr>
              <w:pStyle w:val="TableText"/>
              <w:jc w:val="right"/>
            </w:pPr>
            <w:r w:rsidRPr="0047058F">
              <w:rPr>
                <w:rFonts w:eastAsia="Times New Roman" w:cs="Arial"/>
              </w:rPr>
              <w:t>72.0</w:t>
            </w:r>
          </w:p>
        </w:tc>
        <w:tc>
          <w:tcPr>
            <w:tcW w:w="286" w:type="pct"/>
            <w:tcBorders>
              <w:top w:val="nil"/>
              <w:bottom w:val="nil"/>
            </w:tcBorders>
            <w:shd w:val="clear" w:color="auto" w:fill="C1D9FF"/>
          </w:tcPr>
          <w:p w14:paraId="26033270" w14:textId="77777777" w:rsidR="00A340EE" w:rsidRPr="0047058F" w:rsidRDefault="00A340EE" w:rsidP="000D5576">
            <w:pPr>
              <w:pStyle w:val="TableText"/>
              <w:jc w:val="right"/>
            </w:pPr>
            <w:r w:rsidRPr="0047058F">
              <w:rPr>
                <w:rFonts w:eastAsia="Times New Roman" w:cs="Arial"/>
              </w:rPr>
              <w:t>15</w:t>
            </w:r>
          </w:p>
        </w:tc>
        <w:tc>
          <w:tcPr>
            <w:tcW w:w="283" w:type="pct"/>
            <w:tcBorders>
              <w:top w:val="nil"/>
              <w:bottom w:val="nil"/>
            </w:tcBorders>
            <w:shd w:val="clear" w:color="auto" w:fill="C1D9FF"/>
          </w:tcPr>
          <w:p w14:paraId="63B2B226" w14:textId="77777777" w:rsidR="00A340EE" w:rsidRPr="0047058F" w:rsidRDefault="00A340EE" w:rsidP="000D5576">
            <w:pPr>
              <w:pStyle w:val="TableText"/>
              <w:jc w:val="right"/>
            </w:pPr>
            <w:r w:rsidRPr="0047058F">
              <w:rPr>
                <w:rFonts w:eastAsia="Times New Roman" w:cs="Arial"/>
              </w:rPr>
              <w:t>36.6</w:t>
            </w:r>
          </w:p>
        </w:tc>
        <w:tc>
          <w:tcPr>
            <w:tcW w:w="283" w:type="pct"/>
            <w:tcBorders>
              <w:top w:val="nil"/>
              <w:bottom w:val="nil"/>
            </w:tcBorders>
            <w:shd w:val="clear" w:color="auto" w:fill="C1D9FF"/>
          </w:tcPr>
          <w:p w14:paraId="5969563C" w14:textId="77777777" w:rsidR="00A340EE" w:rsidRPr="0047058F" w:rsidRDefault="00A340EE" w:rsidP="000D5576">
            <w:pPr>
              <w:pStyle w:val="TableText"/>
              <w:jc w:val="right"/>
            </w:pPr>
            <w:r w:rsidRPr="0047058F">
              <w:rPr>
                <w:rFonts w:eastAsia="Times New Roman" w:cs="Arial"/>
              </w:rPr>
              <w:t>26</w:t>
            </w:r>
          </w:p>
        </w:tc>
        <w:tc>
          <w:tcPr>
            <w:tcW w:w="310" w:type="pct"/>
            <w:tcBorders>
              <w:top w:val="nil"/>
              <w:bottom w:val="nil"/>
            </w:tcBorders>
            <w:shd w:val="clear" w:color="auto" w:fill="C1D9FF"/>
          </w:tcPr>
          <w:p w14:paraId="391E345B" w14:textId="77777777" w:rsidR="00A340EE" w:rsidRPr="0047058F" w:rsidRDefault="00A340EE" w:rsidP="000D5576">
            <w:pPr>
              <w:pStyle w:val="TableText"/>
              <w:jc w:val="right"/>
            </w:pPr>
            <w:r w:rsidRPr="0047058F">
              <w:rPr>
                <w:rFonts w:eastAsia="Times New Roman" w:cs="Arial"/>
              </w:rPr>
              <w:t>63.4</w:t>
            </w:r>
          </w:p>
        </w:tc>
        <w:tc>
          <w:tcPr>
            <w:tcW w:w="258" w:type="pct"/>
            <w:tcBorders>
              <w:top w:val="nil"/>
              <w:bottom w:val="nil"/>
            </w:tcBorders>
            <w:shd w:val="clear" w:color="auto" w:fill="C1D9FF"/>
          </w:tcPr>
          <w:p w14:paraId="56CB6ADD" w14:textId="77777777" w:rsidR="00A340EE" w:rsidRPr="0047058F" w:rsidRDefault="00A340EE" w:rsidP="000D5576">
            <w:pPr>
              <w:pStyle w:val="TableText"/>
              <w:jc w:val="right"/>
            </w:pPr>
            <w:r w:rsidRPr="0047058F">
              <w:rPr>
                <w:rFonts w:eastAsia="Times New Roman" w:cs="Arial"/>
              </w:rPr>
              <w:t>22</w:t>
            </w:r>
          </w:p>
        </w:tc>
        <w:tc>
          <w:tcPr>
            <w:tcW w:w="284" w:type="pct"/>
            <w:tcBorders>
              <w:top w:val="nil"/>
              <w:bottom w:val="nil"/>
            </w:tcBorders>
            <w:shd w:val="clear" w:color="auto" w:fill="C1D9FF"/>
          </w:tcPr>
          <w:p w14:paraId="54CF7806" w14:textId="77777777" w:rsidR="00A340EE" w:rsidRPr="0047058F" w:rsidRDefault="00A340EE" w:rsidP="000D5576">
            <w:pPr>
              <w:pStyle w:val="TableText"/>
              <w:jc w:val="right"/>
            </w:pPr>
            <w:r w:rsidRPr="0047058F">
              <w:rPr>
                <w:rFonts w:eastAsia="Times New Roman" w:cs="Arial"/>
              </w:rPr>
              <w:t>33.3</w:t>
            </w:r>
          </w:p>
        </w:tc>
        <w:tc>
          <w:tcPr>
            <w:tcW w:w="283" w:type="pct"/>
            <w:tcBorders>
              <w:top w:val="nil"/>
              <w:bottom w:val="nil"/>
            </w:tcBorders>
            <w:shd w:val="clear" w:color="auto" w:fill="C1D9FF"/>
          </w:tcPr>
          <w:p w14:paraId="363C72EB" w14:textId="77777777" w:rsidR="00A340EE" w:rsidRPr="0047058F" w:rsidRDefault="00A340EE" w:rsidP="000D5576">
            <w:pPr>
              <w:pStyle w:val="TableText"/>
              <w:jc w:val="right"/>
            </w:pPr>
            <w:r w:rsidRPr="0047058F">
              <w:rPr>
                <w:rFonts w:eastAsia="Times New Roman" w:cs="Arial"/>
              </w:rPr>
              <w:t>44</w:t>
            </w:r>
          </w:p>
        </w:tc>
        <w:tc>
          <w:tcPr>
            <w:tcW w:w="279" w:type="pct"/>
            <w:tcBorders>
              <w:top w:val="nil"/>
              <w:bottom w:val="nil"/>
            </w:tcBorders>
            <w:shd w:val="clear" w:color="auto" w:fill="C1D9FF"/>
          </w:tcPr>
          <w:p w14:paraId="48117B0F" w14:textId="77777777" w:rsidR="00A340EE" w:rsidRPr="0047058F" w:rsidRDefault="00A340EE" w:rsidP="000D5576">
            <w:pPr>
              <w:pStyle w:val="TableText"/>
              <w:jc w:val="right"/>
            </w:pPr>
            <w:r w:rsidRPr="0047058F">
              <w:rPr>
                <w:rFonts w:eastAsia="Times New Roman" w:cs="Arial"/>
              </w:rPr>
              <w:t>66.7</w:t>
            </w:r>
          </w:p>
        </w:tc>
      </w:tr>
      <w:tr w:rsidR="000D5576" w:rsidRPr="0047058F" w14:paraId="6F3C6FEF"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7242547D" w14:textId="77777777" w:rsidR="00A340EE" w:rsidRPr="0047058F" w:rsidRDefault="00A340EE" w:rsidP="000D5576">
            <w:pPr>
              <w:pStyle w:val="TableText"/>
              <w:rPr>
                <w:rFonts w:cs="Calibri"/>
                <w:szCs w:val="14"/>
              </w:rPr>
            </w:pPr>
            <w:r w:rsidRPr="0047058F">
              <w:rPr>
                <w:rFonts w:cs="Calibri"/>
                <w:szCs w:val="14"/>
              </w:rPr>
              <w:t>Specific phobia</w:t>
            </w:r>
          </w:p>
        </w:tc>
        <w:tc>
          <w:tcPr>
            <w:tcW w:w="337" w:type="pct"/>
            <w:tcBorders>
              <w:top w:val="nil"/>
              <w:bottom w:val="nil"/>
            </w:tcBorders>
            <w:shd w:val="clear" w:color="auto" w:fill="auto"/>
          </w:tcPr>
          <w:p w14:paraId="75B0333F"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03AAF133" w14:textId="77777777" w:rsidR="00A340EE" w:rsidRPr="0047058F" w:rsidRDefault="00A340EE" w:rsidP="000D5576">
            <w:pPr>
              <w:pStyle w:val="TableText"/>
              <w:jc w:val="right"/>
            </w:pPr>
            <w:r w:rsidRPr="0047058F">
              <w:t>747</w:t>
            </w:r>
          </w:p>
        </w:tc>
        <w:tc>
          <w:tcPr>
            <w:tcW w:w="284" w:type="pct"/>
            <w:tcBorders>
              <w:top w:val="nil"/>
              <w:bottom w:val="nil"/>
            </w:tcBorders>
            <w:shd w:val="clear" w:color="auto" w:fill="auto"/>
          </w:tcPr>
          <w:p w14:paraId="4FF3E800" w14:textId="77777777" w:rsidR="00A340EE" w:rsidRPr="0047058F" w:rsidRDefault="00A340EE" w:rsidP="000D5576">
            <w:pPr>
              <w:pStyle w:val="TableText"/>
              <w:jc w:val="right"/>
            </w:pPr>
            <w:r w:rsidRPr="0047058F">
              <w:rPr>
                <w:rFonts w:eastAsia="Times New Roman" w:cs="Arial"/>
              </w:rPr>
              <w:t>28</w:t>
            </w:r>
          </w:p>
        </w:tc>
        <w:tc>
          <w:tcPr>
            <w:tcW w:w="283" w:type="pct"/>
            <w:tcBorders>
              <w:top w:val="nil"/>
              <w:bottom w:val="nil"/>
            </w:tcBorders>
            <w:shd w:val="clear" w:color="auto" w:fill="auto"/>
          </w:tcPr>
          <w:p w14:paraId="5B1823DC" w14:textId="77777777" w:rsidR="00A340EE" w:rsidRPr="0047058F" w:rsidRDefault="00A340EE" w:rsidP="000D5576">
            <w:pPr>
              <w:pStyle w:val="TableText"/>
              <w:jc w:val="right"/>
            </w:pPr>
            <w:r w:rsidRPr="0047058F">
              <w:rPr>
                <w:rFonts w:eastAsia="Times New Roman" w:cs="Arial"/>
              </w:rPr>
              <w:t>11.9</w:t>
            </w:r>
          </w:p>
        </w:tc>
        <w:tc>
          <w:tcPr>
            <w:tcW w:w="284" w:type="pct"/>
            <w:tcBorders>
              <w:top w:val="nil"/>
              <w:bottom w:val="nil"/>
            </w:tcBorders>
            <w:shd w:val="clear" w:color="auto" w:fill="auto"/>
          </w:tcPr>
          <w:p w14:paraId="4824A349" w14:textId="77777777" w:rsidR="00A340EE" w:rsidRPr="0047058F" w:rsidRDefault="00A340EE" w:rsidP="000D5576">
            <w:pPr>
              <w:pStyle w:val="TableText"/>
              <w:jc w:val="right"/>
            </w:pPr>
            <w:r w:rsidRPr="0047058F">
              <w:rPr>
                <w:rFonts w:eastAsia="Times New Roman" w:cs="Arial"/>
              </w:rPr>
              <w:t>207</w:t>
            </w:r>
          </w:p>
        </w:tc>
        <w:tc>
          <w:tcPr>
            <w:tcW w:w="283" w:type="pct"/>
            <w:tcBorders>
              <w:top w:val="nil"/>
              <w:bottom w:val="nil"/>
            </w:tcBorders>
            <w:shd w:val="clear" w:color="auto" w:fill="auto"/>
          </w:tcPr>
          <w:p w14:paraId="409904BB" w14:textId="77777777" w:rsidR="00A340EE" w:rsidRPr="0047058F" w:rsidRDefault="00A340EE" w:rsidP="000D5576">
            <w:pPr>
              <w:pStyle w:val="TableText"/>
              <w:jc w:val="right"/>
            </w:pPr>
            <w:r w:rsidRPr="0047058F">
              <w:rPr>
                <w:rFonts w:eastAsia="Times New Roman" w:cs="Arial"/>
              </w:rPr>
              <w:t>88.1</w:t>
            </w:r>
          </w:p>
        </w:tc>
        <w:tc>
          <w:tcPr>
            <w:tcW w:w="286" w:type="pct"/>
            <w:tcBorders>
              <w:top w:val="nil"/>
              <w:bottom w:val="nil"/>
            </w:tcBorders>
            <w:shd w:val="clear" w:color="auto" w:fill="auto"/>
          </w:tcPr>
          <w:p w14:paraId="49575246" w14:textId="77777777" w:rsidR="00A340EE" w:rsidRPr="0047058F" w:rsidRDefault="00A340EE" w:rsidP="000D5576">
            <w:pPr>
              <w:pStyle w:val="TableText"/>
              <w:jc w:val="right"/>
            </w:pPr>
            <w:r w:rsidRPr="0047058F">
              <w:rPr>
                <w:rFonts w:eastAsia="Times New Roman" w:cs="Arial"/>
              </w:rPr>
              <w:t>40</w:t>
            </w:r>
          </w:p>
        </w:tc>
        <w:tc>
          <w:tcPr>
            <w:tcW w:w="283" w:type="pct"/>
            <w:tcBorders>
              <w:top w:val="nil"/>
              <w:bottom w:val="nil"/>
            </w:tcBorders>
            <w:shd w:val="clear" w:color="auto" w:fill="auto"/>
          </w:tcPr>
          <w:p w14:paraId="35FC2730" w14:textId="77777777" w:rsidR="00A340EE" w:rsidRPr="0047058F" w:rsidRDefault="00A340EE" w:rsidP="000D5576">
            <w:pPr>
              <w:pStyle w:val="TableText"/>
              <w:jc w:val="right"/>
            </w:pPr>
            <w:r w:rsidRPr="0047058F">
              <w:rPr>
                <w:rFonts w:eastAsia="Times New Roman" w:cs="Arial"/>
              </w:rPr>
              <w:t>7.8</w:t>
            </w:r>
          </w:p>
        </w:tc>
        <w:tc>
          <w:tcPr>
            <w:tcW w:w="283" w:type="pct"/>
            <w:tcBorders>
              <w:top w:val="nil"/>
              <w:bottom w:val="nil"/>
            </w:tcBorders>
            <w:shd w:val="clear" w:color="auto" w:fill="auto"/>
          </w:tcPr>
          <w:p w14:paraId="25783B86" w14:textId="77777777" w:rsidR="00A340EE" w:rsidRPr="0047058F" w:rsidRDefault="00A340EE" w:rsidP="000D5576">
            <w:pPr>
              <w:pStyle w:val="TableText"/>
              <w:jc w:val="right"/>
            </w:pPr>
            <w:r w:rsidRPr="0047058F">
              <w:rPr>
                <w:rFonts w:eastAsia="Times New Roman" w:cs="Arial"/>
              </w:rPr>
              <w:t>472</w:t>
            </w:r>
          </w:p>
        </w:tc>
        <w:tc>
          <w:tcPr>
            <w:tcW w:w="310" w:type="pct"/>
            <w:tcBorders>
              <w:top w:val="nil"/>
              <w:bottom w:val="nil"/>
            </w:tcBorders>
            <w:shd w:val="clear" w:color="auto" w:fill="auto"/>
          </w:tcPr>
          <w:p w14:paraId="10904A6A" w14:textId="77777777" w:rsidR="00A340EE" w:rsidRPr="0047058F" w:rsidRDefault="00A340EE" w:rsidP="000D5576">
            <w:pPr>
              <w:pStyle w:val="TableText"/>
              <w:jc w:val="right"/>
            </w:pPr>
            <w:r w:rsidRPr="0047058F">
              <w:rPr>
                <w:rFonts w:eastAsia="Times New Roman" w:cs="Arial"/>
              </w:rPr>
              <w:t>92.2</w:t>
            </w:r>
          </w:p>
        </w:tc>
        <w:tc>
          <w:tcPr>
            <w:tcW w:w="258" w:type="pct"/>
            <w:tcBorders>
              <w:top w:val="nil"/>
              <w:bottom w:val="nil"/>
            </w:tcBorders>
            <w:shd w:val="clear" w:color="auto" w:fill="auto"/>
          </w:tcPr>
          <w:p w14:paraId="0A8389F8" w14:textId="77777777" w:rsidR="00A340EE" w:rsidRPr="0047058F" w:rsidRDefault="00A340EE" w:rsidP="000D5576">
            <w:pPr>
              <w:pStyle w:val="TableText"/>
              <w:jc w:val="right"/>
            </w:pPr>
            <w:r w:rsidRPr="0047058F">
              <w:rPr>
                <w:rFonts w:eastAsia="Times New Roman" w:cs="Arial"/>
              </w:rPr>
              <w:t>68</w:t>
            </w:r>
          </w:p>
        </w:tc>
        <w:tc>
          <w:tcPr>
            <w:tcW w:w="284" w:type="pct"/>
            <w:tcBorders>
              <w:top w:val="nil"/>
              <w:bottom w:val="nil"/>
            </w:tcBorders>
            <w:shd w:val="clear" w:color="auto" w:fill="auto"/>
          </w:tcPr>
          <w:p w14:paraId="7350B12D" w14:textId="77777777" w:rsidR="00A340EE" w:rsidRPr="0047058F" w:rsidRDefault="00A340EE" w:rsidP="000D5576">
            <w:pPr>
              <w:pStyle w:val="TableText"/>
              <w:jc w:val="right"/>
            </w:pPr>
            <w:r w:rsidRPr="0047058F">
              <w:rPr>
                <w:rFonts w:eastAsia="Times New Roman" w:cs="Arial"/>
              </w:rPr>
              <w:t>9.1</w:t>
            </w:r>
          </w:p>
        </w:tc>
        <w:tc>
          <w:tcPr>
            <w:tcW w:w="283" w:type="pct"/>
            <w:tcBorders>
              <w:top w:val="nil"/>
              <w:bottom w:val="nil"/>
            </w:tcBorders>
            <w:shd w:val="clear" w:color="auto" w:fill="auto"/>
          </w:tcPr>
          <w:p w14:paraId="79AA137D" w14:textId="77777777" w:rsidR="00A340EE" w:rsidRPr="0047058F" w:rsidRDefault="00A340EE" w:rsidP="000D5576">
            <w:pPr>
              <w:pStyle w:val="TableText"/>
              <w:jc w:val="right"/>
            </w:pPr>
            <w:r w:rsidRPr="0047058F">
              <w:rPr>
                <w:rFonts w:eastAsia="Times New Roman" w:cs="Arial"/>
              </w:rPr>
              <w:t>679</w:t>
            </w:r>
          </w:p>
        </w:tc>
        <w:tc>
          <w:tcPr>
            <w:tcW w:w="279" w:type="pct"/>
            <w:tcBorders>
              <w:top w:val="nil"/>
              <w:bottom w:val="nil"/>
            </w:tcBorders>
            <w:shd w:val="clear" w:color="auto" w:fill="auto"/>
          </w:tcPr>
          <w:p w14:paraId="0CBAA444" w14:textId="77777777" w:rsidR="00A340EE" w:rsidRPr="0047058F" w:rsidRDefault="00A340EE" w:rsidP="000D5576">
            <w:pPr>
              <w:pStyle w:val="TableText"/>
              <w:jc w:val="right"/>
            </w:pPr>
            <w:r w:rsidRPr="0047058F">
              <w:rPr>
                <w:rFonts w:eastAsia="Times New Roman" w:cs="Arial"/>
              </w:rPr>
              <w:t>90.9</w:t>
            </w:r>
          </w:p>
        </w:tc>
      </w:tr>
      <w:tr w:rsidR="00A340EE" w:rsidRPr="0047058F" w14:paraId="43FE9672" w14:textId="77777777" w:rsidTr="0035755E">
        <w:tc>
          <w:tcPr>
            <w:tcW w:w="979" w:type="pct"/>
            <w:vMerge/>
            <w:tcBorders>
              <w:top w:val="nil"/>
              <w:bottom w:val="nil"/>
            </w:tcBorders>
          </w:tcPr>
          <w:p w14:paraId="7C9F1C9B" w14:textId="77777777" w:rsidR="00A340EE" w:rsidRPr="0047058F" w:rsidRDefault="00A340EE" w:rsidP="000D5576">
            <w:pPr>
              <w:pStyle w:val="TableText"/>
              <w:rPr>
                <w:rFonts w:cs="Calibri"/>
                <w:szCs w:val="14"/>
              </w:rPr>
            </w:pPr>
          </w:p>
        </w:tc>
        <w:tc>
          <w:tcPr>
            <w:tcW w:w="337" w:type="pct"/>
            <w:tcBorders>
              <w:top w:val="nil"/>
              <w:bottom w:val="nil"/>
            </w:tcBorders>
          </w:tcPr>
          <w:p w14:paraId="7F195F04" w14:textId="77777777" w:rsidR="00A340EE" w:rsidRPr="0047058F" w:rsidRDefault="00A340EE" w:rsidP="00F77104">
            <w:pPr>
              <w:pStyle w:val="TableText"/>
            </w:pPr>
            <w:r w:rsidRPr="0047058F">
              <w:t>Yes</w:t>
            </w:r>
          </w:p>
        </w:tc>
        <w:tc>
          <w:tcPr>
            <w:tcW w:w="284" w:type="pct"/>
            <w:tcBorders>
              <w:top w:val="nil"/>
              <w:bottom w:val="nil"/>
            </w:tcBorders>
          </w:tcPr>
          <w:p w14:paraId="0B5F0E46" w14:textId="77777777" w:rsidR="00A340EE" w:rsidRPr="0047058F" w:rsidRDefault="00A340EE" w:rsidP="000D5576">
            <w:pPr>
              <w:pStyle w:val="TableText"/>
              <w:jc w:val="right"/>
            </w:pPr>
            <w:r w:rsidRPr="0047058F">
              <w:t>73</w:t>
            </w:r>
          </w:p>
        </w:tc>
        <w:tc>
          <w:tcPr>
            <w:tcW w:w="284" w:type="pct"/>
            <w:tcBorders>
              <w:top w:val="nil"/>
              <w:bottom w:val="nil"/>
            </w:tcBorders>
          </w:tcPr>
          <w:p w14:paraId="58B3439B" w14:textId="77777777" w:rsidR="00A340EE" w:rsidRPr="0047058F" w:rsidRDefault="00A340EE" w:rsidP="000D5576">
            <w:pPr>
              <w:pStyle w:val="TableText"/>
              <w:jc w:val="right"/>
            </w:pPr>
            <w:r w:rsidRPr="0047058F">
              <w:rPr>
                <w:rFonts w:eastAsia="Times New Roman" w:cs="Arial"/>
              </w:rPr>
              <w:t>13</w:t>
            </w:r>
          </w:p>
        </w:tc>
        <w:tc>
          <w:tcPr>
            <w:tcW w:w="283" w:type="pct"/>
            <w:tcBorders>
              <w:top w:val="nil"/>
              <w:bottom w:val="nil"/>
            </w:tcBorders>
          </w:tcPr>
          <w:p w14:paraId="703589A4" w14:textId="77777777" w:rsidR="00A340EE" w:rsidRPr="0047058F" w:rsidRDefault="00A340EE" w:rsidP="000D5576">
            <w:pPr>
              <w:pStyle w:val="TableText"/>
              <w:jc w:val="right"/>
            </w:pPr>
            <w:r w:rsidRPr="0047058F">
              <w:rPr>
                <w:rFonts w:eastAsia="Times New Roman" w:cs="Arial"/>
              </w:rPr>
              <w:t>50.0</w:t>
            </w:r>
          </w:p>
        </w:tc>
        <w:tc>
          <w:tcPr>
            <w:tcW w:w="284" w:type="pct"/>
            <w:tcBorders>
              <w:top w:val="nil"/>
              <w:bottom w:val="nil"/>
            </w:tcBorders>
          </w:tcPr>
          <w:p w14:paraId="50EE4DD7" w14:textId="77777777" w:rsidR="00A340EE" w:rsidRPr="0047058F" w:rsidRDefault="00A340EE" w:rsidP="000D5576">
            <w:pPr>
              <w:pStyle w:val="TableText"/>
              <w:jc w:val="right"/>
            </w:pPr>
            <w:r w:rsidRPr="0047058F">
              <w:rPr>
                <w:rFonts w:eastAsia="Times New Roman" w:cs="Arial"/>
              </w:rPr>
              <w:t>13</w:t>
            </w:r>
          </w:p>
        </w:tc>
        <w:tc>
          <w:tcPr>
            <w:tcW w:w="283" w:type="pct"/>
            <w:tcBorders>
              <w:top w:val="nil"/>
              <w:bottom w:val="nil"/>
            </w:tcBorders>
          </w:tcPr>
          <w:p w14:paraId="612D1548" w14:textId="77777777" w:rsidR="00A340EE" w:rsidRPr="0047058F" w:rsidRDefault="00A340EE" w:rsidP="000D5576">
            <w:pPr>
              <w:pStyle w:val="TableText"/>
              <w:jc w:val="right"/>
            </w:pPr>
            <w:r w:rsidRPr="0047058F">
              <w:rPr>
                <w:rFonts w:eastAsia="Times New Roman" w:cs="Arial"/>
              </w:rPr>
              <w:t>50.0</w:t>
            </w:r>
          </w:p>
        </w:tc>
        <w:tc>
          <w:tcPr>
            <w:tcW w:w="286" w:type="pct"/>
            <w:tcBorders>
              <w:top w:val="nil"/>
              <w:bottom w:val="nil"/>
            </w:tcBorders>
          </w:tcPr>
          <w:p w14:paraId="199665BE" w14:textId="77777777" w:rsidR="00A340EE" w:rsidRPr="0047058F" w:rsidRDefault="00A340EE" w:rsidP="000D5576">
            <w:pPr>
              <w:pStyle w:val="TableText"/>
              <w:jc w:val="right"/>
            </w:pPr>
            <w:r w:rsidRPr="0047058F">
              <w:rPr>
                <w:rFonts w:eastAsia="Times New Roman" w:cs="Arial"/>
              </w:rPr>
              <w:t>13</w:t>
            </w:r>
          </w:p>
        </w:tc>
        <w:tc>
          <w:tcPr>
            <w:tcW w:w="283" w:type="pct"/>
            <w:tcBorders>
              <w:top w:val="nil"/>
              <w:bottom w:val="nil"/>
            </w:tcBorders>
          </w:tcPr>
          <w:p w14:paraId="39C9E3CB" w14:textId="77777777" w:rsidR="00A340EE" w:rsidRPr="0047058F" w:rsidRDefault="00A340EE" w:rsidP="000D5576">
            <w:pPr>
              <w:pStyle w:val="TableText"/>
              <w:jc w:val="right"/>
            </w:pPr>
            <w:r w:rsidRPr="0047058F">
              <w:rPr>
                <w:rFonts w:eastAsia="Times New Roman" w:cs="Arial"/>
              </w:rPr>
              <w:t>27.7</w:t>
            </w:r>
          </w:p>
        </w:tc>
        <w:tc>
          <w:tcPr>
            <w:tcW w:w="283" w:type="pct"/>
            <w:tcBorders>
              <w:top w:val="nil"/>
              <w:bottom w:val="nil"/>
            </w:tcBorders>
          </w:tcPr>
          <w:p w14:paraId="1134BE50" w14:textId="77777777" w:rsidR="00A340EE" w:rsidRPr="0047058F" w:rsidRDefault="00A340EE" w:rsidP="000D5576">
            <w:pPr>
              <w:pStyle w:val="TableText"/>
              <w:jc w:val="right"/>
            </w:pPr>
            <w:r w:rsidRPr="0047058F">
              <w:rPr>
                <w:rFonts w:eastAsia="Times New Roman" w:cs="Arial"/>
              </w:rPr>
              <w:t>34</w:t>
            </w:r>
          </w:p>
        </w:tc>
        <w:tc>
          <w:tcPr>
            <w:tcW w:w="310" w:type="pct"/>
            <w:tcBorders>
              <w:top w:val="nil"/>
              <w:bottom w:val="nil"/>
            </w:tcBorders>
          </w:tcPr>
          <w:p w14:paraId="2F75B531" w14:textId="77777777" w:rsidR="00A340EE" w:rsidRPr="0047058F" w:rsidRDefault="00A340EE" w:rsidP="000D5576">
            <w:pPr>
              <w:pStyle w:val="TableText"/>
              <w:jc w:val="right"/>
            </w:pPr>
            <w:r w:rsidRPr="0047058F">
              <w:rPr>
                <w:rFonts w:eastAsia="Times New Roman" w:cs="Arial"/>
              </w:rPr>
              <w:t>72.3</w:t>
            </w:r>
          </w:p>
        </w:tc>
        <w:tc>
          <w:tcPr>
            <w:tcW w:w="258" w:type="pct"/>
            <w:tcBorders>
              <w:top w:val="nil"/>
              <w:bottom w:val="nil"/>
            </w:tcBorders>
          </w:tcPr>
          <w:p w14:paraId="51B4E022" w14:textId="77777777" w:rsidR="00A340EE" w:rsidRPr="0047058F" w:rsidRDefault="00A340EE" w:rsidP="000D5576">
            <w:pPr>
              <w:pStyle w:val="TableText"/>
              <w:jc w:val="right"/>
            </w:pPr>
            <w:r w:rsidRPr="0047058F">
              <w:rPr>
                <w:rFonts w:eastAsia="Times New Roman" w:cs="Arial"/>
              </w:rPr>
              <w:t>26</w:t>
            </w:r>
          </w:p>
        </w:tc>
        <w:tc>
          <w:tcPr>
            <w:tcW w:w="284" w:type="pct"/>
            <w:tcBorders>
              <w:top w:val="nil"/>
              <w:bottom w:val="nil"/>
            </w:tcBorders>
          </w:tcPr>
          <w:p w14:paraId="23074F32" w14:textId="77777777" w:rsidR="00A340EE" w:rsidRPr="0047058F" w:rsidRDefault="00A340EE" w:rsidP="000D5576">
            <w:pPr>
              <w:pStyle w:val="TableText"/>
              <w:jc w:val="right"/>
            </w:pPr>
            <w:r w:rsidRPr="0047058F">
              <w:rPr>
                <w:rFonts w:eastAsia="Times New Roman" w:cs="Arial"/>
              </w:rPr>
              <w:t>35.6</w:t>
            </w:r>
          </w:p>
        </w:tc>
        <w:tc>
          <w:tcPr>
            <w:tcW w:w="283" w:type="pct"/>
            <w:tcBorders>
              <w:top w:val="nil"/>
              <w:bottom w:val="nil"/>
            </w:tcBorders>
          </w:tcPr>
          <w:p w14:paraId="6A75F8A5" w14:textId="77777777" w:rsidR="00A340EE" w:rsidRPr="0047058F" w:rsidRDefault="00A340EE" w:rsidP="000D5576">
            <w:pPr>
              <w:pStyle w:val="TableText"/>
              <w:jc w:val="right"/>
            </w:pPr>
            <w:r w:rsidRPr="0047058F">
              <w:rPr>
                <w:rFonts w:eastAsia="Times New Roman" w:cs="Arial"/>
              </w:rPr>
              <w:t>47</w:t>
            </w:r>
          </w:p>
        </w:tc>
        <w:tc>
          <w:tcPr>
            <w:tcW w:w="279" w:type="pct"/>
            <w:tcBorders>
              <w:top w:val="nil"/>
              <w:bottom w:val="nil"/>
            </w:tcBorders>
          </w:tcPr>
          <w:p w14:paraId="4AD0B6B8" w14:textId="77777777" w:rsidR="00A340EE" w:rsidRPr="0047058F" w:rsidRDefault="00A340EE" w:rsidP="000D5576">
            <w:pPr>
              <w:pStyle w:val="TableText"/>
              <w:jc w:val="right"/>
            </w:pPr>
            <w:r w:rsidRPr="0047058F">
              <w:rPr>
                <w:rFonts w:eastAsia="Times New Roman" w:cs="Arial"/>
              </w:rPr>
              <w:t>64.4</w:t>
            </w:r>
          </w:p>
        </w:tc>
      </w:tr>
      <w:tr w:rsidR="00A340EE" w:rsidRPr="0047058F" w14:paraId="6FDA9A80"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18DE78F2" w14:textId="77777777" w:rsidR="00A340EE" w:rsidRPr="0047058F" w:rsidRDefault="00A340EE" w:rsidP="000D5576">
            <w:pPr>
              <w:pStyle w:val="TableText"/>
              <w:rPr>
                <w:rFonts w:cs="Calibri"/>
                <w:szCs w:val="14"/>
              </w:rPr>
            </w:pPr>
            <w:r w:rsidRPr="0047058F">
              <w:rPr>
                <w:rFonts w:cs="Calibri"/>
                <w:szCs w:val="14"/>
              </w:rPr>
              <w:t>Generalised anxiety disorder</w:t>
            </w:r>
          </w:p>
        </w:tc>
        <w:tc>
          <w:tcPr>
            <w:tcW w:w="337" w:type="pct"/>
            <w:tcBorders>
              <w:top w:val="nil"/>
              <w:bottom w:val="nil"/>
            </w:tcBorders>
          </w:tcPr>
          <w:p w14:paraId="29D2941D" w14:textId="77777777" w:rsidR="00A340EE" w:rsidRPr="0047058F" w:rsidRDefault="00A340EE" w:rsidP="00F77104">
            <w:pPr>
              <w:pStyle w:val="TableText"/>
            </w:pPr>
            <w:r w:rsidRPr="0047058F">
              <w:t>No</w:t>
            </w:r>
          </w:p>
        </w:tc>
        <w:tc>
          <w:tcPr>
            <w:tcW w:w="284" w:type="pct"/>
            <w:tcBorders>
              <w:top w:val="nil"/>
              <w:bottom w:val="nil"/>
            </w:tcBorders>
          </w:tcPr>
          <w:p w14:paraId="0E88D8DB" w14:textId="77777777" w:rsidR="00A340EE" w:rsidRPr="0047058F" w:rsidRDefault="00A340EE" w:rsidP="000D5576">
            <w:pPr>
              <w:pStyle w:val="TableText"/>
              <w:jc w:val="right"/>
            </w:pPr>
            <w:r w:rsidRPr="0047058F">
              <w:t>797</w:t>
            </w:r>
          </w:p>
        </w:tc>
        <w:tc>
          <w:tcPr>
            <w:tcW w:w="284" w:type="pct"/>
            <w:tcBorders>
              <w:top w:val="nil"/>
              <w:bottom w:val="nil"/>
            </w:tcBorders>
          </w:tcPr>
          <w:p w14:paraId="32F40581" w14:textId="77777777" w:rsidR="00A340EE" w:rsidRPr="0047058F" w:rsidRDefault="00A340EE" w:rsidP="000D5576">
            <w:pPr>
              <w:pStyle w:val="TableText"/>
              <w:jc w:val="right"/>
            </w:pPr>
            <w:r w:rsidRPr="0047058F">
              <w:rPr>
                <w:rFonts w:eastAsia="Times New Roman" w:cs="Arial"/>
              </w:rPr>
              <w:t>11</w:t>
            </w:r>
          </w:p>
        </w:tc>
        <w:tc>
          <w:tcPr>
            <w:tcW w:w="283" w:type="pct"/>
            <w:tcBorders>
              <w:top w:val="nil"/>
              <w:bottom w:val="nil"/>
            </w:tcBorders>
          </w:tcPr>
          <w:p w14:paraId="5683E554" w14:textId="77777777" w:rsidR="00A340EE" w:rsidRPr="0047058F" w:rsidRDefault="00A340EE" w:rsidP="000D5576">
            <w:pPr>
              <w:pStyle w:val="TableText"/>
              <w:jc w:val="right"/>
            </w:pPr>
            <w:r w:rsidRPr="0047058F">
              <w:rPr>
                <w:rFonts w:eastAsia="Times New Roman" w:cs="Arial"/>
              </w:rPr>
              <w:t>4.4</w:t>
            </w:r>
          </w:p>
        </w:tc>
        <w:tc>
          <w:tcPr>
            <w:tcW w:w="284" w:type="pct"/>
            <w:tcBorders>
              <w:top w:val="nil"/>
              <w:bottom w:val="nil"/>
            </w:tcBorders>
          </w:tcPr>
          <w:p w14:paraId="1D019B96" w14:textId="77777777" w:rsidR="00A340EE" w:rsidRPr="0047058F" w:rsidRDefault="00A340EE" w:rsidP="000D5576">
            <w:pPr>
              <w:pStyle w:val="TableText"/>
              <w:jc w:val="right"/>
            </w:pPr>
            <w:r w:rsidRPr="0047058F">
              <w:rPr>
                <w:rFonts w:eastAsia="Times New Roman" w:cs="Arial"/>
              </w:rPr>
              <w:t>238</w:t>
            </w:r>
          </w:p>
        </w:tc>
        <w:tc>
          <w:tcPr>
            <w:tcW w:w="283" w:type="pct"/>
            <w:tcBorders>
              <w:top w:val="nil"/>
              <w:bottom w:val="nil"/>
            </w:tcBorders>
          </w:tcPr>
          <w:p w14:paraId="61BA9BB0" w14:textId="77777777" w:rsidR="00A340EE" w:rsidRPr="0047058F" w:rsidRDefault="00A340EE" w:rsidP="000D5576">
            <w:pPr>
              <w:pStyle w:val="TableText"/>
              <w:jc w:val="right"/>
            </w:pPr>
            <w:r w:rsidRPr="0047058F">
              <w:rPr>
                <w:rFonts w:eastAsia="Times New Roman" w:cs="Arial"/>
              </w:rPr>
              <w:t>95.6</w:t>
            </w:r>
          </w:p>
        </w:tc>
        <w:tc>
          <w:tcPr>
            <w:tcW w:w="286" w:type="pct"/>
            <w:tcBorders>
              <w:top w:val="nil"/>
              <w:bottom w:val="nil"/>
            </w:tcBorders>
          </w:tcPr>
          <w:p w14:paraId="4EF392BE" w14:textId="77777777" w:rsidR="00A340EE" w:rsidRPr="0047058F" w:rsidRDefault="00A340EE" w:rsidP="000D5576">
            <w:pPr>
              <w:pStyle w:val="TableText"/>
              <w:jc w:val="right"/>
            </w:pPr>
            <w:r w:rsidRPr="0047058F">
              <w:rPr>
                <w:rFonts w:eastAsia="Times New Roman" w:cs="Arial"/>
              </w:rPr>
              <w:t>28</w:t>
            </w:r>
          </w:p>
        </w:tc>
        <w:tc>
          <w:tcPr>
            <w:tcW w:w="283" w:type="pct"/>
            <w:tcBorders>
              <w:top w:val="nil"/>
              <w:bottom w:val="nil"/>
            </w:tcBorders>
          </w:tcPr>
          <w:p w14:paraId="71515AC3" w14:textId="77777777" w:rsidR="00A340EE" w:rsidRPr="0047058F" w:rsidRDefault="00A340EE" w:rsidP="000D5576">
            <w:pPr>
              <w:pStyle w:val="TableText"/>
              <w:jc w:val="right"/>
            </w:pPr>
            <w:r w:rsidRPr="0047058F">
              <w:rPr>
                <w:rFonts w:eastAsia="Times New Roman" w:cs="Arial"/>
              </w:rPr>
              <w:t>5.1</w:t>
            </w:r>
          </w:p>
        </w:tc>
        <w:tc>
          <w:tcPr>
            <w:tcW w:w="283" w:type="pct"/>
            <w:tcBorders>
              <w:top w:val="nil"/>
              <w:bottom w:val="nil"/>
            </w:tcBorders>
          </w:tcPr>
          <w:p w14:paraId="5913DF94" w14:textId="77777777" w:rsidR="00A340EE" w:rsidRPr="0047058F" w:rsidRDefault="00A340EE" w:rsidP="000D5576">
            <w:pPr>
              <w:pStyle w:val="TableText"/>
              <w:jc w:val="right"/>
            </w:pPr>
            <w:r w:rsidRPr="0047058F">
              <w:rPr>
                <w:rFonts w:eastAsia="Times New Roman" w:cs="Arial"/>
              </w:rPr>
              <w:t>520</w:t>
            </w:r>
          </w:p>
        </w:tc>
        <w:tc>
          <w:tcPr>
            <w:tcW w:w="310" w:type="pct"/>
            <w:tcBorders>
              <w:top w:val="nil"/>
              <w:bottom w:val="nil"/>
            </w:tcBorders>
          </w:tcPr>
          <w:p w14:paraId="6A750A9A" w14:textId="77777777" w:rsidR="00A340EE" w:rsidRPr="0047058F" w:rsidRDefault="00A340EE" w:rsidP="000D5576">
            <w:pPr>
              <w:pStyle w:val="TableText"/>
              <w:jc w:val="right"/>
            </w:pPr>
            <w:r w:rsidRPr="0047058F">
              <w:rPr>
                <w:rFonts w:eastAsia="Times New Roman" w:cs="Arial"/>
              </w:rPr>
              <w:t>94.9</w:t>
            </w:r>
          </w:p>
        </w:tc>
        <w:tc>
          <w:tcPr>
            <w:tcW w:w="258" w:type="pct"/>
            <w:tcBorders>
              <w:top w:val="nil"/>
              <w:bottom w:val="nil"/>
            </w:tcBorders>
          </w:tcPr>
          <w:p w14:paraId="2724ADFB" w14:textId="77777777" w:rsidR="00A340EE" w:rsidRPr="0047058F" w:rsidRDefault="00A340EE" w:rsidP="000D5576">
            <w:pPr>
              <w:pStyle w:val="TableText"/>
              <w:jc w:val="right"/>
            </w:pPr>
            <w:r w:rsidRPr="0047058F">
              <w:rPr>
                <w:rFonts w:eastAsia="Times New Roman" w:cs="Arial"/>
              </w:rPr>
              <w:t>39</w:t>
            </w:r>
          </w:p>
        </w:tc>
        <w:tc>
          <w:tcPr>
            <w:tcW w:w="284" w:type="pct"/>
            <w:tcBorders>
              <w:top w:val="nil"/>
              <w:bottom w:val="nil"/>
            </w:tcBorders>
          </w:tcPr>
          <w:p w14:paraId="45334F93" w14:textId="77777777" w:rsidR="00A340EE" w:rsidRPr="0047058F" w:rsidRDefault="00A340EE" w:rsidP="000D5576">
            <w:pPr>
              <w:pStyle w:val="TableText"/>
              <w:jc w:val="right"/>
            </w:pPr>
            <w:r w:rsidRPr="0047058F">
              <w:rPr>
                <w:rFonts w:eastAsia="Times New Roman" w:cs="Arial"/>
              </w:rPr>
              <w:t>4.9</w:t>
            </w:r>
          </w:p>
        </w:tc>
        <w:tc>
          <w:tcPr>
            <w:tcW w:w="283" w:type="pct"/>
            <w:tcBorders>
              <w:top w:val="nil"/>
              <w:bottom w:val="nil"/>
            </w:tcBorders>
          </w:tcPr>
          <w:p w14:paraId="5C8088A0" w14:textId="77777777" w:rsidR="00A340EE" w:rsidRPr="0047058F" w:rsidRDefault="00A340EE" w:rsidP="000D5576">
            <w:pPr>
              <w:pStyle w:val="TableText"/>
              <w:jc w:val="right"/>
            </w:pPr>
            <w:r w:rsidRPr="0047058F">
              <w:rPr>
                <w:rFonts w:eastAsia="Times New Roman" w:cs="Arial"/>
              </w:rPr>
              <w:t>758</w:t>
            </w:r>
          </w:p>
        </w:tc>
        <w:tc>
          <w:tcPr>
            <w:tcW w:w="279" w:type="pct"/>
            <w:tcBorders>
              <w:top w:val="nil"/>
              <w:bottom w:val="nil"/>
            </w:tcBorders>
          </w:tcPr>
          <w:p w14:paraId="4A06543E" w14:textId="77777777" w:rsidR="00A340EE" w:rsidRPr="0047058F" w:rsidRDefault="00A340EE" w:rsidP="000D5576">
            <w:pPr>
              <w:pStyle w:val="TableText"/>
              <w:jc w:val="right"/>
            </w:pPr>
            <w:r w:rsidRPr="0047058F">
              <w:rPr>
                <w:rFonts w:eastAsia="Times New Roman" w:cs="Arial"/>
              </w:rPr>
              <w:t>95.1</w:t>
            </w:r>
          </w:p>
        </w:tc>
      </w:tr>
      <w:tr w:rsidR="003876A3" w:rsidRPr="0047058F" w14:paraId="73EE2E46" w14:textId="77777777" w:rsidTr="000D5576">
        <w:tc>
          <w:tcPr>
            <w:tcW w:w="979" w:type="pct"/>
            <w:vMerge/>
            <w:tcBorders>
              <w:top w:val="nil"/>
              <w:bottom w:val="nil"/>
            </w:tcBorders>
            <w:shd w:val="clear" w:color="auto" w:fill="C1D9FF"/>
          </w:tcPr>
          <w:p w14:paraId="30660162"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544FE132"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177F17C7" w14:textId="77777777" w:rsidR="00A340EE" w:rsidRPr="0047058F" w:rsidRDefault="00A340EE" w:rsidP="000D5576">
            <w:pPr>
              <w:pStyle w:val="TableText"/>
              <w:jc w:val="right"/>
            </w:pPr>
            <w:r w:rsidRPr="0047058F">
              <w:t>23</w:t>
            </w:r>
          </w:p>
        </w:tc>
        <w:tc>
          <w:tcPr>
            <w:tcW w:w="284" w:type="pct"/>
            <w:tcBorders>
              <w:top w:val="nil"/>
              <w:bottom w:val="nil"/>
            </w:tcBorders>
            <w:shd w:val="clear" w:color="auto" w:fill="C1D9FF"/>
          </w:tcPr>
          <w:p w14:paraId="01BFF441" w14:textId="77777777" w:rsidR="00A340EE" w:rsidRPr="0047058F" w:rsidRDefault="00A340EE" w:rsidP="000D5576">
            <w:pPr>
              <w:pStyle w:val="TableText"/>
              <w:jc w:val="right"/>
            </w:pPr>
            <w:r w:rsidRPr="0047058F">
              <w:rPr>
                <w:rFonts w:eastAsia="Times New Roman" w:cs="Arial"/>
              </w:rPr>
              <w:t>2</w:t>
            </w:r>
          </w:p>
        </w:tc>
        <w:tc>
          <w:tcPr>
            <w:tcW w:w="283" w:type="pct"/>
            <w:tcBorders>
              <w:top w:val="nil"/>
              <w:bottom w:val="nil"/>
            </w:tcBorders>
            <w:shd w:val="clear" w:color="auto" w:fill="C1D9FF"/>
          </w:tcPr>
          <w:p w14:paraId="3C0A159D" w14:textId="77777777" w:rsidR="00A340EE" w:rsidRPr="0047058F" w:rsidRDefault="00A340EE" w:rsidP="000D5576">
            <w:pPr>
              <w:pStyle w:val="TableText"/>
              <w:jc w:val="right"/>
            </w:pPr>
            <w:r w:rsidRPr="0047058F">
              <w:rPr>
                <w:rFonts w:eastAsia="Times New Roman" w:cs="Arial"/>
              </w:rPr>
              <w:t>16.7</w:t>
            </w:r>
          </w:p>
        </w:tc>
        <w:tc>
          <w:tcPr>
            <w:tcW w:w="284" w:type="pct"/>
            <w:tcBorders>
              <w:top w:val="nil"/>
              <w:bottom w:val="nil"/>
            </w:tcBorders>
            <w:shd w:val="clear" w:color="auto" w:fill="C1D9FF"/>
          </w:tcPr>
          <w:p w14:paraId="69EC041F" w14:textId="77777777" w:rsidR="00A340EE" w:rsidRPr="0047058F" w:rsidRDefault="00A340EE" w:rsidP="000D5576">
            <w:pPr>
              <w:pStyle w:val="TableText"/>
              <w:jc w:val="right"/>
            </w:pPr>
            <w:r w:rsidRPr="0047058F">
              <w:rPr>
                <w:rFonts w:eastAsia="Times New Roman" w:cs="Arial"/>
              </w:rPr>
              <w:t>10</w:t>
            </w:r>
          </w:p>
        </w:tc>
        <w:tc>
          <w:tcPr>
            <w:tcW w:w="283" w:type="pct"/>
            <w:tcBorders>
              <w:top w:val="nil"/>
              <w:bottom w:val="nil"/>
            </w:tcBorders>
            <w:shd w:val="clear" w:color="auto" w:fill="C1D9FF"/>
          </w:tcPr>
          <w:p w14:paraId="1E67132C" w14:textId="77777777" w:rsidR="00A340EE" w:rsidRPr="0047058F" w:rsidRDefault="00A340EE" w:rsidP="000D5576">
            <w:pPr>
              <w:pStyle w:val="TableText"/>
              <w:jc w:val="right"/>
            </w:pPr>
            <w:r w:rsidRPr="0047058F">
              <w:rPr>
                <w:rFonts w:eastAsia="Times New Roman" w:cs="Arial"/>
              </w:rPr>
              <w:t>83.3</w:t>
            </w:r>
          </w:p>
        </w:tc>
        <w:tc>
          <w:tcPr>
            <w:tcW w:w="286" w:type="pct"/>
            <w:tcBorders>
              <w:top w:val="nil"/>
              <w:bottom w:val="nil"/>
            </w:tcBorders>
            <w:shd w:val="clear" w:color="auto" w:fill="C1D9FF"/>
          </w:tcPr>
          <w:p w14:paraId="735746C3" w14:textId="77777777" w:rsidR="00A340EE" w:rsidRPr="0047058F" w:rsidRDefault="00A340EE" w:rsidP="000D5576">
            <w:pPr>
              <w:pStyle w:val="TableText"/>
              <w:jc w:val="right"/>
            </w:pPr>
            <w:r w:rsidRPr="0047058F">
              <w:rPr>
                <w:rFonts w:eastAsia="Times New Roman" w:cs="Arial"/>
              </w:rPr>
              <w:t>3</w:t>
            </w:r>
          </w:p>
        </w:tc>
        <w:tc>
          <w:tcPr>
            <w:tcW w:w="283" w:type="pct"/>
            <w:tcBorders>
              <w:top w:val="nil"/>
              <w:bottom w:val="nil"/>
            </w:tcBorders>
            <w:shd w:val="clear" w:color="auto" w:fill="C1D9FF"/>
          </w:tcPr>
          <w:p w14:paraId="7642A77D" w14:textId="77777777" w:rsidR="00A340EE" w:rsidRPr="0047058F" w:rsidRDefault="00A340EE" w:rsidP="000D5576">
            <w:pPr>
              <w:pStyle w:val="TableText"/>
              <w:jc w:val="right"/>
            </w:pPr>
            <w:r w:rsidRPr="0047058F">
              <w:rPr>
                <w:rFonts w:eastAsia="Times New Roman" w:cs="Arial"/>
              </w:rPr>
              <w:t>27.3</w:t>
            </w:r>
          </w:p>
        </w:tc>
        <w:tc>
          <w:tcPr>
            <w:tcW w:w="283" w:type="pct"/>
            <w:tcBorders>
              <w:top w:val="nil"/>
              <w:bottom w:val="nil"/>
            </w:tcBorders>
            <w:shd w:val="clear" w:color="auto" w:fill="C1D9FF"/>
          </w:tcPr>
          <w:p w14:paraId="762061F7" w14:textId="77777777" w:rsidR="00A340EE" w:rsidRPr="0047058F" w:rsidRDefault="00A340EE" w:rsidP="000D5576">
            <w:pPr>
              <w:pStyle w:val="TableText"/>
              <w:jc w:val="right"/>
            </w:pPr>
            <w:r w:rsidRPr="0047058F">
              <w:rPr>
                <w:rFonts w:eastAsia="Times New Roman" w:cs="Arial"/>
              </w:rPr>
              <w:t>8</w:t>
            </w:r>
          </w:p>
        </w:tc>
        <w:tc>
          <w:tcPr>
            <w:tcW w:w="310" w:type="pct"/>
            <w:tcBorders>
              <w:top w:val="nil"/>
              <w:bottom w:val="nil"/>
            </w:tcBorders>
            <w:shd w:val="clear" w:color="auto" w:fill="C1D9FF"/>
          </w:tcPr>
          <w:p w14:paraId="535B2ECD" w14:textId="77777777" w:rsidR="00A340EE" w:rsidRPr="0047058F" w:rsidRDefault="00A340EE" w:rsidP="000D5576">
            <w:pPr>
              <w:pStyle w:val="TableText"/>
              <w:jc w:val="right"/>
            </w:pPr>
            <w:r w:rsidRPr="0047058F">
              <w:rPr>
                <w:rFonts w:eastAsia="Times New Roman" w:cs="Arial"/>
              </w:rPr>
              <w:t>72.7</w:t>
            </w:r>
          </w:p>
        </w:tc>
        <w:tc>
          <w:tcPr>
            <w:tcW w:w="258" w:type="pct"/>
            <w:tcBorders>
              <w:top w:val="nil"/>
              <w:bottom w:val="nil"/>
            </w:tcBorders>
            <w:shd w:val="clear" w:color="auto" w:fill="C1D9FF"/>
          </w:tcPr>
          <w:p w14:paraId="6C1F41DE" w14:textId="77777777" w:rsidR="00A340EE" w:rsidRPr="0047058F" w:rsidRDefault="00A340EE" w:rsidP="000D5576">
            <w:pPr>
              <w:pStyle w:val="TableText"/>
              <w:jc w:val="right"/>
            </w:pPr>
            <w:r w:rsidRPr="0047058F">
              <w:rPr>
                <w:rFonts w:eastAsia="Times New Roman" w:cs="Arial"/>
              </w:rPr>
              <w:t>5</w:t>
            </w:r>
          </w:p>
        </w:tc>
        <w:tc>
          <w:tcPr>
            <w:tcW w:w="284" w:type="pct"/>
            <w:tcBorders>
              <w:top w:val="nil"/>
              <w:bottom w:val="nil"/>
            </w:tcBorders>
            <w:shd w:val="clear" w:color="auto" w:fill="C1D9FF"/>
          </w:tcPr>
          <w:p w14:paraId="062EC1DC" w14:textId="77777777" w:rsidR="00A340EE" w:rsidRPr="0047058F" w:rsidRDefault="00A340EE" w:rsidP="000D5576">
            <w:pPr>
              <w:pStyle w:val="TableText"/>
              <w:jc w:val="right"/>
            </w:pPr>
            <w:r w:rsidRPr="0047058F">
              <w:rPr>
                <w:rFonts w:eastAsia="Times New Roman" w:cs="Arial"/>
              </w:rPr>
              <w:t>21.7</w:t>
            </w:r>
          </w:p>
        </w:tc>
        <w:tc>
          <w:tcPr>
            <w:tcW w:w="283" w:type="pct"/>
            <w:tcBorders>
              <w:top w:val="nil"/>
              <w:bottom w:val="nil"/>
            </w:tcBorders>
            <w:shd w:val="clear" w:color="auto" w:fill="C1D9FF"/>
          </w:tcPr>
          <w:p w14:paraId="4ACFD117" w14:textId="77777777" w:rsidR="00A340EE" w:rsidRPr="0047058F" w:rsidRDefault="00A340EE" w:rsidP="000D5576">
            <w:pPr>
              <w:pStyle w:val="TableText"/>
              <w:jc w:val="right"/>
            </w:pPr>
            <w:r w:rsidRPr="0047058F">
              <w:rPr>
                <w:rFonts w:eastAsia="Times New Roman" w:cs="Arial"/>
              </w:rPr>
              <w:t>18</w:t>
            </w:r>
          </w:p>
        </w:tc>
        <w:tc>
          <w:tcPr>
            <w:tcW w:w="279" w:type="pct"/>
            <w:tcBorders>
              <w:top w:val="nil"/>
              <w:bottom w:val="nil"/>
            </w:tcBorders>
            <w:shd w:val="clear" w:color="auto" w:fill="C1D9FF"/>
          </w:tcPr>
          <w:p w14:paraId="219533BA" w14:textId="77777777" w:rsidR="00A340EE" w:rsidRPr="0047058F" w:rsidRDefault="00A340EE" w:rsidP="000D5576">
            <w:pPr>
              <w:pStyle w:val="TableText"/>
              <w:jc w:val="right"/>
            </w:pPr>
            <w:r w:rsidRPr="0047058F">
              <w:rPr>
                <w:rFonts w:eastAsia="Times New Roman" w:cs="Arial"/>
              </w:rPr>
              <w:t>78.3</w:t>
            </w:r>
          </w:p>
        </w:tc>
      </w:tr>
      <w:tr w:rsidR="000D5576" w:rsidRPr="0047058F" w14:paraId="61FC7E8A"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13722D1E" w14:textId="77777777" w:rsidR="00A340EE" w:rsidRPr="0047058F" w:rsidRDefault="00A340EE" w:rsidP="000D5576">
            <w:pPr>
              <w:pStyle w:val="TableText"/>
              <w:rPr>
                <w:rFonts w:cs="Calibri"/>
                <w:szCs w:val="14"/>
              </w:rPr>
            </w:pPr>
            <w:r w:rsidRPr="0047058F">
              <w:rPr>
                <w:rFonts w:cs="Calibri"/>
                <w:szCs w:val="14"/>
              </w:rPr>
              <w:t>Obsessive-compulsive disorder</w:t>
            </w:r>
          </w:p>
        </w:tc>
        <w:tc>
          <w:tcPr>
            <w:tcW w:w="337" w:type="pct"/>
            <w:tcBorders>
              <w:top w:val="nil"/>
              <w:bottom w:val="nil"/>
            </w:tcBorders>
            <w:shd w:val="clear" w:color="auto" w:fill="auto"/>
          </w:tcPr>
          <w:p w14:paraId="1E398AC7"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208DB495" w14:textId="77777777" w:rsidR="00A340EE" w:rsidRPr="0047058F" w:rsidRDefault="00A340EE" w:rsidP="000D5576">
            <w:pPr>
              <w:pStyle w:val="TableText"/>
              <w:jc w:val="right"/>
            </w:pPr>
            <w:r w:rsidRPr="0047058F">
              <w:t>788</w:t>
            </w:r>
          </w:p>
        </w:tc>
        <w:tc>
          <w:tcPr>
            <w:tcW w:w="284" w:type="pct"/>
            <w:tcBorders>
              <w:top w:val="nil"/>
              <w:bottom w:val="nil"/>
            </w:tcBorders>
            <w:shd w:val="clear" w:color="auto" w:fill="auto"/>
          </w:tcPr>
          <w:p w14:paraId="77558C1F" w14:textId="77777777" w:rsidR="00A340EE" w:rsidRPr="0047058F" w:rsidRDefault="00A340EE" w:rsidP="000D5576">
            <w:pPr>
              <w:pStyle w:val="TableText"/>
              <w:jc w:val="right"/>
            </w:pPr>
            <w:r w:rsidRPr="0047058F">
              <w:rPr>
                <w:rFonts w:eastAsia="Times New Roman" w:cs="Arial"/>
              </w:rPr>
              <w:t>8</w:t>
            </w:r>
          </w:p>
        </w:tc>
        <w:tc>
          <w:tcPr>
            <w:tcW w:w="283" w:type="pct"/>
            <w:tcBorders>
              <w:top w:val="nil"/>
              <w:bottom w:val="nil"/>
            </w:tcBorders>
            <w:shd w:val="clear" w:color="auto" w:fill="auto"/>
          </w:tcPr>
          <w:p w14:paraId="27ED72DB" w14:textId="77777777" w:rsidR="00A340EE" w:rsidRPr="0047058F" w:rsidRDefault="00A340EE" w:rsidP="000D5576">
            <w:pPr>
              <w:pStyle w:val="TableText"/>
              <w:jc w:val="right"/>
            </w:pPr>
            <w:r w:rsidRPr="0047058F">
              <w:rPr>
                <w:rFonts w:eastAsia="Times New Roman" w:cs="Arial"/>
              </w:rPr>
              <w:t>3.2</w:t>
            </w:r>
          </w:p>
        </w:tc>
        <w:tc>
          <w:tcPr>
            <w:tcW w:w="284" w:type="pct"/>
            <w:tcBorders>
              <w:top w:val="nil"/>
              <w:bottom w:val="nil"/>
            </w:tcBorders>
            <w:shd w:val="clear" w:color="auto" w:fill="auto"/>
          </w:tcPr>
          <w:p w14:paraId="5B5BFD1F" w14:textId="77777777" w:rsidR="00A340EE" w:rsidRPr="0047058F" w:rsidRDefault="00A340EE" w:rsidP="000D5576">
            <w:pPr>
              <w:pStyle w:val="TableText"/>
              <w:jc w:val="right"/>
            </w:pPr>
            <w:r w:rsidRPr="0047058F">
              <w:rPr>
                <w:rFonts w:eastAsia="Times New Roman" w:cs="Arial"/>
              </w:rPr>
              <w:t>244</w:t>
            </w:r>
          </w:p>
        </w:tc>
        <w:tc>
          <w:tcPr>
            <w:tcW w:w="283" w:type="pct"/>
            <w:tcBorders>
              <w:top w:val="nil"/>
              <w:bottom w:val="nil"/>
            </w:tcBorders>
            <w:shd w:val="clear" w:color="auto" w:fill="auto"/>
          </w:tcPr>
          <w:p w14:paraId="730A65A0" w14:textId="77777777" w:rsidR="00A340EE" w:rsidRPr="0047058F" w:rsidRDefault="00A340EE" w:rsidP="000D5576">
            <w:pPr>
              <w:pStyle w:val="TableText"/>
              <w:jc w:val="right"/>
            </w:pPr>
            <w:r w:rsidRPr="0047058F">
              <w:rPr>
                <w:rFonts w:eastAsia="Times New Roman" w:cs="Arial"/>
              </w:rPr>
              <w:t>96.8</w:t>
            </w:r>
          </w:p>
        </w:tc>
        <w:tc>
          <w:tcPr>
            <w:tcW w:w="286" w:type="pct"/>
            <w:tcBorders>
              <w:top w:val="nil"/>
              <w:bottom w:val="nil"/>
            </w:tcBorders>
            <w:shd w:val="clear" w:color="auto" w:fill="auto"/>
          </w:tcPr>
          <w:p w14:paraId="70E9A362" w14:textId="77777777" w:rsidR="00A340EE" w:rsidRPr="0047058F" w:rsidRDefault="00A340EE" w:rsidP="000D5576">
            <w:pPr>
              <w:pStyle w:val="TableText"/>
              <w:jc w:val="right"/>
            </w:pPr>
            <w:r w:rsidRPr="0047058F">
              <w:rPr>
                <w:rFonts w:eastAsia="Times New Roman" w:cs="Arial"/>
              </w:rPr>
              <w:t>21</w:t>
            </w:r>
          </w:p>
        </w:tc>
        <w:tc>
          <w:tcPr>
            <w:tcW w:w="283" w:type="pct"/>
            <w:tcBorders>
              <w:top w:val="nil"/>
              <w:bottom w:val="nil"/>
            </w:tcBorders>
            <w:shd w:val="clear" w:color="auto" w:fill="auto"/>
          </w:tcPr>
          <w:p w14:paraId="4E2DD4F8" w14:textId="77777777" w:rsidR="00A340EE" w:rsidRPr="0047058F" w:rsidRDefault="00A340EE" w:rsidP="000D5576">
            <w:pPr>
              <w:pStyle w:val="TableText"/>
              <w:jc w:val="right"/>
            </w:pPr>
            <w:r w:rsidRPr="0047058F">
              <w:rPr>
                <w:rFonts w:eastAsia="Times New Roman" w:cs="Arial"/>
              </w:rPr>
              <w:t>3.9</w:t>
            </w:r>
          </w:p>
        </w:tc>
        <w:tc>
          <w:tcPr>
            <w:tcW w:w="283" w:type="pct"/>
            <w:tcBorders>
              <w:top w:val="nil"/>
              <w:bottom w:val="nil"/>
            </w:tcBorders>
            <w:shd w:val="clear" w:color="auto" w:fill="auto"/>
          </w:tcPr>
          <w:p w14:paraId="4F501D5D" w14:textId="77777777" w:rsidR="00A340EE" w:rsidRPr="0047058F" w:rsidRDefault="00A340EE" w:rsidP="000D5576">
            <w:pPr>
              <w:pStyle w:val="TableText"/>
              <w:jc w:val="right"/>
            </w:pPr>
            <w:r w:rsidRPr="0047058F">
              <w:rPr>
                <w:rFonts w:eastAsia="Times New Roman" w:cs="Arial"/>
              </w:rPr>
              <w:t>515</w:t>
            </w:r>
          </w:p>
        </w:tc>
        <w:tc>
          <w:tcPr>
            <w:tcW w:w="310" w:type="pct"/>
            <w:tcBorders>
              <w:top w:val="nil"/>
              <w:bottom w:val="nil"/>
            </w:tcBorders>
            <w:shd w:val="clear" w:color="auto" w:fill="auto"/>
          </w:tcPr>
          <w:p w14:paraId="4F834882" w14:textId="77777777" w:rsidR="00A340EE" w:rsidRPr="0047058F" w:rsidRDefault="00A340EE" w:rsidP="000D5576">
            <w:pPr>
              <w:pStyle w:val="TableText"/>
              <w:jc w:val="right"/>
            </w:pPr>
            <w:r w:rsidRPr="0047058F">
              <w:rPr>
                <w:rFonts w:eastAsia="Times New Roman" w:cs="Arial"/>
              </w:rPr>
              <w:t>96.1</w:t>
            </w:r>
          </w:p>
        </w:tc>
        <w:tc>
          <w:tcPr>
            <w:tcW w:w="258" w:type="pct"/>
            <w:tcBorders>
              <w:top w:val="nil"/>
              <w:bottom w:val="nil"/>
            </w:tcBorders>
            <w:shd w:val="clear" w:color="auto" w:fill="auto"/>
          </w:tcPr>
          <w:p w14:paraId="7A818741" w14:textId="77777777" w:rsidR="00A340EE" w:rsidRPr="0047058F" w:rsidRDefault="00A340EE" w:rsidP="000D5576">
            <w:pPr>
              <w:pStyle w:val="TableText"/>
              <w:jc w:val="right"/>
            </w:pPr>
            <w:r w:rsidRPr="0047058F">
              <w:rPr>
                <w:rFonts w:eastAsia="Times New Roman" w:cs="Arial"/>
              </w:rPr>
              <w:t>29</w:t>
            </w:r>
          </w:p>
        </w:tc>
        <w:tc>
          <w:tcPr>
            <w:tcW w:w="284" w:type="pct"/>
            <w:tcBorders>
              <w:top w:val="nil"/>
              <w:bottom w:val="nil"/>
            </w:tcBorders>
            <w:shd w:val="clear" w:color="auto" w:fill="auto"/>
          </w:tcPr>
          <w:p w14:paraId="562EB542" w14:textId="77777777" w:rsidR="00A340EE" w:rsidRPr="0047058F" w:rsidRDefault="00A340EE" w:rsidP="000D5576">
            <w:pPr>
              <w:pStyle w:val="TableText"/>
              <w:jc w:val="right"/>
            </w:pPr>
            <w:r w:rsidRPr="0047058F">
              <w:rPr>
                <w:rFonts w:eastAsia="Times New Roman" w:cs="Arial"/>
              </w:rPr>
              <w:t>3.7</w:t>
            </w:r>
          </w:p>
        </w:tc>
        <w:tc>
          <w:tcPr>
            <w:tcW w:w="283" w:type="pct"/>
            <w:tcBorders>
              <w:top w:val="nil"/>
              <w:bottom w:val="nil"/>
            </w:tcBorders>
            <w:shd w:val="clear" w:color="auto" w:fill="auto"/>
          </w:tcPr>
          <w:p w14:paraId="58EC8D80" w14:textId="77777777" w:rsidR="00A340EE" w:rsidRPr="0047058F" w:rsidRDefault="00A340EE" w:rsidP="000D5576">
            <w:pPr>
              <w:pStyle w:val="TableText"/>
              <w:jc w:val="right"/>
            </w:pPr>
            <w:r w:rsidRPr="0047058F">
              <w:rPr>
                <w:rFonts w:eastAsia="Times New Roman" w:cs="Arial"/>
              </w:rPr>
              <w:t>759</w:t>
            </w:r>
          </w:p>
        </w:tc>
        <w:tc>
          <w:tcPr>
            <w:tcW w:w="279" w:type="pct"/>
            <w:tcBorders>
              <w:top w:val="nil"/>
              <w:bottom w:val="nil"/>
            </w:tcBorders>
            <w:shd w:val="clear" w:color="auto" w:fill="auto"/>
          </w:tcPr>
          <w:p w14:paraId="05FD5041" w14:textId="77777777" w:rsidR="00A340EE" w:rsidRPr="0047058F" w:rsidRDefault="00A340EE" w:rsidP="000D5576">
            <w:pPr>
              <w:pStyle w:val="TableText"/>
              <w:jc w:val="right"/>
            </w:pPr>
            <w:r w:rsidRPr="0047058F">
              <w:rPr>
                <w:rFonts w:eastAsia="Times New Roman" w:cs="Arial"/>
              </w:rPr>
              <w:t>96.3</w:t>
            </w:r>
          </w:p>
        </w:tc>
      </w:tr>
      <w:tr w:rsidR="00A340EE" w:rsidRPr="0047058F" w14:paraId="649D7092" w14:textId="77777777" w:rsidTr="0035755E">
        <w:tc>
          <w:tcPr>
            <w:tcW w:w="979" w:type="pct"/>
            <w:vMerge/>
            <w:tcBorders>
              <w:top w:val="nil"/>
              <w:bottom w:val="nil"/>
            </w:tcBorders>
          </w:tcPr>
          <w:p w14:paraId="2E8F656D" w14:textId="77777777" w:rsidR="00A340EE" w:rsidRPr="0047058F" w:rsidRDefault="00A340EE" w:rsidP="000D5576">
            <w:pPr>
              <w:pStyle w:val="TableText"/>
              <w:rPr>
                <w:rFonts w:cs="Calibri"/>
                <w:szCs w:val="14"/>
              </w:rPr>
            </w:pPr>
          </w:p>
        </w:tc>
        <w:tc>
          <w:tcPr>
            <w:tcW w:w="337" w:type="pct"/>
            <w:tcBorders>
              <w:top w:val="nil"/>
              <w:bottom w:val="nil"/>
            </w:tcBorders>
          </w:tcPr>
          <w:p w14:paraId="4E32D2A6" w14:textId="77777777" w:rsidR="00A340EE" w:rsidRPr="0047058F" w:rsidRDefault="00A340EE" w:rsidP="00F77104">
            <w:pPr>
              <w:pStyle w:val="TableText"/>
            </w:pPr>
            <w:r w:rsidRPr="0047058F">
              <w:t>Yes</w:t>
            </w:r>
          </w:p>
        </w:tc>
        <w:tc>
          <w:tcPr>
            <w:tcW w:w="284" w:type="pct"/>
            <w:tcBorders>
              <w:top w:val="nil"/>
              <w:bottom w:val="nil"/>
            </w:tcBorders>
          </w:tcPr>
          <w:p w14:paraId="0EC81229" w14:textId="77777777" w:rsidR="00A340EE" w:rsidRPr="0047058F" w:rsidRDefault="00A340EE" w:rsidP="000D5576">
            <w:pPr>
              <w:pStyle w:val="TableText"/>
              <w:jc w:val="right"/>
            </w:pPr>
            <w:r w:rsidRPr="0047058F">
              <w:t>32</w:t>
            </w:r>
          </w:p>
        </w:tc>
        <w:tc>
          <w:tcPr>
            <w:tcW w:w="284" w:type="pct"/>
            <w:tcBorders>
              <w:top w:val="nil"/>
              <w:bottom w:val="nil"/>
            </w:tcBorders>
          </w:tcPr>
          <w:p w14:paraId="2C6D58EE" w14:textId="77777777" w:rsidR="00A340EE" w:rsidRPr="0047058F" w:rsidRDefault="00A340EE" w:rsidP="000D5576">
            <w:pPr>
              <w:pStyle w:val="TableText"/>
              <w:jc w:val="right"/>
            </w:pPr>
            <w:r w:rsidRPr="0047058F">
              <w:rPr>
                <w:rFonts w:eastAsia="Times New Roman" w:cs="Arial"/>
              </w:rPr>
              <w:t>2</w:t>
            </w:r>
          </w:p>
        </w:tc>
        <w:tc>
          <w:tcPr>
            <w:tcW w:w="283" w:type="pct"/>
            <w:tcBorders>
              <w:top w:val="nil"/>
              <w:bottom w:val="nil"/>
            </w:tcBorders>
          </w:tcPr>
          <w:p w14:paraId="79F9787A" w14:textId="77777777" w:rsidR="00A340EE" w:rsidRPr="0047058F" w:rsidRDefault="00A340EE" w:rsidP="000D5576">
            <w:pPr>
              <w:pStyle w:val="TableText"/>
              <w:jc w:val="right"/>
            </w:pPr>
            <w:r w:rsidRPr="0047058F">
              <w:rPr>
                <w:rFonts w:eastAsia="Times New Roman" w:cs="Arial"/>
              </w:rPr>
              <w:t>22.2</w:t>
            </w:r>
          </w:p>
        </w:tc>
        <w:tc>
          <w:tcPr>
            <w:tcW w:w="284" w:type="pct"/>
            <w:tcBorders>
              <w:top w:val="nil"/>
              <w:bottom w:val="nil"/>
            </w:tcBorders>
          </w:tcPr>
          <w:p w14:paraId="728FCE3D" w14:textId="77777777" w:rsidR="00A340EE" w:rsidRPr="0047058F" w:rsidRDefault="00A340EE" w:rsidP="000D5576">
            <w:pPr>
              <w:pStyle w:val="TableText"/>
              <w:jc w:val="right"/>
            </w:pPr>
            <w:r w:rsidRPr="0047058F">
              <w:rPr>
                <w:rFonts w:eastAsia="Times New Roman" w:cs="Arial"/>
              </w:rPr>
              <w:t>7</w:t>
            </w:r>
          </w:p>
        </w:tc>
        <w:tc>
          <w:tcPr>
            <w:tcW w:w="283" w:type="pct"/>
            <w:tcBorders>
              <w:top w:val="nil"/>
              <w:bottom w:val="nil"/>
            </w:tcBorders>
          </w:tcPr>
          <w:p w14:paraId="11E7E5FC" w14:textId="77777777" w:rsidR="00A340EE" w:rsidRPr="0047058F" w:rsidRDefault="00A340EE" w:rsidP="000D5576">
            <w:pPr>
              <w:pStyle w:val="TableText"/>
              <w:jc w:val="right"/>
            </w:pPr>
            <w:r w:rsidRPr="0047058F">
              <w:rPr>
                <w:rFonts w:eastAsia="Times New Roman" w:cs="Arial"/>
              </w:rPr>
              <w:t>77.8</w:t>
            </w:r>
          </w:p>
        </w:tc>
        <w:tc>
          <w:tcPr>
            <w:tcW w:w="286" w:type="pct"/>
            <w:tcBorders>
              <w:top w:val="nil"/>
              <w:bottom w:val="nil"/>
            </w:tcBorders>
          </w:tcPr>
          <w:p w14:paraId="086EB6B6" w14:textId="77777777" w:rsidR="00A340EE" w:rsidRPr="0047058F" w:rsidRDefault="00A340EE" w:rsidP="000D5576">
            <w:pPr>
              <w:pStyle w:val="TableText"/>
              <w:jc w:val="right"/>
            </w:pPr>
            <w:r w:rsidRPr="0047058F">
              <w:rPr>
                <w:rFonts w:eastAsia="Times New Roman" w:cs="Arial"/>
              </w:rPr>
              <w:t>9</w:t>
            </w:r>
          </w:p>
        </w:tc>
        <w:tc>
          <w:tcPr>
            <w:tcW w:w="283" w:type="pct"/>
            <w:tcBorders>
              <w:top w:val="nil"/>
              <w:bottom w:val="nil"/>
            </w:tcBorders>
          </w:tcPr>
          <w:p w14:paraId="1A642682" w14:textId="77777777" w:rsidR="00A340EE" w:rsidRPr="0047058F" w:rsidRDefault="00A340EE" w:rsidP="000D5576">
            <w:pPr>
              <w:pStyle w:val="TableText"/>
              <w:jc w:val="right"/>
            </w:pPr>
            <w:r w:rsidRPr="0047058F">
              <w:rPr>
                <w:rFonts w:eastAsia="Times New Roman" w:cs="Arial"/>
              </w:rPr>
              <w:t>39.1</w:t>
            </w:r>
          </w:p>
        </w:tc>
        <w:tc>
          <w:tcPr>
            <w:tcW w:w="283" w:type="pct"/>
            <w:tcBorders>
              <w:top w:val="nil"/>
              <w:bottom w:val="nil"/>
            </w:tcBorders>
          </w:tcPr>
          <w:p w14:paraId="0F25FA28" w14:textId="77777777" w:rsidR="00A340EE" w:rsidRPr="0047058F" w:rsidRDefault="00A340EE" w:rsidP="000D5576">
            <w:pPr>
              <w:pStyle w:val="TableText"/>
              <w:jc w:val="right"/>
            </w:pPr>
            <w:r w:rsidRPr="0047058F">
              <w:rPr>
                <w:rFonts w:eastAsia="Times New Roman" w:cs="Arial"/>
              </w:rPr>
              <w:t>14</w:t>
            </w:r>
          </w:p>
        </w:tc>
        <w:tc>
          <w:tcPr>
            <w:tcW w:w="310" w:type="pct"/>
            <w:tcBorders>
              <w:top w:val="nil"/>
              <w:bottom w:val="nil"/>
            </w:tcBorders>
          </w:tcPr>
          <w:p w14:paraId="3EFA9B76" w14:textId="77777777" w:rsidR="00A340EE" w:rsidRPr="0047058F" w:rsidRDefault="00A340EE" w:rsidP="000D5576">
            <w:pPr>
              <w:pStyle w:val="TableText"/>
              <w:jc w:val="right"/>
            </w:pPr>
            <w:r w:rsidRPr="0047058F">
              <w:rPr>
                <w:rFonts w:eastAsia="Times New Roman" w:cs="Arial"/>
              </w:rPr>
              <w:t>60.9</w:t>
            </w:r>
          </w:p>
        </w:tc>
        <w:tc>
          <w:tcPr>
            <w:tcW w:w="258" w:type="pct"/>
            <w:tcBorders>
              <w:top w:val="nil"/>
              <w:bottom w:val="nil"/>
            </w:tcBorders>
          </w:tcPr>
          <w:p w14:paraId="2F2AC9EC" w14:textId="77777777" w:rsidR="00A340EE" w:rsidRPr="0047058F" w:rsidRDefault="00A340EE" w:rsidP="000D5576">
            <w:pPr>
              <w:pStyle w:val="TableText"/>
              <w:jc w:val="right"/>
            </w:pPr>
            <w:r w:rsidRPr="0047058F">
              <w:rPr>
                <w:rFonts w:eastAsia="Times New Roman" w:cs="Arial"/>
              </w:rPr>
              <w:t>11</w:t>
            </w:r>
          </w:p>
        </w:tc>
        <w:tc>
          <w:tcPr>
            <w:tcW w:w="284" w:type="pct"/>
            <w:tcBorders>
              <w:top w:val="nil"/>
              <w:bottom w:val="nil"/>
            </w:tcBorders>
          </w:tcPr>
          <w:p w14:paraId="17912439" w14:textId="77777777" w:rsidR="00A340EE" w:rsidRPr="0047058F" w:rsidRDefault="00A340EE" w:rsidP="000D5576">
            <w:pPr>
              <w:pStyle w:val="TableText"/>
              <w:jc w:val="right"/>
            </w:pPr>
            <w:r w:rsidRPr="0047058F">
              <w:rPr>
                <w:rFonts w:eastAsia="Times New Roman" w:cs="Arial"/>
              </w:rPr>
              <w:t>34.4</w:t>
            </w:r>
          </w:p>
        </w:tc>
        <w:tc>
          <w:tcPr>
            <w:tcW w:w="283" w:type="pct"/>
            <w:tcBorders>
              <w:top w:val="nil"/>
              <w:bottom w:val="nil"/>
            </w:tcBorders>
          </w:tcPr>
          <w:p w14:paraId="36276F1B" w14:textId="77777777" w:rsidR="00A340EE" w:rsidRPr="0047058F" w:rsidRDefault="00A340EE" w:rsidP="000D5576">
            <w:pPr>
              <w:pStyle w:val="TableText"/>
              <w:jc w:val="right"/>
            </w:pPr>
            <w:r w:rsidRPr="0047058F">
              <w:rPr>
                <w:rFonts w:eastAsia="Times New Roman" w:cs="Arial"/>
              </w:rPr>
              <w:t>21</w:t>
            </w:r>
          </w:p>
        </w:tc>
        <w:tc>
          <w:tcPr>
            <w:tcW w:w="279" w:type="pct"/>
            <w:tcBorders>
              <w:top w:val="nil"/>
              <w:bottom w:val="nil"/>
            </w:tcBorders>
          </w:tcPr>
          <w:p w14:paraId="21DE34D4" w14:textId="77777777" w:rsidR="00A340EE" w:rsidRPr="0047058F" w:rsidRDefault="00A340EE" w:rsidP="000D5576">
            <w:pPr>
              <w:pStyle w:val="TableText"/>
              <w:jc w:val="right"/>
            </w:pPr>
            <w:r w:rsidRPr="0047058F">
              <w:rPr>
                <w:rFonts w:eastAsia="Times New Roman" w:cs="Arial"/>
              </w:rPr>
              <w:t>65.6</w:t>
            </w:r>
          </w:p>
        </w:tc>
      </w:tr>
      <w:tr w:rsidR="00A340EE" w:rsidRPr="0047058F" w14:paraId="51DA4D42"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06F47CCA" w14:textId="77777777" w:rsidR="00A340EE" w:rsidRPr="0047058F" w:rsidRDefault="00A340EE" w:rsidP="0035755E">
            <w:pPr>
              <w:pStyle w:val="TableText"/>
              <w:keepNext w:val="0"/>
              <w:rPr>
                <w:rFonts w:cs="Calibri"/>
                <w:szCs w:val="14"/>
              </w:rPr>
            </w:pPr>
            <w:r w:rsidRPr="0047058F">
              <w:rPr>
                <w:rFonts w:cs="Calibri"/>
                <w:szCs w:val="14"/>
              </w:rPr>
              <w:t>Posttraumatic stress disorder</w:t>
            </w:r>
          </w:p>
        </w:tc>
        <w:tc>
          <w:tcPr>
            <w:tcW w:w="337" w:type="pct"/>
            <w:tcBorders>
              <w:top w:val="nil"/>
              <w:bottom w:val="nil"/>
            </w:tcBorders>
          </w:tcPr>
          <w:p w14:paraId="6C640C80" w14:textId="77777777" w:rsidR="00A340EE" w:rsidRPr="0047058F" w:rsidRDefault="00A340EE" w:rsidP="00F77104">
            <w:pPr>
              <w:pStyle w:val="TableText"/>
              <w:keepNext w:val="0"/>
            </w:pPr>
            <w:r w:rsidRPr="0047058F">
              <w:t>No</w:t>
            </w:r>
          </w:p>
        </w:tc>
        <w:tc>
          <w:tcPr>
            <w:tcW w:w="284" w:type="pct"/>
            <w:tcBorders>
              <w:top w:val="nil"/>
              <w:bottom w:val="nil"/>
            </w:tcBorders>
          </w:tcPr>
          <w:p w14:paraId="55407067" w14:textId="77777777" w:rsidR="00A340EE" w:rsidRPr="0047058F" w:rsidRDefault="00A340EE" w:rsidP="0035755E">
            <w:pPr>
              <w:pStyle w:val="TableText"/>
              <w:keepNext w:val="0"/>
              <w:jc w:val="right"/>
            </w:pPr>
            <w:r w:rsidRPr="0047058F">
              <w:t>710</w:t>
            </w:r>
          </w:p>
        </w:tc>
        <w:tc>
          <w:tcPr>
            <w:tcW w:w="284" w:type="pct"/>
            <w:tcBorders>
              <w:top w:val="nil"/>
              <w:bottom w:val="nil"/>
            </w:tcBorders>
          </w:tcPr>
          <w:p w14:paraId="2424FA75" w14:textId="77777777" w:rsidR="00A340EE" w:rsidRPr="0047058F" w:rsidRDefault="00A340EE" w:rsidP="0035755E">
            <w:pPr>
              <w:pStyle w:val="TableText"/>
              <w:keepNext w:val="0"/>
              <w:jc w:val="right"/>
            </w:pPr>
            <w:r w:rsidRPr="0047058F">
              <w:rPr>
                <w:rFonts w:eastAsia="Times New Roman" w:cs="Arial"/>
              </w:rPr>
              <w:t>38</w:t>
            </w:r>
          </w:p>
        </w:tc>
        <w:tc>
          <w:tcPr>
            <w:tcW w:w="283" w:type="pct"/>
            <w:tcBorders>
              <w:top w:val="nil"/>
              <w:bottom w:val="nil"/>
            </w:tcBorders>
          </w:tcPr>
          <w:p w14:paraId="39A92894" w14:textId="77777777" w:rsidR="00A340EE" w:rsidRPr="0047058F" w:rsidRDefault="00A340EE" w:rsidP="0035755E">
            <w:pPr>
              <w:pStyle w:val="TableText"/>
              <w:keepNext w:val="0"/>
              <w:jc w:val="right"/>
            </w:pPr>
            <w:r w:rsidRPr="0047058F">
              <w:rPr>
                <w:rFonts w:eastAsia="Times New Roman" w:cs="Arial"/>
              </w:rPr>
              <w:t>18.1</w:t>
            </w:r>
          </w:p>
        </w:tc>
        <w:tc>
          <w:tcPr>
            <w:tcW w:w="284" w:type="pct"/>
            <w:tcBorders>
              <w:top w:val="nil"/>
              <w:bottom w:val="nil"/>
            </w:tcBorders>
          </w:tcPr>
          <w:p w14:paraId="298699F2" w14:textId="77777777" w:rsidR="00A340EE" w:rsidRPr="0047058F" w:rsidRDefault="00A340EE" w:rsidP="0035755E">
            <w:pPr>
              <w:pStyle w:val="TableText"/>
              <w:keepNext w:val="0"/>
              <w:jc w:val="right"/>
            </w:pPr>
            <w:r w:rsidRPr="0047058F">
              <w:rPr>
                <w:rFonts w:eastAsia="Times New Roman" w:cs="Arial"/>
              </w:rPr>
              <w:t>172</w:t>
            </w:r>
          </w:p>
        </w:tc>
        <w:tc>
          <w:tcPr>
            <w:tcW w:w="283" w:type="pct"/>
            <w:tcBorders>
              <w:top w:val="nil"/>
              <w:bottom w:val="nil"/>
            </w:tcBorders>
          </w:tcPr>
          <w:p w14:paraId="2BCCAD23" w14:textId="77777777" w:rsidR="00A340EE" w:rsidRPr="0047058F" w:rsidRDefault="00A340EE" w:rsidP="0035755E">
            <w:pPr>
              <w:pStyle w:val="TableText"/>
              <w:keepNext w:val="0"/>
              <w:jc w:val="right"/>
            </w:pPr>
            <w:r w:rsidRPr="0047058F">
              <w:rPr>
                <w:rFonts w:eastAsia="Times New Roman" w:cs="Arial"/>
              </w:rPr>
              <w:t>81.9</w:t>
            </w:r>
          </w:p>
        </w:tc>
        <w:tc>
          <w:tcPr>
            <w:tcW w:w="286" w:type="pct"/>
            <w:tcBorders>
              <w:top w:val="nil"/>
              <w:bottom w:val="nil"/>
            </w:tcBorders>
          </w:tcPr>
          <w:p w14:paraId="661AD17C" w14:textId="77777777" w:rsidR="00A340EE" w:rsidRPr="0047058F" w:rsidRDefault="00A340EE" w:rsidP="0035755E">
            <w:pPr>
              <w:pStyle w:val="TableText"/>
              <w:keepNext w:val="0"/>
              <w:jc w:val="right"/>
            </w:pPr>
            <w:r w:rsidRPr="0047058F">
              <w:rPr>
                <w:rFonts w:eastAsia="Times New Roman" w:cs="Arial"/>
              </w:rPr>
              <w:t>47</w:t>
            </w:r>
          </w:p>
        </w:tc>
        <w:tc>
          <w:tcPr>
            <w:tcW w:w="283" w:type="pct"/>
            <w:tcBorders>
              <w:top w:val="nil"/>
              <w:bottom w:val="nil"/>
            </w:tcBorders>
          </w:tcPr>
          <w:p w14:paraId="2DE35D9C" w14:textId="77777777" w:rsidR="00A340EE" w:rsidRPr="0047058F" w:rsidRDefault="00A340EE" w:rsidP="0035755E">
            <w:pPr>
              <w:pStyle w:val="TableText"/>
              <w:keepNext w:val="0"/>
              <w:jc w:val="right"/>
            </w:pPr>
            <w:r w:rsidRPr="0047058F">
              <w:rPr>
                <w:rFonts w:eastAsia="Times New Roman" w:cs="Arial"/>
              </w:rPr>
              <w:t>9.4</w:t>
            </w:r>
          </w:p>
        </w:tc>
        <w:tc>
          <w:tcPr>
            <w:tcW w:w="283" w:type="pct"/>
            <w:tcBorders>
              <w:top w:val="nil"/>
              <w:bottom w:val="nil"/>
            </w:tcBorders>
          </w:tcPr>
          <w:p w14:paraId="068B022B" w14:textId="77777777" w:rsidR="00A340EE" w:rsidRPr="0047058F" w:rsidRDefault="00A340EE" w:rsidP="0035755E">
            <w:pPr>
              <w:pStyle w:val="TableText"/>
              <w:keepNext w:val="0"/>
              <w:jc w:val="right"/>
            </w:pPr>
            <w:r w:rsidRPr="0047058F">
              <w:rPr>
                <w:rFonts w:eastAsia="Times New Roman" w:cs="Arial"/>
              </w:rPr>
              <w:t>453</w:t>
            </w:r>
          </w:p>
        </w:tc>
        <w:tc>
          <w:tcPr>
            <w:tcW w:w="310" w:type="pct"/>
            <w:tcBorders>
              <w:top w:val="nil"/>
              <w:bottom w:val="nil"/>
            </w:tcBorders>
          </w:tcPr>
          <w:p w14:paraId="1DDECC98" w14:textId="77777777" w:rsidR="00A340EE" w:rsidRPr="0047058F" w:rsidRDefault="00A340EE" w:rsidP="0035755E">
            <w:pPr>
              <w:pStyle w:val="TableText"/>
              <w:keepNext w:val="0"/>
              <w:jc w:val="right"/>
            </w:pPr>
            <w:r w:rsidRPr="0047058F">
              <w:rPr>
                <w:rFonts w:eastAsia="Times New Roman" w:cs="Arial"/>
              </w:rPr>
              <w:t>90.6</w:t>
            </w:r>
          </w:p>
        </w:tc>
        <w:tc>
          <w:tcPr>
            <w:tcW w:w="258" w:type="pct"/>
            <w:tcBorders>
              <w:top w:val="nil"/>
              <w:bottom w:val="nil"/>
            </w:tcBorders>
          </w:tcPr>
          <w:p w14:paraId="075B93B3" w14:textId="77777777" w:rsidR="00A340EE" w:rsidRPr="0047058F" w:rsidRDefault="00A340EE" w:rsidP="0035755E">
            <w:pPr>
              <w:pStyle w:val="TableText"/>
              <w:keepNext w:val="0"/>
              <w:jc w:val="right"/>
            </w:pPr>
            <w:r w:rsidRPr="0047058F">
              <w:rPr>
                <w:rFonts w:eastAsia="Times New Roman" w:cs="Arial"/>
              </w:rPr>
              <w:t>85</w:t>
            </w:r>
          </w:p>
        </w:tc>
        <w:tc>
          <w:tcPr>
            <w:tcW w:w="284" w:type="pct"/>
            <w:tcBorders>
              <w:top w:val="nil"/>
              <w:bottom w:val="nil"/>
            </w:tcBorders>
          </w:tcPr>
          <w:p w14:paraId="5F3E0182" w14:textId="77777777" w:rsidR="00A340EE" w:rsidRPr="0047058F" w:rsidRDefault="00A340EE" w:rsidP="0035755E">
            <w:pPr>
              <w:pStyle w:val="TableText"/>
              <w:keepNext w:val="0"/>
              <w:jc w:val="right"/>
            </w:pPr>
            <w:r w:rsidRPr="0047058F">
              <w:rPr>
                <w:rFonts w:eastAsia="Times New Roman" w:cs="Arial"/>
              </w:rPr>
              <w:t>12.0</w:t>
            </w:r>
          </w:p>
        </w:tc>
        <w:tc>
          <w:tcPr>
            <w:tcW w:w="283" w:type="pct"/>
            <w:tcBorders>
              <w:top w:val="nil"/>
              <w:bottom w:val="nil"/>
            </w:tcBorders>
          </w:tcPr>
          <w:p w14:paraId="68CCBD01" w14:textId="77777777" w:rsidR="00A340EE" w:rsidRPr="0047058F" w:rsidRDefault="00A340EE" w:rsidP="0035755E">
            <w:pPr>
              <w:pStyle w:val="TableText"/>
              <w:keepNext w:val="0"/>
              <w:jc w:val="right"/>
            </w:pPr>
            <w:r w:rsidRPr="0047058F">
              <w:rPr>
                <w:rFonts w:eastAsia="Times New Roman" w:cs="Arial"/>
              </w:rPr>
              <w:t>625</w:t>
            </w:r>
          </w:p>
        </w:tc>
        <w:tc>
          <w:tcPr>
            <w:tcW w:w="279" w:type="pct"/>
            <w:tcBorders>
              <w:top w:val="nil"/>
              <w:bottom w:val="nil"/>
            </w:tcBorders>
          </w:tcPr>
          <w:p w14:paraId="117BB4F8" w14:textId="77777777" w:rsidR="00A340EE" w:rsidRPr="0047058F" w:rsidRDefault="00A340EE" w:rsidP="0035755E">
            <w:pPr>
              <w:pStyle w:val="TableText"/>
              <w:keepNext w:val="0"/>
              <w:jc w:val="right"/>
            </w:pPr>
            <w:r w:rsidRPr="0047058F">
              <w:rPr>
                <w:rFonts w:eastAsia="Times New Roman" w:cs="Arial"/>
              </w:rPr>
              <w:t>88.0</w:t>
            </w:r>
          </w:p>
        </w:tc>
      </w:tr>
      <w:tr w:rsidR="003876A3" w:rsidRPr="0047058F" w14:paraId="4AE0C0A7" w14:textId="77777777" w:rsidTr="0035755E">
        <w:tc>
          <w:tcPr>
            <w:tcW w:w="979" w:type="pct"/>
            <w:vMerge/>
            <w:tcBorders>
              <w:top w:val="nil"/>
              <w:bottom w:val="single" w:sz="4" w:space="0" w:color="000000"/>
            </w:tcBorders>
            <w:shd w:val="clear" w:color="auto" w:fill="C1D9FF"/>
          </w:tcPr>
          <w:p w14:paraId="3ED2BB89" w14:textId="77777777" w:rsidR="00A340EE" w:rsidRPr="0047058F" w:rsidRDefault="00A340EE" w:rsidP="0035755E">
            <w:pPr>
              <w:pStyle w:val="TableText"/>
              <w:keepNext w:val="0"/>
              <w:rPr>
                <w:rFonts w:cs="Calibri"/>
                <w:szCs w:val="14"/>
              </w:rPr>
            </w:pPr>
          </w:p>
        </w:tc>
        <w:tc>
          <w:tcPr>
            <w:tcW w:w="337" w:type="pct"/>
            <w:tcBorders>
              <w:top w:val="nil"/>
              <w:bottom w:val="single" w:sz="4" w:space="0" w:color="000000"/>
            </w:tcBorders>
            <w:shd w:val="clear" w:color="auto" w:fill="C1D9FF"/>
          </w:tcPr>
          <w:p w14:paraId="35715973" w14:textId="77777777" w:rsidR="00A340EE" w:rsidRPr="0047058F" w:rsidRDefault="00A340EE" w:rsidP="00F77104">
            <w:pPr>
              <w:pStyle w:val="TableText"/>
              <w:keepNext w:val="0"/>
            </w:pPr>
            <w:r w:rsidRPr="0047058F">
              <w:t>Yes</w:t>
            </w:r>
          </w:p>
        </w:tc>
        <w:tc>
          <w:tcPr>
            <w:tcW w:w="284" w:type="pct"/>
            <w:tcBorders>
              <w:top w:val="nil"/>
              <w:bottom w:val="single" w:sz="4" w:space="0" w:color="000000"/>
            </w:tcBorders>
            <w:shd w:val="clear" w:color="auto" w:fill="C1D9FF"/>
          </w:tcPr>
          <w:p w14:paraId="58817315" w14:textId="77777777" w:rsidR="00A340EE" w:rsidRPr="0047058F" w:rsidRDefault="00A340EE" w:rsidP="0035755E">
            <w:pPr>
              <w:pStyle w:val="TableText"/>
              <w:keepNext w:val="0"/>
              <w:jc w:val="right"/>
            </w:pPr>
            <w:r w:rsidRPr="0047058F">
              <w:t>110</w:t>
            </w:r>
          </w:p>
        </w:tc>
        <w:tc>
          <w:tcPr>
            <w:tcW w:w="284" w:type="pct"/>
            <w:tcBorders>
              <w:top w:val="nil"/>
              <w:bottom w:val="single" w:sz="4" w:space="0" w:color="000000"/>
            </w:tcBorders>
            <w:shd w:val="clear" w:color="auto" w:fill="C1D9FF"/>
          </w:tcPr>
          <w:p w14:paraId="7928D274" w14:textId="77777777" w:rsidR="00A340EE" w:rsidRPr="0047058F" w:rsidRDefault="00A340EE" w:rsidP="0035755E">
            <w:pPr>
              <w:pStyle w:val="TableText"/>
              <w:keepNext w:val="0"/>
              <w:jc w:val="right"/>
            </w:pPr>
            <w:r w:rsidRPr="0047058F">
              <w:rPr>
                <w:rFonts w:eastAsia="Times New Roman" w:cs="Arial"/>
              </w:rPr>
              <w:t>26</w:t>
            </w:r>
          </w:p>
        </w:tc>
        <w:tc>
          <w:tcPr>
            <w:tcW w:w="283" w:type="pct"/>
            <w:tcBorders>
              <w:top w:val="nil"/>
              <w:bottom w:val="single" w:sz="4" w:space="0" w:color="000000"/>
            </w:tcBorders>
            <w:shd w:val="clear" w:color="auto" w:fill="C1D9FF"/>
          </w:tcPr>
          <w:p w14:paraId="2E1EA693" w14:textId="77777777" w:rsidR="00A340EE" w:rsidRPr="0047058F" w:rsidRDefault="00A340EE" w:rsidP="0035755E">
            <w:pPr>
              <w:pStyle w:val="TableText"/>
              <w:keepNext w:val="0"/>
              <w:jc w:val="right"/>
            </w:pPr>
            <w:r w:rsidRPr="0047058F">
              <w:rPr>
                <w:rFonts w:eastAsia="Times New Roman" w:cs="Arial"/>
              </w:rPr>
              <w:t>51.0</w:t>
            </w:r>
          </w:p>
        </w:tc>
        <w:tc>
          <w:tcPr>
            <w:tcW w:w="284" w:type="pct"/>
            <w:tcBorders>
              <w:top w:val="nil"/>
              <w:bottom w:val="single" w:sz="4" w:space="0" w:color="000000"/>
            </w:tcBorders>
            <w:shd w:val="clear" w:color="auto" w:fill="C1D9FF"/>
          </w:tcPr>
          <w:p w14:paraId="68E927BF" w14:textId="77777777" w:rsidR="00A340EE" w:rsidRPr="0047058F" w:rsidRDefault="00A340EE" w:rsidP="0035755E">
            <w:pPr>
              <w:pStyle w:val="TableText"/>
              <w:keepNext w:val="0"/>
              <w:jc w:val="right"/>
            </w:pPr>
            <w:r w:rsidRPr="0047058F">
              <w:rPr>
                <w:rFonts w:eastAsia="Times New Roman" w:cs="Arial"/>
              </w:rPr>
              <w:t>25</w:t>
            </w:r>
          </w:p>
        </w:tc>
        <w:tc>
          <w:tcPr>
            <w:tcW w:w="283" w:type="pct"/>
            <w:tcBorders>
              <w:top w:val="nil"/>
              <w:bottom w:val="single" w:sz="4" w:space="0" w:color="000000"/>
            </w:tcBorders>
            <w:shd w:val="clear" w:color="auto" w:fill="C1D9FF"/>
          </w:tcPr>
          <w:p w14:paraId="53A6BC21" w14:textId="77777777" w:rsidR="00A340EE" w:rsidRPr="0047058F" w:rsidRDefault="00A340EE" w:rsidP="0035755E">
            <w:pPr>
              <w:pStyle w:val="TableText"/>
              <w:keepNext w:val="0"/>
              <w:jc w:val="right"/>
            </w:pPr>
            <w:r w:rsidRPr="0047058F">
              <w:rPr>
                <w:rFonts w:eastAsia="Times New Roman" w:cs="Arial"/>
              </w:rPr>
              <w:t>49.0</w:t>
            </w:r>
          </w:p>
        </w:tc>
        <w:tc>
          <w:tcPr>
            <w:tcW w:w="286" w:type="pct"/>
            <w:tcBorders>
              <w:top w:val="nil"/>
              <w:bottom w:val="single" w:sz="4" w:space="0" w:color="000000"/>
            </w:tcBorders>
            <w:shd w:val="clear" w:color="auto" w:fill="C1D9FF"/>
          </w:tcPr>
          <w:p w14:paraId="3E8C0D7D" w14:textId="77777777" w:rsidR="00A340EE" w:rsidRPr="0047058F" w:rsidRDefault="00A340EE" w:rsidP="0035755E">
            <w:pPr>
              <w:pStyle w:val="TableText"/>
              <w:keepNext w:val="0"/>
              <w:jc w:val="right"/>
            </w:pPr>
            <w:r w:rsidRPr="0047058F">
              <w:rPr>
                <w:rFonts w:eastAsia="Times New Roman" w:cs="Arial"/>
              </w:rPr>
              <w:t>26</w:t>
            </w:r>
          </w:p>
        </w:tc>
        <w:tc>
          <w:tcPr>
            <w:tcW w:w="283" w:type="pct"/>
            <w:tcBorders>
              <w:top w:val="nil"/>
              <w:bottom w:val="single" w:sz="4" w:space="0" w:color="000000"/>
            </w:tcBorders>
            <w:shd w:val="clear" w:color="auto" w:fill="C1D9FF"/>
          </w:tcPr>
          <w:p w14:paraId="1DEE4389" w14:textId="77777777" w:rsidR="00A340EE" w:rsidRPr="0047058F" w:rsidRDefault="00A340EE" w:rsidP="0035755E">
            <w:pPr>
              <w:pStyle w:val="TableText"/>
              <w:keepNext w:val="0"/>
              <w:jc w:val="right"/>
            </w:pPr>
            <w:r w:rsidRPr="0047058F">
              <w:rPr>
                <w:rFonts w:eastAsia="Times New Roman" w:cs="Arial"/>
              </w:rPr>
              <w:t>44.1</w:t>
            </w:r>
          </w:p>
        </w:tc>
        <w:tc>
          <w:tcPr>
            <w:tcW w:w="283" w:type="pct"/>
            <w:tcBorders>
              <w:top w:val="nil"/>
              <w:bottom w:val="single" w:sz="4" w:space="0" w:color="000000"/>
            </w:tcBorders>
            <w:shd w:val="clear" w:color="auto" w:fill="C1D9FF"/>
          </w:tcPr>
          <w:p w14:paraId="58A1B16A" w14:textId="77777777" w:rsidR="00A340EE" w:rsidRPr="0047058F" w:rsidRDefault="00A340EE" w:rsidP="0035755E">
            <w:pPr>
              <w:pStyle w:val="TableText"/>
              <w:keepNext w:val="0"/>
              <w:jc w:val="right"/>
            </w:pPr>
            <w:r w:rsidRPr="0047058F">
              <w:rPr>
                <w:rFonts w:eastAsia="Times New Roman" w:cs="Arial"/>
              </w:rPr>
              <w:t>33</w:t>
            </w:r>
          </w:p>
        </w:tc>
        <w:tc>
          <w:tcPr>
            <w:tcW w:w="310" w:type="pct"/>
            <w:tcBorders>
              <w:top w:val="nil"/>
              <w:bottom w:val="single" w:sz="4" w:space="0" w:color="000000"/>
            </w:tcBorders>
            <w:shd w:val="clear" w:color="auto" w:fill="C1D9FF"/>
          </w:tcPr>
          <w:p w14:paraId="4E2016C2" w14:textId="77777777" w:rsidR="00A340EE" w:rsidRPr="0047058F" w:rsidRDefault="00A340EE" w:rsidP="0035755E">
            <w:pPr>
              <w:pStyle w:val="TableText"/>
              <w:keepNext w:val="0"/>
              <w:jc w:val="right"/>
            </w:pPr>
            <w:r w:rsidRPr="0047058F">
              <w:rPr>
                <w:rFonts w:eastAsia="Times New Roman" w:cs="Arial"/>
              </w:rPr>
              <w:t>55.9</w:t>
            </w:r>
          </w:p>
        </w:tc>
        <w:tc>
          <w:tcPr>
            <w:tcW w:w="258" w:type="pct"/>
            <w:tcBorders>
              <w:top w:val="nil"/>
              <w:bottom w:val="single" w:sz="4" w:space="0" w:color="000000"/>
            </w:tcBorders>
            <w:shd w:val="clear" w:color="auto" w:fill="C1D9FF"/>
          </w:tcPr>
          <w:p w14:paraId="4015F5DB" w14:textId="77777777" w:rsidR="00A340EE" w:rsidRPr="0047058F" w:rsidRDefault="00A340EE" w:rsidP="0035755E">
            <w:pPr>
              <w:pStyle w:val="TableText"/>
              <w:keepNext w:val="0"/>
              <w:jc w:val="right"/>
            </w:pPr>
            <w:r w:rsidRPr="0047058F">
              <w:rPr>
                <w:rFonts w:eastAsia="Times New Roman" w:cs="Arial"/>
              </w:rPr>
              <w:t>52</w:t>
            </w:r>
          </w:p>
        </w:tc>
        <w:tc>
          <w:tcPr>
            <w:tcW w:w="284" w:type="pct"/>
            <w:tcBorders>
              <w:top w:val="nil"/>
              <w:bottom w:val="single" w:sz="4" w:space="0" w:color="000000"/>
            </w:tcBorders>
            <w:shd w:val="clear" w:color="auto" w:fill="C1D9FF"/>
          </w:tcPr>
          <w:p w14:paraId="2585A32F" w14:textId="77777777" w:rsidR="00A340EE" w:rsidRPr="0047058F" w:rsidRDefault="00A340EE" w:rsidP="0035755E">
            <w:pPr>
              <w:pStyle w:val="TableText"/>
              <w:keepNext w:val="0"/>
              <w:jc w:val="right"/>
            </w:pPr>
            <w:r w:rsidRPr="0047058F">
              <w:rPr>
                <w:rFonts w:eastAsia="Times New Roman" w:cs="Arial"/>
              </w:rPr>
              <w:t>47.3</w:t>
            </w:r>
          </w:p>
        </w:tc>
        <w:tc>
          <w:tcPr>
            <w:tcW w:w="283" w:type="pct"/>
            <w:tcBorders>
              <w:top w:val="nil"/>
              <w:bottom w:val="single" w:sz="4" w:space="0" w:color="000000"/>
            </w:tcBorders>
            <w:shd w:val="clear" w:color="auto" w:fill="C1D9FF"/>
          </w:tcPr>
          <w:p w14:paraId="12D206A3" w14:textId="77777777" w:rsidR="00A340EE" w:rsidRPr="0047058F" w:rsidRDefault="00A340EE" w:rsidP="0035755E">
            <w:pPr>
              <w:pStyle w:val="TableText"/>
              <w:keepNext w:val="0"/>
              <w:jc w:val="right"/>
            </w:pPr>
            <w:r w:rsidRPr="0047058F">
              <w:rPr>
                <w:rFonts w:eastAsia="Times New Roman" w:cs="Arial"/>
              </w:rPr>
              <w:t>58</w:t>
            </w:r>
          </w:p>
        </w:tc>
        <w:tc>
          <w:tcPr>
            <w:tcW w:w="279" w:type="pct"/>
            <w:tcBorders>
              <w:top w:val="nil"/>
              <w:bottom w:val="single" w:sz="4" w:space="0" w:color="000000"/>
            </w:tcBorders>
            <w:shd w:val="clear" w:color="auto" w:fill="C1D9FF"/>
          </w:tcPr>
          <w:p w14:paraId="1E555669" w14:textId="77777777" w:rsidR="00A340EE" w:rsidRPr="0047058F" w:rsidRDefault="00A340EE" w:rsidP="0035755E">
            <w:pPr>
              <w:pStyle w:val="TableText"/>
              <w:keepNext w:val="0"/>
              <w:jc w:val="right"/>
            </w:pPr>
            <w:r w:rsidRPr="0047058F">
              <w:rPr>
                <w:rFonts w:eastAsia="Times New Roman" w:cs="Arial"/>
              </w:rPr>
              <w:t>52.7</w:t>
            </w:r>
          </w:p>
        </w:tc>
      </w:tr>
      <w:tr w:rsidR="000D5576" w:rsidRPr="0047058F" w14:paraId="72E43FCA"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single" w:sz="4" w:space="0" w:color="000000"/>
              <w:bottom w:val="nil"/>
            </w:tcBorders>
            <w:shd w:val="clear" w:color="auto" w:fill="auto"/>
          </w:tcPr>
          <w:p w14:paraId="2B4B9D96" w14:textId="77777777" w:rsidR="00A340EE" w:rsidRPr="0047058F" w:rsidRDefault="00A340EE" w:rsidP="0035755E">
            <w:pPr>
              <w:pStyle w:val="TableText"/>
              <w:rPr>
                <w:rFonts w:cs="Calibri"/>
                <w:szCs w:val="14"/>
              </w:rPr>
            </w:pPr>
            <w:r w:rsidRPr="0047058F">
              <w:rPr>
                <w:rFonts w:cs="Calibri"/>
                <w:szCs w:val="14"/>
              </w:rPr>
              <w:t>Any affective disorder</w:t>
            </w:r>
          </w:p>
        </w:tc>
        <w:tc>
          <w:tcPr>
            <w:tcW w:w="337" w:type="pct"/>
            <w:tcBorders>
              <w:top w:val="single" w:sz="4" w:space="0" w:color="000000"/>
              <w:bottom w:val="nil"/>
            </w:tcBorders>
            <w:shd w:val="clear" w:color="auto" w:fill="auto"/>
          </w:tcPr>
          <w:p w14:paraId="0EE951F2" w14:textId="77777777" w:rsidR="00A340EE" w:rsidRPr="0047058F" w:rsidRDefault="00A340EE" w:rsidP="00F77104">
            <w:pPr>
              <w:pStyle w:val="TableText"/>
            </w:pPr>
            <w:r w:rsidRPr="0047058F">
              <w:t>No</w:t>
            </w:r>
          </w:p>
        </w:tc>
        <w:tc>
          <w:tcPr>
            <w:tcW w:w="284" w:type="pct"/>
            <w:tcBorders>
              <w:top w:val="single" w:sz="4" w:space="0" w:color="000000"/>
              <w:bottom w:val="nil"/>
            </w:tcBorders>
            <w:shd w:val="clear" w:color="auto" w:fill="auto"/>
          </w:tcPr>
          <w:p w14:paraId="27F96B36" w14:textId="77777777" w:rsidR="00A340EE" w:rsidRPr="0047058F" w:rsidRDefault="00A340EE" w:rsidP="0035755E">
            <w:pPr>
              <w:pStyle w:val="TableText"/>
              <w:jc w:val="right"/>
            </w:pPr>
            <w:r w:rsidRPr="0047058F">
              <w:t>670</w:t>
            </w:r>
          </w:p>
        </w:tc>
        <w:tc>
          <w:tcPr>
            <w:tcW w:w="284" w:type="pct"/>
            <w:tcBorders>
              <w:top w:val="single" w:sz="4" w:space="0" w:color="000000"/>
              <w:bottom w:val="nil"/>
            </w:tcBorders>
            <w:shd w:val="clear" w:color="auto" w:fill="auto"/>
          </w:tcPr>
          <w:p w14:paraId="2692B63C" w14:textId="77777777" w:rsidR="00A340EE" w:rsidRPr="0047058F" w:rsidRDefault="00A340EE" w:rsidP="0035755E">
            <w:pPr>
              <w:pStyle w:val="TableText"/>
              <w:jc w:val="right"/>
              <w:rPr>
                <w:rFonts w:eastAsia="Times New Roman" w:cs="Arial"/>
              </w:rPr>
            </w:pPr>
            <w:r w:rsidRPr="0047058F">
              <w:rPr>
                <w:rFonts w:eastAsia="Times New Roman" w:cs="Arial"/>
              </w:rPr>
              <w:t>35</w:t>
            </w:r>
          </w:p>
        </w:tc>
        <w:tc>
          <w:tcPr>
            <w:tcW w:w="283" w:type="pct"/>
            <w:tcBorders>
              <w:top w:val="single" w:sz="4" w:space="0" w:color="000000"/>
              <w:bottom w:val="nil"/>
            </w:tcBorders>
            <w:shd w:val="clear" w:color="auto" w:fill="auto"/>
          </w:tcPr>
          <w:p w14:paraId="6565D770" w14:textId="77777777" w:rsidR="00A340EE" w:rsidRPr="0047058F" w:rsidRDefault="00A340EE" w:rsidP="0035755E">
            <w:pPr>
              <w:pStyle w:val="TableText"/>
              <w:jc w:val="right"/>
              <w:rPr>
                <w:rFonts w:eastAsia="Times New Roman" w:cs="Arial"/>
              </w:rPr>
            </w:pPr>
            <w:r w:rsidRPr="0047058F">
              <w:rPr>
                <w:rFonts w:eastAsia="Times New Roman" w:cs="Arial"/>
              </w:rPr>
              <w:t>17.0</w:t>
            </w:r>
          </w:p>
        </w:tc>
        <w:tc>
          <w:tcPr>
            <w:tcW w:w="284" w:type="pct"/>
            <w:tcBorders>
              <w:top w:val="single" w:sz="4" w:space="0" w:color="000000"/>
              <w:bottom w:val="nil"/>
            </w:tcBorders>
            <w:shd w:val="clear" w:color="auto" w:fill="auto"/>
          </w:tcPr>
          <w:p w14:paraId="0F06D402" w14:textId="77777777" w:rsidR="00A340EE" w:rsidRPr="0047058F" w:rsidRDefault="00A340EE" w:rsidP="0035755E">
            <w:pPr>
              <w:pStyle w:val="TableText"/>
              <w:jc w:val="right"/>
              <w:rPr>
                <w:rFonts w:eastAsia="Times New Roman" w:cs="Arial"/>
              </w:rPr>
            </w:pPr>
            <w:r w:rsidRPr="0047058F">
              <w:rPr>
                <w:rFonts w:eastAsia="Times New Roman" w:cs="Arial"/>
              </w:rPr>
              <w:t>171</w:t>
            </w:r>
          </w:p>
        </w:tc>
        <w:tc>
          <w:tcPr>
            <w:tcW w:w="283" w:type="pct"/>
            <w:tcBorders>
              <w:top w:val="single" w:sz="4" w:space="0" w:color="000000"/>
              <w:bottom w:val="nil"/>
            </w:tcBorders>
            <w:shd w:val="clear" w:color="auto" w:fill="auto"/>
          </w:tcPr>
          <w:p w14:paraId="14000EEC" w14:textId="77777777" w:rsidR="00A340EE" w:rsidRPr="0047058F" w:rsidRDefault="00A340EE" w:rsidP="0035755E">
            <w:pPr>
              <w:pStyle w:val="TableText"/>
              <w:jc w:val="right"/>
              <w:rPr>
                <w:rFonts w:eastAsia="Times New Roman" w:cs="Arial"/>
              </w:rPr>
            </w:pPr>
            <w:r w:rsidRPr="0047058F">
              <w:rPr>
                <w:rFonts w:eastAsia="Times New Roman" w:cs="Arial"/>
              </w:rPr>
              <w:t>83.0</w:t>
            </w:r>
          </w:p>
        </w:tc>
        <w:tc>
          <w:tcPr>
            <w:tcW w:w="286" w:type="pct"/>
            <w:tcBorders>
              <w:top w:val="single" w:sz="4" w:space="0" w:color="000000"/>
              <w:bottom w:val="nil"/>
            </w:tcBorders>
            <w:shd w:val="clear" w:color="auto" w:fill="auto"/>
          </w:tcPr>
          <w:p w14:paraId="61491E11" w14:textId="77777777" w:rsidR="00A340EE" w:rsidRPr="0047058F" w:rsidRDefault="00A340EE" w:rsidP="0035755E">
            <w:pPr>
              <w:pStyle w:val="TableText"/>
              <w:jc w:val="right"/>
              <w:rPr>
                <w:rFonts w:eastAsia="Times New Roman" w:cs="Arial"/>
              </w:rPr>
            </w:pPr>
            <w:r w:rsidRPr="0047058F">
              <w:rPr>
                <w:rFonts w:eastAsia="Times New Roman" w:cs="Arial"/>
              </w:rPr>
              <w:t>70</w:t>
            </w:r>
          </w:p>
        </w:tc>
        <w:tc>
          <w:tcPr>
            <w:tcW w:w="283" w:type="pct"/>
            <w:tcBorders>
              <w:top w:val="single" w:sz="4" w:space="0" w:color="000000"/>
              <w:bottom w:val="nil"/>
            </w:tcBorders>
            <w:shd w:val="clear" w:color="auto" w:fill="auto"/>
          </w:tcPr>
          <w:p w14:paraId="4D136411" w14:textId="77777777" w:rsidR="00A340EE" w:rsidRPr="0047058F" w:rsidRDefault="00A340EE" w:rsidP="0035755E">
            <w:pPr>
              <w:pStyle w:val="TableText"/>
              <w:jc w:val="right"/>
              <w:rPr>
                <w:rFonts w:eastAsia="Times New Roman" w:cs="Arial"/>
              </w:rPr>
            </w:pPr>
            <w:r w:rsidRPr="0047058F">
              <w:rPr>
                <w:rFonts w:eastAsia="Times New Roman" w:cs="Arial"/>
              </w:rPr>
              <w:t>15.1</w:t>
            </w:r>
          </w:p>
        </w:tc>
        <w:tc>
          <w:tcPr>
            <w:tcW w:w="283" w:type="pct"/>
            <w:tcBorders>
              <w:top w:val="single" w:sz="4" w:space="0" w:color="000000"/>
              <w:bottom w:val="nil"/>
            </w:tcBorders>
            <w:shd w:val="clear" w:color="auto" w:fill="auto"/>
          </w:tcPr>
          <w:p w14:paraId="7BF2BD9C" w14:textId="77777777" w:rsidR="00A340EE" w:rsidRPr="0047058F" w:rsidRDefault="00A340EE" w:rsidP="0035755E">
            <w:pPr>
              <w:pStyle w:val="TableText"/>
              <w:jc w:val="right"/>
              <w:rPr>
                <w:rFonts w:eastAsia="Times New Roman" w:cs="Arial"/>
              </w:rPr>
            </w:pPr>
            <w:r w:rsidRPr="0047058F">
              <w:rPr>
                <w:rFonts w:eastAsia="Times New Roman" w:cs="Arial"/>
              </w:rPr>
              <w:t>394</w:t>
            </w:r>
          </w:p>
        </w:tc>
        <w:tc>
          <w:tcPr>
            <w:tcW w:w="310" w:type="pct"/>
            <w:tcBorders>
              <w:top w:val="single" w:sz="4" w:space="0" w:color="000000"/>
              <w:bottom w:val="nil"/>
            </w:tcBorders>
            <w:shd w:val="clear" w:color="auto" w:fill="auto"/>
          </w:tcPr>
          <w:p w14:paraId="2A60F6EB" w14:textId="77777777" w:rsidR="00A340EE" w:rsidRPr="0047058F" w:rsidRDefault="00A340EE" w:rsidP="0035755E">
            <w:pPr>
              <w:pStyle w:val="TableText"/>
              <w:jc w:val="right"/>
              <w:rPr>
                <w:rFonts w:eastAsia="Times New Roman" w:cs="Arial"/>
              </w:rPr>
            </w:pPr>
            <w:r w:rsidRPr="0047058F">
              <w:rPr>
                <w:rFonts w:eastAsia="Times New Roman" w:cs="Arial"/>
              </w:rPr>
              <w:t>84.9</w:t>
            </w:r>
          </w:p>
        </w:tc>
        <w:tc>
          <w:tcPr>
            <w:tcW w:w="258" w:type="pct"/>
            <w:tcBorders>
              <w:top w:val="single" w:sz="4" w:space="0" w:color="000000"/>
              <w:bottom w:val="nil"/>
            </w:tcBorders>
            <w:shd w:val="clear" w:color="auto" w:fill="auto"/>
          </w:tcPr>
          <w:p w14:paraId="64ED68EA" w14:textId="77777777" w:rsidR="00A340EE" w:rsidRPr="0047058F" w:rsidRDefault="00A340EE" w:rsidP="0035755E">
            <w:pPr>
              <w:pStyle w:val="TableText"/>
              <w:jc w:val="right"/>
              <w:rPr>
                <w:rFonts w:eastAsia="Times New Roman" w:cs="Arial"/>
              </w:rPr>
            </w:pPr>
            <w:r w:rsidRPr="0047058F">
              <w:rPr>
                <w:rFonts w:eastAsia="Times New Roman" w:cs="Arial"/>
              </w:rPr>
              <w:t>105</w:t>
            </w:r>
          </w:p>
        </w:tc>
        <w:tc>
          <w:tcPr>
            <w:tcW w:w="284" w:type="pct"/>
            <w:tcBorders>
              <w:top w:val="single" w:sz="4" w:space="0" w:color="000000"/>
              <w:bottom w:val="nil"/>
            </w:tcBorders>
            <w:shd w:val="clear" w:color="auto" w:fill="auto"/>
          </w:tcPr>
          <w:p w14:paraId="02DEC728" w14:textId="77777777" w:rsidR="00A340EE" w:rsidRPr="0047058F" w:rsidRDefault="00A340EE" w:rsidP="0035755E">
            <w:pPr>
              <w:pStyle w:val="TableText"/>
              <w:jc w:val="right"/>
              <w:rPr>
                <w:rFonts w:eastAsia="Times New Roman" w:cs="Arial"/>
              </w:rPr>
            </w:pPr>
            <w:r w:rsidRPr="0047058F">
              <w:rPr>
                <w:rFonts w:eastAsia="Times New Roman" w:cs="Arial"/>
              </w:rPr>
              <w:t>15.7</w:t>
            </w:r>
          </w:p>
        </w:tc>
        <w:tc>
          <w:tcPr>
            <w:tcW w:w="283" w:type="pct"/>
            <w:tcBorders>
              <w:top w:val="single" w:sz="4" w:space="0" w:color="000000"/>
              <w:bottom w:val="nil"/>
            </w:tcBorders>
            <w:shd w:val="clear" w:color="auto" w:fill="auto"/>
          </w:tcPr>
          <w:p w14:paraId="378AFD75" w14:textId="77777777" w:rsidR="00A340EE" w:rsidRPr="0047058F" w:rsidRDefault="00A340EE" w:rsidP="0035755E">
            <w:pPr>
              <w:pStyle w:val="TableText"/>
              <w:jc w:val="right"/>
              <w:rPr>
                <w:rFonts w:eastAsia="Times New Roman" w:cs="Arial"/>
              </w:rPr>
            </w:pPr>
            <w:r w:rsidRPr="0047058F">
              <w:rPr>
                <w:rFonts w:eastAsia="Times New Roman" w:cs="Arial"/>
              </w:rPr>
              <w:t>565</w:t>
            </w:r>
          </w:p>
        </w:tc>
        <w:tc>
          <w:tcPr>
            <w:tcW w:w="279" w:type="pct"/>
            <w:tcBorders>
              <w:top w:val="single" w:sz="4" w:space="0" w:color="000000"/>
              <w:bottom w:val="nil"/>
            </w:tcBorders>
            <w:shd w:val="clear" w:color="auto" w:fill="auto"/>
          </w:tcPr>
          <w:p w14:paraId="6A2A469F" w14:textId="77777777" w:rsidR="00A340EE" w:rsidRPr="0047058F" w:rsidRDefault="00A340EE" w:rsidP="0035755E">
            <w:pPr>
              <w:pStyle w:val="TableText"/>
              <w:jc w:val="right"/>
              <w:rPr>
                <w:rFonts w:eastAsia="Times New Roman" w:cs="Arial"/>
              </w:rPr>
            </w:pPr>
            <w:r w:rsidRPr="0047058F">
              <w:rPr>
                <w:rFonts w:eastAsia="Times New Roman" w:cs="Arial"/>
              </w:rPr>
              <w:t>84.3</w:t>
            </w:r>
          </w:p>
        </w:tc>
      </w:tr>
      <w:tr w:rsidR="00A340EE" w:rsidRPr="0047058F" w14:paraId="53D3EC24" w14:textId="77777777" w:rsidTr="0035755E">
        <w:tc>
          <w:tcPr>
            <w:tcW w:w="979" w:type="pct"/>
            <w:vMerge/>
            <w:tcBorders>
              <w:top w:val="nil"/>
              <w:bottom w:val="nil"/>
            </w:tcBorders>
          </w:tcPr>
          <w:p w14:paraId="39701627" w14:textId="77777777" w:rsidR="00A340EE" w:rsidRPr="0047058F" w:rsidRDefault="00A340EE" w:rsidP="000D5576">
            <w:pPr>
              <w:pStyle w:val="TableText"/>
              <w:rPr>
                <w:rFonts w:cs="Calibri"/>
                <w:szCs w:val="14"/>
              </w:rPr>
            </w:pPr>
          </w:p>
        </w:tc>
        <w:tc>
          <w:tcPr>
            <w:tcW w:w="337" w:type="pct"/>
            <w:tcBorders>
              <w:top w:val="nil"/>
              <w:bottom w:val="nil"/>
            </w:tcBorders>
          </w:tcPr>
          <w:p w14:paraId="1C0EB40E" w14:textId="77777777" w:rsidR="00A340EE" w:rsidRPr="0047058F" w:rsidRDefault="00A340EE" w:rsidP="00F77104">
            <w:pPr>
              <w:pStyle w:val="TableText"/>
              <w:keepNext w:val="0"/>
            </w:pPr>
            <w:r w:rsidRPr="0047058F">
              <w:t>Yes</w:t>
            </w:r>
          </w:p>
        </w:tc>
        <w:tc>
          <w:tcPr>
            <w:tcW w:w="284" w:type="pct"/>
            <w:tcBorders>
              <w:top w:val="nil"/>
              <w:bottom w:val="nil"/>
            </w:tcBorders>
          </w:tcPr>
          <w:p w14:paraId="7B1E4769" w14:textId="77777777" w:rsidR="00A340EE" w:rsidRPr="0047058F" w:rsidRDefault="00A340EE" w:rsidP="000D5576">
            <w:pPr>
              <w:pStyle w:val="TableText"/>
              <w:keepNext w:val="0"/>
              <w:jc w:val="right"/>
            </w:pPr>
            <w:r w:rsidRPr="0047058F">
              <w:t>150</w:t>
            </w:r>
          </w:p>
        </w:tc>
        <w:tc>
          <w:tcPr>
            <w:tcW w:w="284" w:type="pct"/>
            <w:tcBorders>
              <w:top w:val="nil"/>
              <w:bottom w:val="nil"/>
            </w:tcBorders>
          </w:tcPr>
          <w:p w14:paraId="53A68E8A" w14:textId="77777777" w:rsidR="00A340EE" w:rsidRPr="0047058F" w:rsidRDefault="00A340EE" w:rsidP="000D5576">
            <w:pPr>
              <w:pStyle w:val="TableText"/>
              <w:keepNext w:val="0"/>
              <w:jc w:val="right"/>
              <w:rPr>
                <w:rFonts w:eastAsia="Times New Roman" w:cs="Arial"/>
              </w:rPr>
            </w:pPr>
            <w:r w:rsidRPr="0047058F">
              <w:rPr>
                <w:rFonts w:eastAsia="Times New Roman" w:cs="Arial"/>
              </w:rPr>
              <w:t>26</w:t>
            </w:r>
          </w:p>
        </w:tc>
        <w:tc>
          <w:tcPr>
            <w:tcW w:w="283" w:type="pct"/>
            <w:tcBorders>
              <w:top w:val="nil"/>
              <w:bottom w:val="nil"/>
            </w:tcBorders>
          </w:tcPr>
          <w:p w14:paraId="37B726AA" w14:textId="77777777" w:rsidR="00A340EE" w:rsidRPr="0047058F" w:rsidRDefault="00A340EE" w:rsidP="000D5576">
            <w:pPr>
              <w:pStyle w:val="TableText"/>
              <w:keepNext w:val="0"/>
              <w:jc w:val="right"/>
              <w:rPr>
                <w:rFonts w:eastAsia="Times New Roman" w:cs="Arial"/>
              </w:rPr>
            </w:pPr>
            <w:r w:rsidRPr="0047058F">
              <w:rPr>
                <w:rFonts w:eastAsia="Times New Roman" w:cs="Arial"/>
              </w:rPr>
              <w:t>47.3</w:t>
            </w:r>
          </w:p>
        </w:tc>
        <w:tc>
          <w:tcPr>
            <w:tcW w:w="284" w:type="pct"/>
            <w:tcBorders>
              <w:top w:val="nil"/>
              <w:bottom w:val="nil"/>
            </w:tcBorders>
          </w:tcPr>
          <w:p w14:paraId="08531C21" w14:textId="77777777" w:rsidR="00A340EE" w:rsidRPr="0047058F" w:rsidRDefault="00A340EE" w:rsidP="000D5576">
            <w:pPr>
              <w:pStyle w:val="TableText"/>
              <w:keepNext w:val="0"/>
              <w:jc w:val="right"/>
              <w:rPr>
                <w:rFonts w:eastAsia="Times New Roman" w:cs="Arial"/>
              </w:rPr>
            </w:pPr>
            <w:r w:rsidRPr="0047058F">
              <w:rPr>
                <w:rFonts w:eastAsia="Times New Roman" w:cs="Arial"/>
              </w:rPr>
              <w:t>29</w:t>
            </w:r>
          </w:p>
        </w:tc>
        <w:tc>
          <w:tcPr>
            <w:tcW w:w="283" w:type="pct"/>
            <w:tcBorders>
              <w:top w:val="nil"/>
              <w:bottom w:val="nil"/>
            </w:tcBorders>
          </w:tcPr>
          <w:p w14:paraId="776AE5B1" w14:textId="77777777" w:rsidR="00A340EE" w:rsidRPr="0047058F" w:rsidRDefault="00A340EE" w:rsidP="000D5576">
            <w:pPr>
              <w:pStyle w:val="TableText"/>
              <w:keepNext w:val="0"/>
              <w:jc w:val="right"/>
              <w:rPr>
                <w:rFonts w:eastAsia="Times New Roman" w:cs="Arial"/>
              </w:rPr>
            </w:pPr>
            <w:r w:rsidRPr="0047058F">
              <w:rPr>
                <w:rFonts w:eastAsia="Times New Roman" w:cs="Arial"/>
              </w:rPr>
              <w:t>52.7</w:t>
            </w:r>
          </w:p>
        </w:tc>
        <w:tc>
          <w:tcPr>
            <w:tcW w:w="286" w:type="pct"/>
            <w:tcBorders>
              <w:top w:val="nil"/>
              <w:bottom w:val="nil"/>
            </w:tcBorders>
          </w:tcPr>
          <w:p w14:paraId="5AFAB0FC" w14:textId="77777777" w:rsidR="00A340EE" w:rsidRPr="0047058F" w:rsidRDefault="00A340EE" w:rsidP="000D5576">
            <w:pPr>
              <w:pStyle w:val="TableText"/>
              <w:keepNext w:val="0"/>
              <w:jc w:val="right"/>
              <w:rPr>
                <w:rFonts w:eastAsia="Times New Roman" w:cs="Arial"/>
              </w:rPr>
            </w:pPr>
            <w:r w:rsidRPr="0047058F">
              <w:rPr>
                <w:rFonts w:eastAsia="Times New Roman" w:cs="Arial"/>
              </w:rPr>
              <w:t>42</w:t>
            </w:r>
          </w:p>
        </w:tc>
        <w:tc>
          <w:tcPr>
            <w:tcW w:w="283" w:type="pct"/>
            <w:tcBorders>
              <w:top w:val="nil"/>
              <w:bottom w:val="nil"/>
            </w:tcBorders>
          </w:tcPr>
          <w:p w14:paraId="5E648CC9" w14:textId="77777777" w:rsidR="00A340EE" w:rsidRPr="0047058F" w:rsidRDefault="00A340EE" w:rsidP="000D5576">
            <w:pPr>
              <w:pStyle w:val="TableText"/>
              <w:keepNext w:val="0"/>
              <w:jc w:val="right"/>
              <w:rPr>
                <w:rFonts w:eastAsia="Times New Roman" w:cs="Arial"/>
              </w:rPr>
            </w:pPr>
            <w:r w:rsidRPr="0047058F">
              <w:rPr>
                <w:rFonts w:eastAsia="Times New Roman" w:cs="Arial"/>
              </w:rPr>
              <w:t>44.2</w:t>
            </w:r>
          </w:p>
        </w:tc>
        <w:tc>
          <w:tcPr>
            <w:tcW w:w="283" w:type="pct"/>
            <w:tcBorders>
              <w:top w:val="nil"/>
              <w:bottom w:val="nil"/>
            </w:tcBorders>
          </w:tcPr>
          <w:p w14:paraId="5279E1AC" w14:textId="77777777" w:rsidR="00A340EE" w:rsidRPr="0047058F" w:rsidRDefault="00A340EE" w:rsidP="000D5576">
            <w:pPr>
              <w:pStyle w:val="TableText"/>
              <w:keepNext w:val="0"/>
              <w:jc w:val="right"/>
              <w:rPr>
                <w:rFonts w:eastAsia="Times New Roman" w:cs="Arial"/>
              </w:rPr>
            </w:pPr>
            <w:r w:rsidRPr="0047058F">
              <w:rPr>
                <w:rFonts w:eastAsia="Times New Roman" w:cs="Arial"/>
              </w:rPr>
              <w:t>53</w:t>
            </w:r>
          </w:p>
        </w:tc>
        <w:tc>
          <w:tcPr>
            <w:tcW w:w="310" w:type="pct"/>
            <w:tcBorders>
              <w:top w:val="nil"/>
              <w:bottom w:val="nil"/>
            </w:tcBorders>
          </w:tcPr>
          <w:p w14:paraId="28D3577B" w14:textId="77777777" w:rsidR="00A340EE" w:rsidRPr="0047058F" w:rsidRDefault="00A340EE" w:rsidP="000D5576">
            <w:pPr>
              <w:pStyle w:val="TableText"/>
              <w:keepNext w:val="0"/>
              <w:jc w:val="right"/>
              <w:rPr>
                <w:rFonts w:eastAsia="Times New Roman" w:cs="Arial"/>
              </w:rPr>
            </w:pPr>
            <w:r w:rsidRPr="0047058F">
              <w:rPr>
                <w:rFonts w:eastAsia="Times New Roman" w:cs="Arial"/>
              </w:rPr>
              <w:t>55.8</w:t>
            </w:r>
          </w:p>
        </w:tc>
        <w:tc>
          <w:tcPr>
            <w:tcW w:w="258" w:type="pct"/>
            <w:tcBorders>
              <w:top w:val="nil"/>
              <w:bottom w:val="nil"/>
            </w:tcBorders>
          </w:tcPr>
          <w:p w14:paraId="4ECFD4E9" w14:textId="77777777" w:rsidR="00A340EE" w:rsidRPr="0047058F" w:rsidRDefault="00A340EE" w:rsidP="000D5576">
            <w:pPr>
              <w:pStyle w:val="TableText"/>
              <w:keepNext w:val="0"/>
              <w:jc w:val="right"/>
              <w:rPr>
                <w:rFonts w:eastAsia="Times New Roman" w:cs="Arial"/>
              </w:rPr>
            </w:pPr>
            <w:r w:rsidRPr="0047058F">
              <w:rPr>
                <w:rFonts w:eastAsia="Times New Roman" w:cs="Arial"/>
              </w:rPr>
              <w:t>68</w:t>
            </w:r>
          </w:p>
        </w:tc>
        <w:tc>
          <w:tcPr>
            <w:tcW w:w="284" w:type="pct"/>
            <w:tcBorders>
              <w:top w:val="nil"/>
              <w:bottom w:val="nil"/>
            </w:tcBorders>
          </w:tcPr>
          <w:p w14:paraId="1627D693" w14:textId="77777777" w:rsidR="00A340EE" w:rsidRPr="0047058F" w:rsidRDefault="00A340EE" w:rsidP="000D5576">
            <w:pPr>
              <w:pStyle w:val="TableText"/>
              <w:keepNext w:val="0"/>
              <w:jc w:val="right"/>
              <w:rPr>
                <w:rFonts w:eastAsia="Times New Roman" w:cs="Arial"/>
              </w:rPr>
            </w:pPr>
            <w:r w:rsidRPr="0047058F">
              <w:rPr>
                <w:rFonts w:eastAsia="Times New Roman" w:cs="Arial"/>
              </w:rPr>
              <w:t>45.3</w:t>
            </w:r>
          </w:p>
        </w:tc>
        <w:tc>
          <w:tcPr>
            <w:tcW w:w="283" w:type="pct"/>
            <w:tcBorders>
              <w:top w:val="nil"/>
              <w:bottom w:val="nil"/>
            </w:tcBorders>
          </w:tcPr>
          <w:p w14:paraId="115F7669" w14:textId="77777777" w:rsidR="00A340EE" w:rsidRPr="0047058F" w:rsidRDefault="00A340EE" w:rsidP="000D5576">
            <w:pPr>
              <w:pStyle w:val="TableText"/>
              <w:keepNext w:val="0"/>
              <w:jc w:val="right"/>
              <w:rPr>
                <w:rFonts w:eastAsia="Times New Roman" w:cs="Arial"/>
              </w:rPr>
            </w:pPr>
            <w:r w:rsidRPr="0047058F">
              <w:rPr>
                <w:rFonts w:eastAsia="Times New Roman" w:cs="Arial"/>
              </w:rPr>
              <w:t>82</w:t>
            </w:r>
          </w:p>
        </w:tc>
        <w:tc>
          <w:tcPr>
            <w:tcW w:w="279" w:type="pct"/>
            <w:tcBorders>
              <w:top w:val="nil"/>
              <w:bottom w:val="nil"/>
            </w:tcBorders>
          </w:tcPr>
          <w:p w14:paraId="164E45AE" w14:textId="77777777" w:rsidR="00A340EE" w:rsidRPr="0047058F" w:rsidRDefault="00A340EE" w:rsidP="000D5576">
            <w:pPr>
              <w:pStyle w:val="TableText"/>
              <w:keepNext w:val="0"/>
              <w:jc w:val="right"/>
              <w:rPr>
                <w:rFonts w:eastAsia="Times New Roman" w:cs="Arial"/>
              </w:rPr>
            </w:pPr>
            <w:r w:rsidRPr="0047058F">
              <w:rPr>
                <w:rFonts w:eastAsia="Times New Roman" w:cs="Arial"/>
              </w:rPr>
              <w:t>54.7</w:t>
            </w:r>
          </w:p>
        </w:tc>
      </w:tr>
      <w:tr w:rsidR="00A340EE" w:rsidRPr="0047058F" w14:paraId="26E78D7C"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0417094F" w14:textId="77777777" w:rsidR="00A340EE" w:rsidRPr="0047058F" w:rsidRDefault="00A340EE" w:rsidP="000D5576">
            <w:pPr>
              <w:pStyle w:val="TableText"/>
              <w:rPr>
                <w:rFonts w:cs="Calibri"/>
                <w:szCs w:val="14"/>
              </w:rPr>
            </w:pPr>
            <w:r w:rsidRPr="0047058F">
              <w:rPr>
                <w:rFonts w:cs="Calibri"/>
                <w:szCs w:val="14"/>
              </w:rPr>
              <w:t>Depressive episodes</w:t>
            </w:r>
          </w:p>
        </w:tc>
        <w:tc>
          <w:tcPr>
            <w:tcW w:w="337" w:type="pct"/>
            <w:tcBorders>
              <w:top w:val="nil"/>
              <w:bottom w:val="nil"/>
            </w:tcBorders>
          </w:tcPr>
          <w:p w14:paraId="02CCC237" w14:textId="77777777" w:rsidR="00A340EE" w:rsidRPr="0047058F" w:rsidRDefault="00A340EE" w:rsidP="00F77104">
            <w:pPr>
              <w:pStyle w:val="TableText"/>
            </w:pPr>
            <w:r w:rsidRPr="0047058F">
              <w:t>No</w:t>
            </w:r>
          </w:p>
        </w:tc>
        <w:tc>
          <w:tcPr>
            <w:tcW w:w="284" w:type="pct"/>
            <w:tcBorders>
              <w:top w:val="nil"/>
              <w:bottom w:val="nil"/>
            </w:tcBorders>
          </w:tcPr>
          <w:p w14:paraId="04437966" w14:textId="77777777" w:rsidR="00A340EE" w:rsidRPr="0047058F" w:rsidRDefault="00A340EE" w:rsidP="000D5576">
            <w:pPr>
              <w:pStyle w:val="TableText"/>
              <w:jc w:val="right"/>
            </w:pPr>
            <w:r w:rsidRPr="0047058F">
              <w:t>707</w:t>
            </w:r>
          </w:p>
        </w:tc>
        <w:tc>
          <w:tcPr>
            <w:tcW w:w="284" w:type="pct"/>
            <w:tcBorders>
              <w:top w:val="nil"/>
              <w:bottom w:val="nil"/>
            </w:tcBorders>
          </w:tcPr>
          <w:p w14:paraId="2B94E120" w14:textId="77777777" w:rsidR="00A340EE" w:rsidRPr="0047058F" w:rsidRDefault="00A340EE" w:rsidP="000D5576">
            <w:pPr>
              <w:pStyle w:val="TableText"/>
              <w:jc w:val="right"/>
              <w:rPr>
                <w:rFonts w:eastAsia="Times New Roman" w:cs="Arial"/>
              </w:rPr>
            </w:pPr>
            <w:r w:rsidRPr="0047058F">
              <w:rPr>
                <w:rFonts w:eastAsia="Times New Roman" w:cs="Arial"/>
              </w:rPr>
              <w:t>24</w:t>
            </w:r>
          </w:p>
        </w:tc>
        <w:tc>
          <w:tcPr>
            <w:tcW w:w="283" w:type="pct"/>
            <w:tcBorders>
              <w:top w:val="nil"/>
              <w:bottom w:val="nil"/>
            </w:tcBorders>
          </w:tcPr>
          <w:p w14:paraId="098D5366" w14:textId="77777777" w:rsidR="00A340EE" w:rsidRPr="0047058F" w:rsidRDefault="00A340EE" w:rsidP="000D5576">
            <w:pPr>
              <w:pStyle w:val="TableText"/>
              <w:jc w:val="right"/>
              <w:rPr>
                <w:rFonts w:eastAsia="Times New Roman" w:cs="Arial"/>
              </w:rPr>
            </w:pPr>
            <w:r w:rsidRPr="0047058F">
              <w:rPr>
                <w:rFonts w:eastAsia="Times New Roman" w:cs="Arial"/>
              </w:rPr>
              <w:t>11.0</w:t>
            </w:r>
          </w:p>
        </w:tc>
        <w:tc>
          <w:tcPr>
            <w:tcW w:w="284" w:type="pct"/>
            <w:tcBorders>
              <w:top w:val="nil"/>
              <w:bottom w:val="nil"/>
            </w:tcBorders>
          </w:tcPr>
          <w:p w14:paraId="0DC51EED" w14:textId="77777777" w:rsidR="00A340EE" w:rsidRPr="0047058F" w:rsidRDefault="00A340EE" w:rsidP="000D5576">
            <w:pPr>
              <w:pStyle w:val="TableText"/>
              <w:jc w:val="right"/>
              <w:rPr>
                <w:rFonts w:eastAsia="Times New Roman" w:cs="Arial"/>
              </w:rPr>
            </w:pPr>
            <w:r w:rsidRPr="0047058F">
              <w:rPr>
                <w:rFonts w:eastAsia="Times New Roman" w:cs="Arial"/>
              </w:rPr>
              <w:t>195</w:t>
            </w:r>
          </w:p>
        </w:tc>
        <w:tc>
          <w:tcPr>
            <w:tcW w:w="283" w:type="pct"/>
            <w:tcBorders>
              <w:top w:val="nil"/>
              <w:bottom w:val="nil"/>
            </w:tcBorders>
          </w:tcPr>
          <w:p w14:paraId="5E402208" w14:textId="77777777" w:rsidR="00A340EE" w:rsidRPr="0047058F" w:rsidRDefault="00A340EE" w:rsidP="000D5576">
            <w:pPr>
              <w:pStyle w:val="TableText"/>
              <w:jc w:val="right"/>
              <w:rPr>
                <w:rFonts w:eastAsia="Times New Roman" w:cs="Arial"/>
              </w:rPr>
            </w:pPr>
            <w:r w:rsidRPr="0047058F">
              <w:rPr>
                <w:rFonts w:eastAsia="Times New Roman" w:cs="Arial"/>
              </w:rPr>
              <w:t>89.0</w:t>
            </w:r>
          </w:p>
        </w:tc>
        <w:tc>
          <w:tcPr>
            <w:tcW w:w="286" w:type="pct"/>
            <w:tcBorders>
              <w:top w:val="nil"/>
              <w:bottom w:val="nil"/>
            </w:tcBorders>
          </w:tcPr>
          <w:p w14:paraId="5D666A61" w14:textId="77777777" w:rsidR="00A340EE" w:rsidRPr="0047058F" w:rsidRDefault="00A340EE" w:rsidP="000D5576">
            <w:pPr>
              <w:pStyle w:val="TableText"/>
              <w:jc w:val="right"/>
              <w:rPr>
                <w:rFonts w:eastAsia="Times New Roman" w:cs="Arial"/>
              </w:rPr>
            </w:pPr>
            <w:r w:rsidRPr="0047058F">
              <w:rPr>
                <w:rFonts w:eastAsia="Times New Roman" w:cs="Arial"/>
              </w:rPr>
              <w:t>54</w:t>
            </w:r>
          </w:p>
        </w:tc>
        <w:tc>
          <w:tcPr>
            <w:tcW w:w="283" w:type="pct"/>
            <w:tcBorders>
              <w:top w:val="nil"/>
              <w:bottom w:val="nil"/>
            </w:tcBorders>
          </w:tcPr>
          <w:p w14:paraId="3D0BE8C0" w14:textId="77777777" w:rsidR="00A340EE" w:rsidRPr="0047058F" w:rsidRDefault="00A340EE" w:rsidP="000D5576">
            <w:pPr>
              <w:pStyle w:val="TableText"/>
              <w:jc w:val="right"/>
              <w:rPr>
                <w:rFonts w:eastAsia="Times New Roman" w:cs="Arial"/>
              </w:rPr>
            </w:pPr>
            <w:r w:rsidRPr="0047058F">
              <w:rPr>
                <w:rFonts w:eastAsia="Times New Roman" w:cs="Arial"/>
              </w:rPr>
              <w:t>11.1</w:t>
            </w:r>
          </w:p>
        </w:tc>
        <w:tc>
          <w:tcPr>
            <w:tcW w:w="283" w:type="pct"/>
            <w:tcBorders>
              <w:top w:val="nil"/>
              <w:bottom w:val="nil"/>
            </w:tcBorders>
          </w:tcPr>
          <w:p w14:paraId="0CECDB9B" w14:textId="77777777" w:rsidR="00A340EE" w:rsidRPr="0047058F" w:rsidRDefault="00A340EE" w:rsidP="000D5576">
            <w:pPr>
              <w:pStyle w:val="TableText"/>
              <w:jc w:val="right"/>
              <w:rPr>
                <w:rFonts w:eastAsia="Times New Roman" w:cs="Arial"/>
              </w:rPr>
            </w:pPr>
            <w:r w:rsidRPr="0047058F">
              <w:rPr>
                <w:rFonts w:eastAsia="Times New Roman" w:cs="Arial"/>
              </w:rPr>
              <w:t>434</w:t>
            </w:r>
          </w:p>
        </w:tc>
        <w:tc>
          <w:tcPr>
            <w:tcW w:w="310" w:type="pct"/>
            <w:tcBorders>
              <w:top w:val="nil"/>
              <w:bottom w:val="nil"/>
            </w:tcBorders>
          </w:tcPr>
          <w:p w14:paraId="75B17237" w14:textId="77777777" w:rsidR="00A340EE" w:rsidRPr="0047058F" w:rsidRDefault="00A340EE" w:rsidP="000D5576">
            <w:pPr>
              <w:pStyle w:val="TableText"/>
              <w:jc w:val="right"/>
              <w:rPr>
                <w:rFonts w:eastAsia="Times New Roman" w:cs="Arial"/>
              </w:rPr>
            </w:pPr>
            <w:r w:rsidRPr="0047058F">
              <w:rPr>
                <w:rFonts w:eastAsia="Times New Roman" w:cs="Arial"/>
              </w:rPr>
              <w:t>88.9</w:t>
            </w:r>
          </w:p>
        </w:tc>
        <w:tc>
          <w:tcPr>
            <w:tcW w:w="258" w:type="pct"/>
            <w:tcBorders>
              <w:top w:val="nil"/>
              <w:bottom w:val="nil"/>
            </w:tcBorders>
          </w:tcPr>
          <w:p w14:paraId="3377AEED" w14:textId="77777777" w:rsidR="00A340EE" w:rsidRPr="0047058F" w:rsidRDefault="00A340EE" w:rsidP="000D5576">
            <w:pPr>
              <w:pStyle w:val="TableText"/>
              <w:jc w:val="right"/>
              <w:rPr>
                <w:rFonts w:eastAsia="Times New Roman" w:cs="Arial"/>
              </w:rPr>
            </w:pPr>
            <w:r w:rsidRPr="0047058F">
              <w:rPr>
                <w:rFonts w:eastAsia="Times New Roman" w:cs="Arial"/>
              </w:rPr>
              <w:t>78</w:t>
            </w:r>
          </w:p>
        </w:tc>
        <w:tc>
          <w:tcPr>
            <w:tcW w:w="284" w:type="pct"/>
            <w:tcBorders>
              <w:top w:val="nil"/>
              <w:bottom w:val="nil"/>
            </w:tcBorders>
          </w:tcPr>
          <w:p w14:paraId="117E992F" w14:textId="77777777" w:rsidR="00A340EE" w:rsidRPr="0047058F" w:rsidRDefault="00A340EE" w:rsidP="000D5576">
            <w:pPr>
              <w:pStyle w:val="TableText"/>
              <w:jc w:val="right"/>
              <w:rPr>
                <w:rFonts w:eastAsia="Times New Roman" w:cs="Arial"/>
              </w:rPr>
            </w:pPr>
            <w:r w:rsidRPr="0047058F">
              <w:rPr>
                <w:rFonts w:eastAsia="Times New Roman" w:cs="Arial"/>
              </w:rPr>
              <w:t>11.0</w:t>
            </w:r>
          </w:p>
        </w:tc>
        <w:tc>
          <w:tcPr>
            <w:tcW w:w="283" w:type="pct"/>
            <w:tcBorders>
              <w:top w:val="nil"/>
              <w:bottom w:val="nil"/>
            </w:tcBorders>
          </w:tcPr>
          <w:p w14:paraId="40C766CF" w14:textId="77777777" w:rsidR="00A340EE" w:rsidRPr="0047058F" w:rsidRDefault="00A340EE" w:rsidP="000D5576">
            <w:pPr>
              <w:pStyle w:val="TableText"/>
              <w:jc w:val="right"/>
              <w:rPr>
                <w:rFonts w:eastAsia="Times New Roman" w:cs="Arial"/>
              </w:rPr>
            </w:pPr>
            <w:r w:rsidRPr="0047058F">
              <w:rPr>
                <w:rFonts w:eastAsia="Times New Roman" w:cs="Arial"/>
              </w:rPr>
              <w:t>629</w:t>
            </w:r>
          </w:p>
        </w:tc>
        <w:tc>
          <w:tcPr>
            <w:tcW w:w="279" w:type="pct"/>
            <w:tcBorders>
              <w:top w:val="nil"/>
              <w:bottom w:val="nil"/>
            </w:tcBorders>
          </w:tcPr>
          <w:p w14:paraId="3CBFD8A9" w14:textId="77777777" w:rsidR="00A340EE" w:rsidRPr="0047058F" w:rsidRDefault="00A340EE" w:rsidP="000D5576">
            <w:pPr>
              <w:pStyle w:val="TableText"/>
              <w:jc w:val="right"/>
              <w:rPr>
                <w:rFonts w:eastAsia="Times New Roman" w:cs="Arial"/>
              </w:rPr>
            </w:pPr>
            <w:r w:rsidRPr="0047058F">
              <w:rPr>
                <w:rFonts w:eastAsia="Times New Roman" w:cs="Arial"/>
              </w:rPr>
              <w:t>89.0</w:t>
            </w:r>
          </w:p>
        </w:tc>
      </w:tr>
      <w:tr w:rsidR="003876A3" w:rsidRPr="0047058F" w14:paraId="5C91FF33" w14:textId="77777777" w:rsidTr="000D5576">
        <w:tc>
          <w:tcPr>
            <w:tcW w:w="979" w:type="pct"/>
            <w:vMerge/>
            <w:tcBorders>
              <w:top w:val="nil"/>
              <w:bottom w:val="nil"/>
            </w:tcBorders>
            <w:shd w:val="clear" w:color="auto" w:fill="C1D9FF"/>
          </w:tcPr>
          <w:p w14:paraId="1C2B8978"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4D4575A4"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7CBF057E" w14:textId="77777777" w:rsidR="00A340EE" w:rsidRPr="0047058F" w:rsidRDefault="00A340EE" w:rsidP="000D5576">
            <w:pPr>
              <w:pStyle w:val="TableText"/>
              <w:jc w:val="right"/>
            </w:pPr>
            <w:r w:rsidRPr="0047058F">
              <w:t>113</w:t>
            </w:r>
          </w:p>
        </w:tc>
        <w:tc>
          <w:tcPr>
            <w:tcW w:w="284" w:type="pct"/>
            <w:tcBorders>
              <w:top w:val="nil"/>
              <w:bottom w:val="nil"/>
            </w:tcBorders>
            <w:shd w:val="clear" w:color="auto" w:fill="C1D9FF"/>
          </w:tcPr>
          <w:p w14:paraId="4742A8B6"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283" w:type="pct"/>
            <w:tcBorders>
              <w:top w:val="nil"/>
              <w:bottom w:val="nil"/>
            </w:tcBorders>
            <w:shd w:val="clear" w:color="auto" w:fill="C1D9FF"/>
          </w:tcPr>
          <w:p w14:paraId="634F245C" w14:textId="77777777" w:rsidR="00A340EE" w:rsidRPr="0047058F" w:rsidRDefault="00A340EE" w:rsidP="000D5576">
            <w:pPr>
              <w:pStyle w:val="TableText"/>
              <w:jc w:val="right"/>
              <w:rPr>
                <w:rFonts w:eastAsia="Times New Roman" w:cs="Arial"/>
              </w:rPr>
            </w:pPr>
            <w:r w:rsidRPr="0047058F">
              <w:rPr>
                <w:rFonts w:eastAsia="Times New Roman" w:cs="Arial"/>
              </w:rPr>
              <w:t>31.0</w:t>
            </w:r>
          </w:p>
        </w:tc>
        <w:tc>
          <w:tcPr>
            <w:tcW w:w="284" w:type="pct"/>
            <w:tcBorders>
              <w:top w:val="nil"/>
              <w:bottom w:val="nil"/>
            </w:tcBorders>
            <w:shd w:val="clear" w:color="auto" w:fill="C1D9FF"/>
          </w:tcPr>
          <w:p w14:paraId="6E32B9E2" w14:textId="77777777" w:rsidR="00A340EE" w:rsidRPr="0047058F" w:rsidRDefault="00A340EE" w:rsidP="000D5576">
            <w:pPr>
              <w:pStyle w:val="TableText"/>
              <w:jc w:val="right"/>
              <w:rPr>
                <w:rFonts w:eastAsia="Times New Roman" w:cs="Arial"/>
              </w:rPr>
            </w:pPr>
            <w:r w:rsidRPr="0047058F">
              <w:rPr>
                <w:rFonts w:eastAsia="Times New Roman" w:cs="Arial"/>
              </w:rPr>
              <w:t>29</w:t>
            </w:r>
          </w:p>
        </w:tc>
        <w:tc>
          <w:tcPr>
            <w:tcW w:w="283" w:type="pct"/>
            <w:tcBorders>
              <w:top w:val="nil"/>
              <w:bottom w:val="nil"/>
            </w:tcBorders>
            <w:shd w:val="clear" w:color="auto" w:fill="C1D9FF"/>
          </w:tcPr>
          <w:p w14:paraId="2B11F27D" w14:textId="77777777" w:rsidR="00A340EE" w:rsidRPr="0047058F" w:rsidRDefault="00A340EE" w:rsidP="000D5576">
            <w:pPr>
              <w:pStyle w:val="TableText"/>
              <w:jc w:val="right"/>
              <w:rPr>
                <w:rFonts w:eastAsia="Times New Roman" w:cs="Arial"/>
              </w:rPr>
            </w:pPr>
            <w:r w:rsidRPr="0047058F">
              <w:rPr>
                <w:rFonts w:eastAsia="Times New Roman" w:cs="Arial"/>
              </w:rPr>
              <w:t>69.0</w:t>
            </w:r>
          </w:p>
        </w:tc>
        <w:tc>
          <w:tcPr>
            <w:tcW w:w="286" w:type="pct"/>
            <w:tcBorders>
              <w:top w:val="nil"/>
              <w:bottom w:val="nil"/>
            </w:tcBorders>
            <w:shd w:val="clear" w:color="auto" w:fill="C1D9FF"/>
          </w:tcPr>
          <w:p w14:paraId="6A9061BA" w14:textId="77777777" w:rsidR="00A340EE" w:rsidRPr="0047058F" w:rsidRDefault="00A340EE" w:rsidP="000D5576">
            <w:pPr>
              <w:pStyle w:val="TableText"/>
              <w:jc w:val="right"/>
              <w:rPr>
                <w:rFonts w:eastAsia="Times New Roman" w:cs="Arial"/>
              </w:rPr>
            </w:pPr>
            <w:r w:rsidRPr="0047058F">
              <w:rPr>
                <w:rFonts w:eastAsia="Times New Roman" w:cs="Arial"/>
              </w:rPr>
              <w:t>19</w:t>
            </w:r>
          </w:p>
        </w:tc>
        <w:tc>
          <w:tcPr>
            <w:tcW w:w="283" w:type="pct"/>
            <w:tcBorders>
              <w:top w:val="nil"/>
              <w:bottom w:val="nil"/>
            </w:tcBorders>
            <w:shd w:val="clear" w:color="auto" w:fill="C1D9FF"/>
          </w:tcPr>
          <w:p w14:paraId="4001FEE0" w14:textId="77777777" w:rsidR="00A340EE" w:rsidRPr="0047058F" w:rsidRDefault="00A340EE" w:rsidP="000D5576">
            <w:pPr>
              <w:pStyle w:val="TableText"/>
              <w:jc w:val="right"/>
              <w:rPr>
                <w:rFonts w:eastAsia="Times New Roman" w:cs="Arial"/>
              </w:rPr>
            </w:pPr>
            <w:r w:rsidRPr="0047058F">
              <w:rPr>
                <w:rFonts w:eastAsia="Times New Roman" w:cs="Arial"/>
              </w:rPr>
              <w:t>26.8</w:t>
            </w:r>
          </w:p>
        </w:tc>
        <w:tc>
          <w:tcPr>
            <w:tcW w:w="283" w:type="pct"/>
            <w:tcBorders>
              <w:top w:val="nil"/>
              <w:bottom w:val="nil"/>
            </w:tcBorders>
            <w:shd w:val="clear" w:color="auto" w:fill="C1D9FF"/>
          </w:tcPr>
          <w:p w14:paraId="279BBD34" w14:textId="77777777" w:rsidR="00A340EE" w:rsidRPr="0047058F" w:rsidRDefault="00A340EE" w:rsidP="000D5576">
            <w:pPr>
              <w:pStyle w:val="TableText"/>
              <w:jc w:val="right"/>
              <w:rPr>
                <w:rFonts w:eastAsia="Times New Roman" w:cs="Arial"/>
              </w:rPr>
            </w:pPr>
            <w:r w:rsidRPr="0047058F">
              <w:rPr>
                <w:rFonts w:eastAsia="Times New Roman" w:cs="Arial"/>
              </w:rPr>
              <w:t>52</w:t>
            </w:r>
          </w:p>
        </w:tc>
        <w:tc>
          <w:tcPr>
            <w:tcW w:w="310" w:type="pct"/>
            <w:tcBorders>
              <w:top w:val="nil"/>
              <w:bottom w:val="nil"/>
            </w:tcBorders>
            <w:shd w:val="clear" w:color="auto" w:fill="C1D9FF"/>
          </w:tcPr>
          <w:p w14:paraId="1CB647F6" w14:textId="77777777" w:rsidR="00A340EE" w:rsidRPr="0047058F" w:rsidRDefault="00A340EE" w:rsidP="000D5576">
            <w:pPr>
              <w:pStyle w:val="TableText"/>
              <w:jc w:val="right"/>
              <w:rPr>
                <w:rFonts w:eastAsia="Times New Roman" w:cs="Arial"/>
              </w:rPr>
            </w:pPr>
            <w:r w:rsidRPr="0047058F">
              <w:rPr>
                <w:rFonts w:eastAsia="Times New Roman" w:cs="Arial"/>
              </w:rPr>
              <w:t>73.2</w:t>
            </w:r>
          </w:p>
        </w:tc>
        <w:tc>
          <w:tcPr>
            <w:tcW w:w="258" w:type="pct"/>
            <w:tcBorders>
              <w:top w:val="nil"/>
              <w:bottom w:val="nil"/>
            </w:tcBorders>
            <w:shd w:val="clear" w:color="auto" w:fill="C1D9FF"/>
          </w:tcPr>
          <w:p w14:paraId="17F37A91" w14:textId="77777777" w:rsidR="00A340EE" w:rsidRPr="0047058F" w:rsidRDefault="00A340EE" w:rsidP="000D5576">
            <w:pPr>
              <w:pStyle w:val="TableText"/>
              <w:jc w:val="right"/>
              <w:rPr>
                <w:rFonts w:eastAsia="Times New Roman" w:cs="Arial"/>
              </w:rPr>
            </w:pPr>
            <w:r w:rsidRPr="0047058F">
              <w:rPr>
                <w:rFonts w:eastAsia="Times New Roman" w:cs="Arial"/>
              </w:rPr>
              <w:t>32</w:t>
            </w:r>
          </w:p>
        </w:tc>
        <w:tc>
          <w:tcPr>
            <w:tcW w:w="284" w:type="pct"/>
            <w:tcBorders>
              <w:top w:val="nil"/>
              <w:bottom w:val="nil"/>
            </w:tcBorders>
            <w:shd w:val="clear" w:color="auto" w:fill="C1D9FF"/>
          </w:tcPr>
          <w:p w14:paraId="72B1CA1D" w14:textId="77777777" w:rsidR="00A340EE" w:rsidRPr="0047058F" w:rsidRDefault="00A340EE" w:rsidP="000D5576">
            <w:pPr>
              <w:pStyle w:val="TableText"/>
              <w:jc w:val="right"/>
              <w:rPr>
                <w:rFonts w:eastAsia="Times New Roman" w:cs="Arial"/>
              </w:rPr>
            </w:pPr>
            <w:r w:rsidRPr="0047058F">
              <w:rPr>
                <w:rFonts w:eastAsia="Times New Roman" w:cs="Arial"/>
              </w:rPr>
              <w:t>28.3</w:t>
            </w:r>
          </w:p>
        </w:tc>
        <w:tc>
          <w:tcPr>
            <w:tcW w:w="283" w:type="pct"/>
            <w:tcBorders>
              <w:top w:val="nil"/>
              <w:bottom w:val="nil"/>
            </w:tcBorders>
            <w:shd w:val="clear" w:color="auto" w:fill="C1D9FF"/>
          </w:tcPr>
          <w:p w14:paraId="29A3B8A4" w14:textId="77777777" w:rsidR="00A340EE" w:rsidRPr="0047058F" w:rsidRDefault="00A340EE" w:rsidP="000D5576">
            <w:pPr>
              <w:pStyle w:val="TableText"/>
              <w:jc w:val="right"/>
              <w:rPr>
                <w:rFonts w:eastAsia="Times New Roman" w:cs="Arial"/>
              </w:rPr>
            </w:pPr>
            <w:r w:rsidRPr="0047058F">
              <w:rPr>
                <w:rFonts w:eastAsia="Times New Roman" w:cs="Arial"/>
              </w:rPr>
              <w:t>81</w:t>
            </w:r>
          </w:p>
        </w:tc>
        <w:tc>
          <w:tcPr>
            <w:tcW w:w="279" w:type="pct"/>
            <w:tcBorders>
              <w:top w:val="nil"/>
              <w:bottom w:val="nil"/>
            </w:tcBorders>
            <w:shd w:val="clear" w:color="auto" w:fill="C1D9FF"/>
          </w:tcPr>
          <w:p w14:paraId="08EF3A08" w14:textId="77777777" w:rsidR="00A340EE" w:rsidRPr="0047058F" w:rsidRDefault="00A340EE" w:rsidP="000D5576">
            <w:pPr>
              <w:pStyle w:val="TableText"/>
              <w:jc w:val="right"/>
              <w:rPr>
                <w:rFonts w:eastAsia="Times New Roman" w:cs="Arial"/>
              </w:rPr>
            </w:pPr>
            <w:r w:rsidRPr="0047058F">
              <w:rPr>
                <w:rFonts w:eastAsia="Times New Roman" w:cs="Arial"/>
              </w:rPr>
              <w:t>71.7</w:t>
            </w:r>
          </w:p>
        </w:tc>
      </w:tr>
      <w:tr w:rsidR="000D5576" w:rsidRPr="0047058F" w14:paraId="4CD548F1"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67F82D81" w14:textId="77777777" w:rsidR="00A340EE" w:rsidRPr="0047058F" w:rsidRDefault="00A340EE" w:rsidP="000D5576">
            <w:pPr>
              <w:pStyle w:val="TableText"/>
              <w:rPr>
                <w:rFonts w:cs="Calibri"/>
                <w:szCs w:val="14"/>
              </w:rPr>
            </w:pPr>
            <w:r w:rsidRPr="0047058F">
              <w:rPr>
                <w:rFonts w:cs="Calibri"/>
                <w:szCs w:val="14"/>
              </w:rPr>
              <w:t>Dysthymia</w:t>
            </w:r>
          </w:p>
        </w:tc>
        <w:tc>
          <w:tcPr>
            <w:tcW w:w="337" w:type="pct"/>
            <w:tcBorders>
              <w:top w:val="nil"/>
              <w:bottom w:val="nil"/>
            </w:tcBorders>
            <w:shd w:val="clear" w:color="auto" w:fill="auto"/>
          </w:tcPr>
          <w:p w14:paraId="36F68FDF"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2BFA27F8" w14:textId="77777777" w:rsidR="00A340EE" w:rsidRPr="0047058F" w:rsidRDefault="00A340EE" w:rsidP="000D5576">
            <w:pPr>
              <w:pStyle w:val="TableText"/>
              <w:jc w:val="right"/>
            </w:pPr>
            <w:r w:rsidRPr="0047058F">
              <w:t>802</w:t>
            </w:r>
          </w:p>
        </w:tc>
        <w:tc>
          <w:tcPr>
            <w:tcW w:w="284" w:type="pct"/>
            <w:tcBorders>
              <w:top w:val="nil"/>
              <w:bottom w:val="nil"/>
            </w:tcBorders>
            <w:shd w:val="clear" w:color="auto" w:fill="auto"/>
          </w:tcPr>
          <w:p w14:paraId="36DC1349" w14:textId="77777777" w:rsidR="00A340EE" w:rsidRPr="0047058F" w:rsidRDefault="00A340EE" w:rsidP="000D5576">
            <w:pPr>
              <w:pStyle w:val="TableText"/>
              <w:jc w:val="right"/>
              <w:rPr>
                <w:rFonts w:eastAsia="Times New Roman" w:cs="Arial"/>
              </w:rPr>
            </w:pPr>
            <w:r w:rsidRPr="0047058F">
              <w:rPr>
                <w:rFonts w:eastAsia="Times New Roman" w:cs="Arial"/>
              </w:rPr>
              <w:t>17</w:t>
            </w:r>
          </w:p>
        </w:tc>
        <w:tc>
          <w:tcPr>
            <w:tcW w:w="283" w:type="pct"/>
            <w:tcBorders>
              <w:top w:val="nil"/>
              <w:bottom w:val="nil"/>
            </w:tcBorders>
            <w:shd w:val="clear" w:color="auto" w:fill="auto"/>
          </w:tcPr>
          <w:p w14:paraId="33DCA838" w14:textId="77777777" w:rsidR="00A340EE" w:rsidRPr="0047058F" w:rsidRDefault="00A340EE" w:rsidP="000D5576">
            <w:pPr>
              <w:pStyle w:val="TableText"/>
              <w:jc w:val="right"/>
              <w:rPr>
                <w:rFonts w:eastAsia="Times New Roman" w:cs="Arial"/>
              </w:rPr>
            </w:pPr>
            <w:r w:rsidRPr="0047058F">
              <w:rPr>
                <w:rFonts w:eastAsia="Times New Roman" w:cs="Arial"/>
              </w:rPr>
              <w:t>6.6</w:t>
            </w:r>
          </w:p>
        </w:tc>
        <w:tc>
          <w:tcPr>
            <w:tcW w:w="284" w:type="pct"/>
            <w:tcBorders>
              <w:top w:val="nil"/>
              <w:bottom w:val="nil"/>
            </w:tcBorders>
            <w:shd w:val="clear" w:color="auto" w:fill="auto"/>
          </w:tcPr>
          <w:p w14:paraId="332E37DF" w14:textId="77777777" w:rsidR="00A340EE" w:rsidRPr="0047058F" w:rsidRDefault="00A340EE" w:rsidP="000D5576">
            <w:pPr>
              <w:pStyle w:val="TableText"/>
              <w:jc w:val="right"/>
              <w:rPr>
                <w:rFonts w:eastAsia="Times New Roman" w:cs="Arial"/>
              </w:rPr>
            </w:pPr>
            <w:r w:rsidRPr="0047058F">
              <w:rPr>
                <w:rFonts w:eastAsia="Times New Roman" w:cs="Arial"/>
              </w:rPr>
              <w:t>239</w:t>
            </w:r>
          </w:p>
        </w:tc>
        <w:tc>
          <w:tcPr>
            <w:tcW w:w="283" w:type="pct"/>
            <w:tcBorders>
              <w:top w:val="nil"/>
              <w:bottom w:val="nil"/>
            </w:tcBorders>
            <w:shd w:val="clear" w:color="auto" w:fill="auto"/>
          </w:tcPr>
          <w:p w14:paraId="0F224373" w14:textId="77777777" w:rsidR="00A340EE" w:rsidRPr="0047058F" w:rsidRDefault="00A340EE" w:rsidP="000D5576">
            <w:pPr>
              <w:pStyle w:val="TableText"/>
              <w:jc w:val="right"/>
              <w:rPr>
                <w:rFonts w:eastAsia="Times New Roman" w:cs="Arial"/>
              </w:rPr>
            </w:pPr>
            <w:r w:rsidRPr="0047058F">
              <w:rPr>
                <w:rFonts w:eastAsia="Times New Roman" w:cs="Arial"/>
              </w:rPr>
              <w:t>93.4</w:t>
            </w:r>
          </w:p>
        </w:tc>
        <w:tc>
          <w:tcPr>
            <w:tcW w:w="286" w:type="pct"/>
            <w:tcBorders>
              <w:top w:val="nil"/>
              <w:bottom w:val="nil"/>
            </w:tcBorders>
            <w:shd w:val="clear" w:color="auto" w:fill="auto"/>
          </w:tcPr>
          <w:p w14:paraId="308259A9" w14:textId="77777777" w:rsidR="00A340EE" w:rsidRPr="0047058F" w:rsidRDefault="00A340EE" w:rsidP="000D5576">
            <w:pPr>
              <w:pStyle w:val="TableText"/>
              <w:jc w:val="right"/>
              <w:rPr>
                <w:rFonts w:eastAsia="Times New Roman" w:cs="Arial"/>
              </w:rPr>
            </w:pPr>
            <w:r w:rsidRPr="0047058F">
              <w:rPr>
                <w:rFonts w:eastAsia="Times New Roman" w:cs="Arial"/>
              </w:rPr>
              <w:t>17</w:t>
            </w:r>
          </w:p>
        </w:tc>
        <w:tc>
          <w:tcPr>
            <w:tcW w:w="283" w:type="pct"/>
            <w:tcBorders>
              <w:top w:val="nil"/>
              <w:bottom w:val="nil"/>
            </w:tcBorders>
            <w:shd w:val="clear" w:color="auto" w:fill="auto"/>
          </w:tcPr>
          <w:p w14:paraId="13B67BCB" w14:textId="77777777" w:rsidR="00A340EE" w:rsidRPr="0047058F" w:rsidRDefault="00A340EE" w:rsidP="000D5576">
            <w:pPr>
              <w:pStyle w:val="TableText"/>
              <w:jc w:val="right"/>
              <w:rPr>
                <w:rFonts w:eastAsia="Times New Roman" w:cs="Arial"/>
              </w:rPr>
            </w:pPr>
            <w:r w:rsidRPr="0047058F">
              <w:rPr>
                <w:rFonts w:eastAsia="Times New Roman" w:cs="Arial"/>
              </w:rPr>
              <w:t>3.1</w:t>
            </w:r>
          </w:p>
        </w:tc>
        <w:tc>
          <w:tcPr>
            <w:tcW w:w="283" w:type="pct"/>
            <w:tcBorders>
              <w:top w:val="nil"/>
              <w:bottom w:val="nil"/>
            </w:tcBorders>
            <w:shd w:val="clear" w:color="auto" w:fill="auto"/>
          </w:tcPr>
          <w:p w14:paraId="5AB7D497" w14:textId="77777777" w:rsidR="00A340EE" w:rsidRPr="0047058F" w:rsidRDefault="00A340EE" w:rsidP="000D5576">
            <w:pPr>
              <w:pStyle w:val="TableText"/>
              <w:jc w:val="right"/>
              <w:rPr>
                <w:rFonts w:eastAsia="Times New Roman" w:cs="Arial"/>
              </w:rPr>
            </w:pPr>
            <w:r w:rsidRPr="0047058F">
              <w:rPr>
                <w:rFonts w:eastAsia="Times New Roman" w:cs="Arial"/>
              </w:rPr>
              <w:t>529</w:t>
            </w:r>
          </w:p>
        </w:tc>
        <w:tc>
          <w:tcPr>
            <w:tcW w:w="310" w:type="pct"/>
            <w:tcBorders>
              <w:top w:val="nil"/>
              <w:bottom w:val="nil"/>
            </w:tcBorders>
            <w:shd w:val="clear" w:color="auto" w:fill="auto"/>
          </w:tcPr>
          <w:p w14:paraId="59638763" w14:textId="77777777" w:rsidR="00A340EE" w:rsidRPr="0047058F" w:rsidRDefault="00A340EE" w:rsidP="000D5576">
            <w:pPr>
              <w:pStyle w:val="TableText"/>
              <w:jc w:val="right"/>
              <w:rPr>
                <w:rFonts w:eastAsia="Times New Roman" w:cs="Arial"/>
              </w:rPr>
            </w:pPr>
            <w:r w:rsidRPr="0047058F">
              <w:rPr>
                <w:rFonts w:eastAsia="Times New Roman" w:cs="Arial"/>
              </w:rPr>
              <w:t>96.9</w:t>
            </w:r>
          </w:p>
        </w:tc>
        <w:tc>
          <w:tcPr>
            <w:tcW w:w="258" w:type="pct"/>
            <w:tcBorders>
              <w:top w:val="nil"/>
              <w:bottom w:val="nil"/>
            </w:tcBorders>
            <w:shd w:val="clear" w:color="auto" w:fill="auto"/>
          </w:tcPr>
          <w:p w14:paraId="5A4DB555" w14:textId="77777777" w:rsidR="00A340EE" w:rsidRPr="0047058F" w:rsidRDefault="00A340EE" w:rsidP="000D5576">
            <w:pPr>
              <w:pStyle w:val="TableText"/>
              <w:jc w:val="right"/>
              <w:rPr>
                <w:rFonts w:eastAsia="Times New Roman" w:cs="Arial"/>
              </w:rPr>
            </w:pPr>
            <w:r w:rsidRPr="0047058F">
              <w:rPr>
                <w:rFonts w:eastAsia="Times New Roman" w:cs="Arial"/>
              </w:rPr>
              <w:t>34</w:t>
            </w:r>
          </w:p>
        </w:tc>
        <w:tc>
          <w:tcPr>
            <w:tcW w:w="284" w:type="pct"/>
            <w:tcBorders>
              <w:top w:val="nil"/>
              <w:bottom w:val="nil"/>
            </w:tcBorders>
            <w:shd w:val="clear" w:color="auto" w:fill="auto"/>
          </w:tcPr>
          <w:p w14:paraId="72326BF2" w14:textId="77777777" w:rsidR="00A340EE" w:rsidRPr="0047058F" w:rsidRDefault="00A340EE" w:rsidP="000D5576">
            <w:pPr>
              <w:pStyle w:val="TableText"/>
              <w:jc w:val="right"/>
              <w:rPr>
                <w:rFonts w:eastAsia="Times New Roman" w:cs="Arial"/>
              </w:rPr>
            </w:pPr>
            <w:r w:rsidRPr="0047058F">
              <w:rPr>
                <w:rFonts w:eastAsia="Times New Roman" w:cs="Arial"/>
              </w:rPr>
              <w:t>4.2</w:t>
            </w:r>
          </w:p>
        </w:tc>
        <w:tc>
          <w:tcPr>
            <w:tcW w:w="283" w:type="pct"/>
            <w:tcBorders>
              <w:top w:val="nil"/>
              <w:bottom w:val="nil"/>
            </w:tcBorders>
            <w:shd w:val="clear" w:color="auto" w:fill="auto"/>
          </w:tcPr>
          <w:p w14:paraId="13641C9A" w14:textId="77777777" w:rsidR="00A340EE" w:rsidRPr="0047058F" w:rsidRDefault="00A340EE" w:rsidP="000D5576">
            <w:pPr>
              <w:pStyle w:val="TableText"/>
              <w:jc w:val="right"/>
              <w:rPr>
                <w:rFonts w:eastAsia="Times New Roman" w:cs="Arial"/>
              </w:rPr>
            </w:pPr>
            <w:r w:rsidRPr="0047058F">
              <w:rPr>
                <w:rFonts w:eastAsia="Times New Roman" w:cs="Arial"/>
              </w:rPr>
              <w:t>768</w:t>
            </w:r>
          </w:p>
        </w:tc>
        <w:tc>
          <w:tcPr>
            <w:tcW w:w="279" w:type="pct"/>
            <w:tcBorders>
              <w:top w:val="nil"/>
              <w:bottom w:val="nil"/>
            </w:tcBorders>
            <w:shd w:val="clear" w:color="auto" w:fill="auto"/>
          </w:tcPr>
          <w:p w14:paraId="02A9F2D3" w14:textId="77777777" w:rsidR="00A340EE" w:rsidRPr="0047058F" w:rsidRDefault="00A340EE" w:rsidP="000D5576">
            <w:pPr>
              <w:pStyle w:val="TableText"/>
              <w:jc w:val="right"/>
              <w:rPr>
                <w:rFonts w:eastAsia="Times New Roman" w:cs="Arial"/>
              </w:rPr>
            </w:pPr>
            <w:r w:rsidRPr="0047058F">
              <w:rPr>
                <w:rFonts w:eastAsia="Times New Roman" w:cs="Arial"/>
              </w:rPr>
              <w:t>95.8</w:t>
            </w:r>
          </w:p>
        </w:tc>
      </w:tr>
      <w:tr w:rsidR="00A340EE" w:rsidRPr="0047058F" w14:paraId="77BC66A2" w14:textId="77777777" w:rsidTr="0035755E">
        <w:tc>
          <w:tcPr>
            <w:tcW w:w="979" w:type="pct"/>
            <w:vMerge/>
            <w:tcBorders>
              <w:top w:val="nil"/>
              <w:bottom w:val="nil"/>
            </w:tcBorders>
          </w:tcPr>
          <w:p w14:paraId="2D5C198D" w14:textId="77777777" w:rsidR="00A340EE" w:rsidRPr="0047058F" w:rsidRDefault="00A340EE" w:rsidP="000D5576">
            <w:pPr>
              <w:pStyle w:val="TableText"/>
              <w:rPr>
                <w:rFonts w:cs="Calibri"/>
                <w:szCs w:val="14"/>
              </w:rPr>
            </w:pPr>
          </w:p>
        </w:tc>
        <w:tc>
          <w:tcPr>
            <w:tcW w:w="337" w:type="pct"/>
            <w:tcBorders>
              <w:top w:val="nil"/>
              <w:bottom w:val="nil"/>
            </w:tcBorders>
          </w:tcPr>
          <w:p w14:paraId="414CF217" w14:textId="77777777" w:rsidR="00A340EE" w:rsidRPr="0047058F" w:rsidRDefault="00A340EE" w:rsidP="00F77104">
            <w:pPr>
              <w:pStyle w:val="TableText"/>
            </w:pPr>
            <w:r w:rsidRPr="0047058F">
              <w:t>Yes</w:t>
            </w:r>
          </w:p>
        </w:tc>
        <w:tc>
          <w:tcPr>
            <w:tcW w:w="284" w:type="pct"/>
            <w:tcBorders>
              <w:top w:val="nil"/>
              <w:bottom w:val="nil"/>
            </w:tcBorders>
          </w:tcPr>
          <w:p w14:paraId="3FF03B37" w14:textId="77777777" w:rsidR="00A340EE" w:rsidRPr="0047058F" w:rsidRDefault="00A340EE" w:rsidP="000D5576">
            <w:pPr>
              <w:pStyle w:val="TableText"/>
              <w:jc w:val="right"/>
            </w:pPr>
            <w:r w:rsidRPr="0047058F">
              <w:t>18</w:t>
            </w:r>
          </w:p>
        </w:tc>
        <w:tc>
          <w:tcPr>
            <w:tcW w:w="284" w:type="pct"/>
            <w:tcBorders>
              <w:top w:val="nil"/>
              <w:bottom w:val="nil"/>
            </w:tcBorders>
          </w:tcPr>
          <w:p w14:paraId="7E1C852B" w14:textId="77777777" w:rsidR="00A340EE" w:rsidRPr="0047058F" w:rsidRDefault="00A340EE" w:rsidP="000D5576">
            <w:pPr>
              <w:pStyle w:val="TableText"/>
              <w:jc w:val="right"/>
              <w:rPr>
                <w:rFonts w:eastAsia="Times New Roman" w:cs="Arial"/>
              </w:rPr>
            </w:pPr>
            <w:r w:rsidRPr="0047058F">
              <w:rPr>
                <w:rFonts w:eastAsia="Times New Roman" w:cs="Arial"/>
              </w:rPr>
              <w:t>2</w:t>
            </w:r>
          </w:p>
        </w:tc>
        <w:tc>
          <w:tcPr>
            <w:tcW w:w="283" w:type="pct"/>
            <w:tcBorders>
              <w:top w:val="nil"/>
              <w:bottom w:val="nil"/>
            </w:tcBorders>
          </w:tcPr>
          <w:p w14:paraId="272DBACF" w14:textId="77777777" w:rsidR="00A340EE" w:rsidRPr="0047058F" w:rsidRDefault="00A340EE" w:rsidP="000D5576">
            <w:pPr>
              <w:pStyle w:val="TableText"/>
              <w:jc w:val="right"/>
              <w:rPr>
                <w:rFonts w:eastAsia="Times New Roman" w:cs="Arial"/>
              </w:rPr>
            </w:pPr>
            <w:r w:rsidRPr="0047058F">
              <w:rPr>
                <w:rFonts w:eastAsia="Times New Roman" w:cs="Arial"/>
              </w:rPr>
              <w:t>40.0</w:t>
            </w:r>
          </w:p>
        </w:tc>
        <w:tc>
          <w:tcPr>
            <w:tcW w:w="284" w:type="pct"/>
            <w:tcBorders>
              <w:top w:val="nil"/>
              <w:bottom w:val="nil"/>
            </w:tcBorders>
          </w:tcPr>
          <w:p w14:paraId="2064582A" w14:textId="77777777" w:rsidR="00A340EE" w:rsidRPr="0047058F" w:rsidRDefault="00A340EE" w:rsidP="000D5576">
            <w:pPr>
              <w:pStyle w:val="TableText"/>
              <w:jc w:val="right"/>
              <w:rPr>
                <w:rFonts w:eastAsia="Times New Roman" w:cs="Arial"/>
              </w:rPr>
            </w:pPr>
            <w:r w:rsidRPr="0047058F">
              <w:rPr>
                <w:rFonts w:eastAsia="Times New Roman" w:cs="Arial"/>
              </w:rPr>
              <w:t>3</w:t>
            </w:r>
          </w:p>
        </w:tc>
        <w:tc>
          <w:tcPr>
            <w:tcW w:w="283" w:type="pct"/>
            <w:tcBorders>
              <w:top w:val="nil"/>
              <w:bottom w:val="nil"/>
            </w:tcBorders>
          </w:tcPr>
          <w:p w14:paraId="4497093E" w14:textId="77777777" w:rsidR="00A340EE" w:rsidRPr="0047058F" w:rsidRDefault="00A340EE" w:rsidP="000D5576">
            <w:pPr>
              <w:pStyle w:val="TableText"/>
              <w:jc w:val="right"/>
              <w:rPr>
                <w:rFonts w:eastAsia="Times New Roman" w:cs="Arial"/>
              </w:rPr>
            </w:pPr>
            <w:r w:rsidRPr="0047058F">
              <w:rPr>
                <w:rFonts w:eastAsia="Times New Roman" w:cs="Arial"/>
              </w:rPr>
              <w:t>60.0</w:t>
            </w:r>
          </w:p>
        </w:tc>
        <w:tc>
          <w:tcPr>
            <w:tcW w:w="286" w:type="pct"/>
            <w:tcBorders>
              <w:top w:val="nil"/>
              <w:bottom w:val="nil"/>
            </w:tcBorders>
          </w:tcPr>
          <w:p w14:paraId="714A5C06" w14:textId="77777777" w:rsidR="00A340EE" w:rsidRPr="0047058F" w:rsidRDefault="00A340EE" w:rsidP="000D5576">
            <w:pPr>
              <w:pStyle w:val="TableText"/>
              <w:jc w:val="right"/>
              <w:rPr>
                <w:rFonts w:eastAsia="Times New Roman" w:cs="Arial"/>
              </w:rPr>
            </w:pPr>
            <w:r w:rsidRPr="0047058F">
              <w:rPr>
                <w:rFonts w:eastAsia="Times New Roman" w:cs="Arial"/>
              </w:rPr>
              <w:t>1</w:t>
            </w:r>
          </w:p>
        </w:tc>
        <w:tc>
          <w:tcPr>
            <w:tcW w:w="283" w:type="pct"/>
            <w:tcBorders>
              <w:top w:val="nil"/>
              <w:bottom w:val="nil"/>
            </w:tcBorders>
          </w:tcPr>
          <w:p w14:paraId="4CB93D7A" w14:textId="77777777" w:rsidR="00A340EE" w:rsidRPr="0047058F" w:rsidRDefault="00A340EE" w:rsidP="000D5576">
            <w:pPr>
              <w:pStyle w:val="TableText"/>
              <w:jc w:val="right"/>
              <w:rPr>
                <w:rFonts w:eastAsia="Times New Roman" w:cs="Arial"/>
              </w:rPr>
            </w:pPr>
            <w:r w:rsidRPr="0047058F">
              <w:rPr>
                <w:rFonts w:eastAsia="Times New Roman" w:cs="Arial"/>
              </w:rPr>
              <w:t>7.7</w:t>
            </w:r>
          </w:p>
        </w:tc>
        <w:tc>
          <w:tcPr>
            <w:tcW w:w="283" w:type="pct"/>
            <w:tcBorders>
              <w:top w:val="nil"/>
              <w:bottom w:val="nil"/>
            </w:tcBorders>
          </w:tcPr>
          <w:p w14:paraId="79784F5A"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310" w:type="pct"/>
            <w:tcBorders>
              <w:top w:val="nil"/>
              <w:bottom w:val="nil"/>
            </w:tcBorders>
          </w:tcPr>
          <w:p w14:paraId="17892E54" w14:textId="77777777" w:rsidR="00A340EE" w:rsidRPr="0047058F" w:rsidRDefault="00A340EE" w:rsidP="000D5576">
            <w:pPr>
              <w:pStyle w:val="TableText"/>
              <w:jc w:val="right"/>
              <w:rPr>
                <w:rFonts w:eastAsia="Times New Roman" w:cs="Arial"/>
              </w:rPr>
            </w:pPr>
            <w:r w:rsidRPr="0047058F">
              <w:rPr>
                <w:rFonts w:eastAsia="Times New Roman" w:cs="Arial"/>
              </w:rPr>
              <w:t>92.3</w:t>
            </w:r>
          </w:p>
        </w:tc>
        <w:tc>
          <w:tcPr>
            <w:tcW w:w="258" w:type="pct"/>
            <w:tcBorders>
              <w:top w:val="nil"/>
              <w:bottom w:val="nil"/>
            </w:tcBorders>
          </w:tcPr>
          <w:p w14:paraId="04C2FF19" w14:textId="77777777" w:rsidR="00A340EE" w:rsidRPr="0047058F" w:rsidRDefault="00A340EE" w:rsidP="000D5576">
            <w:pPr>
              <w:pStyle w:val="TableText"/>
              <w:jc w:val="right"/>
              <w:rPr>
                <w:rFonts w:eastAsia="Times New Roman" w:cs="Arial"/>
              </w:rPr>
            </w:pPr>
            <w:r w:rsidRPr="0047058F">
              <w:rPr>
                <w:rFonts w:eastAsia="Times New Roman" w:cs="Arial"/>
              </w:rPr>
              <w:t>3</w:t>
            </w:r>
          </w:p>
        </w:tc>
        <w:tc>
          <w:tcPr>
            <w:tcW w:w="284" w:type="pct"/>
            <w:tcBorders>
              <w:top w:val="nil"/>
              <w:bottom w:val="nil"/>
            </w:tcBorders>
          </w:tcPr>
          <w:p w14:paraId="47C1067F" w14:textId="77777777" w:rsidR="00A340EE" w:rsidRPr="0047058F" w:rsidRDefault="00A340EE" w:rsidP="000D5576">
            <w:pPr>
              <w:pStyle w:val="TableText"/>
              <w:jc w:val="right"/>
              <w:rPr>
                <w:rFonts w:eastAsia="Times New Roman" w:cs="Arial"/>
              </w:rPr>
            </w:pPr>
            <w:r w:rsidRPr="0047058F">
              <w:rPr>
                <w:rFonts w:eastAsia="Times New Roman" w:cs="Arial"/>
              </w:rPr>
              <w:t>16.7</w:t>
            </w:r>
          </w:p>
        </w:tc>
        <w:tc>
          <w:tcPr>
            <w:tcW w:w="283" w:type="pct"/>
            <w:tcBorders>
              <w:top w:val="nil"/>
              <w:bottom w:val="nil"/>
            </w:tcBorders>
          </w:tcPr>
          <w:p w14:paraId="53231A9D" w14:textId="77777777" w:rsidR="00A340EE" w:rsidRPr="0047058F" w:rsidRDefault="00A340EE" w:rsidP="000D5576">
            <w:pPr>
              <w:pStyle w:val="TableText"/>
              <w:jc w:val="right"/>
              <w:rPr>
                <w:rFonts w:eastAsia="Times New Roman" w:cs="Arial"/>
              </w:rPr>
            </w:pPr>
            <w:r w:rsidRPr="0047058F">
              <w:rPr>
                <w:rFonts w:eastAsia="Times New Roman" w:cs="Arial"/>
              </w:rPr>
              <w:t>15</w:t>
            </w:r>
          </w:p>
        </w:tc>
        <w:tc>
          <w:tcPr>
            <w:tcW w:w="279" w:type="pct"/>
            <w:tcBorders>
              <w:top w:val="nil"/>
              <w:bottom w:val="nil"/>
            </w:tcBorders>
          </w:tcPr>
          <w:p w14:paraId="04C0E922" w14:textId="77777777" w:rsidR="00A340EE" w:rsidRPr="0047058F" w:rsidRDefault="00A340EE" w:rsidP="000D5576">
            <w:pPr>
              <w:pStyle w:val="TableText"/>
              <w:jc w:val="right"/>
              <w:rPr>
                <w:rFonts w:eastAsia="Times New Roman" w:cs="Arial"/>
              </w:rPr>
            </w:pPr>
            <w:r w:rsidRPr="0047058F">
              <w:rPr>
                <w:rFonts w:eastAsia="Times New Roman" w:cs="Arial"/>
              </w:rPr>
              <w:t>83.3</w:t>
            </w:r>
          </w:p>
        </w:tc>
      </w:tr>
      <w:tr w:rsidR="00A340EE" w:rsidRPr="0047058F" w14:paraId="070A990C"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11BA5847" w14:textId="77777777" w:rsidR="00A340EE" w:rsidRPr="0047058F" w:rsidRDefault="00A340EE" w:rsidP="000D5576">
            <w:pPr>
              <w:pStyle w:val="TableText"/>
              <w:rPr>
                <w:rFonts w:cs="Calibri"/>
                <w:szCs w:val="14"/>
              </w:rPr>
            </w:pPr>
            <w:r w:rsidRPr="0047058F">
              <w:rPr>
                <w:rFonts w:cs="Calibri"/>
                <w:szCs w:val="14"/>
              </w:rPr>
              <w:t>Bipolar affective disorder</w:t>
            </w:r>
          </w:p>
        </w:tc>
        <w:tc>
          <w:tcPr>
            <w:tcW w:w="337" w:type="pct"/>
            <w:tcBorders>
              <w:top w:val="nil"/>
              <w:bottom w:val="nil"/>
            </w:tcBorders>
          </w:tcPr>
          <w:p w14:paraId="34D96659" w14:textId="77777777" w:rsidR="00A340EE" w:rsidRPr="0047058F" w:rsidRDefault="00A340EE" w:rsidP="00F77104">
            <w:pPr>
              <w:pStyle w:val="TableText"/>
            </w:pPr>
            <w:r w:rsidRPr="0047058F">
              <w:t>No</w:t>
            </w:r>
          </w:p>
        </w:tc>
        <w:tc>
          <w:tcPr>
            <w:tcW w:w="284" w:type="pct"/>
            <w:tcBorders>
              <w:top w:val="nil"/>
              <w:bottom w:val="nil"/>
            </w:tcBorders>
          </w:tcPr>
          <w:p w14:paraId="133833E9" w14:textId="77777777" w:rsidR="00A340EE" w:rsidRPr="0047058F" w:rsidRDefault="00A340EE" w:rsidP="000D5576">
            <w:pPr>
              <w:pStyle w:val="TableText"/>
              <w:jc w:val="right"/>
            </w:pPr>
            <w:r w:rsidRPr="0047058F">
              <w:t>786</w:t>
            </w:r>
          </w:p>
        </w:tc>
        <w:tc>
          <w:tcPr>
            <w:tcW w:w="284" w:type="pct"/>
            <w:tcBorders>
              <w:top w:val="nil"/>
              <w:bottom w:val="nil"/>
            </w:tcBorders>
          </w:tcPr>
          <w:p w14:paraId="6E2C215F" w14:textId="77777777" w:rsidR="00A340EE" w:rsidRPr="0047058F" w:rsidRDefault="00A340EE" w:rsidP="000D5576">
            <w:pPr>
              <w:pStyle w:val="TableText"/>
              <w:jc w:val="right"/>
              <w:rPr>
                <w:rFonts w:eastAsia="Times New Roman" w:cs="Arial"/>
              </w:rPr>
            </w:pPr>
            <w:r w:rsidRPr="0047058F">
              <w:rPr>
                <w:rFonts w:eastAsia="Times New Roman" w:cs="Arial"/>
              </w:rPr>
              <w:t>16</w:t>
            </w:r>
          </w:p>
        </w:tc>
        <w:tc>
          <w:tcPr>
            <w:tcW w:w="283" w:type="pct"/>
            <w:tcBorders>
              <w:top w:val="nil"/>
              <w:bottom w:val="nil"/>
            </w:tcBorders>
          </w:tcPr>
          <w:p w14:paraId="2E092E67" w14:textId="77777777" w:rsidR="00A340EE" w:rsidRPr="0047058F" w:rsidRDefault="00A340EE" w:rsidP="000D5576">
            <w:pPr>
              <w:pStyle w:val="TableText"/>
              <w:jc w:val="right"/>
              <w:rPr>
                <w:rFonts w:eastAsia="Times New Roman" w:cs="Arial"/>
              </w:rPr>
            </w:pPr>
            <w:r w:rsidRPr="0047058F">
              <w:rPr>
                <w:rFonts w:eastAsia="Times New Roman" w:cs="Arial"/>
              </w:rPr>
              <w:t>6.5</w:t>
            </w:r>
          </w:p>
        </w:tc>
        <w:tc>
          <w:tcPr>
            <w:tcW w:w="284" w:type="pct"/>
            <w:tcBorders>
              <w:top w:val="nil"/>
              <w:bottom w:val="nil"/>
            </w:tcBorders>
          </w:tcPr>
          <w:p w14:paraId="3145E6AF" w14:textId="77777777" w:rsidR="00A340EE" w:rsidRPr="0047058F" w:rsidRDefault="00A340EE" w:rsidP="000D5576">
            <w:pPr>
              <w:pStyle w:val="TableText"/>
              <w:jc w:val="right"/>
              <w:rPr>
                <w:rFonts w:eastAsia="Times New Roman" w:cs="Arial"/>
              </w:rPr>
            </w:pPr>
            <w:r w:rsidRPr="0047058F">
              <w:rPr>
                <w:rFonts w:eastAsia="Times New Roman" w:cs="Arial"/>
              </w:rPr>
              <w:t>232</w:t>
            </w:r>
          </w:p>
        </w:tc>
        <w:tc>
          <w:tcPr>
            <w:tcW w:w="283" w:type="pct"/>
            <w:tcBorders>
              <w:top w:val="nil"/>
              <w:bottom w:val="nil"/>
            </w:tcBorders>
          </w:tcPr>
          <w:p w14:paraId="61AF8311" w14:textId="77777777" w:rsidR="00A340EE" w:rsidRPr="0047058F" w:rsidRDefault="00A340EE" w:rsidP="000D5576">
            <w:pPr>
              <w:pStyle w:val="TableText"/>
              <w:jc w:val="right"/>
              <w:rPr>
                <w:rFonts w:eastAsia="Times New Roman" w:cs="Arial"/>
              </w:rPr>
            </w:pPr>
            <w:r w:rsidRPr="0047058F">
              <w:rPr>
                <w:rFonts w:eastAsia="Times New Roman" w:cs="Arial"/>
              </w:rPr>
              <w:t>93.5</w:t>
            </w:r>
          </w:p>
        </w:tc>
        <w:tc>
          <w:tcPr>
            <w:tcW w:w="286" w:type="pct"/>
            <w:tcBorders>
              <w:top w:val="nil"/>
              <w:bottom w:val="nil"/>
            </w:tcBorders>
          </w:tcPr>
          <w:p w14:paraId="2544058F" w14:textId="77777777" w:rsidR="00A340EE" w:rsidRPr="0047058F" w:rsidRDefault="00A340EE" w:rsidP="000D5576">
            <w:pPr>
              <w:pStyle w:val="TableText"/>
              <w:jc w:val="right"/>
              <w:rPr>
                <w:rFonts w:eastAsia="Times New Roman" w:cs="Arial"/>
              </w:rPr>
            </w:pPr>
            <w:r w:rsidRPr="0047058F">
              <w:rPr>
                <w:rFonts w:eastAsia="Times New Roman" w:cs="Arial"/>
              </w:rPr>
              <w:t>20</w:t>
            </w:r>
          </w:p>
        </w:tc>
        <w:tc>
          <w:tcPr>
            <w:tcW w:w="283" w:type="pct"/>
            <w:tcBorders>
              <w:top w:val="nil"/>
              <w:bottom w:val="nil"/>
            </w:tcBorders>
          </w:tcPr>
          <w:p w14:paraId="3D960562" w14:textId="77777777" w:rsidR="00A340EE" w:rsidRPr="0047058F" w:rsidRDefault="00A340EE" w:rsidP="000D5576">
            <w:pPr>
              <w:pStyle w:val="TableText"/>
              <w:jc w:val="right"/>
              <w:rPr>
                <w:rFonts w:eastAsia="Times New Roman" w:cs="Arial"/>
              </w:rPr>
            </w:pPr>
            <w:r w:rsidRPr="0047058F">
              <w:rPr>
                <w:rFonts w:eastAsia="Times New Roman" w:cs="Arial"/>
              </w:rPr>
              <w:t>3.7</w:t>
            </w:r>
          </w:p>
        </w:tc>
        <w:tc>
          <w:tcPr>
            <w:tcW w:w="283" w:type="pct"/>
            <w:tcBorders>
              <w:top w:val="nil"/>
              <w:bottom w:val="nil"/>
            </w:tcBorders>
          </w:tcPr>
          <w:p w14:paraId="3F59508D" w14:textId="77777777" w:rsidR="00A340EE" w:rsidRPr="0047058F" w:rsidRDefault="00A340EE" w:rsidP="000D5576">
            <w:pPr>
              <w:pStyle w:val="TableText"/>
              <w:jc w:val="right"/>
              <w:rPr>
                <w:rFonts w:eastAsia="Times New Roman" w:cs="Arial"/>
              </w:rPr>
            </w:pPr>
            <w:r w:rsidRPr="0047058F">
              <w:rPr>
                <w:rFonts w:eastAsia="Times New Roman" w:cs="Arial"/>
              </w:rPr>
              <w:t>518</w:t>
            </w:r>
          </w:p>
        </w:tc>
        <w:tc>
          <w:tcPr>
            <w:tcW w:w="310" w:type="pct"/>
            <w:tcBorders>
              <w:top w:val="nil"/>
              <w:bottom w:val="nil"/>
            </w:tcBorders>
          </w:tcPr>
          <w:p w14:paraId="607403CB" w14:textId="77777777" w:rsidR="00A340EE" w:rsidRPr="0047058F" w:rsidRDefault="00A340EE" w:rsidP="000D5576">
            <w:pPr>
              <w:pStyle w:val="TableText"/>
              <w:jc w:val="right"/>
              <w:rPr>
                <w:rFonts w:eastAsia="Times New Roman" w:cs="Arial"/>
              </w:rPr>
            </w:pPr>
            <w:r w:rsidRPr="0047058F">
              <w:rPr>
                <w:rFonts w:eastAsia="Times New Roman" w:cs="Arial"/>
              </w:rPr>
              <w:t>96.3</w:t>
            </w:r>
          </w:p>
        </w:tc>
        <w:tc>
          <w:tcPr>
            <w:tcW w:w="258" w:type="pct"/>
            <w:tcBorders>
              <w:top w:val="nil"/>
              <w:bottom w:val="nil"/>
            </w:tcBorders>
          </w:tcPr>
          <w:p w14:paraId="5DC26307" w14:textId="77777777" w:rsidR="00A340EE" w:rsidRPr="0047058F" w:rsidRDefault="00A340EE" w:rsidP="000D5576">
            <w:pPr>
              <w:pStyle w:val="TableText"/>
              <w:jc w:val="right"/>
              <w:rPr>
                <w:rFonts w:eastAsia="Times New Roman" w:cs="Arial"/>
              </w:rPr>
            </w:pPr>
            <w:r w:rsidRPr="0047058F">
              <w:rPr>
                <w:rFonts w:eastAsia="Times New Roman" w:cs="Arial"/>
              </w:rPr>
              <w:t>36</w:t>
            </w:r>
          </w:p>
        </w:tc>
        <w:tc>
          <w:tcPr>
            <w:tcW w:w="284" w:type="pct"/>
            <w:tcBorders>
              <w:top w:val="nil"/>
              <w:bottom w:val="nil"/>
            </w:tcBorders>
          </w:tcPr>
          <w:p w14:paraId="055DED0C" w14:textId="77777777" w:rsidR="00A340EE" w:rsidRPr="0047058F" w:rsidRDefault="00A340EE" w:rsidP="000D5576">
            <w:pPr>
              <w:pStyle w:val="TableText"/>
              <w:jc w:val="right"/>
              <w:rPr>
                <w:rFonts w:eastAsia="Times New Roman" w:cs="Arial"/>
              </w:rPr>
            </w:pPr>
            <w:r w:rsidRPr="0047058F">
              <w:rPr>
                <w:rFonts w:eastAsia="Times New Roman" w:cs="Arial"/>
              </w:rPr>
              <w:t>4.6</w:t>
            </w:r>
          </w:p>
        </w:tc>
        <w:tc>
          <w:tcPr>
            <w:tcW w:w="283" w:type="pct"/>
            <w:tcBorders>
              <w:top w:val="nil"/>
              <w:bottom w:val="nil"/>
            </w:tcBorders>
          </w:tcPr>
          <w:p w14:paraId="7F5B8F3E" w14:textId="77777777" w:rsidR="00A340EE" w:rsidRPr="0047058F" w:rsidRDefault="00A340EE" w:rsidP="000D5576">
            <w:pPr>
              <w:pStyle w:val="TableText"/>
              <w:jc w:val="right"/>
              <w:rPr>
                <w:rFonts w:eastAsia="Times New Roman" w:cs="Arial"/>
              </w:rPr>
            </w:pPr>
            <w:r w:rsidRPr="0047058F">
              <w:rPr>
                <w:rFonts w:eastAsia="Times New Roman" w:cs="Arial"/>
              </w:rPr>
              <w:t>750</w:t>
            </w:r>
          </w:p>
        </w:tc>
        <w:tc>
          <w:tcPr>
            <w:tcW w:w="279" w:type="pct"/>
            <w:tcBorders>
              <w:top w:val="nil"/>
              <w:bottom w:val="nil"/>
            </w:tcBorders>
          </w:tcPr>
          <w:p w14:paraId="76932BF7" w14:textId="77777777" w:rsidR="00A340EE" w:rsidRPr="0047058F" w:rsidRDefault="00A340EE" w:rsidP="000D5576">
            <w:pPr>
              <w:pStyle w:val="TableText"/>
              <w:jc w:val="right"/>
              <w:rPr>
                <w:rFonts w:eastAsia="Times New Roman" w:cs="Arial"/>
              </w:rPr>
            </w:pPr>
            <w:r w:rsidRPr="0047058F">
              <w:rPr>
                <w:rFonts w:eastAsia="Times New Roman" w:cs="Arial"/>
              </w:rPr>
              <w:t>95.4</w:t>
            </w:r>
          </w:p>
        </w:tc>
      </w:tr>
      <w:tr w:rsidR="003876A3" w:rsidRPr="0047058F" w14:paraId="086080F7" w14:textId="77777777" w:rsidTr="000D5576">
        <w:tc>
          <w:tcPr>
            <w:tcW w:w="979" w:type="pct"/>
            <w:vMerge/>
            <w:tcBorders>
              <w:top w:val="nil"/>
              <w:bottom w:val="nil"/>
            </w:tcBorders>
            <w:shd w:val="clear" w:color="auto" w:fill="C1D9FF"/>
          </w:tcPr>
          <w:p w14:paraId="3C9E0DA4"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167E33D5"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02973166" w14:textId="77777777" w:rsidR="00A340EE" w:rsidRPr="0047058F" w:rsidRDefault="00A340EE" w:rsidP="000D5576">
            <w:pPr>
              <w:pStyle w:val="TableText"/>
              <w:jc w:val="right"/>
            </w:pPr>
            <w:r w:rsidRPr="0047058F">
              <w:t>34</w:t>
            </w:r>
          </w:p>
        </w:tc>
        <w:tc>
          <w:tcPr>
            <w:tcW w:w="284" w:type="pct"/>
            <w:tcBorders>
              <w:top w:val="nil"/>
              <w:bottom w:val="nil"/>
            </w:tcBorders>
            <w:shd w:val="clear" w:color="auto" w:fill="C1D9FF"/>
          </w:tcPr>
          <w:p w14:paraId="7D4EC050" w14:textId="77777777" w:rsidR="00A340EE" w:rsidRPr="0047058F" w:rsidRDefault="00A340EE" w:rsidP="000D5576">
            <w:pPr>
              <w:pStyle w:val="TableText"/>
              <w:jc w:val="right"/>
              <w:rPr>
                <w:rFonts w:eastAsia="Times New Roman" w:cs="Arial"/>
              </w:rPr>
            </w:pPr>
            <w:r w:rsidRPr="0047058F">
              <w:rPr>
                <w:rFonts w:eastAsia="Times New Roman" w:cs="Arial"/>
              </w:rPr>
              <w:t>4</w:t>
            </w:r>
          </w:p>
        </w:tc>
        <w:tc>
          <w:tcPr>
            <w:tcW w:w="283" w:type="pct"/>
            <w:tcBorders>
              <w:top w:val="nil"/>
              <w:bottom w:val="nil"/>
            </w:tcBorders>
            <w:shd w:val="clear" w:color="auto" w:fill="C1D9FF"/>
          </w:tcPr>
          <w:p w14:paraId="5134A7FD" w14:textId="77777777" w:rsidR="00A340EE" w:rsidRPr="0047058F" w:rsidRDefault="00A340EE" w:rsidP="000D5576">
            <w:pPr>
              <w:pStyle w:val="TableText"/>
              <w:jc w:val="right"/>
              <w:rPr>
                <w:rFonts w:eastAsia="Times New Roman" w:cs="Arial"/>
              </w:rPr>
            </w:pPr>
            <w:r w:rsidRPr="0047058F">
              <w:rPr>
                <w:rFonts w:eastAsia="Times New Roman" w:cs="Arial"/>
              </w:rPr>
              <w:t>30.8</w:t>
            </w:r>
          </w:p>
        </w:tc>
        <w:tc>
          <w:tcPr>
            <w:tcW w:w="284" w:type="pct"/>
            <w:tcBorders>
              <w:top w:val="nil"/>
              <w:bottom w:val="nil"/>
            </w:tcBorders>
            <w:shd w:val="clear" w:color="auto" w:fill="C1D9FF"/>
          </w:tcPr>
          <w:p w14:paraId="6C1D671B" w14:textId="77777777" w:rsidR="00A340EE" w:rsidRPr="0047058F" w:rsidRDefault="00A340EE" w:rsidP="000D5576">
            <w:pPr>
              <w:pStyle w:val="TableText"/>
              <w:jc w:val="right"/>
              <w:rPr>
                <w:rFonts w:eastAsia="Times New Roman" w:cs="Arial"/>
              </w:rPr>
            </w:pPr>
            <w:r w:rsidRPr="0047058F">
              <w:rPr>
                <w:rFonts w:eastAsia="Times New Roman" w:cs="Arial"/>
              </w:rPr>
              <w:t>9</w:t>
            </w:r>
          </w:p>
        </w:tc>
        <w:tc>
          <w:tcPr>
            <w:tcW w:w="283" w:type="pct"/>
            <w:tcBorders>
              <w:top w:val="nil"/>
              <w:bottom w:val="nil"/>
            </w:tcBorders>
            <w:shd w:val="clear" w:color="auto" w:fill="C1D9FF"/>
          </w:tcPr>
          <w:p w14:paraId="3F095A9D" w14:textId="77777777" w:rsidR="00A340EE" w:rsidRPr="0047058F" w:rsidRDefault="00A340EE" w:rsidP="000D5576">
            <w:pPr>
              <w:pStyle w:val="TableText"/>
              <w:jc w:val="right"/>
              <w:rPr>
                <w:rFonts w:eastAsia="Times New Roman" w:cs="Arial"/>
              </w:rPr>
            </w:pPr>
            <w:r w:rsidRPr="0047058F">
              <w:rPr>
                <w:rFonts w:eastAsia="Times New Roman" w:cs="Arial"/>
              </w:rPr>
              <w:t>69.2</w:t>
            </w:r>
          </w:p>
        </w:tc>
        <w:tc>
          <w:tcPr>
            <w:tcW w:w="286" w:type="pct"/>
            <w:tcBorders>
              <w:top w:val="nil"/>
              <w:bottom w:val="nil"/>
            </w:tcBorders>
            <w:shd w:val="clear" w:color="auto" w:fill="C1D9FF"/>
          </w:tcPr>
          <w:p w14:paraId="64E610C6" w14:textId="77777777" w:rsidR="00A340EE" w:rsidRPr="0047058F" w:rsidRDefault="00A340EE" w:rsidP="000D5576">
            <w:pPr>
              <w:pStyle w:val="TableText"/>
              <w:jc w:val="right"/>
              <w:rPr>
                <w:rFonts w:eastAsia="Times New Roman" w:cs="Arial"/>
              </w:rPr>
            </w:pPr>
            <w:r w:rsidRPr="0047058F">
              <w:rPr>
                <w:rFonts w:eastAsia="Times New Roman" w:cs="Arial"/>
              </w:rPr>
              <w:t>8</w:t>
            </w:r>
          </w:p>
        </w:tc>
        <w:tc>
          <w:tcPr>
            <w:tcW w:w="283" w:type="pct"/>
            <w:tcBorders>
              <w:top w:val="nil"/>
              <w:bottom w:val="nil"/>
            </w:tcBorders>
            <w:shd w:val="clear" w:color="auto" w:fill="C1D9FF"/>
          </w:tcPr>
          <w:p w14:paraId="691E70AA" w14:textId="77777777" w:rsidR="00A340EE" w:rsidRPr="0047058F" w:rsidRDefault="00A340EE" w:rsidP="000D5576">
            <w:pPr>
              <w:pStyle w:val="TableText"/>
              <w:jc w:val="right"/>
              <w:rPr>
                <w:rFonts w:eastAsia="Times New Roman" w:cs="Arial"/>
              </w:rPr>
            </w:pPr>
            <w:r w:rsidRPr="0047058F">
              <w:rPr>
                <w:rFonts w:eastAsia="Times New Roman" w:cs="Arial"/>
              </w:rPr>
              <w:t>38.1</w:t>
            </w:r>
          </w:p>
        </w:tc>
        <w:tc>
          <w:tcPr>
            <w:tcW w:w="283" w:type="pct"/>
            <w:tcBorders>
              <w:top w:val="nil"/>
              <w:bottom w:val="nil"/>
            </w:tcBorders>
            <w:shd w:val="clear" w:color="auto" w:fill="C1D9FF"/>
          </w:tcPr>
          <w:p w14:paraId="4FD529CF"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310" w:type="pct"/>
            <w:tcBorders>
              <w:top w:val="nil"/>
              <w:bottom w:val="nil"/>
            </w:tcBorders>
            <w:shd w:val="clear" w:color="auto" w:fill="C1D9FF"/>
          </w:tcPr>
          <w:p w14:paraId="3FB1D44C" w14:textId="77777777" w:rsidR="00A340EE" w:rsidRPr="0047058F" w:rsidRDefault="00A340EE" w:rsidP="000D5576">
            <w:pPr>
              <w:pStyle w:val="TableText"/>
              <w:jc w:val="right"/>
              <w:rPr>
                <w:rFonts w:eastAsia="Times New Roman" w:cs="Arial"/>
              </w:rPr>
            </w:pPr>
            <w:r w:rsidRPr="0047058F">
              <w:rPr>
                <w:rFonts w:eastAsia="Times New Roman" w:cs="Arial"/>
              </w:rPr>
              <w:t>61.9</w:t>
            </w:r>
          </w:p>
        </w:tc>
        <w:tc>
          <w:tcPr>
            <w:tcW w:w="258" w:type="pct"/>
            <w:tcBorders>
              <w:top w:val="nil"/>
              <w:bottom w:val="nil"/>
            </w:tcBorders>
            <w:shd w:val="clear" w:color="auto" w:fill="C1D9FF"/>
          </w:tcPr>
          <w:p w14:paraId="242A493E"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284" w:type="pct"/>
            <w:tcBorders>
              <w:top w:val="nil"/>
              <w:bottom w:val="nil"/>
            </w:tcBorders>
            <w:shd w:val="clear" w:color="auto" w:fill="C1D9FF"/>
          </w:tcPr>
          <w:p w14:paraId="05489D01" w14:textId="77777777" w:rsidR="00A340EE" w:rsidRPr="0047058F" w:rsidRDefault="00A340EE" w:rsidP="000D5576">
            <w:pPr>
              <w:pStyle w:val="TableText"/>
              <w:jc w:val="right"/>
              <w:rPr>
                <w:rFonts w:eastAsia="Times New Roman" w:cs="Arial"/>
              </w:rPr>
            </w:pPr>
            <w:r w:rsidRPr="0047058F">
              <w:rPr>
                <w:rFonts w:eastAsia="Times New Roman" w:cs="Arial"/>
              </w:rPr>
              <w:t>35.3</w:t>
            </w:r>
          </w:p>
        </w:tc>
        <w:tc>
          <w:tcPr>
            <w:tcW w:w="283" w:type="pct"/>
            <w:tcBorders>
              <w:top w:val="nil"/>
              <w:bottom w:val="nil"/>
            </w:tcBorders>
            <w:shd w:val="clear" w:color="auto" w:fill="C1D9FF"/>
          </w:tcPr>
          <w:p w14:paraId="4DBBDBCC" w14:textId="77777777" w:rsidR="00A340EE" w:rsidRPr="0047058F" w:rsidRDefault="00A340EE" w:rsidP="000D5576">
            <w:pPr>
              <w:pStyle w:val="TableText"/>
              <w:jc w:val="right"/>
              <w:rPr>
                <w:rFonts w:eastAsia="Times New Roman" w:cs="Arial"/>
              </w:rPr>
            </w:pPr>
            <w:r w:rsidRPr="0047058F">
              <w:rPr>
                <w:rFonts w:eastAsia="Times New Roman" w:cs="Arial"/>
              </w:rPr>
              <w:t>22</w:t>
            </w:r>
          </w:p>
        </w:tc>
        <w:tc>
          <w:tcPr>
            <w:tcW w:w="279" w:type="pct"/>
            <w:tcBorders>
              <w:top w:val="nil"/>
              <w:bottom w:val="nil"/>
            </w:tcBorders>
            <w:shd w:val="clear" w:color="auto" w:fill="C1D9FF"/>
          </w:tcPr>
          <w:p w14:paraId="3AEBEFEF" w14:textId="77777777" w:rsidR="00A340EE" w:rsidRPr="0047058F" w:rsidRDefault="00A340EE" w:rsidP="000D5576">
            <w:pPr>
              <w:pStyle w:val="TableText"/>
              <w:jc w:val="right"/>
              <w:rPr>
                <w:rFonts w:eastAsia="Times New Roman" w:cs="Arial"/>
              </w:rPr>
            </w:pPr>
            <w:r w:rsidRPr="0047058F">
              <w:rPr>
                <w:rFonts w:eastAsia="Times New Roman" w:cs="Arial"/>
              </w:rPr>
              <w:t>64.7</w:t>
            </w:r>
          </w:p>
        </w:tc>
      </w:tr>
      <w:tr w:rsidR="000D5576" w:rsidRPr="0047058F" w14:paraId="3FD5F5DD"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79402EBC" w14:textId="77777777" w:rsidR="00A340EE" w:rsidRPr="0047058F" w:rsidRDefault="00A340EE" w:rsidP="000D5576">
            <w:pPr>
              <w:pStyle w:val="TableText"/>
              <w:rPr>
                <w:rFonts w:cs="Calibri"/>
                <w:szCs w:val="14"/>
              </w:rPr>
            </w:pPr>
            <w:r w:rsidRPr="0047058F">
              <w:rPr>
                <w:rFonts w:cs="Calibri"/>
                <w:szCs w:val="14"/>
              </w:rPr>
              <w:t>Any alcohol disorder</w:t>
            </w:r>
          </w:p>
        </w:tc>
        <w:tc>
          <w:tcPr>
            <w:tcW w:w="337" w:type="pct"/>
            <w:tcBorders>
              <w:top w:val="nil"/>
              <w:bottom w:val="nil"/>
            </w:tcBorders>
            <w:shd w:val="clear" w:color="auto" w:fill="auto"/>
          </w:tcPr>
          <w:p w14:paraId="2E4DEC8A"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7E7848EA" w14:textId="77777777" w:rsidR="00A340EE" w:rsidRPr="0047058F" w:rsidRDefault="00A340EE" w:rsidP="000D5576">
            <w:pPr>
              <w:pStyle w:val="TableText"/>
              <w:jc w:val="right"/>
            </w:pPr>
            <w:r w:rsidRPr="0047058F">
              <w:t>767</w:t>
            </w:r>
          </w:p>
        </w:tc>
        <w:tc>
          <w:tcPr>
            <w:tcW w:w="284" w:type="pct"/>
            <w:tcBorders>
              <w:top w:val="nil"/>
              <w:bottom w:val="nil"/>
            </w:tcBorders>
            <w:shd w:val="clear" w:color="auto" w:fill="auto"/>
          </w:tcPr>
          <w:p w14:paraId="67923097" w14:textId="77777777" w:rsidR="00A340EE" w:rsidRPr="0047058F" w:rsidRDefault="00A340EE" w:rsidP="000D5576">
            <w:pPr>
              <w:pStyle w:val="TableText"/>
              <w:jc w:val="right"/>
              <w:rPr>
                <w:rFonts w:eastAsia="Times New Roman" w:cs="Arial"/>
              </w:rPr>
            </w:pPr>
            <w:r w:rsidRPr="0047058F">
              <w:rPr>
                <w:rFonts w:eastAsia="Times New Roman" w:cs="Arial"/>
              </w:rPr>
              <w:t>16</w:t>
            </w:r>
          </w:p>
        </w:tc>
        <w:tc>
          <w:tcPr>
            <w:tcW w:w="283" w:type="pct"/>
            <w:tcBorders>
              <w:top w:val="nil"/>
              <w:bottom w:val="nil"/>
            </w:tcBorders>
            <w:shd w:val="clear" w:color="auto" w:fill="auto"/>
          </w:tcPr>
          <w:p w14:paraId="6E5F0D29" w14:textId="77777777" w:rsidR="00A340EE" w:rsidRPr="0047058F" w:rsidRDefault="00A340EE" w:rsidP="000D5576">
            <w:pPr>
              <w:pStyle w:val="TableText"/>
              <w:jc w:val="right"/>
              <w:rPr>
                <w:rFonts w:eastAsia="Times New Roman" w:cs="Arial"/>
              </w:rPr>
            </w:pPr>
            <w:r w:rsidRPr="0047058F">
              <w:rPr>
                <w:rFonts w:eastAsia="Times New Roman" w:cs="Arial"/>
              </w:rPr>
              <w:t>6.6</w:t>
            </w:r>
          </w:p>
        </w:tc>
        <w:tc>
          <w:tcPr>
            <w:tcW w:w="284" w:type="pct"/>
            <w:tcBorders>
              <w:top w:val="nil"/>
              <w:bottom w:val="nil"/>
            </w:tcBorders>
            <w:shd w:val="clear" w:color="auto" w:fill="auto"/>
          </w:tcPr>
          <w:p w14:paraId="4F88C4D8" w14:textId="77777777" w:rsidR="00A340EE" w:rsidRPr="0047058F" w:rsidRDefault="00A340EE" w:rsidP="000D5576">
            <w:pPr>
              <w:pStyle w:val="TableText"/>
              <w:jc w:val="right"/>
              <w:rPr>
                <w:rFonts w:eastAsia="Times New Roman" w:cs="Arial"/>
              </w:rPr>
            </w:pPr>
            <w:r w:rsidRPr="0047058F">
              <w:rPr>
                <w:rFonts w:eastAsia="Times New Roman" w:cs="Arial"/>
              </w:rPr>
              <w:t>225</w:t>
            </w:r>
          </w:p>
        </w:tc>
        <w:tc>
          <w:tcPr>
            <w:tcW w:w="283" w:type="pct"/>
            <w:tcBorders>
              <w:top w:val="nil"/>
              <w:bottom w:val="nil"/>
            </w:tcBorders>
            <w:shd w:val="clear" w:color="auto" w:fill="auto"/>
          </w:tcPr>
          <w:p w14:paraId="4CF4827C" w14:textId="77777777" w:rsidR="00A340EE" w:rsidRPr="0047058F" w:rsidRDefault="00A340EE" w:rsidP="000D5576">
            <w:pPr>
              <w:pStyle w:val="TableText"/>
              <w:jc w:val="right"/>
              <w:rPr>
                <w:rFonts w:eastAsia="Times New Roman" w:cs="Arial"/>
              </w:rPr>
            </w:pPr>
            <w:r w:rsidRPr="0047058F">
              <w:rPr>
                <w:rFonts w:eastAsia="Times New Roman" w:cs="Arial"/>
              </w:rPr>
              <w:t>93.4</w:t>
            </w:r>
          </w:p>
        </w:tc>
        <w:tc>
          <w:tcPr>
            <w:tcW w:w="286" w:type="pct"/>
            <w:tcBorders>
              <w:top w:val="nil"/>
              <w:bottom w:val="nil"/>
            </w:tcBorders>
            <w:shd w:val="clear" w:color="auto" w:fill="auto"/>
          </w:tcPr>
          <w:p w14:paraId="5B3EBE17" w14:textId="77777777" w:rsidR="00A340EE" w:rsidRPr="0047058F" w:rsidRDefault="00A340EE" w:rsidP="000D5576">
            <w:pPr>
              <w:pStyle w:val="TableText"/>
              <w:jc w:val="right"/>
              <w:rPr>
                <w:rFonts w:eastAsia="Times New Roman" w:cs="Arial"/>
              </w:rPr>
            </w:pPr>
            <w:r w:rsidRPr="0047058F">
              <w:rPr>
                <w:rFonts w:eastAsia="Times New Roman" w:cs="Arial"/>
              </w:rPr>
              <w:t>18</w:t>
            </w:r>
          </w:p>
        </w:tc>
        <w:tc>
          <w:tcPr>
            <w:tcW w:w="283" w:type="pct"/>
            <w:tcBorders>
              <w:top w:val="nil"/>
              <w:bottom w:val="nil"/>
            </w:tcBorders>
            <w:shd w:val="clear" w:color="auto" w:fill="auto"/>
          </w:tcPr>
          <w:p w14:paraId="110F598A" w14:textId="77777777" w:rsidR="00A340EE" w:rsidRPr="0047058F" w:rsidRDefault="00A340EE" w:rsidP="000D5576">
            <w:pPr>
              <w:pStyle w:val="TableText"/>
              <w:jc w:val="right"/>
              <w:rPr>
                <w:rFonts w:eastAsia="Times New Roman" w:cs="Arial"/>
              </w:rPr>
            </w:pPr>
            <w:r w:rsidRPr="0047058F">
              <w:rPr>
                <w:rFonts w:eastAsia="Times New Roman" w:cs="Arial"/>
              </w:rPr>
              <w:t>3.4</w:t>
            </w:r>
          </w:p>
        </w:tc>
        <w:tc>
          <w:tcPr>
            <w:tcW w:w="283" w:type="pct"/>
            <w:tcBorders>
              <w:top w:val="nil"/>
              <w:bottom w:val="nil"/>
            </w:tcBorders>
            <w:shd w:val="clear" w:color="auto" w:fill="auto"/>
          </w:tcPr>
          <w:p w14:paraId="14EACD2A" w14:textId="77777777" w:rsidR="00A340EE" w:rsidRPr="0047058F" w:rsidRDefault="00A340EE" w:rsidP="000D5576">
            <w:pPr>
              <w:pStyle w:val="TableText"/>
              <w:jc w:val="right"/>
              <w:rPr>
                <w:rFonts w:eastAsia="Times New Roman" w:cs="Arial"/>
              </w:rPr>
            </w:pPr>
            <w:r w:rsidRPr="0047058F">
              <w:rPr>
                <w:rFonts w:eastAsia="Times New Roman" w:cs="Arial"/>
              </w:rPr>
              <w:t>508</w:t>
            </w:r>
          </w:p>
        </w:tc>
        <w:tc>
          <w:tcPr>
            <w:tcW w:w="310" w:type="pct"/>
            <w:tcBorders>
              <w:top w:val="nil"/>
              <w:bottom w:val="nil"/>
            </w:tcBorders>
            <w:shd w:val="clear" w:color="auto" w:fill="auto"/>
          </w:tcPr>
          <w:p w14:paraId="0ECD896C" w14:textId="77777777" w:rsidR="00A340EE" w:rsidRPr="0047058F" w:rsidRDefault="00A340EE" w:rsidP="000D5576">
            <w:pPr>
              <w:pStyle w:val="TableText"/>
              <w:jc w:val="right"/>
              <w:rPr>
                <w:rFonts w:eastAsia="Times New Roman" w:cs="Arial"/>
              </w:rPr>
            </w:pPr>
            <w:r w:rsidRPr="0047058F">
              <w:rPr>
                <w:rFonts w:eastAsia="Times New Roman" w:cs="Arial"/>
              </w:rPr>
              <w:t>96.6</w:t>
            </w:r>
          </w:p>
        </w:tc>
        <w:tc>
          <w:tcPr>
            <w:tcW w:w="258" w:type="pct"/>
            <w:tcBorders>
              <w:top w:val="nil"/>
              <w:bottom w:val="nil"/>
            </w:tcBorders>
            <w:shd w:val="clear" w:color="auto" w:fill="auto"/>
          </w:tcPr>
          <w:p w14:paraId="7E1D9A72" w14:textId="77777777" w:rsidR="00A340EE" w:rsidRPr="0047058F" w:rsidRDefault="00A340EE" w:rsidP="000D5576">
            <w:pPr>
              <w:pStyle w:val="TableText"/>
              <w:jc w:val="right"/>
              <w:rPr>
                <w:rFonts w:eastAsia="Times New Roman" w:cs="Arial"/>
              </w:rPr>
            </w:pPr>
            <w:r w:rsidRPr="0047058F">
              <w:rPr>
                <w:rFonts w:eastAsia="Times New Roman" w:cs="Arial"/>
              </w:rPr>
              <w:t>34</w:t>
            </w:r>
          </w:p>
        </w:tc>
        <w:tc>
          <w:tcPr>
            <w:tcW w:w="284" w:type="pct"/>
            <w:tcBorders>
              <w:top w:val="nil"/>
              <w:bottom w:val="nil"/>
            </w:tcBorders>
            <w:shd w:val="clear" w:color="auto" w:fill="auto"/>
          </w:tcPr>
          <w:p w14:paraId="50BAF9AE" w14:textId="77777777" w:rsidR="00A340EE" w:rsidRPr="0047058F" w:rsidRDefault="00A340EE" w:rsidP="000D5576">
            <w:pPr>
              <w:pStyle w:val="TableText"/>
              <w:jc w:val="right"/>
              <w:rPr>
                <w:rFonts w:eastAsia="Times New Roman" w:cs="Arial"/>
              </w:rPr>
            </w:pPr>
            <w:r w:rsidRPr="0047058F">
              <w:rPr>
                <w:rFonts w:eastAsia="Times New Roman" w:cs="Arial"/>
              </w:rPr>
              <w:t>4.4</w:t>
            </w:r>
          </w:p>
        </w:tc>
        <w:tc>
          <w:tcPr>
            <w:tcW w:w="283" w:type="pct"/>
            <w:tcBorders>
              <w:top w:val="nil"/>
              <w:bottom w:val="nil"/>
            </w:tcBorders>
            <w:shd w:val="clear" w:color="auto" w:fill="auto"/>
          </w:tcPr>
          <w:p w14:paraId="30096233" w14:textId="77777777" w:rsidR="00A340EE" w:rsidRPr="0047058F" w:rsidRDefault="00A340EE" w:rsidP="000D5576">
            <w:pPr>
              <w:pStyle w:val="TableText"/>
              <w:jc w:val="right"/>
              <w:rPr>
                <w:rFonts w:eastAsia="Times New Roman" w:cs="Arial"/>
              </w:rPr>
            </w:pPr>
            <w:r w:rsidRPr="0047058F">
              <w:rPr>
                <w:rFonts w:eastAsia="Times New Roman" w:cs="Arial"/>
              </w:rPr>
              <w:t>733</w:t>
            </w:r>
          </w:p>
        </w:tc>
        <w:tc>
          <w:tcPr>
            <w:tcW w:w="279" w:type="pct"/>
            <w:tcBorders>
              <w:top w:val="nil"/>
              <w:bottom w:val="nil"/>
            </w:tcBorders>
            <w:shd w:val="clear" w:color="auto" w:fill="auto"/>
          </w:tcPr>
          <w:p w14:paraId="73091E22" w14:textId="77777777" w:rsidR="00A340EE" w:rsidRPr="0047058F" w:rsidRDefault="00A340EE" w:rsidP="000D5576">
            <w:pPr>
              <w:pStyle w:val="TableText"/>
              <w:jc w:val="right"/>
              <w:rPr>
                <w:rFonts w:eastAsia="Times New Roman" w:cs="Arial"/>
              </w:rPr>
            </w:pPr>
            <w:r w:rsidRPr="0047058F">
              <w:rPr>
                <w:rFonts w:eastAsia="Times New Roman" w:cs="Arial"/>
              </w:rPr>
              <w:t>95.6</w:t>
            </w:r>
          </w:p>
        </w:tc>
      </w:tr>
      <w:tr w:rsidR="00A340EE" w:rsidRPr="0047058F" w14:paraId="38325D67" w14:textId="77777777" w:rsidTr="0035755E">
        <w:tc>
          <w:tcPr>
            <w:tcW w:w="979" w:type="pct"/>
            <w:vMerge/>
            <w:tcBorders>
              <w:top w:val="nil"/>
              <w:bottom w:val="nil"/>
            </w:tcBorders>
          </w:tcPr>
          <w:p w14:paraId="0E45EE56" w14:textId="77777777" w:rsidR="00A340EE" w:rsidRPr="0047058F" w:rsidRDefault="00A340EE" w:rsidP="000D5576">
            <w:pPr>
              <w:pStyle w:val="TableText"/>
              <w:rPr>
                <w:rFonts w:cs="Calibri"/>
                <w:szCs w:val="14"/>
              </w:rPr>
            </w:pPr>
          </w:p>
        </w:tc>
        <w:tc>
          <w:tcPr>
            <w:tcW w:w="337" w:type="pct"/>
            <w:tcBorders>
              <w:top w:val="nil"/>
              <w:bottom w:val="nil"/>
            </w:tcBorders>
          </w:tcPr>
          <w:p w14:paraId="2BD524EC" w14:textId="77777777" w:rsidR="00A340EE" w:rsidRPr="0047058F" w:rsidRDefault="00A340EE" w:rsidP="00F77104">
            <w:pPr>
              <w:pStyle w:val="TableText"/>
            </w:pPr>
            <w:r w:rsidRPr="0047058F">
              <w:t>Yes</w:t>
            </w:r>
          </w:p>
        </w:tc>
        <w:tc>
          <w:tcPr>
            <w:tcW w:w="284" w:type="pct"/>
            <w:tcBorders>
              <w:top w:val="nil"/>
              <w:bottom w:val="nil"/>
            </w:tcBorders>
          </w:tcPr>
          <w:p w14:paraId="2AF636BF" w14:textId="77777777" w:rsidR="00A340EE" w:rsidRPr="0047058F" w:rsidRDefault="00A340EE" w:rsidP="000D5576">
            <w:pPr>
              <w:pStyle w:val="TableText"/>
              <w:jc w:val="right"/>
            </w:pPr>
            <w:r w:rsidRPr="0047058F">
              <w:t>53</w:t>
            </w:r>
          </w:p>
        </w:tc>
        <w:tc>
          <w:tcPr>
            <w:tcW w:w="284" w:type="pct"/>
            <w:tcBorders>
              <w:top w:val="nil"/>
              <w:bottom w:val="nil"/>
            </w:tcBorders>
          </w:tcPr>
          <w:p w14:paraId="429EFC07" w14:textId="77777777" w:rsidR="00A340EE" w:rsidRPr="0047058F" w:rsidRDefault="00A340EE" w:rsidP="000D5576">
            <w:pPr>
              <w:pStyle w:val="TableText"/>
              <w:jc w:val="right"/>
              <w:rPr>
                <w:rFonts w:eastAsia="Times New Roman" w:cs="Arial"/>
              </w:rPr>
            </w:pPr>
            <w:r w:rsidRPr="0047058F">
              <w:rPr>
                <w:rFonts w:eastAsia="Times New Roman" w:cs="Arial"/>
              </w:rPr>
              <w:t>8</w:t>
            </w:r>
          </w:p>
        </w:tc>
        <w:tc>
          <w:tcPr>
            <w:tcW w:w="283" w:type="pct"/>
            <w:tcBorders>
              <w:top w:val="nil"/>
              <w:bottom w:val="nil"/>
            </w:tcBorders>
          </w:tcPr>
          <w:p w14:paraId="68376CAF" w14:textId="77777777" w:rsidR="00A340EE" w:rsidRPr="0047058F" w:rsidRDefault="00A340EE" w:rsidP="000D5576">
            <w:pPr>
              <w:pStyle w:val="TableText"/>
              <w:jc w:val="right"/>
              <w:rPr>
                <w:rFonts w:eastAsia="Times New Roman" w:cs="Arial"/>
              </w:rPr>
            </w:pPr>
            <w:r w:rsidRPr="0047058F">
              <w:rPr>
                <w:rFonts w:eastAsia="Times New Roman" w:cs="Arial"/>
              </w:rPr>
              <w:t>40.0</w:t>
            </w:r>
          </w:p>
        </w:tc>
        <w:tc>
          <w:tcPr>
            <w:tcW w:w="284" w:type="pct"/>
            <w:tcBorders>
              <w:top w:val="nil"/>
              <w:bottom w:val="nil"/>
            </w:tcBorders>
          </w:tcPr>
          <w:p w14:paraId="3151751A"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283" w:type="pct"/>
            <w:tcBorders>
              <w:top w:val="nil"/>
              <w:bottom w:val="nil"/>
            </w:tcBorders>
          </w:tcPr>
          <w:p w14:paraId="1D064622" w14:textId="77777777" w:rsidR="00A340EE" w:rsidRPr="0047058F" w:rsidRDefault="00A340EE" w:rsidP="000D5576">
            <w:pPr>
              <w:pStyle w:val="TableText"/>
              <w:jc w:val="right"/>
              <w:rPr>
                <w:rFonts w:eastAsia="Times New Roman" w:cs="Arial"/>
              </w:rPr>
            </w:pPr>
            <w:r w:rsidRPr="0047058F">
              <w:rPr>
                <w:rFonts w:eastAsia="Times New Roman" w:cs="Arial"/>
              </w:rPr>
              <w:t>60.0</w:t>
            </w:r>
          </w:p>
        </w:tc>
        <w:tc>
          <w:tcPr>
            <w:tcW w:w="286" w:type="pct"/>
            <w:tcBorders>
              <w:top w:val="nil"/>
              <w:bottom w:val="nil"/>
            </w:tcBorders>
          </w:tcPr>
          <w:p w14:paraId="14BD381B" w14:textId="77777777" w:rsidR="00A340EE" w:rsidRPr="0047058F" w:rsidRDefault="00A340EE" w:rsidP="000D5576">
            <w:pPr>
              <w:pStyle w:val="TableText"/>
              <w:jc w:val="right"/>
              <w:rPr>
                <w:rFonts w:eastAsia="Times New Roman" w:cs="Arial"/>
              </w:rPr>
            </w:pPr>
            <w:r w:rsidRPr="0047058F">
              <w:rPr>
                <w:rFonts w:eastAsia="Times New Roman" w:cs="Arial"/>
              </w:rPr>
              <w:t>10</w:t>
            </w:r>
          </w:p>
        </w:tc>
        <w:tc>
          <w:tcPr>
            <w:tcW w:w="283" w:type="pct"/>
            <w:tcBorders>
              <w:top w:val="nil"/>
              <w:bottom w:val="nil"/>
            </w:tcBorders>
          </w:tcPr>
          <w:p w14:paraId="3A1E2EAA" w14:textId="77777777" w:rsidR="00A340EE" w:rsidRPr="0047058F" w:rsidRDefault="00A340EE" w:rsidP="000D5576">
            <w:pPr>
              <w:pStyle w:val="TableText"/>
              <w:jc w:val="right"/>
              <w:rPr>
                <w:rFonts w:eastAsia="Times New Roman" w:cs="Arial"/>
              </w:rPr>
            </w:pPr>
            <w:r w:rsidRPr="0047058F">
              <w:rPr>
                <w:rFonts w:eastAsia="Times New Roman" w:cs="Arial"/>
              </w:rPr>
              <w:t>30.3</w:t>
            </w:r>
          </w:p>
        </w:tc>
        <w:tc>
          <w:tcPr>
            <w:tcW w:w="283" w:type="pct"/>
            <w:tcBorders>
              <w:top w:val="nil"/>
              <w:bottom w:val="nil"/>
            </w:tcBorders>
          </w:tcPr>
          <w:p w14:paraId="32F0F4D8" w14:textId="77777777" w:rsidR="00A340EE" w:rsidRPr="0047058F" w:rsidRDefault="00A340EE" w:rsidP="000D5576">
            <w:pPr>
              <w:pStyle w:val="TableText"/>
              <w:jc w:val="right"/>
              <w:rPr>
                <w:rFonts w:eastAsia="Times New Roman" w:cs="Arial"/>
              </w:rPr>
            </w:pPr>
            <w:r w:rsidRPr="0047058F">
              <w:rPr>
                <w:rFonts w:eastAsia="Times New Roman" w:cs="Arial"/>
              </w:rPr>
              <w:t>23</w:t>
            </w:r>
          </w:p>
        </w:tc>
        <w:tc>
          <w:tcPr>
            <w:tcW w:w="310" w:type="pct"/>
            <w:tcBorders>
              <w:top w:val="nil"/>
              <w:bottom w:val="nil"/>
            </w:tcBorders>
          </w:tcPr>
          <w:p w14:paraId="60EDC813" w14:textId="77777777" w:rsidR="00A340EE" w:rsidRPr="0047058F" w:rsidRDefault="00A340EE" w:rsidP="000D5576">
            <w:pPr>
              <w:pStyle w:val="TableText"/>
              <w:jc w:val="right"/>
              <w:rPr>
                <w:rFonts w:eastAsia="Times New Roman" w:cs="Arial"/>
              </w:rPr>
            </w:pPr>
            <w:r w:rsidRPr="0047058F">
              <w:rPr>
                <w:rFonts w:eastAsia="Times New Roman" w:cs="Arial"/>
              </w:rPr>
              <w:t>69.7</w:t>
            </w:r>
          </w:p>
        </w:tc>
        <w:tc>
          <w:tcPr>
            <w:tcW w:w="258" w:type="pct"/>
            <w:tcBorders>
              <w:top w:val="nil"/>
              <w:bottom w:val="nil"/>
            </w:tcBorders>
          </w:tcPr>
          <w:p w14:paraId="1D21774B" w14:textId="77777777" w:rsidR="00A340EE" w:rsidRPr="0047058F" w:rsidRDefault="00A340EE" w:rsidP="000D5576">
            <w:pPr>
              <w:pStyle w:val="TableText"/>
              <w:jc w:val="right"/>
              <w:rPr>
                <w:rFonts w:eastAsia="Times New Roman" w:cs="Arial"/>
              </w:rPr>
            </w:pPr>
            <w:r w:rsidRPr="0047058F">
              <w:rPr>
                <w:rFonts w:eastAsia="Times New Roman" w:cs="Arial"/>
              </w:rPr>
              <w:t>18</w:t>
            </w:r>
          </w:p>
        </w:tc>
        <w:tc>
          <w:tcPr>
            <w:tcW w:w="284" w:type="pct"/>
            <w:tcBorders>
              <w:top w:val="nil"/>
              <w:bottom w:val="nil"/>
            </w:tcBorders>
          </w:tcPr>
          <w:p w14:paraId="27EA2B6D" w14:textId="77777777" w:rsidR="00A340EE" w:rsidRPr="0047058F" w:rsidRDefault="00A340EE" w:rsidP="000D5576">
            <w:pPr>
              <w:pStyle w:val="TableText"/>
              <w:jc w:val="right"/>
              <w:rPr>
                <w:rFonts w:eastAsia="Times New Roman" w:cs="Arial"/>
              </w:rPr>
            </w:pPr>
            <w:r w:rsidRPr="0047058F">
              <w:rPr>
                <w:rFonts w:eastAsia="Times New Roman" w:cs="Arial"/>
              </w:rPr>
              <w:t>34.0</w:t>
            </w:r>
          </w:p>
        </w:tc>
        <w:tc>
          <w:tcPr>
            <w:tcW w:w="283" w:type="pct"/>
            <w:tcBorders>
              <w:top w:val="nil"/>
              <w:bottom w:val="nil"/>
            </w:tcBorders>
          </w:tcPr>
          <w:p w14:paraId="5D90AA65" w14:textId="77777777" w:rsidR="00A340EE" w:rsidRPr="0047058F" w:rsidRDefault="00A340EE" w:rsidP="000D5576">
            <w:pPr>
              <w:pStyle w:val="TableText"/>
              <w:jc w:val="right"/>
              <w:rPr>
                <w:rFonts w:eastAsia="Times New Roman" w:cs="Arial"/>
              </w:rPr>
            </w:pPr>
            <w:r w:rsidRPr="0047058F">
              <w:rPr>
                <w:rFonts w:eastAsia="Times New Roman" w:cs="Arial"/>
              </w:rPr>
              <w:t>35</w:t>
            </w:r>
          </w:p>
        </w:tc>
        <w:tc>
          <w:tcPr>
            <w:tcW w:w="279" w:type="pct"/>
            <w:tcBorders>
              <w:top w:val="nil"/>
              <w:bottom w:val="nil"/>
            </w:tcBorders>
          </w:tcPr>
          <w:p w14:paraId="11E5CE91" w14:textId="77777777" w:rsidR="00A340EE" w:rsidRPr="0047058F" w:rsidRDefault="00A340EE" w:rsidP="000D5576">
            <w:pPr>
              <w:pStyle w:val="TableText"/>
              <w:jc w:val="right"/>
              <w:rPr>
                <w:rFonts w:eastAsia="Times New Roman" w:cs="Arial"/>
              </w:rPr>
            </w:pPr>
            <w:r w:rsidRPr="0047058F">
              <w:rPr>
                <w:rFonts w:eastAsia="Times New Roman" w:cs="Arial"/>
              </w:rPr>
              <w:t>66.0</w:t>
            </w:r>
          </w:p>
        </w:tc>
      </w:tr>
      <w:tr w:rsidR="00A340EE" w:rsidRPr="0047058F" w14:paraId="0F9CFD64" w14:textId="77777777" w:rsidTr="0035755E">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tcPr>
          <w:p w14:paraId="7F361241" w14:textId="77777777" w:rsidR="00A340EE" w:rsidRPr="0047058F" w:rsidRDefault="00A340EE" w:rsidP="000D5576">
            <w:pPr>
              <w:pStyle w:val="TableText"/>
              <w:rPr>
                <w:rFonts w:cs="Calibri"/>
                <w:szCs w:val="14"/>
              </w:rPr>
            </w:pPr>
            <w:r w:rsidRPr="0047058F">
              <w:rPr>
                <w:rFonts w:cs="Calibri"/>
                <w:szCs w:val="14"/>
              </w:rPr>
              <w:t>Alcohol harmful use</w:t>
            </w:r>
          </w:p>
        </w:tc>
        <w:tc>
          <w:tcPr>
            <w:tcW w:w="337" w:type="pct"/>
            <w:tcBorders>
              <w:top w:val="nil"/>
              <w:bottom w:val="nil"/>
            </w:tcBorders>
          </w:tcPr>
          <w:p w14:paraId="58673FA6" w14:textId="77777777" w:rsidR="00A340EE" w:rsidRPr="0047058F" w:rsidRDefault="00A340EE" w:rsidP="00F77104">
            <w:pPr>
              <w:pStyle w:val="TableText"/>
            </w:pPr>
            <w:r w:rsidRPr="0047058F">
              <w:t>No</w:t>
            </w:r>
          </w:p>
        </w:tc>
        <w:tc>
          <w:tcPr>
            <w:tcW w:w="284" w:type="pct"/>
            <w:tcBorders>
              <w:top w:val="nil"/>
              <w:bottom w:val="nil"/>
            </w:tcBorders>
          </w:tcPr>
          <w:p w14:paraId="0C019CD9" w14:textId="77777777" w:rsidR="00A340EE" w:rsidRPr="0047058F" w:rsidRDefault="00A340EE" w:rsidP="000D5576">
            <w:pPr>
              <w:pStyle w:val="TableText"/>
              <w:jc w:val="right"/>
            </w:pPr>
            <w:r w:rsidRPr="0047058F">
              <w:t>796</w:t>
            </w:r>
          </w:p>
        </w:tc>
        <w:tc>
          <w:tcPr>
            <w:tcW w:w="284" w:type="pct"/>
            <w:tcBorders>
              <w:top w:val="nil"/>
              <w:bottom w:val="nil"/>
            </w:tcBorders>
          </w:tcPr>
          <w:p w14:paraId="34EAE6A2" w14:textId="77777777" w:rsidR="00A340EE" w:rsidRPr="0047058F" w:rsidRDefault="00A340EE" w:rsidP="000D5576">
            <w:pPr>
              <w:pStyle w:val="TableText"/>
              <w:jc w:val="right"/>
              <w:rPr>
                <w:rFonts w:eastAsia="Times New Roman" w:cs="Arial"/>
              </w:rPr>
            </w:pPr>
            <w:r w:rsidRPr="0047058F">
              <w:rPr>
                <w:rFonts w:eastAsia="Times New Roman" w:cs="Arial"/>
              </w:rPr>
              <w:t>7</w:t>
            </w:r>
          </w:p>
        </w:tc>
        <w:tc>
          <w:tcPr>
            <w:tcW w:w="283" w:type="pct"/>
            <w:tcBorders>
              <w:top w:val="nil"/>
              <w:bottom w:val="nil"/>
            </w:tcBorders>
          </w:tcPr>
          <w:p w14:paraId="329E985D" w14:textId="77777777" w:rsidR="00A340EE" w:rsidRPr="0047058F" w:rsidRDefault="00A340EE" w:rsidP="000D5576">
            <w:pPr>
              <w:pStyle w:val="TableText"/>
              <w:jc w:val="right"/>
              <w:rPr>
                <w:rFonts w:eastAsia="Times New Roman" w:cs="Arial"/>
              </w:rPr>
            </w:pPr>
            <w:r w:rsidRPr="0047058F">
              <w:rPr>
                <w:rFonts w:eastAsia="Times New Roman" w:cs="Arial"/>
              </w:rPr>
              <w:t>2.8</w:t>
            </w:r>
          </w:p>
        </w:tc>
        <w:tc>
          <w:tcPr>
            <w:tcW w:w="284" w:type="pct"/>
            <w:tcBorders>
              <w:top w:val="nil"/>
              <w:bottom w:val="nil"/>
            </w:tcBorders>
          </w:tcPr>
          <w:p w14:paraId="0947F484" w14:textId="77777777" w:rsidR="00A340EE" w:rsidRPr="0047058F" w:rsidRDefault="00A340EE" w:rsidP="000D5576">
            <w:pPr>
              <w:pStyle w:val="TableText"/>
              <w:jc w:val="right"/>
              <w:rPr>
                <w:rFonts w:eastAsia="Times New Roman" w:cs="Arial"/>
              </w:rPr>
            </w:pPr>
            <w:r w:rsidRPr="0047058F">
              <w:rPr>
                <w:rFonts w:eastAsia="Times New Roman" w:cs="Arial"/>
              </w:rPr>
              <w:t>242</w:t>
            </w:r>
          </w:p>
        </w:tc>
        <w:tc>
          <w:tcPr>
            <w:tcW w:w="283" w:type="pct"/>
            <w:tcBorders>
              <w:top w:val="nil"/>
              <w:bottom w:val="nil"/>
            </w:tcBorders>
          </w:tcPr>
          <w:p w14:paraId="287C1F6E" w14:textId="77777777" w:rsidR="00A340EE" w:rsidRPr="0047058F" w:rsidRDefault="00A340EE" w:rsidP="000D5576">
            <w:pPr>
              <w:pStyle w:val="TableText"/>
              <w:jc w:val="right"/>
              <w:rPr>
                <w:rFonts w:eastAsia="Times New Roman" w:cs="Arial"/>
              </w:rPr>
            </w:pPr>
            <w:r w:rsidRPr="0047058F">
              <w:rPr>
                <w:rFonts w:eastAsia="Times New Roman" w:cs="Arial"/>
              </w:rPr>
              <w:t>97.2</w:t>
            </w:r>
          </w:p>
        </w:tc>
        <w:tc>
          <w:tcPr>
            <w:tcW w:w="286" w:type="pct"/>
            <w:tcBorders>
              <w:top w:val="nil"/>
              <w:bottom w:val="nil"/>
            </w:tcBorders>
          </w:tcPr>
          <w:p w14:paraId="3CCE90A2" w14:textId="77777777" w:rsidR="00A340EE" w:rsidRPr="0047058F" w:rsidRDefault="00A340EE" w:rsidP="000D5576">
            <w:pPr>
              <w:pStyle w:val="TableText"/>
              <w:jc w:val="right"/>
              <w:rPr>
                <w:rFonts w:eastAsia="Times New Roman" w:cs="Arial"/>
              </w:rPr>
            </w:pPr>
            <w:r w:rsidRPr="0047058F">
              <w:rPr>
                <w:rFonts w:eastAsia="Times New Roman" w:cs="Arial"/>
              </w:rPr>
              <w:t>6</w:t>
            </w:r>
          </w:p>
        </w:tc>
        <w:tc>
          <w:tcPr>
            <w:tcW w:w="283" w:type="pct"/>
            <w:tcBorders>
              <w:top w:val="nil"/>
              <w:bottom w:val="nil"/>
            </w:tcBorders>
          </w:tcPr>
          <w:p w14:paraId="5B8F703D" w14:textId="77777777" w:rsidR="00A340EE" w:rsidRPr="0047058F" w:rsidRDefault="00A340EE" w:rsidP="000D5576">
            <w:pPr>
              <w:pStyle w:val="TableText"/>
              <w:jc w:val="right"/>
              <w:rPr>
                <w:rFonts w:eastAsia="Times New Roman" w:cs="Arial"/>
              </w:rPr>
            </w:pPr>
            <w:r w:rsidRPr="0047058F">
              <w:rPr>
                <w:rFonts w:eastAsia="Times New Roman" w:cs="Arial"/>
              </w:rPr>
              <w:t>1.1</w:t>
            </w:r>
          </w:p>
        </w:tc>
        <w:tc>
          <w:tcPr>
            <w:tcW w:w="283" w:type="pct"/>
            <w:tcBorders>
              <w:top w:val="nil"/>
              <w:bottom w:val="nil"/>
            </w:tcBorders>
          </w:tcPr>
          <w:p w14:paraId="28D1C8C0" w14:textId="77777777" w:rsidR="00A340EE" w:rsidRPr="0047058F" w:rsidRDefault="00A340EE" w:rsidP="000D5576">
            <w:pPr>
              <w:pStyle w:val="TableText"/>
              <w:jc w:val="right"/>
              <w:rPr>
                <w:rFonts w:eastAsia="Times New Roman" w:cs="Arial"/>
              </w:rPr>
            </w:pPr>
            <w:r w:rsidRPr="0047058F">
              <w:rPr>
                <w:rFonts w:eastAsia="Times New Roman" w:cs="Arial"/>
              </w:rPr>
              <w:t>541</w:t>
            </w:r>
          </w:p>
        </w:tc>
        <w:tc>
          <w:tcPr>
            <w:tcW w:w="310" w:type="pct"/>
            <w:tcBorders>
              <w:top w:val="nil"/>
              <w:bottom w:val="nil"/>
            </w:tcBorders>
          </w:tcPr>
          <w:p w14:paraId="130F3981" w14:textId="77777777" w:rsidR="00A340EE" w:rsidRPr="0047058F" w:rsidRDefault="00A340EE" w:rsidP="000D5576">
            <w:pPr>
              <w:pStyle w:val="TableText"/>
              <w:jc w:val="right"/>
              <w:rPr>
                <w:rFonts w:eastAsia="Times New Roman" w:cs="Arial"/>
              </w:rPr>
            </w:pPr>
            <w:r w:rsidRPr="0047058F">
              <w:rPr>
                <w:rFonts w:eastAsia="Times New Roman" w:cs="Arial"/>
              </w:rPr>
              <w:t>98.9</w:t>
            </w:r>
          </w:p>
        </w:tc>
        <w:tc>
          <w:tcPr>
            <w:tcW w:w="258" w:type="pct"/>
            <w:tcBorders>
              <w:top w:val="nil"/>
              <w:bottom w:val="nil"/>
            </w:tcBorders>
          </w:tcPr>
          <w:p w14:paraId="4A1DD5D7"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284" w:type="pct"/>
            <w:tcBorders>
              <w:top w:val="nil"/>
              <w:bottom w:val="nil"/>
            </w:tcBorders>
          </w:tcPr>
          <w:p w14:paraId="75A179FC" w14:textId="77777777" w:rsidR="00A340EE" w:rsidRPr="0047058F" w:rsidRDefault="00A340EE" w:rsidP="000D5576">
            <w:pPr>
              <w:pStyle w:val="TableText"/>
              <w:jc w:val="right"/>
              <w:rPr>
                <w:rFonts w:eastAsia="Times New Roman" w:cs="Arial"/>
              </w:rPr>
            </w:pPr>
            <w:r w:rsidRPr="0047058F">
              <w:rPr>
                <w:rFonts w:eastAsia="Times New Roman" w:cs="Arial"/>
              </w:rPr>
              <w:t>1.6</w:t>
            </w:r>
          </w:p>
        </w:tc>
        <w:tc>
          <w:tcPr>
            <w:tcW w:w="283" w:type="pct"/>
            <w:tcBorders>
              <w:top w:val="nil"/>
              <w:bottom w:val="nil"/>
            </w:tcBorders>
          </w:tcPr>
          <w:p w14:paraId="4ED1B36E" w14:textId="77777777" w:rsidR="00A340EE" w:rsidRPr="0047058F" w:rsidRDefault="00A340EE" w:rsidP="000D5576">
            <w:pPr>
              <w:pStyle w:val="TableText"/>
              <w:jc w:val="right"/>
              <w:rPr>
                <w:rFonts w:eastAsia="Times New Roman" w:cs="Arial"/>
              </w:rPr>
            </w:pPr>
            <w:r w:rsidRPr="0047058F">
              <w:rPr>
                <w:rFonts w:eastAsia="Times New Roman" w:cs="Arial"/>
              </w:rPr>
              <w:t>783</w:t>
            </w:r>
          </w:p>
        </w:tc>
        <w:tc>
          <w:tcPr>
            <w:tcW w:w="279" w:type="pct"/>
            <w:tcBorders>
              <w:top w:val="nil"/>
              <w:bottom w:val="nil"/>
            </w:tcBorders>
          </w:tcPr>
          <w:p w14:paraId="5DDD589A" w14:textId="77777777" w:rsidR="00A340EE" w:rsidRPr="0047058F" w:rsidRDefault="00A340EE" w:rsidP="000D5576">
            <w:pPr>
              <w:pStyle w:val="TableText"/>
              <w:jc w:val="right"/>
              <w:rPr>
                <w:rFonts w:eastAsia="Times New Roman" w:cs="Arial"/>
              </w:rPr>
            </w:pPr>
            <w:r w:rsidRPr="0047058F">
              <w:rPr>
                <w:rFonts w:eastAsia="Times New Roman" w:cs="Arial"/>
              </w:rPr>
              <w:t>98.4</w:t>
            </w:r>
          </w:p>
        </w:tc>
      </w:tr>
      <w:tr w:rsidR="003876A3" w:rsidRPr="0047058F" w14:paraId="3F6DCEB0" w14:textId="77777777" w:rsidTr="000D5576">
        <w:tc>
          <w:tcPr>
            <w:tcW w:w="979" w:type="pct"/>
            <w:vMerge/>
            <w:tcBorders>
              <w:top w:val="nil"/>
              <w:bottom w:val="nil"/>
            </w:tcBorders>
            <w:shd w:val="clear" w:color="auto" w:fill="C1D9FF"/>
          </w:tcPr>
          <w:p w14:paraId="14B198F5" w14:textId="77777777" w:rsidR="00A340EE" w:rsidRPr="0047058F" w:rsidRDefault="00A340EE" w:rsidP="000D5576">
            <w:pPr>
              <w:pStyle w:val="TableText"/>
              <w:rPr>
                <w:rFonts w:cs="Calibri"/>
                <w:szCs w:val="14"/>
              </w:rPr>
            </w:pPr>
          </w:p>
        </w:tc>
        <w:tc>
          <w:tcPr>
            <w:tcW w:w="337" w:type="pct"/>
            <w:tcBorders>
              <w:top w:val="nil"/>
              <w:bottom w:val="nil"/>
            </w:tcBorders>
            <w:shd w:val="clear" w:color="auto" w:fill="C1D9FF"/>
          </w:tcPr>
          <w:p w14:paraId="7C45A83F" w14:textId="77777777" w:rsidR="00A340EE" w:rsidRPr="0047058F" w:rsidRDefault="00A340EE" w:rsidP="00F77104">
            <w:pPr>
              <w:pStyle w:val="TableText"/>
            </w:pPr>
            <w:r w:rsidRPr="0047058F">
              <w:t>Yes</w:t>
            </w:r>
          </w:p>
        </w:tc>
        <w:tc>
          <w:tcPr>
            <w:tcW w:w="284" w:type="pct"/>
            <w:tcBorders>
              <w:top w:val="nil"/>
              <w:bottom w:val="nil"/>
            </w:tcBorders>
            <w:shd w:val="clear" w:color="auto" w:fill="C1D9FF"/>
          </w:tcPr>
          <w:p w14:paraId="17547066" w14:textId="77777777" w:rsidR="00A340EE" w:rsidRPr="0047058F" w:rsidRDefault="00A340EE" w:rsidP="000D5576">
            <w:pPr>
              <w:pStyle w:val="TableText"/>
              <w:jc w:val="right"/>
            </w:pPr>
            <w:r w:rsidRPr="0047058F">
              <w:t>24</w:t>
            </w:r>
          </w:p>
        </w:tc>
        <w:tc>
          <w:tcPr>
            <w:tcW w:w="284" w:type="pct"/>
            <w:tcBorders>
              <w:top w:val="nil"/>
              <w:bottom w:val="nil"/>
            </w:tcBorders>
            <w:shd w:val="clear" w:color="auto" w:fill="C1D9FF"/>
          </w:tcPr>
          <w:p w14:paraId="1D68C81B" w14:textId="77777777" w:rsidR="00A340EE" w:rsidRPr="0047058F" w:rsidRDefault="00A340EE" w:rsidP="000D5576">
            <w:pPr>
              <w:pStyle w:val="TableText"/>
              <w:jc w:val="right"/>
              <w:rPr>
                <w:rFonts w:eastAsia="Times New Roman" w:cs="Arial"/>
              </w:rPr>
            </w:pPr>
            <w:r w:rsidRPr="0047058F">
              <w:rPr>
                <w:rFonts w:eastAsia="Times New Roman" w:cs="Arial"/>
              </w:rPr>
              <w:t>2</w:t>
            </w:r>
          </w:p>
        </w:tc>
        <w:tc>
          <w:tcPr>
            <w:tcW w:w="283" w:type="pct"/>
            <w:tcBorders>
              <w:top w:val="nil"/>
              <w:bottom w:val="nil"/>
            </w:tcBorders>
            <w:shd w:val="clear" w:color="auto" w:fill="C1D9FF"/>
          </w:tcPr>
          <w:p w14:paraId="57D17F7C" w14:textId="77777777" w:rsidR="00A340EE" w:rsidRPr="0047058F" w:rsidRDefault="00A340EE" w:rsidP="000D5576">
            <w:pPr>
              <w:pStyle w:val="TableText"/>
              <w:jc w:val="right"/>
              <w:rPr>
                <w:rFonts w:eastAsia="Times New Roman" w:cs="Arial"/>
              </w:rPr>
            </w:pPr>
            <w:r w:rsidRPr="0047058F">
              <w:rPr>
                <w:rFonts w:eastAsia="Times New Roman" w:cs="Arial"/>
              </w:rPr>
              <w:t>16.7</w:t>
            </w:r>
          </w:p>
        </w:tc>
        <w:tc>
          <w:tcPr>
            <w:tcW w:w="284" w:type="pct"/>
            <w:tcBorders>
              <w:top w:val="nil"/>
              <w:bottom w:val="nil"/>
            </w:tcBorders>
            <w:shd w:val="clear" w:color="auto" w:fill="C1D9FF"/>
          </w:tcPr>
          <w:p w14:paraId="1B14A36C" w14:textId="77777777" w:rsidR="00A340EE" w:rsidRPr="0047058F" w:rsidRDefault="00A340EE" w:rsidP="000D5576">
            <w:pPr>
              <w:pStyle w:val="TableText"/>
              <w:jc w:val="right"/>
              <w:rPr>
                <w:rFonts w:eastAsia="Times New Roman" w:cs="Arial"/>
              </w:rPr>
            </w:pPr>
            <w:r w:rsidRPr="0047058F">
              <w:rPr>
                <w:rFonts w:eastAsia="Times New Roman" w:cs="Arial"/>
              </w:rPr>
              <w:t>10</w:t>
            </w:r>
          </w:p>
        </w:tc>
        <w:tc>
          <w:tcPr>
            <w:tcW w:w="283" w:type="pct"/>
            <w:tcBorders>
              <w:top w:val="nil"/>
              <w:bottom w:val="nil"/>
            </w:tcBorders>
            <w:shd w:val="clear" w:color="auto" w:fill="C1D9FF"/>
          </w:tcPr>
          <w:p w14:paraId="01CE24E1" w14:textId="77777777" w:rsidR="00A340EE" w:rsidRPr="0047058F" w:rsidRDefault="00A340EE" w:rsidP="000D5576">
            <w:pPr>
              <w:pStyle w:val="TableText"/>
              <w:jc w:val="right"/>
              <w:rPr>
                <w:rFonts w:eastAsia="Times New Roman" w:cs="Arial"/>
              </w:rPr>
            </w:pPr>
            <w:r w:rsidRPr="0047058F">
              <w:rPr>
                <w:rFonts w:eastAsia="Times New Roman" w:cs="Arial"/>
              </w:rPr>
              <w:t>83.3</w:t>
            </w:r>
          </w:p>
        </w:tc>
        <w:tc>
          <w:tcPr>
            <w:tcW w:w="286" w:type="pct"/>
            <w:tcBorders>
              <w:top w:val="nil"/>
              <w:bottom w:val="nil"/>
            </w:tcBorders>
            <w:shd w:val="clear" w:color="auto" w:fill="C1D9FF"/>
          </w:tcPr>
          <w:p w14:paraId="5C697985" w14:textId="77777777" w:rsidR="00A340EE" w:rsidRPr="0047058F" w:rsidRDefault="00A340EE" w:rsidP="000D5576">
            <w:pPr>
              <w:pStyle w:val="TableText"/>
              <w:jc w:val="right"/>
              <w:rPr>
                <w:rFonts w:eastAsia="Times New Roman" w:cs="Arial"/>
              </w:rPr>
            </w:pPr>
            <w:r w:rsidRPr="0047058F">
              <w:rPr>
                <w:rFonts w:eastAsia="Times New Roman" w:cs="Arial"/>
              </w:rPr>
              <w:t>0</w:t>
            </w:r>
          </w:p>
        </w:tc>
        <w:tc>
          <w:tcPr>
            <w:tcW w:w="283" w:type="pct"/>
            <w:tcBorders>
              <w:top w:val="nil"/>
              <w:bottom w:val="nil"/>
            </w:tcBorders>
            <w:shd w:val="clear" w:color="auto" w:fill="C1D9FF"/>
          </w:tcPr>
          <w:p w14:paraId="5567BC7C" w14:textId="77777777" w:rsidR="00A340EE" w:rsidRPr="0047058F" w:rsidRDefault="00A340EE" w:rsidP="000D5576">
            <w:pPr>
              <w:pStyle w:val="TableText"/>
              <w:jc w:val="right"/>
              <w:rPr>
                <w:rFonts w:eastAsia="Times New Roman" w:cs="Arial"/>
              </w:rPr>
            </w:pPr>
            <w:r w:rsidRPr="0047058F">
              <w:rPr>
                <w:rFonts w:eastAsia="Times New Roman" w:cs="Arial"/>
              </w:rPr>
              <w:t>0.0</w:t>
            </w:r>
          </w:p>
        </w:tc>
        <w:tc>
          <w:tcPr>
            <w:tcW w:w="283" w:type="pct"/>
            <w:tcBorders>
              <w:top w:val="nil"/>
              <w:bottom w:val="nil"/>
            </w:tcBorders>
            <w:shd w:val="clear" w:color="auto" w:fill="C1D9FF"/>
          </w:tcPr>
          <w:p w14:paraId="07B6B160" w14:textId="77777777" w:rsidR="00A340EE" w:rsidRPr="0047058F" w:rsidRDefault="00A340EE" w:rsidP="000D5576">
            <w:pPr>
              <w:pStyle w:val="TableText"/>
              <w:jc w:val="right"/>
              <w:rPr>
                <w:rFonts w:eastAsia="Times New Roman" w:cs="Arial"/>
              </w:rPr>
            </w:pPr>
            <w:r w:rsidRPr="0047058F">
              <w:rPr>
                <w:rFonts w:eastAsia="Times New Roman" w:cs="Arial"/>
              </w:rPr>
              <w:t>12</w:t>
            </w:r>
          </w:p>
        </w:tc>
        <w:tc>
          <w:tcPr>
            <w:tcW w:w="310" w:type="pct"/>
            <w:tcBorders>
              <w:top w:val="nil"/>
              <w:bottom w:val="nil"/>
            </w:tcBorders>
            <w:shd w:val="clear" w:color="auto" w:fill="C1D9FF"/>
          </w:tcPr>
          <w:p w14:paraId="06BF5891" w14:textId="77777777" w:rsidR="00A340EE" w:rsidRPr="0047058F" w:rsidRDefault="00A340EE" w:rsidP="000D5576">
            <w:pPr>
              <w:pStyle w:val="TableText"/>
              <w:jc w:val="right"/>
              <w:rPr>
                <w:rFonts w:eastAsia="Times New Roman" w:cs="Arial"/>
              </w:rPr>
            </w:pPr>
            <w:r w:rsidRPr="0047058F">
              <w:rPr>
                <w:rFonts w:eastAsia="Times New Roman" w:cs="Arial"/>
              </w:rPr>
              <w:t>100.0</w:t>
            </w:r>
          </w:p>
        </w:tc>
        <w:tc>
          <w:tcPr>
            <w:tcW w:w="258" w:type="pct"/>
            <w:tcBorders>
              <w:top w:val="nil"/>
              <w:bottom w:val="nil"/>
            </w:tcBorders>
            <w:shd w:val="clear" w:color="auto" w:fill="C1D9FF"/>
          </w:tcPr>
          <w:p w14:paraId="75B557FD" w14:textId="77777777" w:rsidR="00A340EE" w:rsidRPr="0047058F" w:rsidRDefault="00A340EE" w:rsidP="000D5576">
            <w:pPr>
              <w:pStyle w:val="TableText"/>
              <w:jc w:val="right"/>
              <w:rPr>
                <w:rFonts w:eastAsia="Times New Roman" w:cs="Arial"/>
              </w:rPr>
            </w:pPr>
            <w:r w:rsidRPr="0047058F">
              <w:rPr>
                <w:rFonts w:eastAsia="Times New Roman" w:cs="Arial"/>
              </w:rPr>
              <w:t>2</w:t>
            </w:r>
          </w:p>
        </w:tc>
        <w:tc>
          <w:tcPr>
            <w:tcW w:w="284" w:type="pct"/>
            <w:tcBorders>
              <w:top w:val="nil"/>
              <w:bottom w:val="nil"/>
            </w:tcBorders>
            <w:shd w:val="clear" w:color="auto" w:fill="C1D9FF"/>
          </w:tcPr>
          <w:p w14:paraId="48FD7048" w14:textId="77777777" w:rsidR="00A340EE" w:rsidRPr="0047058F" w:rsidRDefault="00A340EE" w:rsidP="000D5576">
            <w:pPr>
              <w:pStyle w:val="TableText"/>
              <w:jc w:val="right"/>
              <w:rPr>
                <w:rFonts w:eastAsia="Times New Roman" w:cs="Arial"/>
              </w:rPr>
            </w:pPr>
            <w:r w:rsidRPr="0047058F">
              <w:rPr>
                <w:rFonts w:eastAsia="Times New Roman" w:cs="Arial"/>
              </w:rPr>
              <w:t>8.3</w:t>
            </w:r>
          </w:p>
        </w:tc>
        <w:tc>
          <w:tcPr>
            <w:tcW w:w="283" w:type="pct"/>
            <w:tcBorders>
              <w:top w:val="nil"/>
              <w:bottom w:val="nil"/>
            </w:tcBorders>
            <w:shd w:val="clear" w:color="auto" w:fill="C1D9FF"/>
          </w:tcPr>
          <w:p w14:paraId="3DC95F3C" w14:textId="77777777" w:rsidR="00A340EE" w:rsidRPr="0047058F" w:rsidRDefault="00A340EE" w:rsidP="000D5576">
            <w:pPr>
              <w:pStyle w:val="TableText"/>
              <w:jc w:val="right"/>
              <w:rPr>
                <w:rFonts w:eastAsia="Times New Roman" w:cs="Arial"/>
              </w:rPr>
            </w:pPr>
            <w:r w:rsidRPr="0047058F">
              <w:rPr>
                <w:rFonts w:eastAsia="Times New Roman" w:cs="Arial"/>
              </w:rPr>
              <w:t>22</w:t>
            </w:r>
          </w:p>
        </w:tc>
        <w:tc>
          <w:tcPr>
            <w:tcW w:w="279" w:type="pct"/>
            <w:tcBorders>
              <w:top w:val="nil"/>
              <w:bottom w:val="nil"/>
            </w:tcBorders>
            <w:shd w:val="clear" w:color="auto" w:fill="C1D9FF"/>
          </w:tcPr>
          <w:p w14:paraId="71575BE8" w14:textId="77777777" w:rsidR="00A340EE" w:rsidRPr="0047058F" w:rsidRDefault="00A340EE" w:rsidP="000D5576">
            <w:pPr>
              <w:pStyle w:val="TableText"/>
              <w:jc w:val="right"/>
              <w:rPr>
                <w:rFonts w:eastAsia="Times New Roman" w:cs="Arial"/>
              </w:rPr>
            </w:pPr>
            <w:r w:rsidRPr="0047058F">
              <w:rPr>
                <w:rFonts w:eastAsia="Times New Roman" w:cs="Arial"/>
              </w:rPr>
              <w:t>91.7</w:t>
            </w:r>
          </w:p>
        </w:tc>
      </w:tr>
      <w:tr w:rsidR="000D5576" w:rsidRPr="0047058F" w14:paraId="4214FF4D"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Borders>
              <w:top w:val="nil"/>
              <w:bottom w:val="nil"/>
            </w:tcBorders>
            <w:shd w:val="clear" w:color="auto" w:fill="auto"/>
          </w:tcPr>
          <w:p w14:paraId="729F1611" w14:textId="77777777" w:rsidR="00A340EE" w:rsidRPr="0047058F" w:rsidRDefault="00A340EE" w:rsidP="000D5576">
            <w:pPr>
              <w:pStyle w:val="TableText"/>
              <w:rPr>
                <w:rFonts w:cs="Calibri"/>
                <w:szCs w:val="14"/>
              </w:rPr>
            </w:pPr>
            <w:r w:rsidRPr="0047058F">
              <w:rPr>
                <w:rFonts w:cs="Calibri"/>
                <w:szCs w:val="14"/>
              </w:rPr>
              <w:t>Alcohol dependence</w:t>
            </w:r>
          </w:p>
        </w:tc>
        <w:tc>
          <w:tcPr>
            <w:tcW w:w="337" w:type="pct"/>
            <w:tcBorders>
              <w:top w:val="nil"/>
              <w:bottom w:val="nil"/>
            </w:tcBorders>
            <w:shd w:val="clear" w:color="auto" w:fill="auto"/>
          </w:tcPr>
          <w:p w14:paraId="5C1E8C1A" w14:textId="77777777" w:rsidR="00A340EE" w:rsidRPr="0047058F" w:rsidRDefault="00A340EE" w:rsidP="00F77104">
            <w:pPr>
              <w:pStyle w:val="TableText"/>
            </w:pPr>
            <w:r w:rsidRPr="0047058F">
              <w:t>No</w:t>
            </w:r>
          </w:p>
        </w:tc>
        <w:tc>
          <w:tcPr>
            <w:tcW w:w="284" w:type="pct"/>
            <w:tcBorders>
              <w:top w:val="nil"/>
              <w:bottom w:val="nil"/>
            </w:tcBorders>
            <w:shd w:val="clear" w:color="auto" w:fill="auto"/>
          </w:tcPr>
          <w:p w14:paraId="1AF19A17" w14:textId="77777777" w:rsidR="00A340EE" w:rsidRPr="0047058F" w:rsidRDefault="00A340EE" w:rsidP="000D5576">
            <w:pPr>
              <w:pStyle w:val="TableText"/>
              <w:jc w:val="right"/>
            </w:pPr>
            <w:r w:rsidRPr="0047058F">
              <w:t>791</w:t>
            </w:r>
          </w:p>
        </w:tc>
        <w:tc>
          <w:tcPr>
            <w:tcW w:w="284" w:type="pct"/>
            <w:tcBorders>
              <w:top w:val="nil"/>
              <w:bottom w:val="nil"/>
            </w:tcBorders>
            <w:shd w:val="clear" w:color="auto" w:fill="auto"/>
          </w:tcPr>
          <w:p w14:paraId="41B11343" w14:textId="77777777" w:rsidR="00A340EE" w:rsidRPr="0047058F" w:rsidRDefault="00A340EE" w:rsidP="000D5576">
            <w:pPr>
              <w:pStyle w:val="TableText"/>
              <w:jc w:val="right"/>
              <w:rPr>
                <w:rFonts w:eastAsia="Times New Roman" w:cs="Arial"/>
              </w:rPr>
            </w:pPr>
            <w:r w:rsidRPr="0047058F">
              <w:rPr>
                <w:rFonts w:eastAsia="Times New Roman" w:cs="Arial"/>
              </w:rPr>
              <w:t>13</w:t>
            </w:r>
          </w:p>
        </w:tc>
        <w:tc>
          <w:tcPr>
            <w:tcW w:w="283" w:type="pct"/>
            <w:tcBorders>
              <w:top w:val="nil"/>
              <w:bottom w:val="nil"/>
            </w:tcBorders>
            <w:shd w:val="clear" w:color="auto" w:fill="auto"/>
          </w:tcPr>
          <w:p w14:paraId="413CBFF1" w14:textId="77777777" w:rsidR="00A340EE" w:rsidRPr="0047058F" w:rsidRDefault="00A340EE" w:rsidP="000D5576">
            <w:pPr>
              <w:pStyle w:val="TableText"/>
              <w:jc w:val="right"/>
              <w:rPr>
                <w:rFonts w:eastAsia="Times New Roman" w:cs="Arial"/>
              </w:rPr>
            </w:pPr>
            <w:r w:rsidRPr="0047058F">
              <w:rPr>
                <w:rFonts w:eastAsia="Times New Roman" w:cs="Arial"/>
              </w:rPr>
              <w:t>5.1</w:t>
            </w:r>
          </w:p>
        </w:tc>
        <w:tc>
          <w:tcPr>
            <w:tcW w:w="284" w:type="pct"/>
            <w:tcBorders>
              <w:top w:val="nil"/>
              <w:bottom w:val="nil"/>
            </w:tcBorders>
            <w:shd w:val="clear" w:color="auto" w:fill="auto"/>
          </w:tcPr>
          <w:p w14:paraId="529C48C8" w14:textId="77777777" w:rsidR="00A340EE" w:rsidRPr="0047058F" w:rsidRDefault="00A340EE" w:rsidP="000D5576">
            <w:pPr>
              <w:pStyle w:val="TableText"/>
              <w:jc w:val="right"/>
              <w:rPr>
                <w:rFonts w:eastAsia="Times New Roman" w:cs="Arial"/>
              </w:rPr>
            </w:pPr>
            <w:r w:rsidRPr="0047058F">
              <w:rPr>
                <w:rFonts w:eastAsia="Times New Roman" w:cs="Arial"/>
              </w:rPr>
              <w:t>240</w:t>
            </w:r>
          </w:p>
        </w:tc>
        <w:tc>
          <w:tcPr>
            <w:tcW w:w="283" w:type="pct"/>
            <w:tcBorders>
              <w:top w:val="nil"/>
              <w:bottom w:val="nil"/>
            </w:tcBorders>
            <w:shd w:val="clear" w:color="auto" w:fill="auto"/>
          </w:tcPr>
          <w:p w14:paraId="50A0FE64" w14:textId="77777777" w:rsidR="00A340EE" w:rsidRPr="0047058F" w:rsidRDefault="00A340EE" w:rsidP="000D5576">
            <w:pPr>
              <w:pStyle w:val="TableText"/>
              <w:jc w:val="right"/>
              <w:rPr>
                <w:rFonts w:eastAsia="Times New Roman" w:cs="Arial"/>
              </w:rPr>
            </w:pPr>
            <w:r w:rsidRPr="0047058F">
              <w:rPr>
                <w:rFonts w:eastAsia="Times New Roman" w:cs="Arial"/>
              </w:rPr>
              <w:t>94.9</w:t>
            </w:r>
          </w:p>
        </w:tc>
        <w:tc>
          <w:tcPr>
            <w:tcW w:w="286" w:type="pct"/>
            <w:tcBorders>
              <w:top w:val="nil"/>
              <w:bottom w:val="nil"/>
            </w:tcBorders>
            <w:shd w:val="clear" w:color="auto" w:fill="auto"/>
          </w:tcPr>
          <w:p w14:paraId="4B4C2515" w14:textId="77777777" w:rsidR="00A340EE" w:rsidRPr="0047058F" w:rsidRDefault="00A340EE" w:rsidP="000D5576">
            <w:pPr>
              <w:pStyle w:val="TableText"/>
              <w:jc w:val="right"/>
              <w:rPr>
                <w:rFonts w:eastAsia="Times New Roman" w:cs="Arial"/>
              </w:rPr>
            </w:pPr>
            <w:r w:rsidRPr="0047058F">
              <w:rPr>
                <w:rFonts w:eastAsia="Times New Roman" w:cs="Arial"/>
              </w:rPr>
              <w:t>15</w:t>
            </w:r>
          </w:p>
        </w:tc>
        <w:tc>
          <w:tcPr>
            <w:tcW w:w="283" w:type="pct"/>
            <w:tcBorders>
              <w:top w:val="nil"/>
              <w:bottom w:val="nil"/>
            </w:tcBorders>
            <w:shd w:val="clear" w:color="auto" w:fill="auto"/>
          </w:tcPr>
          <w:p w14:paraId="43377FE7" w14:textId="77777777" w:rsidR="00A340EE" w:rsidRPr="0047058F" w:rsidRDefault="00A340EE" w:rsidP="000D5576">
            <w:pPr>
              <w:pStyle w:val="TableText"/>
              <w:jc w:val="right"/>
              <w:rPr>
                <w:rFonts w:eastAsia="Times New Roman" w:cs="Arial"/>
              </w:rPr>
            </w:pPr>
            <w:r w:rsidRPr="0047058F">
              <w:rPr>
                <w:rFonts w:eastAsia="Times New Roman" w:cs="Arial"/>
              </w:rPr>
              <w:t>2.8</w:t>
            </w:r>
          </w:p>
        </w:tc>
        <w:tc>
          <w:tcPr>
            <w:tcW w:w="283" w:type="pct"/>
            <w:tcBorders>
              <w:top w:val="nil"/>
              <w:bottom w:val="nil"/>
            </w:tcBorders>
            <w:shd w:val="clear" w:color="auto" w:fill="auto"/>
          </w:tcPr>
          <w:p w14:paraId="4332A2A0" w14:textId="77777777" w:rsidR="00A340EE" w:rsidRPr="0047058F" w:rsidRDefault="00A340EE" w:rsidP="000D5576">
            <w:pPr>
              <w:pStyle w:val="TableText"/>
              <w:jc w:val="right"/>
              <w:rPr>
                <w:rFonts w:eastAsia="Times New Roman" w:cs="Arial"/>
              </w:rPr>
            </w:pPr>
            <w:r w:rsidRPr="0047058F">
              <w:rPr>
                <w:rFonts w:eastAsia="Times New Roman" w:cs="Arial"/>
              </w:rPr>
              <w:t>523</w:t>
            </w:r>
          </w:p>
        </w:tc>
        <w:tc>
          <w:tcPr>
            <w:tcW w:w="310" w:type="pct"/>
            <w:tcBorders>
              <w:top w:val="nil"/>
              <w:bottom w:val="nil"/>
            </w:tcBorders>
            <w:shd w:val="clear" w:color="auto" w:fill="auto"/>
          </w:tcPr>
          <w:p w14:paraId="0895A893" w14:textId="77777777" w:rsidR="00A340EE" w:rsidRPr="0047058F" w:rsidRDefault="00A340EE" w:rsidP="000D5576">
            <w:pPr>
              <w:pStyle w:val="TableText"/>
              <w:jc w:val="right"/>
              <w:rPr>
                <w:rFonts w:eastAsia="Times New Roman" w:cs="Arial"/>
              </w:rPr>
            </w:pPr>
            <w:r w:rsidRPr="0047058F">
              <w:rPr>
                <w:rFonts w:eastAsia="Times New Roman" w:cs="Arial"/>
              </w:rPr>
              <w:t>97.2</w:t>
            </w:r>
          </w:p>
        </w:tc>
        <w:tc>
          <w:tcPr>
            <w:tcW w:w="258" w:type="pct"/>
            <w:tcBorders>
              <w:top w:val="nil"/>
              <w:bottom w:val="nil"/>
            </w:tcBorders>
            <w:shd w:val="clear" w:color="auto" w:fill="auto"/>
          </w:tcPr>
          <w:p w14:paraId="7070B7B6" w14:textId="77777777" w:rsidR="00A340EE" w:rsidRPr="0047058F" w:rsidRDefault="00A340EE" w:rsidP="000D5576">
            <w:pPr>
              <w:pStyle w:val="TableText"/>
              <w:jc w:val="right"/>
              <w:rPr>
                <w:rFonts w:eastAsia="Times New Roman" w:cs="Arial"/>
              </w:rPr>
            </w:pPr>
            <w:r w:rsidRPr="0047058F">
              <w:rPr>
                <w:rFonts w:eastAsia="Times New Roman" w:cs="Arial"/>
              </w:rPr>
              <w:t>28</w:t>
            </w:r>
          </w:p>
        </w:tc>
        <w:tc>
          <w:tcPr>
            <w:tcW w:w="284" w:type="pct"/>
            <w:tcBorders>
              <w:top w:val="nil"/>
              <w:bottom w:val="nil"/>
            </w:tcBorders>
            <w:shd w:val="clear" w:color="auto" w:fill="auto"/>
          </w:tcPr>
          <w:p w14:paraId="2F44B6AE" w14:textId="77777777" w:rsidR="00A340EE" w:rsidRPr="0047058F" w:rsidRDefault="00A340EE" w:rsidP="000D5576">
            <w:pPr>
              <w:pStyle w:val="TableText"/>
              <w:jc w:val="right"/>
              <w:rPr>
                <w:rFonts w:eastAsia="Times New Roman" w:cs="Arial"/>
              </w:rPr>
            </w:pPr>
            <w:r w:rsidRPr="0047058F">
              <w:rPr>
                <w:rFonts w:eastAsia="Times New Roman" w:cs="Arial"/>
              </w:rPr>
              <w:t>3.5</w:t>
            </w:r>
          </w:p>
        </w:tc>
        <w:tc>
          <w:tcPr>
            <w:tcW w:w="283" w:type="pct"/>
            <w:tcBorders>
              <w:top w:val="nil"/>
              <w:bottom w:val="nil"/>
            </w:tcBorders>
            <w:shd w:val="clear" w:color="auto" w:fill="auto"/>
          </w:tcPr>
          <w:p w14:paraId="7A210AE6" w14:textId="77777777" w:rsidR="00A340EE" w:rsidRPr="0047058F" w:rsidRDefault="00A340EE" w:rsidP="000D5576">
            <w:pPr>
              <w:pStyle w:val="TableText"/>
              <w:jc w:val="right"/>
              <w:rPr>
                <w:rFonts w:eastAsia="Times New Roman" w:cs="Arial"/>
              </w:rPr>
            </w:pPr>
            <w:r w:rsidRPr="0047058F">
              <w:rPr>
                <w:rFonts w:eastAsia="Times New Roman" w:cs="Arial"/>
              </w:rPr>
              <w:t>763</w:t>
            </w:r>
          </w:p>
        </w:tc>
        <w:tc>
          <w:tcPr>
            <w:tcW w:w="279" w:type="pct"/>
            <w:tcBorders>
              <w:top w:val="nil"/>
              <w:bottom w:val="nil"/>
            </w:tcBorders>
            <w:shd w:val="clear" w:color="auto" w:fill="auto"/>
          </w:tcPr>
          <w:p w14:paraId="60AC03A7" w14:textId="77777777" w:rsidR="00A340EE" w:rsidRPr="0047058F" w:rsidRDefault="00A340EE" w:rsidP="000D5576">
            <w:pPr>
              <w:pStyle w:val="TableText"/>
              <w:jc w:val="right"/>
              <w:rPr>
                <w:rFonts w:eastAsia="Times New Roman" w:cs="Arial"/>
              </w:rPr>
            </w:pPr>
            <w:r w:rsidRPr="0047058F">
              <w:rPr>
                <w:rFonts w:eastAsia="Times New Roman" w:cs="Arial"/>
              </w:rPr>
              <w:t>96.5</w:t>
            </w:r>
          </w:p>
        </w:tc>
      </w:tr>
      <w:tr w:rsidR="00A340EE" w:rsidRPr="0047058F" w14:paraId="715925CD" w14:textId="77777777" w:rsidTr="000D5576">
        <w:tc>
          <w:tcPr>
            <w:tcW w:w="979" w:type="pct"/>
            <w:vMerge/>
            <w:tcBorders>
              <w:top w:val="nil"/>
            </w:tcBorders>
          </w:tcPr>
          <w:p w14:paraId="3A92FA73" w14:textId="77777777" w:rsidR="00A340EE" w:rsidRPr="0047058F" w:rsidRDefault="00A340EE" w:rsidP="000D5576">
            <w:pPr>
              <w:pStyle w:val="TableText"/>
              <w:rPr>
                <w:rFonts w:cs="Calibri"/>
                <w:szCs w:val="14"/>
              </w:rPr>
            </w:pPr>
          </w:p>
        </w:tc>
        <w:tc>
          <w:tcPr>
            <w:tcW w:w="337" w:type="pct"/>
            <w:tcBorders>
              <w:top w:val="nil"/>
            </w:tcBorders>
          </w:tcPr>
          <w:p w14:paraId="339EE093" w14:textId="77777777" w:rsidR="00A340EE" w:rsidRPr="0047058F" w:rsidRDefault="00A340EE" w:rsidP="00F77104">
            <w:pPr>
              <w:pStyle w:val="TableText"/>
            </w:pPr>
            <w:r w:rsidRPr="0047058F">
              <w:t>Yes</w:t>
            </w:r>
          </w:p>
        </w:tc>
        <w:tc>
          <w:tcPr>
            <w:tcW w:w="284" w:type="pct"/>
            <w:tcBorders>
              <w:top w:val="nil"/>
            </w:tcBorders>
          </w:tcPr>
          <w:p w14:paraId="711A3639" w14:textId="77777777" w:rsidR="00A340EE" w:rsidRPr="0047058F" w:rsidRDefault="00A340EE" w:rsidP="000D5576">
            <w:pPr>
              <w:pStyle w:val="TableText"/>
              <w:jc w:val="right"/>
            </w:pPr>
            <w:r w:rsidRPr="0047058F">
              <w:t>29</w:t>
            </w:r>
          </w:p>
        </w:tc>
        <w:tc>
          <w:tcPr>
            <w:tcW w:w="284" w:type="pct"/>
            <w:tcBorders>
              <w:top w:val="nil"/>
            </w:tcBorders>
          </w:tcPr>
          <w:p w14:paraId="159F2C36" w14:textId="77777777" w:rsidR="00A340EE" w:rsidRPr="0047058F" w:rsidRDefault="00A340EE" w:rsidP="000D5576">
            <w:pPr>
              <w:pStyle w:val="TableText"/>
              <w:jc w:val="right"/>
              <w:rPr>
                <w:rFonts w:eastAsia="Times New Roman" w:cs="Arial"/>
              </w:rPr>
            </w:pPr>
            <w:r w:rsidRPr="0047058F">
              <w:rPr>
                <w:rFonts w:eastAsia="Times New Roman" w:cs="Arial"/>
              </w:rPr>
              <w:t>2</w:t>
            </w:r>
          </w:p>
        </w:tc>
        <w:tc>
          <w:tcPr>
            <w:tcW w:w="283" w:type="pct"/>
            <w:tcBorders>
              <w:top w:val="nil"/>
            </w:tcBorders>
          </w:tcPr>
          <w:p w14:paraId="166FBEB4" w14:textId="77777777" w:rsidR="00A340EE" w:rsidRPr="0047058F" w:rsidRDefault="00A340EE" w:rsidP="000D5576">
            <w:pPr>
              <w:pStyle w:val="TableText"/>
              <w:jc w:val="right"/>
              <w:rPr>
                <w:rFonts w:eastAsia="Times New Roman" w:cs="Arial"/>
              </w:rPr>
            </w:pPr>
            <w:r w:rsidRPr="0047058F">
              <w:rPr>
                <w:rFonts w:eastAsia="Times New Roman" w:cs="Arial"/>
              </w:rPr>
              <w:t>25.0</w:t>
            </w:r>
          </w:p>
        </w:tc>
        <w:tc>
          <w:tcPr>
            <w:tcW w:w="284" w:type="pct"/>
            <w:tcBorders>
              <w:top w:val="nil"/>
            </w:tcBorders>
          </w:tcPr>
          <w:p w14:paraId="57F3C3E0" w14:textId="77777777" w:rsidR="00A340EE" w:rsidRPr="0047058F" w:rsidRDefault="00A340EE" w:rsidP="000D5576">
            <w:pPr>
              <w:pStyle w:val="TableText"/>
              <w:jc w:val="right"/>
              <w:rPr>
                <w:rFonts w:eastAsia="Times New Roman" w:cs="Arial"/>
              </w:rPr>
            </w:pPr>
            <w:r w:rsidRPr="0047058F">
              <w:rPr>
                <w:rFonts w:eastAsia="Times New Roman" w:cs="Arial"/>
              </w:rPr>
              <w:t>6</w:t>
            </w:r>
          </w:p>
        </w:tc>
        <w:tc>
          <w:tcPr>
            <w:tcW w:w="283" w:type="pct"/>
            <w:tcBorders>
              <w:top w:val="nil"/>
            </w:tcBorders>
          </w:tcPr>
          <w:p w14:paraId="3DAE42F7" w14:textId="77777777" w:rsidR="00A340EE" w:rsidRPr="0047058F" w:rsidRDefault="00A340EE" w:rsidP="000D5576">
            <w:pPr>
              <w:pStyle w:val="TableText"/>
              <w:jc w:val="right"/>
              <w:rPr>
                <w:rFonts w:eastAsia="Times New Roman" w:cs="Arial"/>
              </w:rPr>
            </w:pPr>
            <w:r w:rsidRPr="0047058F">
              <w:rPr>
                <w:rFonts w:eastAsia="Times New Roman" w:cs="Arial"/>
              </w:rPr>
              <w:t>75.0</w:t>
            </w:r>
          </w:p>
        </w:tc>
        <w:tc>
          <w:tcPr>
            <w:tcW w:w="286" w:type="pct"/>
            <w:tcBorders>
              <w:top w:val="nil"/>
            </w:tcBorders>
          </w:tcPr>
          <w:p w14:paraId="614BC85B" w14:textId="77777777" w:rsidR="00A340EE" w:rsidRPr="0047058F" w:rsidRDefault="00A340EE" w:rsidP="000D5576">
            <w:pPr>
              <w:pStyle w:val="TableText"/>
              <w:jc w:val="right"/>
              <w:rPr>
                <w:rFonts w:eastAsia="Times New Roman" w:cs="Arial"/>
              </w:rPr>
            </w:pPr>
            <w:r w:rsidRPr="0047058F">
              <w:rPr>
                <w:rFonts w:eastAsia="Times New Roman" w:cs="Arial"/>
              </w:rPr>
              <w:t>7</w:t>
            </w:r>
          </w:p>
        </w:tc>
        <w:tc>
          <w:tcPr>
            <w:tcW w:w="283" w:type="pct"/>
            <w:tcBorders>
              <w:top w:val="nil"/>
            </w:tcBorders>
          </w:tcPr>
          <w:p w14:paraId="335247F7" w14:textId="77777777" w:rsidR="00A340EE" w:rsidRPr="0047058F" w:rsidRDefault="00A340EE" w:rsidP="000D5576">
            <w:pPr>
              <w:pStyle w:val="TableText"/>
              <w:jc w:val="right"/>
              <w:rPr>
                <w:rFonts w:eastAsia="Times New Roman" w:cs="Arial"/>
              </w:rPr>
            </w:pPr>
            <w:r w:rsidRPr="0047058F">
              <w:rPr>
                <w:rFonts w:eastAsia="Times New Roman" w:cs="Arial"/>
              </w:rPr>
              <w:t>33.3</w:t>
            </w:r>
          </w:p>
        </w:tc>
        <w:tc>
          <w:tcPr>
            <w:tcW w:w="283" w:type="pct"/>
            <w:tcBorders>
              <w:top w:val="nil"/>
            </w:tcBorders>
          </w:tcPr>
          <w:p w14:paraId="769FA0B3" w14:textId="77777777" w:rsidR="00A340EE" w:rsidRPr="0047058F" w:rsidRDefault="00A340EE" w:rsidP="000D5576">
            <w:pPr>
              <w:pStyle w:val="TableText"/>
              <w:jc w:val="right"/>
              <w:rPr>
                <w:rFonts w:eastAsia="Times New Roman" w:cs="Arial"/>
              </w:rPr>
            </w:pPr>
            <w:r w:rsidRPr="0047058F">
              <w:rPr>
                <w:rFonts w:eastAsia="Times New Roman" w:cs="Arial"/>
              </w:rPr>
              <w:t>14</w:t>
            </w:r>
          </w:p>
        </w:tc>
        <w:tc>
          <w:tcPr>
            <w:tcW w:w="310" w:type="pct"/>
            <w:tcBorders>
              <w:top w:val="nil"/>
            </w:tcBorders>
          </w:tcPr>
          <w:p w14:paraId="64E4E84A" w14:textId="77777777" w:rsidR="00A340EE" w:rsidRPr="0047058F" w:rsidRDefault="00A340EE" w:rsidP="000D5576">
            <w:pPr>
              <w:pStyle w:val="TableText"/>
              <w:jc w:val="right"/>
              <w:rPr>
                <w:rFonts w:eastAsia="Times New Roman" w:cs="Arial"/>
              </w:rPr>
            </w:pPr>
            <w:r w:rsidRPr="0047058F">
              <w:rPr>
                <w:rFonts w:eastAsia="Times New Roman" w:cs="Arial"/>
              </w:rPr>
              <w:t>66.7</w:t>
            </w:r>
          </w:p>
        </w:tc>
        <w:tc>
          <w:tcPr>
            <w:tcW w:w="258" w:type="pct"/>
            <w:tcBorders>
              <w:top w:val="nil"/>
            </w:tcBorders>
          </w:tcPr>
          <w:p w14:paraId="3CB04310" w14:textId="77777777" w:rsidR="00A340EE" w:rsidRPr="0047058F" w:rsidRDefault="00A340EE" w:rsidP="000D5576">
            <w:pPr>
              <w:pStyle w:val="TableText"/>
              <w:jc w:val="right"/>
              <w:rPr>
                <w:rFonts w:eastAsia="Times New Roman" w:cs="Arial"/>
              </w:rPr>
            </w:pPr>
            <w:r w:rsidRPr="0047058F">
              <w:rPr>
                <w:rFonts w:eastAsia="Times New Roman" w:cs="Arial"/>
              </w:rPr>
              <w:t>9</w:t>
            </w:r>
          </w:p>
        </w:tc>
        <w:tc>
          <w:tcPr>
            <w:tcW w:w="284" w:type="pct"/>
            <w:tcBorders>
              <w:top w:val="nil"/>
            </w:tcBorders>
          </w:tcPr>
          <w:p w14:paraId="51099108" w14:textId="77777777" w:rsidR="00A340EE" w:rsidRPr="0047058F" w:rsidRDefault="00A340EE" w:rsidP="000D5576">
            <w:pPr>
              <w:pStyle w:val="TableText"/>
              <w:jc w:val="right"/>
              <w:rPr>
                <w:rFonts w:eastAsia="Times New Roman" w:cs="Arial"/>
              </w:rPr>
            </w:pPr>
            <w:r w:rsidRPr="0047058F">
              <w:rPr>
                <w:rFonts w:eastAsia="Times New Roman" w:cs="Arial"/>
              </w:rPr>
              <w:t>31.0</w:t>
            </w:r>
          </w:p>
        </w:tc>
        <w:tc>
          <w:tcPr>
            <w:tcW w:w="283" w:type="pct"/>
            <w:tcBorders>
              <w:top w:val="nil"/>
            </w:tcBorders>
          </w:tcPr>
          <w:p w14:paraId="770DC009" w14:textId="77777777" w:rsidR="00A340EE" w:rsidRPr="0047058F" w:rsidRDefault="00A340EE" w:rsidP="000D5576">
            <w:pPr>
              <w:pStyle w:val="TableText"/>
              <w:jc w:val="right"/>
              <w:rPr>
                <w:rFonts w:eastAsia="Times New Roman" w:cs="Arial"/>
              </w:rPr>
            </w:pPr>
            <w:r w:rsidRPr="0047058F">
              <w:rPr>
                <w:rFonts w:eastAsia="Times New Roman" w:cs="Arial"/>
              </w:rPr>
              <w:t>20</w:t>
            </w:r>
          </w:p>
        </w:tc>
        <w:tc>
          <w:tcPr>
            <w:tcW w:w="279" w:type="pct"/>
            <w:tcBorders>
              <w:top w:val="nil"/>
            </w:tcBorders>
          </w:tcPr>
          <w:p w14:paraId="658D1B31" w14:textId="77777777" w:rsidR="00A340EE" w:rsidRPr="0047058F" w:rsidRDefault="00A340EE" w:rsidP="000D5576">
            <w:pPr>
              <w:pStyle w:val="TableText"/>
              <w:jc w:val="right"/>
              <w:rPr>
                <w:rFonts w:eastAsia="Times New Roman" w:cs="Arial"/>
              </w:rPr>
            </w:pPr>
            <w:r w:rsidRPr="0047058F">
              <w:rPr>
                <w:rFonts w:eastAsia="Times New Roman" w:cs="Arial"/>
              </w:rPr>
              <w:t>69.0</w:t>
            </w:r>
          </w:p>
        </w:tc>
      </w:tr>
      <w:tr w:rsidR="00A340EE" w:rsidRPr="0047058F" w14:paraId="554920CE" w14:textId="77777777" w:rsidTr="000D5576">
        <w:trPr>
          <w:cnfStyle w:val="000000100000" w:firstRow="0" w:lastRow="0" w:firstColumn="0" w:lastColumn="0" w:oddVBand="0" w:evenVBand="0" w:oddHBand="1" w:evenHBand="0" w:firstRowFirstColumn="0" w:firstRowLastColumn="0" w:lastRowFirstColumn="0" w:lastRowLastColumn="0"/>
        </w:trPr>
        <w:tc>
          <w:tcPr>
            <w:tcW w:w="979" w:type="pct"/>
            <w:vMerge w:val="restart"/>
          </w:tcPr>
          <w:p w14:paraId="040C251C" w14:textId="77777777" w:rsidR="00A340EE" w:rsidRPr="0047058F" w:rsidRDefault="00A340EE" w:rsidP="000D5576">
            <w:pPr>
              <w:pStyle w:val="TableText"/>
              <w:rPr>
                <w:rFonts w:cs="Calibri"/>
                <w:szCs w:val="14"/>
              </w:rPr>
            </w:pPr>
            <w:r w:rsidRPr="0047058F">
              <w:rPr>
                <w:rFonts w:cs="Calibri"/>
                <w:szCs w:val="14"/>
              </w:rPr>
              <w:t>Any disorder</w:t>
            </w:r>
          </w:p>
        </w:tc>
        <w:tc>
          <w:tcPr>
            <w:tcW w:w="337" w:type="pct"/>
          </w:tcPr>
          <w:p w14:paraId="60F84B8E" w14:textId="77777777" w:rsidR="00A340EE" w:rsidRPr="0047058F" w:rsidRDefault="00A340EE" w:rsidP="00F77104">
            <w:pPr>
              <w:pStyle w:val="TableText"/>
            </w:pPr>
            <w:r w:rsidRPr="0047058F">
              <w:t>No</w:t>
            </w:r>
          </w:p>
        </w:tc>
        <w:tc>
          <w:tcPr>
            <w:tcW w:w="284" w:type="pct"/>
          </w:tcPr>
          <w:p w14:paraId="3077831E" w14:textId="77777777" w:rsidR="00A340EE" w:rsidRPr="0047058F" w:rsidRDefault="00A340EE" w:rsidP="000D5576">
            <w:pPr>
              <w:pStyle w:val="TableText"/>
              <w:jc w:val="right"/>
            </w:pPr>
            <w:r w:rsidRPr="0047058F">
              <w:t>476</w:t>
            </w:r>
          </w:p>
        </w:tc>
        <w:tc>
          <w:tcPr>
            <w:tcW w:w="284" w:type="pct"/>
          </w:tcPr>
          <w:p w14:paraId="73EDEB64" w14:textId="77777777" w:rsidR="00A340EE" w:rsidRPr="0047058F" w:rsidRDefault="00A340EE" w:rsidP="000D5576">
            <w:pPr>
              <w:pStyle w:val="TableText"/>
              <w:jc w:val="right"/>
              <w:rPr>
                <w:rFonts w:eastAsia="Times New Roman" w:cs="Arial"/>
              </w:rPr>
            </w:pPr>
            <w:r w:rsidRPr="0047058F">
              <w:rPr>
                <w:rFonts w:eastAsia="Times New Roman" w:cs="Arial"/>
              </w:rPr>
              <w:t>40</w:t>
            </w:r>
          </w:p>
        </w:tc>
        <w:tc>
          <w:tcPr>
            <w:tcW w:w="283" w:type="pct"/>
          </w:tcPr>
          <w:p w14:paraId="096C3ED6" w14:textId="77777777" w:rsidR="00A340EE" w:rsidRPr="0047058F" w:rsidRDefault="00A340EE" w:rsidP="000D5576">
            <w:pPr>
              <w:pStyle w:val="TableText"/>
              <w:jc w:val="right"/>
              <w:rPr>
                <w:rFonts w:eastAsia="Times New Roman" w:cs="Arial"/>
              </w:rPr>
            </w:pPr>
            <w:r w:rsidRPr="0047058F">
              <w:rPr>
                <w:rFonts w:eastAsia="Times New Roman" w:cs="Arial"/>
              </w:rPr>
              <w:t>29.6</w:t>
            </w:r>
          </w:p>
        </w:tc>
        <w:tc>
          <w:tcPr>
            <w:tcW w:w="284" w:type="pct"/>
          </w:tcPr>
          <w:p w14:paraId="18B3539D" w14:textId="77777777" w:rsidR="00A340EE" w:rsidRPr="0047058F" w:rsidRDefault="00A340EE" w:rsidP="000D5576">
            <w:pPr>
              <w:pStyle w:val="TableText"/>
              <w:jc w:val="right"/>
              <w:rPr>
                <w:rFonts w:eastAsia="Times New Roman" w:cs="Arial"/>
              </w:rPr>
            </w:pPr>
            <w:r w:rsidRPr="0047058F">
              <w:rPr>
                <w:rFonts w:eastAsia="Times New Roman" w:cs="Arial"/>
              </w:rPr>
              <w:t>95</w:t>
            </w:r>
          </w:p>
        </w:tc>
        <w:tc>
          <w:tcPr>
            <w:tcW w:w="283" w:type="pct"/>
          </w:tcPr>
          <w:p w14:paraId="329B6688" w14:textId="77777777" w:rsidR="00A340EE" w:rsidRPr="0047058F" w:rsidRDefault="00A340EE" w:rsidP="000D5576">
            <w:pPr>
              <w:pStyle w:val="TableText"/>
              <w:jc w:val="right"/>
              <w:rPr>
                <w:rFonts w:eastAsia="Times New Roman" w:cs="Arial"/>
              </w:rPr>
            </w:pPr>
            <w:r w:rsidRPr="0047058F">
              <w:rPr>
                <w:rFonts w:eastAsia="Times New Roman" w:cs="Arial"/>
              </w:rPr>
              <w:t>70.4</w:t>
            </w:r>
          </w:p>
        </w:tc>
        <w:tc>
          <w:tcPr>
            <w:tcW w:w="286" w:type="pct"/>
          </w:tcPr>
          <w:p w14:paraId="0EB9479A" w14:textId="77777777" w:rsidR="00A340EE" w:rsidRPr="0047058F" w:rsidRDefault="00A340EE" w:rsidP="000D5576">
            <w:pPr>
              <w:pStyle w:val="TableText"/>
              <w:jc w:val="right"/>
              <w:rPr>
                <w:rFonts w:eastAsia="Times New Roman" w:cs="Arial"/>
              </w:rPr>
            </w:pPr>
            <w:r w:rsidRPr="0047058F">
              <w:rPr>
                <w:rFonts w:eastAsia="Times New Roman" w:cs="Arial"/>
              </w:rPr>
              <w:t>94</w:t>
            </w:r>
          </w:p>
        </w:tc>
        <w:tc>
          <w:tcPr>
            <w:tcW w:w="283" w:type="pct"/>
          </w:tcPr>
          <w:p w14:paraId="74FC8A67" w14:textId="77777777" w:rsidR="00A340EE" w:rsidRPr="0047058F" w:rsidRDefault="00A340EE" w:rsidP="000D5576">
            <w:pPr>
              <w:pStyle w:val="TableText"/>
              <w:jc w:val="right"/>
              <w:rPr>
                <w:rFonts w:eastAsia="Times New Roman" w:cs="Arial"/>
              </w:rPr>
            </w:pPr>
            <w:r w:rsidRPr="0047058F">
              <w:rPr>
                <w:rFonts w:eastAsia="Times New Roman" w:cs="Arial"/>
              </w:rPr>
              <w:t>27.6</w:t>
            </w:r>
          </w:p>
        </w:tc>
        <w:tc>
          <w:tcPr>
            <w:tcW w:w="283" w:type="pct"/>
          </w:tcPr>
          <w:p w14:paraId="175678BF" w14:textId="77777777" w:rsidR="00A340EE" w:rsidRPr="0047058F" w:rsidRDefault="00A340EE" w:rsidP="000D5576">
            <w:pPr>
              <w:pStyle w:val="TableText"/>
              <w:jc w:val="right"/>
              <w:rPr>
                <w:rFonts w:eastAsia="Times New Roman" w:cs="Arial"/>
              </w:rPr>
            </w:pPr>
            <w:r w:rsidRPr="0047058F">
              <w:rPr>
                <w:rFonts w:eastAsia="Times New Roman" w:cs="Arial"/>
              </w:rPr>
              <w:t>247</w:t>
            </w:r>
          </w:p>
        </w:tc>
        <w:tc>
          <w:tcPr>
            <w:tcW w:w="310" w:type="pct"/>
          </w:tcPr>
          <w:p w14:paraId="6B62FD71" w14:textId="77777777" w:rsidR="00A340EE" w:rsidRPr="0047058F" w:rsidRDefault="00A340EE" w:rsidP="000D5576">
            <w:pPr>
              <w:pStyle w:val="TableText"/>
              <w:jc w:val="right"/>
              <w:rPr>
                <w:rFonts w:eastAsia="Times New Roman" w:cs="Arial"/>
              </w:rPr>
            </w:pPr>
            <w:r w:rsidRPr="0047058F">
              <w:rPr>
                <w:rFonts w:eastAsia="Times New Roman" w:cs="Arial"/>
              </w:rPr>
              <w:t>72.4</w:t>
            </w:r>
          </w:p>
        </w:tc>
        <w:tc>
          <w:tcPr>
            <w:tcW w:w="258" w:type="pct"/>
          </w:tcPr>
          <w:p w14:paraId="4FA1D1E2" w14:textId="77777777" w:rsidR="00A340EE" w:rsidRPr="0047058F" w:rsidRDefault="00A340EE" w:rsidP="000D5576">
            <w:pPr>
              <w:pStyle w:val="TableText"/>
              <w:jc w:val="right"/>
              <w:rPr>
                <w:rFonts w:eastAsia="Times New Roman" w:cs="Arial"/>
              </w:rPr>
            </w:pPr>
            <w:r w:rsidRPr="0047058F">
              <w:rPr>
                <w:rFonts w:eastAsia="Times New Roman" w:cs="Arial"/>
              </w:rPr>
              <w:t>134</w:t>
            </w:r>
          </w:p>
        </w:tc>
        <w:tc>
          <w:tcPr>
            <w:tcW w:w="284" w:type="pct"/>
          </w:tcPr>
          <w:p w14:paraId="0DFDB26E" w14:textId="77777777" w:rsidR="00A340EE" w:rsidRPr="0047058F" w:rsidRDefault="00A340EE" w:rsidP="000D5576">
            <w:pPr>
              <w:pStyle w:val="TableText"/>
              <w:jc w:val="right"/>
              <w:rPr>
                <w:rFonts w:eastAsia="Times New Roman" w:cs="Arial"/>
              </w:rPr>
            </w:pPr>
            <w:r w:rsidRPr="0047058F">
              <w:rPr>
                <w:rFonts w:eastAsia="Times New Roman" w:cs="Arial"/>
              </w:rPr>
              <w:t>28.2</w:t>
            </w:r>
          </w:p>
        </w:tc>
        <w:tc>
          <w:tcPr>
            <w:tcW w:w="283" w:type="pct"/>
          </w:tcPr>
          <w:p w14:paraId="58B2EBF1" w14:textId="77777777" w:rsidR="00A340EE" w:rsidRPr="0047058F" w:rsidRDefault="00A340EE" w:rsidP="000D5576">
            <w:pPr>
              <w:pStyle w:val="TableText"/>
              <w:jc w:val="right"/>
              <w:rPr>
                <w:rFonts w:eastAsia="Times New Roman" w:cs="Arial"/>
              </w:rPr>
            </w:pPr>
            <w:r w:rsidRPr="0047058F">
              <w:rPr>
                <w:rFonts w:eastAsia="Times New Roman" w:cs="Arial"/>
              </w:rPr>
              <w:t>342</w:t>
            </w:r>
          </w:p>
        </w:tc>
        <w:tc>
          <w:tcPr>
            <w:tcW w:w="279" w:type="pct"/>
          </w:tcPr>
          <w:p w14:paraId="63126F6A" w14:textId="77777777" w:rsidR="00A340EE" w:rsidRPr="0047058F" w:rsidRDefault="00A340EE" w:rsidP="000D5576">
            <w:pPr>
              <w:pStyle w:val="TableText"/>
              <w:jc w:val="right"/>
              <w:rPr>
                <w:rFonts w:eastAsia="Times New Roman" w:cs="Arial"/>
              </w:rPr>
            </w:pPr>
            <w:r w:rsidRPr="0047058F">
              <w:rPr>
                <w:rFonts w:eastAsia="Times New Roman" w:cs="Arial"/>
              </w:rPr>
              <w:t>71.8</w:t>
            </w:r>
          </w:p>
        </w:tc>
      </w:tr>
      <w:tr w:rsidR="003876A3" w:rsidRPr="0047058F" w14:paraId="214D47F1" w14:textId="77777777" w:rsidTr="000D5576">
        <w:tc>
          <w:tcPr>
            <w:tcW w:w="979" w:type="pct"/>
            <w:vMerge/>
            <w:shd w:val="clear" w:color="auto" w:fill="C1D9FF"/>
          </w:tcPr>
          <w:p w14:paraId="717C5CDE" w14:textId="77777777" w:rsidR="00A340EE" w:rsidRPr="0047058F" w:rsidRDefault="00A340EE" w:rsidP="000D5576">
            <w:pPr>
              <w:pStyle w:val="TableText"/>
            </w:pPr>
          </w:p>
        </w:tc>
        <w:tc>
          <w:tcPr>
            <w:tcW w:w="337" w:type="pct"/>
            <w:shd w:val="clear" w:color="auto" w:fill="C1D9FF"/>
          </w:tcPr>
          <w:p w14:paraId="4B03AF47" w14:textId="77777777" w:rsidR="00A340EE" w:rsidRPr="0047058F" w:rsidRDefault="00A340EE" w:rsidP="00F77104">
            <w:pPr>
              <w:pStyle w:val="TableText"/>
            </w:pPr>
            <w:r w:rsidRPr="0047058F">
              <w:t>Yes</w:t>
            </w:r>
          </w:p>
        </w:tc>
        <w:tc>
          <w:tcPr>
            <w:tcW w:w="284" w:type="pct"/>
            <w:shd w:val="clear" w:color="auto" w:fill="C1D9FF"/>
          </w:tcPr>
          <w:p w14:paraId="67680FBB" w14:textId="77777777" w:rsidR="00A340EE" w:rsidRPr="0047058F" w:rsidRDefault="00A340EE" w:rsidP="000D5576">
            <w:pPr>
              <w:pStyle w:val="TableText"/>
              <w:jc w:val="right"/>
            </w:pPr>
            <w:r w:rsidRPr="0047058F">
              <w:t>344</w:t>
            </w:r>
          </w:p>
        </w:tc>
        <w:tc>
          <w:tcPr>
            <w:tcW w:w="284" w:type="pct"/>
            <w:shd w:val="clear" w:color="auto" w:fill="C1D9FF"/>
          </w:tcPr>
          <w:p w14:paraId="1E306A14" w14:textId="77777777" w:rsidR="00A340EE" w:rsidRPr="0047058F" w:rsidRDefault="00A340EE" w:rsidP="000D5576">
            <w:pPr>
              <w:pStyle w:val="TableText"/>
              <w:jc w:val="right"/>
              <w:rPr>
                <w:rFonts w:eastAsia="Times New Roman" w:cs="Arial"/>
              </w:rPr>
            </w:pPr>
            <w:r w:rsidRPr="0047058F">
              <w:rPr>
                <w:rFonts w:eastAsia="Times New Roman" w:cs="Arial"/>
              </w:rPr>
              <w:t>95</w:t>
            </w:r>
          </w:p>
        </w:tc>
        <w:tc>
          <w:tcPr>
            <w:tcW w:w="283" w:type="pct"/>
            <w:shd w:val="clear" w:color="auto" w:fill="C1D9FF"/>
          </w:tcPr>
          <w:p w14:paraId="42623F62" w14:textId="77777777" w:rsidR="00A340EE" w:rsidRPr="0047058F" w:rsidRDefault="00A340EE" w:rsidP="000D5576">
            <w:pPr>
              <w:pStyle w:val="TableText"/>
              <w:jc w:val="right"/>
              <w:rPr>
                <w:rFonts w:eastAsia="Times New Roman" w:cs="Arial"/>
              </w:rPr>
            </w:pPr>
            <w:r w:rsidRPr="0047058F">
              <w:rPr>
                <w:rFonts w:eastAsia="Times New Roman" w:cs="Arial"/>
              </w:rPr>
              <w:t>75.4</w:t>
            </w:r>
          </w:p>
        </w:tc>
        <w:tc>
          <w:tcPr>
            <w:tcW w:w="284" w:type="pct"/>
            <w:shd w:val="clear" w:color="auto" w:fill="C1D9FF"/>
          </w:tcPr>
          <w:p w14:paraId="4E265C55" w14:textId="77777777" w:rsidR="00A340EE" w:rsidRPr="0047058F" w:rsidRDefault="00A340EE" w:rsidP="000D5576">
            <w:pPr>
              <w:pStyle w:val="TableText"/>
              <w:jc w:val="right"/>
              <w:rPr>
                <w:rFonts w:eastAsia="Times New Roman" w:cs="Arial"/>
              </w:rPr>
            </w:pPr>
            <w:r w:rsidRPr="0047058F">
              <w:rPr>
                <w:rFonts w:eastAsia="Times New Roman" w:cs="Arial"/>
              </w:rPr>
              <w:t>31</w:t>
            </w:r>
          </w:p>
        </w:tc>
        <w:tc>
          <w:tcPr>
            <w:tcW w:w="283" w:type="pct"/>
            <w:shd w:val="clear" w:color="auto" w:fill="C1D9FF"/>
          </w:tcPr>
          <w:p w14:paraId="30B0F887" w14:textId="77777777" w:rsidR="00A340EE" w:rsidRPr="0047058F" w:rsidRDefault="00A340EE" w:rsidP="000D5576">
            <w:pPr>
              <w:pStyle w:val="TableText"/>
              <w:jc w:val="right"/>
              <w:rPr>
                <w:rFonts w:eastAsia="Times New Roman" w:cs="Arial"/>
              </w:rPr>
            </w:pPr>
            <w:r w:rsidRPr="0047058F">
              <w:rPr>
                <w:rFonts w:eastAsia="Times New Roman" w:cs="Arial"/>
              </w:rPr>
              <w:t>24.6</w:t>
            </w:r>
          </w:p>
        </w:tc>
        <w:tc>
          <w:tcPr>
            <w:tcW w:w="286" w:type="pct"/>
            <w:shd w:val="clear" w:color="auto" w:fill="C1D9FF"/>
          </w:tcPr>
          <w:p w14:paraId="103B301B" w14:textId="77777777" w:rsidR="00A340EE" w:rsidRPr="0047058F" w:rsidRDefault="00A340EE" w:rsidP="000D5576">
            <w:pPr>
              <w:pStyle w:val="TableText"/>
              <w:jc w:val="right"/>
              <w:rPr>
                <w:rFonts w:eastAsia="Times New Roman" w:cs="Arial"/>
              </w:rPr>
            </w:pPr>
            <w:r w:rsidRPr="0047058F">
              <w:rPr>
                <w:rFonts w:eastAsia="Times New Roman" w:cs="Arial"/>
              </w:rPr>
              <w:t>148</w:t>
            </w:r>
          </w:p>
        </w:tc>
        <w:tc>
          <w:tcPr>
            <w:tcW w:w="283" w:type="pct"/>
            <w:shd w:val="clear" w:color="auto" w:fill="C1D9FF"/>
          </w:tcPr>
          <w:p w14:paraId="49B14636" w14:textId="77777777" w:rsidR="00A340EE" w:rsidRPr="0047058F" w:rsidRDefault="00A340EE" w:rsidP="000D5576">
            <w:pPr>
              <w:pStyle w:val="TableText"/>
              <w:jc w:val="right"/>
              <w:rPr>
                <w:rFonts w:eastAsia="Times New Roman" w:cs="Arial"/>
              </w:rPr>
            </w:pPr>
            <w:r w:rsidRPr="0047058F">
              <w:rPr>
                <w:rFonts w:eastAsia="Times New Roman" w:cs="Arial"/>
              </w:rPr>
              <w:t>67.9</w:t>
            </w:r>
          </w:p>
        </w:tc>
        <w:tc>
          <w:tcPr>
            <w:tcW w:w="283" w:type="pct"/>
            <w:shd w:val="clear" w:color="auto" w:fill="C1D9FF"/>
          </w:tcPr>
          <w:p w14:paraId="30DF6D9E" w14:textId="77777777" w:rsidR="00A340EE" w:rsidRPr="0047058F" w:rsidRDefault="00A340EE" w:rsidP="000D5576">
            <w:pPr>
              <w:pStyle w:val="TableText"/>
              <w:jc w:val="right"/>
              <w:rPr>
                <w:rFonts w:eastAsia="Times New Roman" w:cs="Arial"/>
              </w:rPr>
            </w:pPr>
            <w:r w:rsidRPr="0047058F">
              <w:rPr>
                <w:rFonts w:eastAsia="Times New Roman" w:cs="Arial"/>
              </w:rPr>
              <w:t>70</w:t>
            </w:r>
          </w:p>
        </w:tc>
        <w:tc>
          <w:tcPr>
            <w:tcW w:w="310" w:type="pct"/>
            <w:shd w:val="clear" w:color="auto" w:fill="C1D9FF"/>
          </w:tcPr>
          <w:p w14:paraId="067D24BD" w14:textId="77777777" w:rsidR="00A340EE" w:rsidRPr="0047058F" w:rsidRDefault="00A340EE" w:rsidP="000D5576">
            <w:pPr>
              <w:pStyle w:val="TableText"/>
              <w:jc w:val="right"/>
              <w:rPr>
                <w:rFonts w:eastAsia="Times New Roman" w:cs="Arial"/>
              </w:rPr>
            </w:pPr>
            <w:r w:rsidRPr="0047058F">
              <w:rPr>
                <w:rFonts w:eastAsia="Times New Roman" w:cs="Arial"/>
              </w:rPr>
              <w:t>32.1</w:t>
            </w:r>
          </w:p>
        </w:tc>
        <w:tc>
          <w:tcPr>
            <w:tcW w:w="258" w:type="pct"/>
            <w:shd w:val="clear" w:color="auto" w:fill="C1D9FF"/>
          </w:tcPr>
          <w:p w14:paraId="09F70E13" w14:textId="77777777" w:rsidR="00A340EE" w:rsidRPr="0047058F" w:rsidRDefault="00A340EE" w:rsidP="000D5576">
            <w:pPr>
              <w:pStyle w:val="TableText"/>
              <w:jc w:val="right"/>
              <w:rPr>
                <w:rFonts w:eastAsia="Times New Roman" w:cs="Arial"/>
              </w:rPr>
            </w:pPr>
            <w:r w:rsidRPr="0047058F">
              <w:rPr>
                <w:rFonts w:eastAsia="Times New Roman" w:cs="Arial"/>
              </w:rPr>
              <w:t>243</w:t>
            </w:r>
          </w:p>
        </w:tc>
        <w:tc>
          <w:tcPr>
            <w:tcW w:w="284" w:type="pct"/>
            <w:shd w:val="clear" w:color="auto" w:fill="C1D9FF"/>
          </w:tcPr>
          <w:p w14:paraId="65E3B735" w14:textId="77777777" w:rsidR="00A340EE" w:rsidRPr="0047058F" w:rsidRDefault="00A340EE" w:rsidP="000D5576">
            <w:pPr>
              <w:pStyle w:val="TableText"/>
              <w:jc w:val="right"/>
              <w:rPr>
                <w:rFonts w:eastAsia="Times New Roman" w:cs="Arial"/>
              </w:rPr>
            </w:pPr>
            <w:r w:rsidRPr="0047058F">
              <w:rPr>
                <w:rFonts w:eastAsia="Times New Roman" w:cs="Arial"/>
              </w:rPr>
              <w:t>70.6</w:t>
            </w:r>
          </w:p>
        </w:tc>
        <w:tc>
          <w:tcPr>
            <w:tcW w:w="283" w:type="pct"/>
            <w:shd w:val="clear" w:color="auto" w:fill="C1D9FF"/>
          </w:tcPr>
          <w:p w14:paraId="6BF850F5" w14:textId="77777777" w:rsidR="00A340EE" w:rsidRPr="0047058F" w:rsidRDefault="00A340EE" w:rsidP="000D5576">
            <w:pPr>
              <w:pStyle w:val="TableText"/>
              <w:jc w:val="right"/>
              <w:rPr>
                <w:rFonts w:eastAsia="Times New Roman" w:cs="Arial"/>
              </w:rPr>
            </w:pPr>
            <w:r w:rsidRPr="0047058F">
              <w:rPr>
                <w:rFonts w:eastAsia="Times New Roman" w:cs="Arial"/>
              </w:rPr>
              <w:t>101</w:t>
            </w:r>
          </w:p>
        </w:tc>
        <w:tc>
          <w:tcPr>
            <w:tcW w:w="279" w:type="pct"/>
            <w:shd w:val="clear" w:color="auto" w:fill="C1D9FF"/>
          </w:tcPr>
          <w:p w14:paraId="3046A5A4" w14:textId="77777777" w:rsidR="00A340EE" w:rsidRPr="0047058F" w:rsidRDefault="00A340EE" w:rsidP="000D5576">
            <w:pPr>
              <w:pStyle w:val="TableText"/>
              <w:jc w:val="right"/>
              <w:rPr>
                <w:rFonts w:eastAsia="Times New Roman" w:cs="Arial"/>
              </w:rPr>
            </w:pPr>
            <w:r w:rsidRPr="0047058F">
              <w:rPr>
                <w:rFonts w:eastAsia="Times New Roman" w:cs="Arial"/>
              </w:rPr>
              <w:t>29.4</w:t>
            </w:r>
          </w:p>
        </w:tc>
      </w:tr>
    </w:tbl>
    <w:p w14:paraId="2CCDA758" w14:textId="77777777" w:rsidR="00A340EE" w:rsidRPr="0047058F" w:rsidRDefault="00A340EE" w:rsidP="00A340EE">
      <w:pPr>
        <w:pStyle w:val="TableNotes"/>
        <w:rPr>
          <w:rFonts w:cs="Calibri"/>
        </w:rPr>
      </w:pPr>
      <w:r w:rsidRPr="0047058F">
        <w:t>Note: A description of each of the ICD-10 disorder classes is provided in the glossary.</w:t>
      </w:r>
    </w:p>
    <w:p w14:paraId="689996AF" w14:textId="77777777" w:rsidR="0047223A" w:rsidRPr="0047058F" w:rsidRDefault="0047223A" w:rsidP="00191932"/>
    <w:p w14:paraId="6736AEDC" w14:textId="77777777" w:rsidR="00A340EE" w:rsidRPr="0047058F" w:rsidRDefault="00A340EE" w:rsidP="00191932">
      <w:pPr>
        <w:sectPr w:rsidR="00A340EE" w:rsidRPr="0047058F" w:rsidSect="00294C13">
          <w:footerReference w:type="even" r:id="rId36"/>
          <w:footerReference w:type="default" r:id="rId37"/>
          <w:pgSz w:w="14170" w:h="9979" w:orient="landscape" w:code="243"/>
          <w:pgMar w:top="1872" w:right="1440" w:bottom="1152" w:left="1440" w:header="576" w:footer="576" w:gutter="0"/>
          <w:cols w:space="708"/>
          <w:docGrid w:linePitch="360"/>
        </w:sectPr>
      </w:pPr>
    </w:p>
    <w:p w14:paraId="37DF0E5B" w14:textId="77777777" w:rsidR="000D5576" w:rsidRPr="0047058F" w:rsidRDefault="000D5576" w:rsidP="00A340EE">
      <w:r w:rsidRPr="0047058F">
        <w:t>Of the cohort who had no anxiety disorder in 2010, similar proportions of those who had transitioned (22.4%) and those who remained in the Regular ADF (24.0%) became new cases in 2015. However, of those reporting any anxiety disorder in 2010, a greater proportion of those who transitioned compared to those remaining in the Regular ADF retained their disorder in 2015 (75.0% vs 62.9%).</w:t>
      </w:r>
    </w:p>
    <w:p w14:paraId="03368A23" w14:textId="37E7F538" w:rsidR="000D5576" w:rsidRPr="0047058F" w:rsidRDefault="000D5576" w:rsidP="00A340EE">
      <w:r w:rsidRPr="0047058F">
        <w:t xml:space="preserve">For panic attack, again similar proportions of those who had transitioned (11.5%) compared to </w:t>
      </w:r>
      <w:r w:rsidR="008F6781">
        <w:t xml:space="preserve">those </w:t>
      </w:r>
      <w:r w:rsidRPr="0047058F">
        <w:t>remaining in the Regular ADF (12.9%) became new cases in 2015. However, of those reporting any anxiety disorder in 2010, again, a greater proportion of those who had transitioned (47.7%) retained their disorder in 2015 compared to those who remained in the Regular ADF (31.9%).</w:t>
      </w:r>
    </w:p>
    <w:p w14:paraId="5E5E025B" w14:textId="77777777" w:rsidR="000D5576" w:rsidRPr="0047058F" w:rsidRDefault="000D5576" w:rsidP="00A340EE">
      <w:r w:rsidRPr="0047058F">
        <w:t>The proportion of new panic disorder cases in 2015 was small. More of those who had transitioned (6.9%) became new cases in 2015 compared to those who remained in the Regular ADF (2.0%), and a greater proportion of those who had transitioned (28.6%) retained their disorder in 2015 compared to those who remained in the Regular ADF (10.0%).</w:t>
      </w:r>
    </w:p>
    <w:p w14:paraId="578D4C41" w14:textId="5E9B5B32" w:rsidR="000D5576" w:rsidRPr="0047058F" w:rsidRDefault="000D5576" w:rsidP="00A340EE">
      <w:r w:rsidRPr="0047058F">
        <w:t>Similarly, for agoraphobia, those who had transitioned (11.7%) had greater proportions of new cases in 2015 compared to those who remained in the Regular ADF (6.0%), and a greater proportion of those who had transitioned compared to</w:t>
      </w:r>
      <w:r w:rsidR="009F0D87">
        <w:t xml:space="preserve"> those</w:t>
      </w:r>
      <w:r w:rsidRPr="0047058F">
        <w:t xml:space="preserve"> remaining in the Regular ADF retained their disorder in 2015 compared to Regular ADF (50.0% vs 22.7%).</w:t>
      </w:r>
    </w:p>
    <w:p w14:paraId="62B3395F" w14:textId="77777777" w:rsidR="000D5576" w:rsidRPr="0047058F" w:rsidRDefault="000D5576" w:rsidP="00A340EE">
      <w:r w:rsidRPr="0047058F">
        <w:t>For social phobia, a slightly greater proportion of those who had transitioned compared to those who remained in the Regular ADF were new cases in 2015 (9.7% vs 6.9%). In contrast, a lower proportion of those who had transitioned compared to those who remained in the Regular ADF retained their disorder in 2015 (28.0% vs 36.6%).</w:t>
      </w:r>
    </w:p>
    <w:p w14:paraId="10ACD099" w14:textId="2D1680EA" w:rsidR="000D5576" w:rsidRPr="0047058F" w:rsidRDefault="000D5576" w:rsidP="00A340EE">
      <w:r w:rsidRPr="0047058F">
        <w:t>For specific phobia, a greater proportion of those who had transitioned became new cases in 2015 compared to those who remained in the Regular ADF (11.9% vs 7.8%), and a greater proportion of those who transitioned retained their disorder in 2015 compared to those who remained in the Regular ADF (50</w:t>
      </w:r>
      <w:r w:rsidR="009F0D87">
        <w:t>.0</w:t>
      </w:r>
      <w:r w:rsidRPr="0047058F">
        <w:t>% vs 27.7%).</w:t>
      </w:r>
    </w:p>
    <w:p w14:paraId="50CB4450" w14:textId="77777777" w:rsidR="000D5576" w:rsidRPr="0047058F" w:rsidRDefault="000D5576" w:rsidP="00A340EE">
      <w:r w:rsidRPr="0047058F">
        <w:t>The proportion of new GAD and OCD cases in 2015 was small. Those who transitioned and those who remained in the Regular ADF had similar proportions of new cases of GAD in 2015 (4.4% vs 5.1%), and more of those who remained in the Regular ADF retained their disorder (27.3%) compared to those who had transitioned (16.7%). Similarly, for OCD, those who transitioned and those who remained in the Regular ADF had similar proportions of new cases in 2015 (3.2% vs 3.9%), while a greater proportion of those who remained in the Regular ADF retained their disorder (39.1%) compared to those who had transitioned (22.2%).</w:t>
      </w:r>
    </w:p>
    <w:p w14:paraId="21089CE3" w14:textId="77777777" w:rsidR="000D5576" w:rsidRPr="0047058F" w:rsidRDefault="000D5576" w:rsidP="00A340EE">
      <w:r w:rsidRPr="0047058F">
        <w:t>For PTSD, a greater proportion of those who had transitioned (18.1%) became new cases in 2015 compared to those who remained in the Regular ADF (9.4%). Similarly, a greater proportion of those who had transitioned (51.0%) retained their disorder in 2015 compared to those who remained in the Regular ADF (44.1%).</w:t>
      </w:r>
    </w:p>
    <w:p w14:paraId="6277728D" w14:textId="77777777" w:rsidR="000D5576" w:rsidRPr="0047058F" w:rsidRDefault="000D5576" w:rsidP="00A340EE">
      <w:r w:rsidRPr="0047058F">
        <w:t>Of those who had no affective disorder in 2010, similar proportions of those who had transitioned and those who remained in the Regular ADF in 2015 became new disorder cases in 2015 (17.0% vs 15.1%), or retained their disorder in 2015 (Transitioned ADF 47.3%; Regular ADF 44.2%).</w:t>
      </w:r>
    </w:p>
    <w:p w14:paraId="1B726D02" w14:textId="77777777" w:rsidR="000D5576" w:rsidRPr="0047058F" w:rsidRDefault="000D5576" w:rsidP="00A340EE">
      <w:r w:rsidRPr="0047058F">
        <w:t>For depressive episodes, similar proportions of those who had transitioned and those who remained in the Regular ADF became new cases in 2015 (11.0% vs 11.1%). However, of those reporting a depressive episode in 2010, a slightly greater proportion of those who had transitioned (31.0%) retained this disorder in 2015 compared to those who remained in the Regular ADF (26.8%).</w:t>
      </w:r>
    </w:p>
    <w:p w14:paraId="0FCC9AC7" w14:textId="582516A0" w:rsidR="000D5576" w:rsidRPr="0047058F" w:rsidRDefault="000D5576" w:rsidP="00A340EE">
      <w:r w:rsidRPr="0047058F">
        <w:t xml:space="preserve">The proportion of new dysthymia and bipolar affective disorder cases in 2015 was small. Slightly more of those who had transitioned (6.6%) became new cases of dysthymia in 2015 compared to those who remained in the Regular ADF (3.1%), and a much greater proportion of those who had transitioned (40.0%) retained their disorder in 2015 compared to those who remained in the Regular ADF (7.7%). For bipolar affective disorder, slightly more of those who had transitioned (6.5%) became new cases in 2015 compared to those who remained in the Regular ADF (3.7%), and a slightly smaller proportion of those who </w:t>
      </w:r>
      <w:r w:rsidR="00F61CF6">
        <w:t xml:space="preserve">had </w:t>
      </w:r>
      <w:r w:rsidRPr="0047058F">
        <w:t>transitioned (30.8%) retained their disorder in 2015 compared to those who remained in the Regular ADF (38.1%).</w:t>
      </w:r>
    </w:p>
    <w:p w14:paraId="375A8ED9" w14:textId="77777777" w:rsidR="000D5576" w:rsidRPr="0047058F" w:rsidRDefault="000D5576" w:rsidP="00A340EE">
      <w:r w:rsidRPr="0047058F">
        <w:t>Of those who had no alcohol disorder in 2010, a greater proportion of those who had transitioned compared to those who remained in the Regular ADF became new cases in 2015 (6.6% vs 3.4%). Among those who were cases in 2010, a greater proportion of those who had transitioned compared to those who remained in the Regular ADF retained their disorder in 2015 (40.0% vs 30.3%).</w:t>
      </w:r>
    </w:p>
    <w:p w14:paraId="2826EA68" w14:textId="77777777" w:rsidR="000D5576" w:rsidRPr="0047058F" w:rsidRDefault="000D5576" w:rsidP="00A340EE">
      <w:r w:rsidRPr="0047058F">
        <w:t>For alcohol harmful use specifically, proportions of new cases in 2015 were very low, with only slightly more of those who were transitioned (2.8%) being new cases compared to those who remained in the Regular ADF (1.1%). There were no retained cases of alcohol harmful use among those who remained in the Regular ADF, while among those who transitioned, 16.7% retained their disorder.</w:t>
      </w:r>
    </w:p>
    <w:p w14:paraId="77FB6DDF" w14:textId="77777777" w:rsidR="000D5576" w:rsidRPr="0047058F" w:rsidRDefault="000D5576" w:rsidP="00A340EE">
      <w:r w:rsidRPr="0047058F">
        <w:t>New cases of alcohol dependence were slightly greater among those who had transitioned (5.1%) compared to those who remained in the Regular ADF (2.8%); however, a smaller proportion of those who had transitioned (25.0%) retained their disorder in 2015 compared to those who remained in the Regular ADF (33.3%).</w:t>
      </w:r>
    </w:p>
    <w:p w14:paraId="03B2F8E7" w14:textId="77777777" w:rsidR="000D5576" w:rsidRPr="0047058F" w:rsidRDefault="000D5576" w:rsidP="00A340EE">
      <w:r w:rsidRPr="0047058F">
        <w:t>Overall, the proportion of the longitudinal cohort with any new disorder in 2015 was similar among those who had transitioned (29.6%) and those who remained in the Regular ADF (27.6%). A higher proportion of those who had transitioned (75.4%) retained their disorder from 2010 to 2015 compared to those who remained in the Regular ADF (67.9%).</w:t>
      </w:r>
    </w:p>
    <w:p w14:paraId="0403772F" w14:textId="77777777" w:rsidR="000D5576" w:rsidRPr="0047058F" w:rsidRDefault="000D5576" w:rsidP="000D5576"/>
    <w:p w14:paraId="14000192" w14:textId="77777777" w:rsidR="000D5576" w:rsidRPr="0047058F" w:rsidRDefault="000D5576" w:rsidP="000D5576">
      <w:pPr>
        <w:sectPr w:rsidR="000D5576" w:rsidRPr="0047058F" w:rsidSect="003B5AB8">
          <w:footerReference w:type="even" r:id="rId38"/>
          <w:footerReference w:type="default" r:id="rId39"/>
          <w:pgSz w:w="9979" w:h="14170" w:code="243"/>
          <w:pgMar w:top="1440" w:right="1152" w:bottom="1440" w:left="1728" w:header="576" w:footer="576" w:gutter="0"/>
          <w:cols w:space="708"/>
          <w:docGrid w:linePitch="360"/>
        </w:sectPr>
      </w:pPr>
    </w:p>
    <w:p w14:paraId="5F48FA0E" w14:textId="77777777" w:rsidR="0047223A" w:rsidRPr="0047058F" w:rsidRDefault="00B93A94" w:rsidP="00B93A94">
      <w:pPr>
        <w:pStyle w:val="Heading1"/>
      </w:pPr>
      <w:bookmarkStart w:id="226" w:name="_Toc532474372"/>
      <w:r w:rsidRPr="0047058F">
        <w:t>Self-reported mental health in the longitudinal cohort</w:t>
      </w:r>
      <w:bookmarkEnd w:id="226"/>
    </w:p>
    <w:p w14:paraId="0DADD7E3" w14:textId="77777777" w:rsidR="00B93A94" w:rsidRPr="0047058F" w:rsidRDefault="00B93A94" w:rsidP="00F77104">
      <w:pPr>
        <w:pStyle w:val="ShadedBoxSubheading"/>
        <w:spacing w:after="140"/>
      </w:pPr>
      <w:bookmarkStart w:id="227" w:name="here"/>
      <w:bookmarkEnd w:id="227"/>
      <w:r w:rsidRPr="0047058F">
        <w:t>Psychological distress (K10)</w:t>
      </w:r>
    </w:p>
    <w:p w14:paraId="613FC90C" w14:textId="77777777" w:rsidR="00B93A94" w:rsidRPr="0047058F" w:rsidRDefault="00B93A94" w:rsidP="00F77104">
      <w:pPr>
        <w:pStyle w:val="ShadedBullet"/>
        <w:spacing w:after="160"/>
      </w:pPr>
      <w:r w:rsidRPr="0047058F">
        <w:t>On the K10, one-third (33%) of Transitioned ADF who had symptom levels that were subsyndromal in 2010 had subsyndromal distress in 2015. Around one-quarter (25.2%) had symptom levels indicating probable disorder in 2015. Among those who remained in the Regular ADF and had subsyndromal symptoms in 2010, 32.5% still had subsyndromal symptoms in 2015 and a smaller 17.5% had symptom levels indicating probable disorder.</w:t>
      </w:r>
    </w:p>
    <w:p w14:paraId="6710CA4B" w14:textId="77777777" w:rsidR="00B93A94" w:rsidRPr="0047058F" w:rsidRDefault="00B93A94" w:rsidP="00F77104">
      <w:pPr>
        <w:pStyle w:val="ShadedBullet"/>
        <w:spacing w:after="160"/>
      </w:pPr>
      <w:r w:rsidRPr="0047058F">
        <w:t>Of those with symptom levels indicating probable disorder on the K10 in 2010, a greater proportion of ADF members who transitioned out of the ADF still had probable disorder symptom levels in 2015 than those who remained in the ADF (58.0% vs 32.0%).</w:t>
      </w:r>
    </w:p>
    <w:p w14:paraId="0A2D7F88" w14:textId="77777777" w:rsidR="00B93A94" w:rsidRPr="0047058F" w:rsidRDefault="00B93A94" w:rsidP="00F77104">
      <w:pPr>
        <w:pStyle w:val="ShadedBoxSubheading"/>
        <w:spacing w:after="140"/>
      </w:pPr>
      <w:r w:rsidRPr="0047058F">
        <w:t>Posttraumatic stress disorder symptoms (PCL-C)</w:t>
      </w:r>
    </w:p>
    <w:p w14:paraId="0E82478C" w14:textId="77777777" w:rsidR="00B93A94" w:rsidRPr="0047058F" w:rsidRDefault="00B93A94" w:rsidP="00F77104">
      <w:pPr>
        <w:pStyle w:val="ShadedBullet"/>
        <w:spacing w:after="160"/>
      </w:pPr>
      <w:r w:rsidRPr="0047058F">
        <w:t>Among those with no disorder symptom levels in 2010, a greater proportion of Transitioned compared to Regular ADF members had symptoms indicating probable disorder in 2015 (19.8% vs 1.4%).</w:t>
      </w:r>
    </w:p>
    <w:p w14:paraId="36FF6FBF" w14:textId="77777777" w:rsidR="00B93A94" w:rsidRPr="0047058F" w:rsidRDefault="00B93A94" w:rsidP="00F77104">
      <w:pPr>
        <w:pStyle w:val="ShadedBullet"/>
        <w:spacing w:after="160"/>
      </w:pPr>
      <w:r w:rsidRPr="0047058F">
        <w:t>Among those with symptoms of probable disorder in 2010, again a greater proportion of Transitioned compared to Regular ADF members had probable disorder symptoms in 2015 (55.0% vs 17.7%). In contrast, similar proportions of Transitioned and Regular ADF members with subsyndromal PTSD symptoms in 2010 (19.6% and 14.9% respectively) still had subsyndromal PTSD symptoms in 2015 (42.0% and 39.5% respectively).</w:t>
      </w:r>
    </w:p>
    <w:p w14:paraId="006EBA79" w14:textId="77777777" w:rsidR="00B93A94" w:rsidRPr="0047058F" w:rsidRDefault="00B93A94" w:rsidP="00F77104">
      <w:pPr>
        <w:pStyle w:val="ShadedBoxSubheading"/>
        <w:spacing w:after="140"/>
      </w:pPr>
      <w:r w:rsidRPr="0047058F">
        <w:t>Alcohol use disorders (AUDIT)</w:t>
      </w:r>
    </w:p>
    <w:p w14:paraId="32F45D65" w14:textId="77777777" w:rsidR="00B93A94" w:rsidRPr="0047058F" w:rsidRDefault="00B93A94" w:rsidP="00F77104">
      <w:pPr>
        <w:pStyle w:val="ShadedBullet"/>
        <w:spacing w:after="160"/>
      </w:pPr>
      <w:r w:rsidRPr="0047058F">
        <w:t>A greater proportion of Transitioned ADF compared to Regular ADF moved from no disorder symptoms in 2010 to subsyndromal symptom levels in 2015 (15.2% vs 9.2%), and a greater proportion worsened from no disorder symptoms to probable disorder symptoms (2.1% vs 0.2%). Proportionally more Transitioned ADF members, compared to Regular ADF members, with subsyndromal symptoms in 2010 worsened to symptom levels indicating probable disorder in 2015 (11.9% vs 4.2%).</w:t>
      </w:r>
    </w:p>
    <w:p w14:paraId="63AFB053" w14:textId="77777777" w:rsidR="00B93A94" w:rsidRPr="0047058F" w:rsidRDefault="00B93A94" w:rsidP="00F77104">
      <w:pPr>
        <w:pStyle w:val="ShadedBoxSubheading"/>
        <w:spacing w:after="140"/>
      </w:pPr>
      <w:r w:rsidRPr="0047058F">
        <w:t>Depression (PHQ-9)</w:t>
      </w:r>
    </w:p>
    <w:p w14:paraId="660C542D" w14:textId="5D1203F5" w:rsidR="00B93A94" w:rsidRPr="0047058F" w:rsidRDefault="00B93A94" w:rsidP="00F77104">
      <w:pPr>
        <w:pStyle w:val="ShadedBullet"/>
        <w:spacing w:after="160"/>
      </w:pPr>
      <w:r w:rsidRPr="0047058F">
        <w:t>Proportionally more Transitioned ADF than Regular ADF members who had no disorder symptom levels in 2010 worsened to probable disorder symptom levels in 2015 (6.4% vs 1.8%). Similarly, proportionally more Transitioned ADF</w:t>
      </w:r>
      <w:r w:rsidR="00EB1690">
        <w:t>,</w:t>
      </w:r>
      <w:r w:rsidRPr="0047058F">
        <w:t xml:space="preserve"> compared to Regular ADF members</w:t>
      </w:r>
      <w:r w:rsidR="00EB1690">
        <w:t>,</w:t>
      </w:r>
      <w:r w:rsidRPr="0047058F">
        <w:t xml:space="preserve"> who reported subsyndromal symptom levels in 2010 worsened to probable disorder symptom levels in 2015 (23.1% vs 9.2%), and proportionally more Transitioned ADF</w:t>
      </w:r>
      <w:r w:rsidR="00EB1690">
        <w:t>,</w:t>
      </w:r>
      <w:r w:rsidRPr="0047058F">
        <w:t xml:space="preserve"> compared to 2015 Regular ADF</w:t>
      </w:r>
      <w:r w:rsidR="00EB1690">
        <w:t>,</w:t>
      </w:r>
      <w:r w:rsidRPr="0047058F">
        <w:t xml:space="preserve"> who had probable disorder symptom levels in 2010 still reported probable disorder symptom levels in 2015 (48.2% vs 31.0%).</w:t>
      </w:r>
    </w:p>
    <w:p w14:paraId="020639CA" w14:textId="77777777" w:rsidR="00B93A94" w:rsidRPr="0047058F" w:rsidRDefault="00B93A94" w:rsidP="0035755E">
      <w:pPr>
        <w:pStyle w:val="ShadedBoxSubheading"/>
      </w:pPr>
      <w:r w:rsidRPr="0047058F">
        <w:t>Suicidality</w:t>
      </w:r>
    </w:p>
    <w:p w14:paraId="43E39C07" w14:textId="77777777" w:rsidR="00B93A94" w:rsidRPr="0047058F" w:rsidRDefault="00B93A94" w:rsidP="0035755E">
      <w:pPr>
        <w:pStyle w:val="ShadedBullet"/>
      </w:pPr>
      <w:r w:rsidRPr="0047058F">
        <w:t>Among those who had transitioned, 12.3% reported suicidality in 2010, which more than doubled to 27.4% in 2015. Among those who remained in the Regular ADF, 7.5% reported suicidality in 2010 and 12.7% in 2015. There were proportionally more new cases of suicidality in 2015 in Transitioned compared to Regular ADF members (21.7% and 9.9%).</w:t>
      </w:r>
    </w:p>
    <w:p w14:paraId="0DE58161" w14:textId="77777777" w:rsidR="00B93A94" w:rsidRPr="0047058F" w:rsidRDefault="00B93A94" w:rsidP="0035755E">
      <w:pPr>
        <w:pStyle w:val="ShadedBoxSubheading"/>
      </w:pPr>
      <w:r w:rsidRPr="0047058F">
        <w:t>Anger symptoms (DAR-5)</w:t>
      </w:r>
    </w:p>
    <w:p w14:paraId="38A11FA2" w14:textId="77777777" w:rsidR="00B93A94" w:rsidRPr="0047058F" w:rsidRDefault="00B93A94" w:rsidP="0035755E">
      <w:pPr>
        <w:pStyle w:val="ShadedBullet"/>
      </w:pPr>
      <w:r w:rsidRPr="0047058F">
        <w:t xml:space="preserve">Relative to 2010 levels of anger, </w:t>
      </w:r>
      <w:r w:rsidRPr="0047058F">
        <w:rPr>
          <w:lang w:eastAsia="en-AU"/>
        </w:rPr>
        <w:t>proportionally more Transitioned ADF compared to Regular ADF reported new cases of problematic anger in 2015 (10.4% vs 19.9%).</w:t>
      </w:r>
    </w:p>
    <w:p w14:paraId="184768F0" w14:textId="77777777" w:rsidR="00B93A94" w:rsidRPr="0047058F" w:rsidRDefault="00B93A94" w:rsidP="0035755E">
      <w:pPr>
        <w:pStyle w:val="ShadedBoxSubheading"/>
      </w:pPr>
      <w:r w:rsidRPr="0047058F">
        <w:t>Physical violence</w:t>
      </w:r>
    </w:p>
    <w:p w14:paraId="069185EC" w14:textId="60AA0C59" w:rsidR="00B93A94" w:rsidRPr="0047058F" w:rsidRDefault="00B93A94" w:rsidP="0035755E">
      <w:pPr>
        <w:pStyle w:val="ShadedBullet"/>
      </w:pPr>
      <w:r w:rsidRPr="0047058F">
        <w:t>More Transitioned ADF compared to Regular ADF reported being in fights in the last month, both in 2010 (2.5% vs 1.2%) and 2015 (2.5% vs 0.9%). Only 2.1% of Transitioned ADF members never reporting violence in 2010 reported new cases of violence in 2015.</w:t>
      </w:r>
    </w:p>
    <w:p w14:paraId="17CB7432" w14:textId="67CAC757" w:rsidR="00B93A94" w:rsidRPr="0047058F" w:rsidRDefault="00B93A94" w:rsidP="0035755E">
      <w:pPr>
        <w:pStyle w:val="ShadedBoxText"/>
      </w:pPr>
      <w:r w:rsidRPr="0047058F">
        <w:t xml:space="preserve">Refer to the glossary for definitions of key terms used in this </w:t>
      </w:r>
      <w:r w:rsidR="00B31C86">
        <w:t>chapter</w:t>
      </w:r>
      <w:r w:rsidRPr="0047058F">
        <w:t>.</w:t>
      </w:r>
    </w:p>
    <w:p w14:paraId="7335643F" w14:textId="77777777" w:rsidR="00B93A94" w:rsidRPr="0047058F" w:rsidRDefault="00B93A94" w:rsidP="00B93A94">
      <w:pPr>
        <w:rPr>
          <w:rFonts w:cs="Calibri"/>
        </w:rPr>
      </w:pPr>
      <w:r w:rsidRPr="0047058F">
        <w:t>This</w:t>
      </w:r>
      <w:r w:rsidRPr="0047058F">
        <w:rPr>
          <w:rFonts w:cs="Calibri"/>
        </w:rPr>
        <w:t xml:space="preserve"> chapter provides a detailed descriptive summary of the patterns of self-reported psychological distress, alcohol consumption and problems, posttraumatic stress disorder (PTSD) symptoms, depression, suicidality and anger within the longitudinal cohort across two time points:</w:t>
      </w:r>
    </w:p>
    <w:p w14:paraId="6253CD08" w14:textId="77777777" w:rsidR="00B93A94" w:rsidRPr="0047058F" w:rsidRDefault="00B93A94" w:rsidP="00031ACA">
      <w:pPr>
        <w:pStyle w:val="Bullet"/>
        <w:numPr>
          <w:ilvl w:val="0"/>
          <w:numId w:val="1"/>
        </w:numPr>
        <w:ind w:left="360"/>
      </w:pPr>
      <w:r w:rsidRPr="0047058F">
        <w:t>the 2010 ADF Mental Health Prevalence and Wellbeing Study (MHPWS) assessment (time point 1)</w:t>
      </w:r>
    </w:p>
    <w:p w14:paraId="43ED8765" w14:textId="77777777" w:rsidR="00B93A94" w:rsidRPr="0047058F" w:rsidRDefault="00B93A94" w:rsidP="00031ACA">
      <w:pPr>
        <w:pStyle w:val="Bullet"/>
        <w:numPr>
          <w:ilvl w:val="0"/>
          <w:numId w:val="1"/>
        </w:numPr>
        <w:ind w:left="360"/>
      </w:pPr>
      <w:r w:rsidRPr="0047058F">
        <w:t>the 2015 Transition and Wellbeing Research Programme assessment (time point 2).</w:t>
      </w:r>
    </w:p>
    <w:p w14:paraId="0A6FFF38" w14:textId="77777777" w:rsidR="00B93A94" w:rsidRPr="0047058F" w:rsidRDefault="00B93A94" w:rsidP="00B93A94">
      <w:pPr>
        <w:rPr>
          <w:rFonts w:cs="Calibri"/>
        </w:rPr>
      </w:pPr>
      <w:r w:rsidRPr="0047058F">
        <w:rPr>
          <w:rFonts w:cs="Calibri"/>
        </w:rPr>
        <w:t>In addition to this longitudinal comparison, mean scores are examined cross-sectionally at both time points for ADF members who have transitioned from the Regular ADF since 2015 (Transitioned ADF) compared to 2015 Regular ADF within the longitudinal cohort. All results were descriptively compared in this chapter, with no statistical comparisons made, and no odds ratios presented.</w:t>
      </w:r>
    </w:p>
    <w:p w14:paraId="059EAC70" w14:textId="48409389" w:rsidR="00B93A94" w:rsidRPr="0047058F" w:rsidRDefault="00B93A94" w:rsidP="00B93A94">
      <w:pPr>
        <w:rPr>
          <w:rFonts w:cs="Calibri"/>
        </w:rPr>
      </w:pPr>
      <w:r w:rsidRPr="0047058F">
        <w:rPr>
          <w:rFonts w:cs="Calibri"/>
        </w:rPr>
        <w:t xml:space="preserve">The key measures used in this </w:t>
      </w:r>
      <w:r w:rsidR="00273999">
        <w:rPr>
          <w:rFonts w:cs="Calibri"/>
        </w:rPr>
        <w:t>chapter</w:t>
      </w:r>
      <w:r w:rsidRPr="0047058F">
        <w:rPr>
          <w:rFonts w:cs="Calibri"/>
        </w:rPr>
        <w:t xml:space="preserve"> are (further details of how these measures are scored are provided in the relevant sections that follow):</w:t>
      </w:r>
    </w:p>
    <w:p w14:paraId="3349F4CB" w14:textId="77777777" w:rsidR="00B93A94" w:rsidRPr="0047058F" w:rsidRDefault="00B93A94" w:rsidP="00031ACA">
      <w:pPr>
        <w:pStyle w:val="Bullet"/>
        <w:numPr>
          <w:ilvl w:val="0"/>
          <w:numId w:val="1"/>
        </w:numPr>
        <w:ind w:left="360"/>
      </w:pPr>
      <w:r w:rsidRPr="0047058F">
        <w:rPr>
          <w:rFonts w:eastAsia="Times"/>
          <w:b/>
        </w:rPr>
        <w:t>Psychological distress</w:t>
      </w:r>
      <w:r w:rsidRPr="0047058F">
        <w:rPr>
          <w:rFonts w:eastAsia="Times"/>
        </w:rPr>
        <w:t xml:space="preserve">: The </w:t>
      </w:r>
      <w:r w:rsidRPr="0047058F">
        <w:t xml:space="preserve">Kessler Psychological Distress 10-item scale (K10) </w:t>
      </w:r>
      <w:r w:rsidRPr="0047058F">
        <w:rPr>
          <w:rFonts w:cs="Calibri"/>
        </w:rPr>
        <w:t>(Kessler et al., 2002)</w:t>
      </w:r>
      <w:r w:rsidRPr="0047058F">
        <w:t>, a short, easily administered screening instrument for psychological distress</w:t>
      </w:r>
    </w:p>
    <w:p w14:paraId="3740DAC0" w14:textId="77777777" w:rsidR="00B93A94" w:rsidRPr="0047058F" w:rsidRDefault="00B93A94" w:rsidP="00031ACA">
      <w:pPr>
        <w:pStyle w:val="Bullet"/>
        <w:numPr>
          <w:ilvl w:val="0"/>
          <w:numId w:val="1"/>
        </w:numPr>
        <w:ind w:left="360"/>
      </w:pPr>
      <w:r w:rsidRPr="0047058F">
        <w:rPr>
          <w:b/>
        </w:rPr>
        <w:t>Posttraumatic stress disorder symptoms</w:t>
      </w:r>
      <w:r w:rsidRPr="0047058F">
        <w:t xml:space="preserve">: The PTSD Checklist – civilian version (PCL-C) </w:t>
      </w:r>
      <w:r w:rsidRPr="0047058F">
        <w:rPr>
          <w:rFonts w:cs="Calibri"/>
        </w:rPr>
        <w:t>(Weathers et al., 1993)</w:t>
      </w:r>
      <w:r w:rsidRPr="0047058F">
        <w:t>, a 17-item scale for measuring PTSD symptoms</w:t>
      </w:r>
    </w:p>
    <w:p w14:paraId="4E14CAC5" w14:textId="77777777" w:rsidR="00B93A94" w:rsidRPr="0047058F" w:rsidRDefault="00B93A94" w:rsidP="00031ACA">
      <w:pPr>
        <w:pStyle w:val="Bullet"/>
        <w:numPr>
          <w:ilvl w:val="0"/>
          <w:numId w:val="1"/>
        </w:numPr>
        <w:ind w:left="360"/>
      </w:pPr>
      <w:r w:rsidRPr="0047058F">
        <w:rPr>
          <w:rFonts w:eastAsia="Times"/>
          <w:b/>
        </w:rPr>
        <w:t>Alcohol use and problem drinking</w:t>
      </w:r>
      <w:r w:rsidRPr="0047058F">
        <w:rPr>
          <w:rFonts w:eastAsia="Times"/>
        </w:rPr>
        <w:t>: The Alcohol Use Disorders Identification Test</w:t>
      </w:r>
      <w:r w:rsidRPr="0047058F">
        <w:t xml:space="preserve"> (AUDIT) </w:t>
      </w:r>
      <w:r w:rsidRPr="0047058F">
        <w:rPr>
          <w:rFonts w:cs="Calibri"/>
        </w:rPr>
        <w:t>(Saunders et al., 1993)</w:t>
      </w:r>
      <w:r w:rsidRPr="0047058F">
        <w:t>, a brief self-report instrument that is widely used in epidemiological and clinical practice for defining at-risk patterns of drinking</w:t>
      </w:r>
    </w:p>
    <w:p w14:paraId="0EB3CB4D" w14:textId="77777777" w:rsidR="00B93A94" w:rsidRPr="0047058F" w:rsidRDefault="00B93A94" w:rsidP="00031ACA">
      <w:pPr>
        <w:pStyle w:val="Bullet"/>
        <w:numPr>
          <w:ilvl w:val="0"/>
          <w:numId w:val="1"/>
        </w:numPr>
        <w:ind w:left="360"/>
      </w:pPr>
      <w:r w:rsidRPr="0047058F">
        <w:rPr>
          <w:b/>
        </w:rPr>
        <w:t>Depressive symptoms</w:t>
      </w:r>
      <w:r w:rsidRPr="0047058F">
        <w:t xml:space="preserve">: The Patient Health Questionnaire 9-item scale (PHQ-9) </w:t>
      </w:r>
      <w:r w:rsidRPr="0047058F">
        <w:rPr>
          <w:rFonts w:cs="Calibri"/>
        </w:rPr>
        <w:t>(Kroenke et al., 2001)</w:t>
      </w:r>
      <w:r w:rsidRPr="0047058F">
        <w:t>, the 9-item depression module of the PHQ</w:t>
      </w:r>
    </w:p>
    <w:p w14:paraId="228AF362" w14:textId="77777777" w:rsidR="00B93A94" w:rsidRPr="0047058F" w:rsidRDefault="00B93A94" w:rsidP="00031ACA">
      <w:pPr>
        <w:pStyle w:val="Bullet"/>
        <w:numPr>
          <w:ilvl w:val="0"/>
          <w:numId w:val="1"/>
        </w:numPr>
        <w:ind w:left="360"/>
      </w:pPr>
      <w:r w:rsidRPr="0047058F">
        <w:rPr>
          <w:b/>
        </w:rPr>
        <w:t>Suicidality</w:t>
      </w:r>
      <w:r w:rsidRPr="0047058F">
        <w:t>: A short four-item measure examining suicidal thoughts, plans and attempts adapted from the National Survey of Mental Health and Wellbeing (Australian Bureau of Statistics, 2008)</w:t>
      </w:r>
    </w:p>
    <w:p w14:paraId="47A7C919" w14:textId="77777777" w:rsidR="00B93A94" w:rsidRPr="0047058F" w:rsidRDefault="00B93A94" w:rsidP="00031ACA">
      <w:pPr>
        <w:pStyle w:val="Bullet"/>
        <w:numPr>
          <w:ilvl w:val="0"/>
          <w:numId w:val="1"/>
        </w:numPr>
        <w:ind w:left="360"/>
      </w:pPr>
      <w:r w:rsidRPr="0047058F">
        <w:rPr>
          <w:b/>
        </w:rPr>
        <w:t>Anger symptoms</w:t>
      </w:r>
      <w:r w:rsidRPr="0047058F">
        <w:t xml:space="preserve">: The Dimensions of Anger Reactions 5-item scale (DAR-5) </w:t>
      </w:r>
      <w:r w:rsidRPr="0047058F">
        <w:rPr>
          <w:rFonts w:cs="Calibri"/>
        </w:rPr>
        <w:t>(Forbes et al., 2004),</w:t>
      </w:r>
      <w:r w:rsidRPr="0047058F">
        <w:t xml:space="preserve"> assessing anger frequency, intensity, duration, and anger’s perceived negative impact on social relationships in the past four weeks</w:t>
      </w:r>
    </w:p>
    <w:p w14:paraId="0ADA9D66" w14:textId="77777777" w:rsidR="00B93A94" w:rsidRPr="0047058F" w:rsidRDefault="00B93A94" w:rsidP="00031ACA">
      <w:pPr>
        <w:pStyle w:val="Bullet"/>
        <w:numPr>
          <w:ilvl w:val="0"/>
          <w:numId w:val="1"/>
        </w:numPr>
        <w:ind w:left="360"/>
      </w:pPr>
      <w:r w:rsidRPr="0047058F">
        <w:rPr>
          <w:b/>
        </w:rPr>
        <w:t>Physical violence</w:t>
      </w:r>
      <w:r w:rsidRPr="0047058F">
        <w:t xml:space="preserve">: </w:t>
      </w:r>
      <w:r w:rsidRPr="0047058F">
        <w:rPr>
          <w:lang w:eastAsia="en-AU"/>
        </w:rPr>
        <w:t xml:space="preserve">Two items asking how often the participant got into a fight with someone and hit the person, and threatened someone with physical violence in the last month. These items were </w:t>
      </w:r>
      <w:r w:rsidRPr="0047058F">
        <w:rPr>
          <w:rFonts w:asciiTheme="minorHAnsi" w:hAnsiTheme="minorHAnsi" w:cs="Times"/>
        </w:rPr>
        <w:t>taken from the 2010 ADF Mental Health Prevalence and Wellbeing Study (McFarlane et al., 2011).</w:t>
      </w:r>
    </w:p>
    <w:p w14:paraId="7FD5194F" w14:textId="77777777" w:rsidR="00AF7596" w:rsidRPr="0047058F" w:rsidRDefault="00AF7596" w:rsidP="00AF7596">
      <w:pPr>
        <w:pStyle w:val="ShadedBoxText"/>
      </w:pPr>
      <w:r w:rsidRPr="0047058F">
        <w:t>Two sets of cut-offs on the K10, PCL-C and AUDIT were developed as part of the 2010 MHPWS (McFarlane et al., 2011) and are utilised in the current report: the optimal epidemiological cut-off and the optimal screening cut-off.</w:t>
      </w:r>
    </w:p>
    <w:p w14:paraId="2D38E1F0" w14:textId="77777777" w:rsidR="00AF7596" w:rsidRPr="0047058F" w:rsidRDefault="00AF7596" w:rsidP="00AF7596">
      <w:pPr>
        <w:pStyle w:val="ShadedBullet"/>
      </w:pPr>
      <w:r w:rsidRPr="0047058F">
        <w:t>The epidemiological cut-offs give the ‘closest estimate of the true prevalence of 30-day ICD-10 disorder as measured by the CIDI’ (McFarlane et al., 2011, p. 103).</w:t>
      </w:r>
    </w:p>
    <w:p w14:paraId="7A407FF0" w14:textId="7068C84E" w:rsidR="00AF7596" w:rsidRPr="0047058F" w:rsidRDefault="00AF7596" w:rsidP="00AF7596">
      <w:pPr>
        <w:pStyle w:val="ShadedBullet"/>
      </w:pPr>
      <w:r w:rsidRPr="0047058F">
        <w:t xml:space="preserve">The screening cut-offs reflect a broader spectrum of moderate to severe symptoms rather than diagnosable disorder, allowing for potential early intervention. These screening cut-offs maximise potential identification of true cases but include a larger proportion of ‘false positives’ than the epidemiological cut-offs. Screening cut-offs are also reported in this </w:t>
      </w:r>
      <w:r w:rsidR="00273999">
        <w:t>chapter</w:t>
      </w:r>
      <w:r w:rsidRPr="0047058F">
        <w:t>.</w:t>
      </w:r>
    </w:p>
    <w:p w14:paraId="17790C88" w14:textId="77777777" w:rsidR="00AF7596" w:rsidRPr="0047058F" w:rsidRDefault="00AF7596" w:rsidP="00AF7596">
      <w:pPr>
        <w:pStyle w:val="ShadedBoxText"/>
      </w:pPr>
      <w:r w:rsidRPr="0047058F">
        <w:t>Where scores on the relevant measures fall above the optimal screening cut-off, but below the optimal epidemiological cut-off, this is referred to as ‘subsyndromal’.</w:t>
      </w:r>
    </w:p>
    <w:p w14:paraId="19E27814" w14:textId="77777777" w:rsidR="00AF7596" w:rsidRPr="0047058F" w:rsidRDefault="00AF7596" w:rsidP="00AF7596">
      <w:pPr>
        <w:pStyle w:val="ShadedBoxText"/>
      </w:pPr>
      <w:r w:rsidRPr="0047058F">
        <w:t>Where scores on the relevant measures are above both the optimal screening and epidemiological cut-offs, this is referred to as ‘probable disorder’.</w:t>
      </w:r>
    </w:p>
    <w:p w14:paraId="2025535C" w14:textId="39317D59" w:rsidR="00AF7596" w:rsidRPr="0047058F" w:rsidRDefault="00AF7596" w:rsidP="00AF7596">
      <w:pPr>
        <w:pStyle w:val="ShadedBoxText"/>
      </w:pPr>
      <w:r w:rsidRPr="0047058F">
        <w:t>In the following section</w:t>
      </w:r>
      <w:r w:rsidR="00273999">
        <w:t>s</w:t>
      </w:r>
      <w:r w:rsidRPr="0047058F">
        <w:t>, ‘no disorder’, ‘subsyndromal disorder’ and ‘probable disorder’ are reported.</w:t>
      </w:r>
    </w:p>
    <w:p w14:paraId="52FBBDD2" w14:textId="77777777" w:rsidR="00B93A94" w:rsidRPr="0047058F" w:rsidRDefault="00B93A94" w:rsidP="00860F45">
      <w:pPr>
        <w:pStyle w:val="Heading2"/>
      </w:pPr>
      <w:bookmarkStart w:id="228" w:name="_Toc482021365"/>
      <w:bookmarkStart w:id="229" w:name="_Toc482024455"/>
      <w:bookmarkStart w:id="230" w:name="_Toc487011213"/>
      <w:bookmarkStart w:id="231" w:name="_Toc381263153"/>
      <w:bookmarkStart w:id="232" w:name="_Toc529117473"/>
      <w:bookmarkStart w:id="233" w:name="_Toc532474373"/>
      <w:r w:rsidRPr="0047058F">
        <w:t>Psychological distress (K10)</w:t>
      </w:r>
      <w:bookmarkStart w:id="234" w:name="_Toc482011752"/>
      <w:bookmarkEnd w:id="228"/>
      <w:bookmarkEnd w:id="229"/>
      <w:bookmarkEnd w:id="230"/>
      <w:bookmarkEnd w:id="231"/>
      <w:bookmarkEnd w:id="234"/>
      <w:r w:rsidRPr="0047058F">
        <w:t xml:space="preserve"> in the longitudinal cohort</w:t>
      </w:r>
      <w:bookmarkEnd w:id="232"/>
      <w:bookmarkEnd w:id="233"/>
    </w:p>
    <w:p w14:paraId="1EAE137B" w14:textId="77777777" w:rsidR="00B93A94" w:rsidRPr="0047058F" w:rsidRDefault="00B93A94" w:rsidP="00F77104">
      <w:pPr>
        <w:keepLines/>
        <w:rPr>
          <w:rFonts w:cs="Calibri"/>
        </w:rPr>
      </w:pPr>
      <w:r w:rsidRPr="0047058F">
        <w:rPr>
          <w:rFonts w:cs="Calibri"/>
        </w:rPr>
        <w:t>This section of the report will provide a detailed summary of the pattern of psychological distress reported by the longitudinal cohort across two time points: the 2010 MHPWS assessment, and the 2015 Transition and Wellbeing Research Programme assessment.</w:t>
      </w:r>
    </w:p>
    <w:p w14:paraId="172E28A2" w14:textId="77777777" w:rsidR="00B93A94" w:rsidRPr="0047058F" w:rsidRDefault="00B93A94" w:rsidP="00B93A94">
      <w:pPr>
        <w:rPr>
          <w:rFonts w:cs="Calibri"/>
        </w:rPr>
      </w:pPr>
      <w:r w:rsidRPr="0047058F">
        <w:rPr>
          <w:rFonts w:cs="Calibri"/>
        </w:rPr>
        <w:t>The K10 is a 10-item screening questionnaire for psychological distress that was developed for use in the United States National Health Interview Survey (Kessler et al., 2002). Originally designed as a short, easily administered screen for psychological distress, the K10 is typically used to inform and complement clinical interviews and to quantify levels of distress in those who are in particular need of treatment. It is commonly used in mental health screening within the ADF.</w:t>
      </w:r>
    </w:p>
    <w:p w14:paraId="60D9853F" w14:textId="3AA2A349" w:rsidR="00B93A94" w:rsidRPr="0047058F" w:rsidRDefault="00B93A94" w:rsidP="00B93A94">
      <w:pPr>
        <w:rPr>
          <w:rFonts w:cs="Calibri"/>
        </w:rPr>
      </w:pPr>
      <w:r w:rsidRPr="0047058F">
        <w:rPr>
          <w:rFonts w:cs="Calibri"/>
        </w:rPr>
        <w:t>Respondents were instructed to rate the amount of time they had experienced one of 10 emotional states during the last four weeks (e.g. tired for no good reason, nervous, hopeless, depressed). The 10 questions are scored from 1 to 5, whereby the respondent must indicate how often they have been feeling that way using one of the following response options: ‘all of the time’ (5), ‘most of the time’, ‘some of the time’, ‘a little of the time’</w:t>
      </w:r>
      <w:r w:rsidR="00273999">
        <w:rPr>
          <w:rFonts w:cs="Calibri"/>
        </w:rPr>
        <w:t>,</w:t>
      </w:r>
      <w:r w:rsidRPr="0047058F">
        <w:rPr>
          <w:rFonts w:cs="Calibri"/>
        </w:rPr>
        <w:t xml:space="preserve"> or ‘none of the time’ (1). Scores for the 10 questions are then summed to give a total score from 10 to 50.</w:t>
      </w:r>
    </w:p>
    <w:p w14:paraId="13D9BD26" w14:textId="77777777" w:rsidR="00B93A94" w:rsidRPr="0047058F" w:rsidRDefault="00B93A94" w:rsidP="00B93A94">
      <w:pPr>
        <w:rPr>
          <w:rFonts w:cs="Calibri"/>
        </w:rPr>
      </w:pPr>
      <w:r w:rsidRPr="0047058F">
        <w:rPr>
          <w:rFonts w:cs="Calibri"/>
        </w:rPr>
        <w:t>In addition to mean K10 scores, two sets of cut-offs derived from the 2010 ADF Mental Health Prevalence and Wellbeing Study were utilised in this section of the report: optimal screening cut-off, and optimal epidemiological cut-off. Psychometric analysis of the K10 indicated different optimal screening cut-offs for affective disorder (19) and anxiety disorder (17) (McFarlane et al., 2011). In order to most effectively capture both disorders, the conservative optimal screening cut-off of 17 was used. This cut-off can be used to identify individuals who might need care. To ascertain the level of probable disorder in the population, a more stringent epidemiological cut-off of 25 was applied.</w:t>
      </w:r>
    </w:p>
    <w:p w14:paraId="233A0691" w14:textId="77777777" w:rsidR="00B93A94" w:rsidRPr="0047058F" w:rsidRDefault="00B93A94" w:rsidP="00B93A94">
      <w:r w:rsidRPr="0047058F">
        <w:rPr>
          <w:color w:val="000000" w:themeColor="text1"/>
        </w:rPr>
        <w:t>Table 5.1</w:t>
      </w:r>
      <w:r w:rsidRPr="0047058F">
        <w:t xml:space="preserve"> and Figure 5.1 show mean K10 scores in 2010 and 2015 for the longitudinal cohort, according to whether they had transitioned or remained in the Regular ADF in 2015.</w:t>
      </w:r>
    </w:p>
    <w:p w14:paraId="041A9F27" w14:textId="77777777" w:rsidR="00B93A94" w:rsidRPr="0047058F" w:rsidRDefault="00B93A94" w:rsidP="00B93A94">
      <w:r w:rsidRPr="0047058F">
        <w:t>In the cohort as a whole, mean K10 scores were 15.4 (SE 0.1) in 2010 and increased slightly to 16.9 (SE 0.1) in 2015. Those who had transitioned in 2015 reported greater mean scores at both time points compared with those who remained in the Regular ADF (2010: 16.5 (SE 0.1) vs 15.1 (SE 0.1), 2015: 19.0 (SE 0.2) vs 16.2 (SE 0.1)), and the increase in scores over time was slightly greater in those who had transitioned compared to those who remained in the Regular ADF.</w:t>
      </w:r>
    </w:p>
    <w:p w14:paraId="0C5850AC" w14:textId="77777777" w:rsidR="00B93A94" w:rsidRPr="0047058F" w:rsidRDefault="00B93A94" w:rsidP="00B93A94">
      <w:pPr>
        <w:pStyle w:val="TableName"/>
      </w:pPr>
      <w:bookmarkStart w:id="235" w:name="_Ref384555841"/>
      <w:bookmarkStart w:id="236" w:name="_Toc529117513"/>
      <w:bookmarkStart w:id="237" w:name="_Toc532473583"/>
      <w:r w:rsidRPr="0047058F">
        <w:t>Table 5.1</w:t>
      </w:r>
      <w:bookmarkEnd w:id="235"/>
      <w:r w:rsidRPr="0047058F">
        <w:tab/>
        <w:t>Mean K10 scores in Transitioned ADF and 2015 Regular ADF in the longitudinal cohort</w:t>
      </w:r>
      <w:bookmarkEnd w:id="236"/>
      <w:bookmarkEnd w:id="237"/>
    </w:p>
    <w:tbl>
      <w:tblPr>
        <w:tblStyle w:val="TWRPTable"/>
        <w:tblW w:w="5000" w:type="pct"/>
        <w:tblLayout w:type="fixed"/>
        <w:tblLook w:val="04A0" w:firstRow="1" w:lastRow="0" w:firstColumn="1" w:lastColumn="0" w:noHBand="0" w:noVBand="1"/>
        <w:tblDescription w:val="Table 5.1 Mean K10 scores in Transitioned ADF and 2015 Regular ADF in the longitudinal cohort"/>
      </w:tblPr>
      <w:tblGrid>
        <w:gridCol w:w="3438"/>
        <w:gridCol w:w="646"/>
        <w:gridCol w:w="646"/>
        <w:gridCol w:w="646"/>
        <w:gridCol w:w="646"/>
        <w:gridCol w:w="646"/>
        <w:gridCol w:w="647"/>
      </w:tblGrid>
      <w:tr w:rsidR="00B93A94" w:rsidRPr="0047058F" w14:paraId="20CCFE62"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438" w:type="dxa"/>
            <w:tcBorders>
              <w:top w:val="single" w:sz="4" w:space="0" w:color="000000"/>
              <w:bottom w:val="nil"/>
            </w:tcBorders>
          </w:tcPr>
          <w:p w14:paraId="331B7E1F" w14:textId="77777777" w:rsidR="00B93A94" w:rsidRPr="0047058F" w:rsidRDefault="00B93A94" w:rsidP="00AF7596">
            <w:pPr>
              <w:pStyle w:val="TableText"/>
            </w:pPr>
          </w:p>
        </w:tc>
        <w:tc>
          <w:tcPr>
            <w:tcW w:w="1292" w:type="dxa"/>
            <w:gridSpan w:val="2"/>
            <w:hideMark/>
          </w:tcPr>
          <w:p w14:paraId="40C24879" w14:textId="77777777" w:rsidR="00B93A94" w:rsidRPr="0047058F" w:rsidRDefault="00B93A94" w:rsidP="00AF7596">
            <w:pPr>
              <w:pStyle w:val="TableText"/>
              <w:jc w:val="center"/>
            </w:pPr>
            <w:r w:rsidRPr="0047058F">
              <w:t>Transitioned ADF</w:t>
            </w:r>
            <w:r w:rsidRPr="0047058F">
              <w:br/>
              <w:t>n = 2173</w:t>
            </w:r>
          </w:p>
        </w:tc>
        <w:tc>
          <w:tcPr>
            <w:tcW w:w="1292" w:type="dxa"/>
            <w:gridSpan w:val="2"/>
            <w:hideMark/>
          </w:tcPr>
          <w:p w14:paraId="7863224B" w14:textId="77777777" w:rsidR="00B93A94" w:rsidRPr="0047058F" w:rsidRDefault="00B93A94" w:rsidP="00AF7596">
            <w:pPr>
              <w:pStyle w:val="TableText"/>
              <w:jc w:val="center"/>
            </w:pPr>
            <w:r w:rsidRPr="0047058F">
              <w:rPr>
                <w:bCs/>
              </w:rPr>
              <w:t>2015 Regular ADF</w:t>
            </w:r>
            <w:r w:rsidRPr="0047058F">
              <w:rPr>
                <w:bCs/>
              </w:rPr>
              <w:br/>
            </w:r>
            <w:r w:rsidRPr="0047058F">
              <w:t>n = 5775</w:t>
            </w:r>
          </w:p>
        </w:tc>
        <w:tc>
          <w:tcPr>
            <w:tcW w:w="1293" w:type="dxa"/>
            <w:gridSpan w:val="2"/>
          </w:tcPr>
          <w:p w14:paraId="0E279D5F" w14:textId="77777777" w:rsidR="00B93A94" w:rsidRPr="0047058F" w:rsidRDefault="00B93A94" w:rsidP="00AF7596">
            <w:pPr>
              <w:pStyle w:val="TableText"/>
              <w:jc w:val="center"/>
              <w:rPr>
                <w:bCs/>
              </w:rPr>
            </w:pPr>
            <w:r w:rsidRPr="0047058F">
              <w:rPr>
                <w:bCs/>
              </w:rPr>
              <w:t>Total</w:t>
            </w:r>
            <w:r w:rsidRPr="0047058F">
              <w:rPr>
                <w:bCs/>
              </w:rPr>
              <w:br/>
              <w:t>n = 7948</w:t>
            </w:r>
          </w:p>
        </w:tc>
      </w:tr>
      <w:tr w:rsidR="00B93A94" w:rsidRPr="0047058F" w14:paraId="5684B7E4"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438" w:type="dxa"/>
            <w:tcBorders>
              <w:top w:val="nil"/>
            </w:tcBorders>
          </w:tcPr>
          <w:p w14:paraId="7347CA45" w14:textId="77777777" w:rsidR="00B93A94" w:rsidRPr="0047058F" w:rsidRDefault="00B93A94" w:rsidP="00AF7596">
            <w:pPr>
              <w:pStyle w:val="TableText"/>
            </w:pPr>
            <w:r w:rsidRPr="0047058F">
              <w:rPr>
                <w:rFonts w:cs="Arial"/>
              </w:rPr>
              <w:t>K10</w:t>
            </w:r>
          </w:p>
        </w:tc>
        <w:tc>
          <w:tcPr>
            <w:tcW w:w="646" w:type="dxa"/>
          </w:tcPr>
          <w:p w14:paraId="24279CA6" w14:textId="77777777" w:rsidR="00B93A94" w:rsidRPr="0047058F" w:rsidRDefault="00B93A94" w:rsidP="00AF7596">
            <w:pPr>
              <w:pStyle w:val="TableText"/>
              <w:jc w:val="right"/>
              <w:rPr>
                <w:rFonts w:cs="Arial"/>
                <w:bCs/>
              </w:rPr>
            </w:pPr>
            <w:r w:rsidRPr="0047058F">
              <w:rPr>
                <w:rFonts w:cs="Arial"/>
                <w:bCs/>
              </w:rPr>
              <w:t>Mean</w:t>
            </w:r>
          </w:p>
        </w:tc>
        <w:tc>
          <w:tcPr>
            <w:tcW w:w="646" w:type="dxa"/>
          </w:tcPr>
          <w:p w14:paraId="1EB14F38" w14:textId="77777777" w:rsidR="00B93A94" w:rsidRPr="0047058F" w:rsidRDefault="00B93A94" w:rsidP="00AF7596">
            <w:pPr>
              <w:pStyle w:val="TableText"/>
              <w:jc w:val="right"/>
              <w:rPr>
                <w:rFonts w:cs="Arial"/>
                <w:bCs/>
              </w:rPr>
            </w:pPr>
            <w:r w:rsidRPr="0047058F">
              <w:rPr>
                <w:rFonts w:cs="Arial"/>
                <w:bCs/>
              </w:rPr>
              <w:t>SE</w:t>
            </w:r>
          </w:p>
        </w:tc>
        <w:tc>
          <w:tcPr>
            <w:tcW w:w="646" w:type="dxa"/>
          </w:tcPr>
          <w:p w14:paraId="1338D2B1" w14:textId="77777777" w:rsidR="00B93A94" w:rsidRPr="0047058F" w:rsidRDefault="00B93A94" w:rsidP="00AF7596">
            <w:pPr>
              <w:pStyle w:val="TableText"/>
              <w:jc w:val="right"/>
              <w:rPr>
                <w:rFonts w:cs="Arial"/>
                <w:bCs/>
              </w:rPr>
            </w:pPr>
            <w:r w:rsidRPr="0047058F">
              <w:rPr>
                <w:rFonts w:cs="Arial"/>
                <w:bCs/>
              </w:rPr>
              <w:t>Mean</w:t>
            </w:r>
          </w:p>
        </w:tc>
        <w:tc>
          <w:tcPr>
            <w:tcW w:w="646" w:type="dxa"/>
          </w:tcPr>
          <w:p w14:paraId="05F77E63" w14:textId="77777777" w:rsidR="00B93A94" w:rsidRPr="0047058F" w:rsidRDefault="00B93A94" w:rsidP="00AF7596">
            <w:pPr>
              <w:pStyle w:val="TableText"/>
              <w:jc w:val="right"/>
              <w:rPr>
                <w:rFonts w:cs="Arial"/>
                <w:bCs/>
              </w:rPr>
            </w:pPr>
            <w:r w:rsidRPr="0047058F">
              <w:rPr>
                <w:rFonts w:cs="Arial"/>
                <w:bCs/>
              </w:rPr>
              <w:t>SE</w:t>
            </w:r>
          </w:p>
        </w:tc>
        <w:tc>
          <w:tcPr>
            <w:tcW w:w="646" w:type="dxa"/>
          </w:tcPr>
          <w:p w14:paraId="02B84448" w14:textId="77777777" w:rsidR="00B93A94" w:rsidRPr="0047058F" w:rsidRDefault="00B93A94" w:rsidP="00AF7596">
            <w:pPr>
              <w:pStyle w:val="TableText"/>
              <w:jc w:val="right"/>
              <w:rPr>
                <w:rFonts w:cs="Arial"/>
                <w:bCs/>
              </w:rPr>
            </w:pPr>
            <w:r w:rsidRPr="0047058F">
              <w:rPr>
                <w:rFonts w:cs="Arial"/>
                <w:bCs/>
              </w:rPr>
              <w:t>Mean</w:t>
            </w:r>
          </w:p>
        </w:tc>
        <w:tc>
          <w:tcPr>
            <w:tcW w:w="647" w:type="dxa"/>
          </w:tcPr>
          <w:p w14:paraId="722026FD" w14:textId="77777777" w:rsidR="00B93A94" w:rsidRPr="0047058F" w:rsidRDefault="00B93A94" w:rsidP="00AF7596">
            <w:pPr>
              <w:pStyle w:val="TableText"/>
              <w:jc w:val="right"/>
              <w:rPr>
                <w:rFonts w:cs="Arial"/>
                <w:bCs/>
              </w:rPr>
            </w:pPr>
            <w:r w:rsidRPr="0047058F">
              <w:rPr>
                <w:rFonts w:cs="Arial"/>
                <w:bCs/>
              </w:rPr>
              <w:t>SE</w:t>
            </w:r>
          </w:p>
        </w:tc>
      </w:tr>
      <w:tr w:rsidR="00B93A94" w:rsidRPr="0047058F" w14:paraId="5DB56195"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3438" w:type="dxa"/>
          </w:tcPr>
          <w:p w14:paraId="3C8F79AC" w14:textId="77777777" w:rsidR="00B93A94" w:rsidRPr="0047058F" w:rsidRDefault="00B93A94" w:rsidP="00AF7596">
            <w:pPr>
              <w:pStyle w:val="TableText"/>
              <w:rPr>
                <w:rFonts w:cs="Calibri"/>
                <w:szCs w:val="14"/>
              </w:rPr>
            </w:pPr>
            <w:r w:rsidRPr="0047058F">
              <w:rPr>
                <w:rFonts w:cs="Calibri"/>
                <w:szCs w:val="14"/>
              </w:rPr>
              <w:t>2010 ADF Mental Health Prevalence and Wellbeing Study</w:t>
            </w:r>
          </w:p>
        </w:tc>
        <w:tc>
          <w:tcPr>
            <w:tcW w:w="646" w:type="dxa"/>
          </w:tcPr>
          <w:p w14:paraId="673B9F23" w14:textId="77777777" w:rsidR="00B93A94" w:rsidRPr="0047058F" w:rsidRDefault="00B93A94" w:rsidP="00AF7596">
            <w:pPr>
              <w:pStyle w:val="TableText"/>
              <w:jc w:val="right"/>
            </w:pPr>
            <w:r w:rsidRPr="0047058F">
              <w:rPr>
                <w:rFonts w:eastAsia="Times New Roman"/>
              </w:rPr>
              <w:t>16.5</w:t>
            </w:r>
          </w:p>
        </w:tc>
        <w:tc>
          <w:tcPr>
            <w:tcW w:w="646" w:type="dxa"/>
          </w:tcPr>
          <w:p w14:paraId="7554F1E1" w14:textId="77777777" w:rsidR="00B93A94" w:rsidRPr="0047058F" w:rsidRDefault="00B93A94" w:rsidP="00AF7596">
            <w:pPr>
              <w:pStyle w:val="TableText"/>
              <w:jc w:val="right"/>
            </w:pPr>
            <w:r w:rsidRPr="0047058F">
              <w:rPr>
                <w:rFonts w:eastAsia="Times New Roman"/>
              </w:rPr>
              <w:t>0.1</w:t>
            </w:r>
          </w:p>
        </w:tc>
        <w:tc>
          <w:tcPr>
            <w:tcW w:w="646" w:type="dxa"/>
          </w:tcPr>
          <w:p w14:paraId="56D041B8" w14:textId="77777777" w:rsidR="00B93A94" w:rsidRPr="0047058F" w:rsidRDefault="00B93A94" w:rsidP="00AF7596">
            <w:pPr>
              <w:pStyle w:val="TableText"/>
              <w:jc w:val="right"/>
            </w:pPr>
            <w:r w:rsidRPr="0047058F">
              <w:rPr>
                <w:rFonts w:eastAsia="Times New Roman"/>
              </w:rPr>
              <w:t>15.1</w:t>
            </w:r>
          </w:p>
        </w:tc>
        <w:tc>
          <w:tcPr>
            <w:tcW w:w="646" w:type="dxa"/>
          </w:tcPr>
          <w:p w14:paraId="0E7608C9" w14:textId="77777777" w:rsidR="00B93A94" w:rsidRPr="0047058F" w:rsidRDefault="00B93A94" w:rsidP="00AF7596">
            <w:pPr>
              <w:pStyle w:val="TableText"/>
              <w:jc w:val="right"/>
            </w:pPr>
            <w:r w:rsidRPr="0047058F">
              <w:rPr>
                <w:rFonts w:eastAsia="Times New Roman"/>
              </w:rPr>
              <w:t>0.1</w:t>
            </w:r>
          </w:p>
        </w:tc>
        <w:tc>
          <w:tcPr>
            <w:tcW w:w="646" w:type="dxa"/>
          </w:tcPr>
          <w:p w14:paraId="613BD1CC" w14:textId="77777777" w:rsidR="00B93A94" w:rsidRPr="0047058F" w:rsidRDefault="00B93A94" w:rsidP="00AF7596">
            <w:pPr>
              <w:pStyle w:val="TableText"/>
              <w:jc w:val="right"/>
            </w:pPr>
            <w:r w:rsidRPr="0047058F">
              <w:rPr>
                <w:rFonts w:eastAsia="Times New Roman"/>
              </w:rPr>
              <w:t>15.4</w:t>
            </w:r>
          </w:p>
        </w:tc>
        <w:tc>
          <w:tcPr>
            <w:tcW w:w="647" w:type="dxa"/>
          </w:tcPr>
          <w:p w14:paraId="4EEC6396" w14:textId="77777777" w:rsidR="00B93A94" w:rsidRPr="0047058F" w:rsidRDefault="00B93A94" w:rsidP="00AF7596">
            <w:pPr>
              <w:pStyle w:val="TableText"/>
              <w:jc w:val="right"/>
            </w:pPr>
            <w:r w:rsidRPr="0047058F">
              <w:rPr>
                <w:rFonts w:eastAsia="Times New Roman"/>
              </w:rPr>
              <w:t>0.1</w:t>
            </w:r>
          </w:p>
        </w:tc>
      </w:tr>
      <w:tr w:rsidR="00B93A94" w:rsidRPr="0047058F" w14:paraId="13F276D7" w14:textId="77777777" w:rsidTr="00AF7596">
        <w:trPr>
          <w:cantSplit/>
        </w:trPr>
        <w:tc>
          <w:tcPr>
            <w:tcW w:w="3438" w:type="dxa"/>
          </w:tcPr>
          <w:p w14:paraId="126D8725" w14:textId="77777777" w:rsidR="00B93A94" w:rsidRPr="0047058F" w:rsidRDefault="00B93A94" w:rsidP="00AF7596">
            <w:pPr>
              <w:pStyle w:val="TableText"/>
              <w:rPr>
                <w:rFonts w:cs="Calibri"/>
                <w:szCs w:val="14"/>
              </w:rPr>
            </w:pPr>
            <w:r w:rsidRPr="0047058F">
              <w:rPr>
                <w:rFonts w:cs="Calibri"/>
                <w:szCs w:val="14"/>
              </w:rPr>
              <w:t>2015 Transition and Wellbeing Research Programme</w:t>
            </w:r>
          </w:p>
        </w:tc>
        <w:tc>
          <w:tcPr>
            <w:tcW w:w="646" w:type="dxa"/>
          </w:tcPr>
          <w:p w14:paraId="0EE64D24" w14:textId="77777777" w:rsidR="00B93A94" w:rsidRPr="0047058F" w:rsidRDefault="00B93A94" w:rsidP="00AF7596">
            <w:pPr>
              <w:pStyle w:val="TableText"/>
              <w:jc w:val="right"/>
            </w:pPr>
            <w:r w:rsidRPr="0047058F">
              <w:rPr>
                <w:rFonts w:eastAsia="Times New Roman"/>
              </w:rPr>
              <w:t>19.0</w:t>
            </w:r>
          </w:p>
        </w:tc>
        <w:tc>
          <w:tcPr>
            <w:tcW w:w="646" w:type="dxa"/>
          </w:tcPr>
          <w:p w14:paraId="342A287C" w14:textId="77777777" w:rsidR="00B93A94" w:rsidRPr="0047058F" w:rsidRDefault="00B93A94" w:rsidP="00AF7596">
            <w:pPr>
              <w:pStyle w:val="TableText"/>
              <w:jc w:val="right"/>
            </w:pPr>
            <w:r w:rsidRPr="0047058F">
              <w:rPr>
                <w:rFonts w:eastAsia="Times New Roman"/>
              </w:rPr>
              <w:t>0.2</w:t>
            </w:r>
          </w:p>
        </w:tc>
        <w:tc>
          <w:tcPr>
            <w:tcW w:w="646" w:type="dxa"/>
          </w:tcPr>
          <w:p w14:paraId="505FDEAF" w14:textId="77777777" w:rsidR="00B93A94" w:rsidRPr="0047058F" w:rsidRDefault="00B93A94" w:rsidP="00AF7596">
            <w:pPr>
              <w:pStyle w:val="TableText"/>
              <w:jc w:val="right"/>
            </w:pPr>
            <w:r w:rsidRPr="0047058F">
              <w:rPr>
                <w:rFonts w:eastAsia="Times New Roman"/>
              </w:rPr>
              <w:t>16.2</w:t>
            </w:r>
          </w:p>
        </w:tc>
        <w:tc>
          <w:tcPr>
            <w:tcW w:w="646" w:type="dxa"/>
          </w:tcPr>
          <w:p w14:paraId="08EEBDEA" w14:textId="77777777" w:rsidR="00B93A94" w:rsidRPr="0047058F" w:rsidRDefault="00B93A94" w:rsidP="00AF7596">
            <w:pPr>
              <w:pStyle w:val="TableText"/>
              <w:jc w:val="right"/>
            </w:pPr>
            <w:r w:rsidRPr="0047058F">
              <w:rPr>
                <w:rFonts w:eastAsia="Times New Roman"/>
              </w:rPr>
              <w:t>0.1</w:t>
            </w:r>
          </w:p>
        </w:tc>
        <w:tc>
          <w:tcPr>
            <w:tcW w:w="646" w:type="dxa"/>
          </w:tcPr>
          <w:p w14:paraId="49F8616B" w14:textId="77777777" w:rsidR="00B93A94" w:rsidRPr="0047058F" w:rsidRDefault="00B93A94" w:rsidP="00AF7596">
            <w:pPr>
              <w:pStyle w:val="TableText"/>
              <w:jc w:val="right"/>
            </w:pPr>
            <w:r w:rsidRPr="0047058F">
              <w:rPr>
                <w:rFonts w:eastAsia="Times New Roman"/>
              </w:rPr>
              <w:t>16.9</w:t>
            </w:r>
          </w:p>
        </w:tc>
        <w:tc>
          <w:tcPr>
            <w:tcW w:w="647" w:type="dxa"/>
          </w:tcPr>
          <w:p w14:paraId="58BE348A" w14:textId="77777777" w:rsidR="00B93A94" w:rsidRPr="0047058F" w:rsidRDefault="00B93A94" w:rsidP="00AF7596">
            <w:pPr>
              <w:pStyle w:val="TableText"/>
              <w:jc w:val="right"/>
            </w:pPr>
            <w:r w:rsidRPr="0047058F">
              <w:rPr>
                <w:rFonts w:eastAsia="Times New Roman"/>
              </w:rPr>
              <w:t>0.1</w:t>
            </w:r>
          </w:p>
        </w:tc>
      </w:tr>
    </w:tbl>
    <w:p w14:paraId="57C5CE60" w14:textId="77777777" w:rsidR="00B93A94" w:rsidRPr="0047058F" w:rsidRDefault="00B93A94" w:rsidP="00B93A94">
      <w:pPr>
        <w:pStyle w:val="TableNotes"/>
        <w:rPr>
          <w:bCs/>
        </w:rPr>
      </w:pPr>
      <w:r w:rsidRPr="0047058F">
        <w:t>Note: Unweighted data.</w:t>
      </w:r>
    </w:p>
    <w:p w14:paraId="5A8B2286" w14:textId="77777777" w:rsidR="00B93A94" w:rsidRPr="0047058F" w:rsidRDefault="00B93A94" w:rsidP="00B93A94">
      <w:pPr>
        <w:pStyle w:val="FigureName"/>
      </w:pPr>
      <w:bookmarkStart w:id="238" w:name="_Ref387051831"/>
      <w:bookmarkStart w:id="239" w:name="_Toc529117565"/>
      <w:bookmarkStart w:id="240" w:name="_Toc532473638"/>
      <w:r w:rsidRPr="0047058F">
        <w:t>Figure 5.1</w:t>
      </w:r>
      <w:bookmarkEnd w:id="238"/>
      <w:r w:rsidRPr="0047058F">
        <w:tab/>
        <w:t>Mean K10 scores in Transitioned ADF and 2015 Regular ADF in the longitudinal cohort</w:t>
      </w:r>
      <w:bookmarkEnd w:id="239"/>
      <w:bookmarkEnd w:id="240"/>
    </w:p>
    <w:p w14:paraId="26B84CDE" w14:textId="77777777" w:rsidR="00B93A94" w:rsidRPr="0047058F" w:rsidRDefault="00B93A94" w:rsidP="00B93A94">
      <w:r w:rsidRPr="0047058F">
        <w:rPr>
          <w:noProof/>
          <w:lang w:eastAsia="en-AU"/>
        </w:rPr>
        <w:drawing>
          <wp:inline distT="0" distB="0" distL="0" distR="0" wp14:anchorId="696DFCBC" wp14:editId="557EF862">
            <wp:extent cx="4572000" cy="2743200"/>
            <wp:effectExtent l="0" t="0" r="0" b="0"/>
            <wp:docPr id="16" name="Chart 16" descr="Figure 5.1 Mean K10 scores in Transitioned ADF and 2015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69A07E" w14:textId="7ED95ADC" w:rsidR="00B93A94" w:rsidRPr="0047058F" w:rsidRDefault="00B93A94" w:rsidP="00B93A94">
      <w:r w:rsidRPr="0047058F">
        <w:t>Table 5.2 and Figure 5.2, Table 5.3 and Figure 5.</w:t>
      </w:r>
      <w:r w:rsidR="00D62E4A">
        <w:t>3</w:t>
      </w:r>
      <w:r w:rsidRPr="0047058F">
        <w:t>, and Table 5.4 and Figure 5.4 show the p</w:t>
      </w:r>
      <w:r w:rsidRPr="0047058F">
        <w:rPr>
          <w:bCs/>
        </w:rPr>
        <w:t>roportion of those with no disorder, subsyndromal disorder and probable disorder on the K10 in 2010 cross-tabulated by the same grouping of K10 scores in 2015, among the entire longitudinal cohort and according to whether they had transitioned or remained in the Regular ADF in 2015.</w:t>
      </w:r>
    </w:p>
    <w:p w14:paraId="7A3EABF4" w14:textId="77777777" w:rsidR="00B93A94" w:rsidRPr="0047058F" w:rsidRDefault="00B93A94" w:rsidP="00B93A94">
      <w:r w:rsidRPr="0047058F">
        <w:t>In 2010, 22.5% of the longitudinal cohort reported subsyndromal disorder symptoms and 7.8% reported probable disorder symptoms on the K10. In 2015, subsyndromal disorder symptoms fell to 18.4% but probable disorder cases almost doubled to 14.9%. Of those reporting no disorder in 2010, 12.7% became new cases of subsyndromal disorder and 10.2% became new cases of probable disorder. Of those with subsyndromal disorder in 2010, almost half (47.6%) no longer met any criteria in 2015, 32.5% remained in this category, and 19.8% now had a probable disorder. Of those with probable disorder on the K10 in 2010, 42.5% remained in this category in 2015, 28.9% fell to having a subsyndromal disorder, and 28.6% no longer reported a disorder.</w:t>
      </w:r>
    </w:p>
    <w:p w14:paraId="6F4F3828" w14:textId="77777777" w:rsidR="00F77104" w:rsidRPr="0047058F" w:rsidRDefault="00F77104" w:rsidP="00B93A94">
      <w:bookmarkStart w:id="241" w:name="_Ref384555925"/>
      <w:bookmarkStart w:id="242" w:name="_Toc529117514"/>
      <w:r w:rsidRPr="0047058F">
        <w:t>Among those who had transitioned, 63.3% had no disorder on the K10 in 2010, 25.2% reported subsyndromal disorder and 11.5% had probable disorder. In 2015, 56.2% had no disorder, subsyndromal disorder fell to 21.1% and probable disorder almost doubled to 22.6%. Of those who had no disorder on the K10 in 2010, 16.1% had a subsyndromal disorder in 2015 and 15.2% had a probable disorder. Of those with a subsyndromal disorder in 2010, 32.7% remained in this category, 42.2% no longer had a disorder, and 25.2% now had a probable disorder. Of those with a probable disorder in 2010, over half (58.0%) still had a probable disorder, 23.2% now had a subsyndromal disorder and 18.8% no longer met criteria for a disorder.</w:t>
      </w:r>
    </w:p>
    <w:p w14:paraId="41C1990F" w14:textId="77777777" w:rsidR="00F77104" w:rsidRPr="0047058F" w:rsidRDefault="00F77104" w:rsidP="00B93A94">
      <w:r w:rsidRPr="0047058F">
        <w:t>Those who remained in the Regular ADF reported lower levels of disorder on the K10 in 2010 and 2015 compared to those who had transitioned. In 2010, 72.2% of those who went on to remain in the Regular ADF had no disorder on the K10, 21.4% had subsyndromal disorder and 6.3% met criteria for probable disorder. In 2015, similar proportions reported no disorder (70.7%), subsyndromal fell to 17.4% and probable disorder increased to 11.9%. Of those with no disorder in 2010, 11.5% were new cases of subsyndromal disorder in 2015 and 8.5% were new cases of probable disorder. Of those with subsyndromal disorder in 2010, half (50.0%) no longer had a disorder in 2015, 32.5% remained subsyndromal and 17.5% became new cases of probable disorder. Of those with a probable disorder in 2010, 35.2% no longer had a disorder in 2015, 32.8% fell to subsyndromal and 32.0% remained probable.</w:t>
      </w:r>
    </w:p>
    <w:p w14:paraId="3B19A5BF" w14:textId="77777777" w:rsidR="00F77104" w:rsidRPr="0047058F" w:rsidRDefault="00F77104" w:rsidP="00B93A94">
      <w:r w:rsidRPr="0047058F">
        <w:t>When comparing Transitioned ADF and 2015 Regular ADF, patterns were similar except for two notable differences: a larger proportion of 2015 Regular ADF who had no disorder on the K10 in 2010 remained disorder free in 2015 (79.9% vs 68.7%), and a larger proportion of Transitioned ADF who had probable disorder in 2010 remained cases of probable disorder in 2015 (58.0% vs 32.0%).</w:t>
      </w:r>
    </w:p>
    <w:p w14:paraId="5157B9F5" w14:textId="77777777" w:rsidR="00B93A94" w:rsidRPr="0047058F" w:rsidRDefault="00B93A94" w:rsidP="00B93A94">
      <w:pPr>
        <w:pStyle w:val="TableName"/>
      </w:pPr>
      <w:bookmarkStart w:id="243" w:name="_Toc532473584"/>
      <w:r w:rsidRPr="0047058F">
        <w:t>Table 5.2</w:t>
      </w:r>
      <w:bookmarkEnd w:id="241"/>
      <w:r w:rsidRPr="0047058F">
        <w:tab/>
        <w:t xml:space="preserve">Proportion of </w:t>
      </w:r>
      <w:r w:rsidRPr="0047058F">
        <w:rPr>
          <w:u w:val="single"/>
        </w:rPr>
        <w:t>entire longitudinal cohort</w:t>
      </w:r>
      <w:r w:rsidRPr="0047058F">
        <w:t xml:space="preserve"> with no disorder, subsyndromal disorder and probable disorder on K10 in 2010 and 2015 based on self-reported measures</w:t>
      </w:r>
      <w:bookmarkEnd w:id="242"/>
      <w:bookmarkEnd w:id="243"/>
    </w:p>
    <w:tbl>
      <w:tblPr>
        <w:tblStyle w:val="TWRPTable"/>
        <w:tblW w:w="5000" w:type="pct"/>
        <w:tblLayout w:type="fixed"/>
        <w:tblLook w:val="04A0" w:firstRow="1" w:lastRow="0" w:firstColumn="1" w:lastColumn="0" w:noHBand="0" w:noVBand="1"/>
        <w:tblDescription w:val="Table 5.2 Proportion of entire longitudinal cohort with no disorder, subsyndromal disorder and probable disorder on K10 in 2010 and 2015 based on self-reported measures"/>
      </w:tblPr>
      <w:tblGrid>
        <w:gridCol w:w="2898"/>
        <w:gridCol w:w="537"/>
        <w:gridCol w:w="538"/>
        <w:gridCol w:w="557"/>
        <w:gridCol w:w="557"/>
        <w:gridCol w:w="557"/>
        <w:gridCol w:w="557"/>
        <w:gridCol w:w="557"/>
        <w:gridCol w:w="557"/>
      </w:tblGrid>
      <w:tr w:rsidR="00B93A94" w:rsidRPr="0047058F" w14:paraId="171789FA"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973" w:type="dxa"/>
            <w:gridSpan w:val="3"/>
            <w:vMerge w:val="restart"/>
          </w:tcPr>
          <w:p w14:paraId="2D85D1D5" w14:textId="77777777" w:rsidR="00B93A94" w:rsidRPr="0047058F" w:rsidRDefault="00B93A94" w:rsidP="00AF7596">
            <w:pPr>
              <w:pStyle w:val="TableText"/>
            </w:pPr>
            <w:r w:rsidRPr="0047058F">
              <w:t>2010 ADF Mental Health Prevalence and Wellbeing Study</w:t>
            </w:r>
          </w:p>
        </w:tc>
        <w:tc>
          <w:tcPr>
            <w:tcW w:w="3342" w:type="dxa"/>
            <w:gridSpan w:val="6"/>
          </w:tcPr>
          <w:p w14:paraId="01CFAC74" w14:textId="77777777" w:rsidR="00B93A94" w:rsidRPr="0047058F" w:rsidRDefault="00B93A94" w:rsidP="00AF7596">
            <w:pPr>
              <w:pStyle w:val="TableText"/>
              <w:jc w:val="center"/>
            </w:pPr>
            <w:r w:rsidRPr="0047058F">
              <w:t>2015 Transition and Wellbeing Research Programme</w:t>
            </w:r>
          </w:p>
        </w:tc>
      </w:tr>
      <w:tr w:rsidR="00B93A94" w:rsidRPr="0047058F" w14:paraId="1CD425DB"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973" w:type="dxa"/>
            <w:gridSpan w:val="3"/>
            <w:vMerge/>
          </w:tcPr>
          <w:p w14:paraId="7D14F943" w14:textId="77777777" w:rsidR="00B93A94" w:rsidRPr="0047058F" w:rsidRDefault="00B93A94" w:rsidP="00AF7596">
            <w:pPr>
              <w:pStyle w:val="TableText"/>
            </w:pPr>
          </w:p>
        </w:tc>
        <w:tc>
          <w:tcPr>
            <w:tcW w:w="1114" w:type="dxa"/>
            <w:gridSpan w:val="2"/>
            <w:hideMark/>
          </w:tcPr>
          <w:p w14:paraId="28AB6E16" w14:textId="77777777" w:rsidR="00B93A94" w:rsidRPr="0047058F" w:rsidRDefault="00B93A94" w:rsidP="00AF7596">
            <w:pPr>
              <w:pStyle w:val="TableText"/>
              <w:jc w:val="center"/>
            </w:pPr>
            <w:r w:rsidRPr="0047058F">
              <w:t>No disorder</w:t>
            </w:r>
          </w:p>
        </w:tc>
        <w:tc>
          <w:tcPr>
            <w:tcW w:w="1114" w:type="dxa"/>
            <w:gridSpan w:val="2"/>
          </w:tcPr>
          <w:p w14:paraId="53AB0773" w14:textId="77777777" w:rsidR="00B93A94" w:rsidRPr="0047058F" w:rsidRDefault="00B93A94" w:rsidP="00AF7596">
            <w:pPr>
              <w:pStyle w:val="TableText"/>
              <w:jc w:val="center"/>
            </w:pPr>
            <w:r w:rsidRPr="0047058F">
              <w:t>Subsyndromal disorder</w:t>
            </w:r>
          </w:p>
        </w:tc>
        <w:tc>
          <w:tcPr>
            <w:tcW w:w="1114" w:type="dxa"/>
            <w:gridSpan w:val="2"/>
          </w:tcPr>
          <w:p w14:paraId="6349AF3A" w14:textId="77777777" w:rsidR="00B93A94" w:rsidRPr="0047058F" w:rsidRDefault="00B93A94" w:rsidP="00AF7596">
            <w:pPr>
              <w:pStyle w:val="TableText"/>
              <w:jc w:val="center"/>
            </w:pPr>
            <w:r w:rsidRPr="0047058F">
              <w:t>Probable disorder</w:t>
            </w:r>
          </w:p>
        </w:tc>
      </w:tr>
      <w:tr w:rsidR="00B93A94" w:rsidRPr="0047058F" w14:paraId="165BA33D"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898" w:type="dxa"/>
          </w:tcPr>
          <w:p w14:paraId="11BCF79C" w14:textId="77777777" w:rsidR="00B93A94" w:rsidRPr="0047058F" w:rsidRDefault="00B93A94" w:rsidP="00AF7596">
            <w:pPr>
              <w:pStyle w:val="TableText"/>
            </w:pPr>
            <w:r w:rsidRPr="0047058F">
              <w:rPr>
                <w:rFonts w:cs="Arial"/>
              </w:rPr>
              <w:t>K10</w:t>
            </w:r>
          </w:p>
        </w:tc>
        <w:tc>
          <w:tcPr>
            <w:tcW w:w="537" w:type="dxa"/>
          </w:tcPr>
          <w:p w14:paraId="1973E63A" w14:textId="77777777" w:rsidR="00B93A94" w:rsidRPr="0047058F" w:rsidRDefault="00B93A94" w:rsidP="00AF7596">
            <w:pPr>
              <w:pStyle w:val="TableText"/>
              <w:jc w:val="right"/>
              <w:rPr>
                <w:rFonts w:cs="Arial"/>
              </w:rPr>
            </w:pPr>
            <w:r w:rsidRPr="0047058F">
              <w:rPr>
                <w:rFonts w:cs="Arial"/>
              </w:rPr>
              <w:t>n</w:t>
            </w:r>
          </w:p>
        </w:tc>
        <w:tc>
          <w:tcPr>
            <w:tcW w:w="538" w:type="dxa"/>
          </w:tcPr>
          <w:p w14:paraId="0E540EA6" w14:textId="77777777" w:rsidR="00B93A94" w:rsidRPr="0047058F" w:rsidRDefault="00B93A94" w:rsidP="00AF7596">
            <w:pPr>
              <w:pStyle w:val="TableText"/>
              <w:jc w:val="right"/>
              <w:rPr>
                <w:rFonts w:cs="Arial"/>
              </w:rPr>
            </w:pPr>
            <w:r w:rsidRPr="0047058F">
              <w:rPr>
                <w:rFonts w:cs="Arial"/>
              </w:rPr>
              <w:t>%</w:t>
            </w:r>
          </w:p>
        </w:tc>
        <w:tc>
          <w:tcPr>
            <w:tcW w:w="557" w:type="dxa"/>
          </w:tcPr>
          <w:p w14:paraId="49C2A609" w14:textId="77777777" w:rsidR="00B93A94" w:rsidRPr="0047058F" w:rsidRDefault="00B93A94" w:rsidP="00AF7596">
            <w:pPr>
              <w:pStyle w:val="TableText"/>
              <w:jc w:val="right"/>
              <w:rPr>
                <w:rFonts w:cs="Arial"/>
              </w:rPr>
            </w:pPr>
            <w:r w:rsidRPr="0047058F">
              <w:rPr>
                <w:rFonts w:cs="Arial"/>
              </w:rPr>
              <w:t>n</w:t>
            </w:r>
          </w:p>
        </w:tc>
        <w:tc>
          <w:tcPr>
            <w:tcW w:w="557" w:type="dxa"/>
          </w:tcPr>
          <w:p w14:paraId="4B6875CB" w14:textId="77777777" w:rsidR="00B93A94" w:rsidRPr="0047058F" w:rsidRDefault="00B93A94" w:rsidP="00AF7596">
            <w:pPr>
              <w:pStyle w:val="TableText"/>
              <w:jc w:val="right"/>
              <w:rPr>
                <w:rFonts w:cs="Arial"/>
              </w:rPr>
            </w:pPr>
            <w:r w:rsidRPr="0047058F">
              <w:rPr>
                <w:rFonts w:cs="Arial"/>
              </w:rPr>
              <w:t>%</w:t>
            </w:r>
          </w:p>
        </w:tc>
        <w:tc>
          <w:tcPr>
            <w:tcW w:w="557" w:type="dxa"/>
          </w:tcPr>
          <w:p w14:paraId="017BD460" w14:textId="77777777" w:rsidR="00B93A94" w:rsidRPr="0047058F" w:rsidRDefault="00B93A94" w:rsidP="00AF7596">
            <w:pPr>
              <w:pStyle w:val="TableText"/>
              <w:jc w:val="right"/>
              <w:rPr>
                <w:rFonts w:cs="Arial"/>
              </w:rPr>
            </w:pPr>
            <w:r w:rsidRPr="0047058F">
              <w:rPr>
                <w:rFonts w:cs="Arial"/>
              </w:rPr>
              <w:t>n</w:t>
            </w:r>
          </w:p>
        </w:tc>
        <w:tc>
          <w:tcPr>
            <w:tcW w:w="557" w:type="dxa"/>
          </w:tcPr>
          <w:p w14:paraId="068F225F" w14:textId="77777777" w:rsidR="00B93A94" w:rsidRPr="0047058F" w:rsidRDefault="00B93A94" w:rsidP="00AF7596">
            <w:pPr>
              <w:pStyle w:val="TableText"/>
              <w:jc w:val="right"/>
              <w:rPr>
                <w:rFonts w:cs="Arial"/>
              </w:rPr>
            </w:pPr>
            <w:r w:rsidRPr="0047058F">
              <w:rPr>
                <w:rFonts w:cs="Arial"/>
              </w:rPr>
              <w:t>%</w:t>
            </w:r>
          </w:p>
        </w:tc>
        <w:tc>
          <w:tcPr>
            <w:tcW w:w="557" w:type="dxa"/>
          </w:tcPr>
          <w:p w14:paraId="3C265288" w14:textId="77777777" w:rsidR="00B93A94" w:rsidRPr="0047058F" w:rsidRDefault="00B93A94" w:rsidP="00AF7596">
            <w:pPr>
              <w:pStyle w:val="TableText"/>
              <w:jc w:val="right"/>
              <w:rPr>
                <w:rFonts w:cs="Arial"/>
              </w:rPr>
            </w:pPr>
            <w:r w:rsidRPr="0047058F">
              <w:rPr>
                <w:rFonts w:cs="Arial"/>
              </w:rPr>
              <w:t>n</w:t>
            </w:r>
          </w:p>
        </w:tc>
        <w:tc>
          <w:tcPr>
            <w:tcW w:w="557" w:type="dxa"/>
          </w:tcPr>
          <w:p w14:paraId="2538FD56" w14:textId="77777777" w:rsidR="00B93A94" w:rsidRPr="0047058F" w:rsidRDefault="00B93A94" w:rsidP="00AF7596">
            <w:pPr>
              <w:pStyle w:val="TableText"/>
              <w:jc w:val="right"/>
              <w:rPr>
                <w:rFonts w:cs="Arial"/>
              </w:rPr>
            </w:pPr>
            <w:r w:rsidRPr="0047058F">
              <w:rPr>
                <w:rFonts w:cs="Arial"/>
              </w:rPr>
              <w:t>%</w:t>
            </w:r>
          </w:p>
        </w:tc>
      </w:tr>
      <w:tr w:rsidR="00B93A94" w:rsidRPr="0047058F" w14:paraId="19D71EFB"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98" w:type="dxa"/>
          </w:tcPr>
          <w:p w14:paraId="54920A37"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537" w:type="dxa"/>
          </w:tcPr>
          <w:p w14:paraId="019EBC85" w14:textId="77777777" w:rsidR="00B93A94" w:rsidRPr="0047058F" w:rsidRDefault="00B93A94" w:rsidP="00AF7596">
            <w:pPr>
              <w:pStyle w:val="TableText"/>
              <w:jc w:val="right"/>
            </w:pPr>
            <w:r w:rsidRPr="0047058F">
              <w:rPr>
                <w:rFonts w:eastAsia="Times New Roman" w:cs="Arial"/>
              </w:rPr>
              <w:t>5547</w:t>
            </w:r>
          </w:p>
        </w:tc>
        <w:tc>
          <w:tcPr>
            <w:tcW w:w="538" w:type="dxa"/>
          </w:tcPr>
          <w:p w14:paraId="41B2FA4E" w14:textId="77777777" w:rsidR="00B93A94" w:rsidRPr="0047058F" w:rsidRDefault="00B93A94" w:rsidP="00AF7596">
            <w:pPr>
              <w:pStyle w:val="TableText"/>
              <w:jc w:val="right"/>
              <w:rPr>
                <w:rFonts w:eastAsia="Times New Roman" w:cs="Arial"/>
              </w:rPr>
            </w:pPr>
            <w:r w:rsidRPr="0047058F">
              <w:rPr>
                <w:rFonts w:eastAsia="Times New Roman" w:cs="Arial"/>
              </w:rPr>
              <w:t>69.8</w:t>
            </w:r>
          </w:p>
        </w:tc>
        <w:tc>
          <w:tcPr>
            <w:tcW w:w="557" w:type="dxa"/>
          </w:tcPr>
          <w:p w14:paraId="0A3960D3" w14:textId="77777777" w:rsidR="00B93A94" w:rsidRPr="0047058F" w:rsidRDefault="00B93A94" w:rsidP="00AF7596">
            <w:pPr>
              <w:pStyle w:val="TableText"/>
              <w:jc w:val="right"/>
            </w:pPr>
            <w:r w:rsidRPr="0047058F">
              <w:rPr>
                <w:rFonts w:eastAsia="Times New Roman" w:cs="Arial"/>
              </w:rPr>
              <w:t>4279</w:t>
            </w:r>
          </w:p>
        </w:tc>
        <w:tc>
          <w:tcPr>
            <w:tcW w:w="557" w:type="dxa"/>
          </w:tcPr>
          <w:p w14:paraId="56443F77" w14:textId="77777777" w:rsidR="00B93A94" w:rsidRPr="0047058F" w:rsidRDefault="00B93A94" w:rsidP="00AF7596">
            <w:pPr>
              <w:pStyle w:val="TableText"/>
              <w:jc w:val="right"/>
            </w:pPr>
            <w:r w:rsidRPr="0047058F">
              <w:rPr>
                <w:rFonts w:eastAsia="Times New Roman" w:cs="Arial"/>
              </w:rPr>
              <w:t>77.1</w:t>
            </w:r>
          </w:p>
        </w:tc>
        <w:tc>
          <w:tcPr>
            <w:tcW w:w="557" w:type="dxa"/>
          </w:tcPr>
          <w:p w14:paraId="134396A5" w14:textId="77777777" w:rsidR="00B93A94" w:rsidRPr="0047058F" w:rsidRDefault="00B93A94" w:rsidP="00AF7596">
            <w:pPr>
              <w:pStyle w:val="TableText"/>
              <w:jc w:val="right"/>
            </w:pPr>
            <w:r w:rsidRPr="0047058F">
              <w:rPr>
                <w:rFonts w:eastAsia="Times New Roman" w:cs="Arial"/>
              </w:rPr>
              <w:t>703</w:t>
            </w:r>
          </w:p>
        </w:tc>
        <w:tc>
          <w:tcPr>
            <w:tcW w:w="557" w:type="dxa"/>
          </w:tcPr>
          <w:p w14:paraId="22F6E653" w14:textId="77777777" w:rsidR="00B93A94" w:rsidRPr="0047058F" w:rsidRDefault="00B93A94" w:rsidP="00AF7596">
            <w:pPr>
              <w:pStyle w:val="TableText"/>
              <w:jc w:val="right"/>
            </w:pPr>
            <w:r w:rsidRPr="0047058F">
              <w:rPr>
                <w:rFonts w:eastAsia="Times New Roman" w:cs="Arial"/>
              </w:rPr>
              <w:t>12.7</w:t>
            </w:r>
          </w:p>
        </w:tc>
        <w:tc>
          <w:tcPr>
            <w:tcW w:w="557" w:type="dxa"/>
          </w:tcPr>
          <w:p w14:paraId="74EEC256" w14:textId="77777777" w:rsidR="00B93A94" w:rsidRPr="0047058F" w:rsidRDefault="00B93A94" w:rsidP="00AF7596">
            <w:pPr>
              <w:pStyle w:val="TableText"/>
              <w:jc w:val="right"/>
            </w:pPr>
            <w:r w:rsidRPr="0047058F">
              <w:rPr>
                <w:rFonts w:eastAsia="Times New Roman" w:cs="Arial"/>
              </w:rPr>
              <w:t>565</w:t>
            </w:r>
          </w:p>
        </w:tc>
        <w:tc>
          <w:tcPr>
            <w:tcW w:w="557" w:type="dxa"/>
          </w:tcPr>
          <w:p w14:paraId="06A24253" w14:textId="77777777" w:rsidR="00B93A94" w:rsidRPr="0047058F" w:rsidRDefault="00B93A94" w:rsidP="00AF7596">
            <w:pPr>
              <w:pStyle w:val="TableText"/>
              <w:jc w:val="right"/>
            </w:pPr>
            <w:r w:rsidRPr="0047058F">
              <w:rPr>
                <w:rFonts w:eastAsia="Times New Roman" w:cs="Arial"/>
              </w:rPr>
              <w:t>10.2</w:t>
            </w:r>
          </w:p>
        </w:tc>
      </w:tr>
      <w:tr w:rsidR="00B93A94" w:rsidRPr="0047058F" w14:paraId="5D56F40F" w14:textId="77777777" w:rsidTr="00AF7596">
        <w:trPr>
          <w:cantSplit/>
        </w:trPr>
        <w:tc>
          <w:tcPr>
            <w:tcW w:w="2898" w:type="dxa"/>
          </w:tcPr>
          <w:p w14:paraId="6CCC38D4"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537" w:type="dxa"/>
          </w:tcPr>
          <w:p w14:paraId="71AD1F50" w14:textId="77777777" w:rsidR="00B93A94" w:rsidRPr="0047058F" w:rsidRDefault="00B93A94" w:rsidP="00AF7596">
            <w:pPr>
              <w:pStyle w:val="TableText"/>
              <w:jc w:val="right"/>
            </w:pPr>
            <w:r w:rsidRPr="0047058F">
              <w:rPr>
                <w:rFonts w:eastAsia="Times New Roman" w:cs="Arial"/>
              </w:rPr>
              <w:t>1785</w:t>
            </w:r>
          </w:p>
        </w:tc>
        <w:tc>
          <w:tcPr>
            <w:tcW w:w="538" w:type="dxa"/>
          </w:tcPr>
          <w:p w14:paraId="19973B79" w14:textId="77777777" w:rsidR="00B93A94" w:rsidRPr="0047058F" w:rsidRDefault="00B93A94" w:rsidP="00AF7596">
            <w:pPr>
              <w:pStyle w:val="TableText"/>
              <w:jc w:val="right"/>
              <w:rPr>
                <w:rFonts w:eastAsia="Times New Roman" w:cs="Arial"/>
              </w:rPr>
            </w:pPr>
            <w:r w:rsidRPr="0047058F">
              <w:rPr>
                <w:rFonts w:eastAsia="Times New Roman" w:cs="Arial"/>
              </w:rPr>
              <w:t>22.5</w:t>
            </w:r>
          </w:p>
        </w:tc>
        <w:tc>
          <w:tcPr>
            <w:tcW w:w="557" w:type="dxa"/>
          </w:tcPr>
          <w:p w14:paraId="59D14ABA" w14:textId="77777777" w:rsidR="00B93A94" w:rsidRPr="0047058F" w:rsidRDefault="00B93A94" w:rsidP="00AF7596">
            <w:pPr>
              <w:pStyle w:val="TableText"/>
              <w:jc w:val="right"/>
            </w:pPr>
            <w:r w:rsidRPr="0047058F">
              <w:rPr>
                <w:rFonts w:eastAsia="Times New Roman" w:cs="Arial"/>
              </w:rPr>
              <w:t>850</w:t>
            </w:r>
          </w:p>
        </w:tc>
        <w:tc>
          <w:tcPr>
            <w:tcW w:w="557" w:type="dxa"/>
          </w:tcPr>
          <w:p w14:paraId="4D2C9D22" w14:textId="77777777" w:rsidR="00B93A94" w:rsidRPr="0047058F" w:rsidRDefault="00B93A94" w:rsidP="00AF7596">
            <w:pPr>
              <w:pStyle w:val="TableText"/>
              <w:jc w:val="right"/>
            </w:pPr>
            <w:r w:rsidRPr="0047058F">
              <w:rPr>
                <w:rFonts w:eastAsia="Times New Roman" w:cs="Arial"/>
              </w:rPr>
              <w:t>47.6</w:t>
            </w:r>
          </w:p>
        </w:tc>
        <w:tc>
          <w:tcPr>
            <w:tcW w:w="557" w:type="dxa"/>
          </w:tcPr>
          <w:p w14:paraId="4394F9D8" w14:textId="77777777" w:rsidR="00B93A94" w:rsidRPr="0047058F" w:rsidRDefault="00B93A94" w:rsidP="00AF7596">
            <w:pPr>
              <w:pStyle w:val="TableText"/>
              <w:jc w:val="right"/>
            </w:pPr>
            <w:r w:rsidRPr="0047058F">
              <w:rPr>
                <w:rFonts w:eastAsia="Times New Roman" w:cs="Arial"/>
              </w:rPr>
              <w:t>581</w:t>
            </w:r>
          </w:p>
        </w:tc>
        <w:tc>
          <w:tcPr>
            <w:tcW w:w="557" w:type="dxa"/>
          </w:tcPr>
          <w:p w14:paraId="45419ACD" w14:textId="77777777" w:rsidR="00B93A94" w:rsidRPr="0047058F" w:rsidRDefault="00B93A94" w:rsidP="00AF7596">
            <w:pPr>
              <w:pStyle w:val="TableText"/>
              <w:jc w:val="right"/>
            </w:pPr>
            <w:r w:rsidRPr="0047058F">
              <w:rPr>
                <w:rFonts w:eastAsia="Times New Roman" w:cs="Arial"/>
              </w:rPr>
              <w:t>32.5</w:t>
            </w:r>
          </w:p>
        </w:tc>
        <w:tc>
          <w:tcPr>
            <w:tcW w:w="557" w:type="dxa"/>
          </w:tcPr>
          <w:p w14:paraId="00DC8152" w14:textId="77777777" w:rsidR="00B93A94" w:rsidRPr="0047058F" w:rsidRDefault="00B93A94" w:rsidP="00AF7596">
            <w:pPr>
              <w:pStyle w:val="TableText"/>
              <w:jc w:val="right"/>
            </w:pPr>
            <w:r w:rsidRPr="0047058F">
              <w:rPr>
                <w:rFonts w:eastAsia="Times New Roman" w:cs="Arial"/>
              </w:rPr>
              <w:t>354</w:t>
            </w:r>
          </w:p>
        </w:tc>
        <w:tc>
          <w:tcPr>
            <w:tcW w:w="557" w:type="dxa"/>
          </w:tcPr>
          <w:p w14:paraId="2659C7E9" w14:textId="77777777" w:rsidR="00B93A94" w:rsidRPr="0047058F" w:rsidRDefault="00B93A94" w:rsidP="00AF7596">
            <w:pPr>
              <w:pStyle w:val="TableText"/>
              <w:jc w:val="right"/>
            </w:pPr>
            <w:r w:rsidRPr="0047058F">
              <w:rPr>
                <w:rFonts w:eastAsia="Times New Roman" w:cs="Arial"/>
              </w:rPr>
              <w:t>19.8</w:t>
            </w:r>
          </w:p>
        </w:tc>
      </w:tr>
      <w:tr w:rsidR="00B93A94" w:rsidRPr="0047058F" w14:paraId="5D7E1A5F"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98" w:type="dxa"/>
          </w:tcPr>
          <w:p w14:paraId="6BDDD48D"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537" w:type="dxa"/>
          </w:tcPr>
          <w:p w14:paraId="3830195D" w14:textId="77777777" w:rsidR="00B93A94" w:rsidRPr="0047058F" w:rsidRDefault="00B93A94" w:rsidP="00AF7596">
            <w:pPr>
              <w:pStyle w:val="TableText"/>
              <w:jc w:val="right"/>
            </w:pPr>
            <w:r w:rsidRPr="0047058F">
              <w:rPr>
                <w:rFonts w:eastAsia="Times New Roman" w:cs="Arial"/>
              </w:rPr>
              <w:t>616</w:t>
            </w:r>
          </w:p>
        </w:tc>
        <w:tc>
          <w:tcPr>
            <w:tcW w:w="538" w:type="dxa"/>
          </w:tcPr>
          <w:p w14:paraId="2849CD3E" w14:textId="77777777" w:rsidR="00B93A94" w:rsidRPr="0047058F" w:rsidRDefault="00B93A94" w:rsidP="00AF7596">
            <w:pPr>
              <w:pStyle w:val="TableText"/>
              <w:jc w:val="right"/>
              <w:rPr>
                <w:rFonts w:eastAsia="Times New Roman" w:cs="Arial"/>
              </w:rPr>
            </w:pPr>
            <w:r w:rsidRPr="0047058F">
              <w:rPr>
                <w:rFonts w:eastAsia="Times New Roman" w:cs="Arial"/>
              </w:rPr>
              <w:t>7.8</w:t>
            </w:r>
          </w:p>
        </w:tc>
        <w:tc>
          <w:tcPr>
            <w:tcW w:w="557" w:type="dxa"/>
          </w:tcPr>
          <w:p w14:paraId="32538FCD" w14:textId="77777777" w:rsidR="00B93A94" w:rsidRPr="0047058F" w:rsidRDefault="00B93A94" w:rsidP="00AF7596">
            <w:pPr>
              <w:pStyle w:val="TableText"/>
              <w:jc w:val="right"/>
            </w:pPr>
            <w:r w:rsidRPr="0047058F">
              <w:rPr>
                <w:rFonts w:eastAsia="Times New Roman" w:cs="Arial"/>
              </w:rPr>
              <w:t>176</w:t>
            </w:r>
          </w:p>
        </w:tc>
        <w:tc>
          <w:tcPr>
            <w:tcW w:w="557" w:type="dxa"/>
          </w:tcPr>
          <w:p w14:paraId="4AC081DD" w14:textId="77777777" w:rsidR="00B93A94" w:rsidRPr="0047058F" w:rsidRDefault="00B93A94" w:rsidP="00AF7596">
            <w:pPr>
              <w:pStyle w:val="TableText"/>
              <w:jc w:val="right"/>
            </w:pPr>
            <w:r w:rsidRPr="0047058F">
              <w:rPr>
                <w:rFonts w:eastAsia="Times New Roman" w:cs="Arial"/>
              </w:rPr>
              <w:t>28.6</w:t>
            </w:r>
          </w:p>
        </w:tc>
        <w:tc>
          <w:tcPr>
            <w:tcW w:w="557" w:type="dxa"/>
          </w:tcPr>
          <w:p w14:paraId="5642E5AF" w14:textId="77777777" w:rsidR="00B93A94" w:rsidRPr="0047058F" w:rsidRDefault="00B93A94" w:rsidP="00AF7596">
            <w:pPr>
              <w:pStyle w:val="TableText"/>
              <w:jc w:val="right"/>
            </w:pPr>
            <w:r w:rsidRPr="0047058F">
              <w:rPr>
                <w:rFonts w:eastAsia="Times New Roman" w:cs="Arial"/>
              </w:rPr>
              <w:t>178</w:t>
            </w:r>
          </w:p>
        </w:tc>
        <w:tc>
          <w:tcPr>
            <w:tcW w:w="557" w:type="dxa"/>
          </w:tcPr>
          <w:p w14:paraId="5F7241B7" w14:textId="77777777" w:rsidR="00B93A94" w:rsidRPr="0047058F" w:rsidRDefault="00B93A94" w:rsidP="00AF7596">
            <w:pPr>
              <w:pStyle w:val="TableText"/>
              <w:jc w:val="right"/>
            </w:pPr>
            <w:r w:rsidRPr="0047058F">
              <w:rPr>
                <w:rFonts w:eastAsia="Times New Roman" w:cs="Arial"/>
              </w:rPr>
              <w:t>28.9</w:t>
            </w:r>
          </w:p>
        </w:tc>
        <w:tc>
          <w:tcPr>
            <w:tcW w:w="557" w:type="dxa"/>
          </w:tcPr>
          <w:p w14:paraId="3D4FECD6" w14:textId="77777777" w:rsidR="00B93A94" w:rsidRPr="0047058F" w:rsidRDefault="00B93A94" w:rsidP="00AF7596">
            <w:pPr>
              <w:pStyle w:val="TableText"/>
              <w:jc w:val="right"/>
            </w:pPr>
            <w:r w:rsidRPr="0047058F">
              <w:rPr>
                <w:rFonts w:eastAsia="Times New Roman" w:cs="Arial"/>
              </w:rPr>
              <w:t>262</w:t>
            </w:r>
          </w:p>
        </w:tc>
        <w:tc>
          <w:tcPr>
            <w:tcW w:w="557" w:type="dxa"/>
          </w:tcPr>
          <w:p w14:paraId="3E3DA209" w14:textId="77777777" w:rsidR="00B93A94" w:rsidRPr="0047058F" w:rsidRDefault="00B93A94" w:rsidP="00AF7596">
            <w:pPr>
              <w:pStyle w:val="TableText"/>
              <w:jc w:val="right"/>
            </w:pPr>
            <w:r w:rsidRPr="0047058F">
              <w:rPr>
                <w:rFonts w:eastAsia="Times New Roman" w:cs="Arial"/>
              </w:rPr>
              <w:t>42.5</w:t>
            </w:r>
          </w:p>
        </w:tc>
      </w:tr>
      <w:tr w:rsidR="00B93A94" w:rsidRPr="0047058F" w14:paraId="312F334D" w14:textId="77777777" w:rsidTr="00AF7596">
        <w:trPr>
          <w:cantSplit/>
        </w:trPr>
        <w:tc>
          <w:tcPr>
            <w:tcW w:w="2898" w:type="dxa"/>
          </w:tcPr>
          <w:p w14:paraId="49C685F4" w14:textId="77777777" w:rsidR="00B93A94" w:rsidRPr="0047058F" w:rsidRDefault="00B93A94" w:rsidP="00AF7596">
            <w:pPr>
              <w:pStyle w:val="TableText"/>
              <w:rPr>
                <w:rFonts w:cs="Arial"/>
                <w:b/>
              </w:rPr>
            </w:pPr>
            <w:r w:rsidRPr="0047058F">
              <w:rPr>
                <w:rFonts w:cs="Arial"/>
                <w:b/>
              </w:rPr>
              <w:t>Total</w:t>
            </w:r>
          </w:p>
        </w:tc>
        <w:tc>
          <w:tcPr>
            <w:tcW w:w="537" w:type="dxa"/>
          </w:tcPr>
          <w:p w14:paraId="600DBA81" w14:textId="77777777" w:rsidR="00B93A94" w:rsidRPr="0047058F" w:rsidRDefault="00B93A94" w:rsidP="00AF7596">
            <w:pPr>
              <w:pStyle w:val="TableText"/>
              <w:jc w:val="right"/>
              <w:rPr>
                <w:rFonts w:cs="Arial"/>
                <w:b/>
              </w:rPr>
            </w:pPr>
            <w:r w:rsidRPr="0047058F">
              <w:rPr>
                <w:rFonts w:cs="Arial"/>
                <w:b/>
              </w:rPr>
              <w:t>7948</w:t>
            </w:r>
          </w:p>
        </w:tc>
        <w:tc>
          <w:tcPr>
            <w:tcW w:w="538" w:type="dxa"/>
          </w:tcPr>
          <w:p w14:paraId="09B8D10A" w14:textId="77777777" w:rsidR="00B93A94" w:rsidRPr="0047058F" w:rsidRDefault="00B93A94" w:rsidP="00AF7596">
            <w:pPr>
              <w:pStyle w:val="TableText"/>
              <w:jc w:val="right"/>
              <w:rPr>
                <w:rFonts w:eastAsia="Times New Roman" w:cs="Arial"/>
                <w:b/>
              </w:rPr>
            </w:pPr>
            <w:r w:rsidRPr="0047058F">
              <w:rPr>
                <w:rFonts w:eastAsia="Times New Roman" w:cs="Arial"/>
                <w:b/>
              </w:rPr>
              <w:t>100.0</w:t>
            </w:r>
          </w:p>
        </w:tc>
        <w:tc>
          <w:tcPr>
            <w:tcW w:w="557" w:type="dxa"/>
          </w:tcPr>
          <w:p w14:paraId="12382EDF" w14:textId="77777777" w:rsidR="00B93A94" w:rsidRPr="0047058F" w:rsidRDefault="00B93A94" w:rsidP="00AF7596">
            <w:pPr>
              <w:pStyle w:val="TableText"/>
              <w:jc w:val="right"/>
              <w:rPr>
                <w:rFonts w:cs="Arial"/>
                <w:b/>
              </w:rPr>
            </w:pPr>
            <w:r w:rsidRPr="0047058F">
              <w:rPr>
                <w:rFonts w:eastAsia="Times New Roman" w:cs="Arial"/>
                <w:b/>
              </w:rPr>
              <w:t>5305</w:t>
            </w:r>
          </w:p>
        </w:tc>
        <w:tc>
          <w:tcPr>
            <w:tcW w:w="557" w:type="dxa"/>
          </w:tcPr>
          <w:p w14:paraId="106AEA5F" w14:textId="77777777" w:rsidR="00B93A94" w:rsidRPr="0047058F" w:rsidRDefault="00B93A94" w:rsidP="00AF7596">
            <w:pPr>
              <w:pStyle w:val="TableText"/>
              <w:jc w:val="right"/>
              <w:rPr>
                <w:rFonts w:cs="Arial"/>
                <w:b/>
              </w:rPr>
            </w:pPr>
            <w:r w:rsidRPr="0047058F">
              <w:rPr>
                <w:rFonts w:eastAsia="Times New Roman" w:cs="Arial"/>
                <w:b/>
              </w:rPr>
              <w:t>66.7</w:t>
            </w:r>
          </w:p>
        </w:tc>
        <w:tc>
          <w:tcPr>
            <w:tcW w:w="557" w:type="dxa"/>
          </w:tcPr>
          <w:p w14:paraId="70ADEB51" w14:textId="77777777" w:rsidR="00B93A94" w:rsidRPr="0047058F" w:rsidRDefault="00B93A94" w:rsidP="00AF7596">
            <w:pPr>
              <w:pStyle w:val="TableText"/>
              <w:jc w:val="right"/>
              <w:rPr>
                <w:rFonts w:cs="Arial"/>
                <w:b/>
              </w:rPr>
            </w:pPr>
            <w:r w:rsidRPr="0047058F">
              <w:rPr>
                <w:rFonts w:eastAsia="Times New Roman" w:cs="Arial"/>
                <w:b/>
              </w:rPr>
              <w:t>1462</w:t>
            </w:r>
          </w:p>
        </w:tc>
        <w:tc>
          <w:tcPr>
            <w:tcW w:w="557" w:type="dxa"/>
          </w:tcPr>
          <w:p w14:paraId="5B297417" w14:textId="77777777" w:rsidR="00B93A94" w:rsidRPr="0047058F" w:rsidRDefault="00B93A94" w:rsidP="00AF7596">
            <w:pPr>
              <w:pStyle w:val="TableText"/>
              <w:jc w:val="right"/>
              <w:rPr>
                <w:rFonts w:cs="Arial"/>
                <w:b/>
              </w:rPr>
            </w:pPr>
            <w:r w:rsidRPr="0047058F">
              <w:rPr>
                <w:rFonts w:eastAsia="Times New Roman" w:cs="Arial"/>
                <w:b/>
              </w:rPr>
              <w:t>18.4</w:t>
            </w:r>
          </w:p>
        </w:tc>
        <w:tc>
          <w:tcPr>
            <w:tcW w:w="557" w:type="dxa"/>
          </w:tcPr>
          <w:p w14:paraId="60578553" w14:textId="77777777" w:rsidR="00B93A94" w:rsidRPr="0047058F" w:rsidRDefault="00B93A94" w:rsidP="00AF7596">
            <w:pPr>
              <w:pStyle w:val="TableText"/>
              <w:jc w:val="right"/>
              <w:rPr>
                <w:rFonts w:cs="Arial"/>
                <w:b/>
              </w:rPr>
            </w:pPr>
            <w:r w:rsidRPr="0047058F">
              <w:rPr>
                <w:rFonts w:eastAsia="Times New Roman" w:cs="Arial"/>
                <w:b/>
              </w:rPr>
              <w:t>1181</w:t>
            </w:r>
          </w:p>
        </w:tc>
        <w:tc>
          <w:tcPr>
            <w:tcW w:w="557" w:type="dxa"/>
          </w:tcPr>
          <w:p w14:paraId="18A29B5E" w14:textId="77777777" w:rsidR="00B93A94" w:rsidRPr="0047058F" w:rsidRDefault="00B93A94" w:rsidP="00AF7596">
            <w:pPr>
              <w:pStyle w:val="TableText"/>
              <w:jc w:val="right"/>
              <w:rPr>
                <w:rFonts w:cs="Arial"/>
                <w:b/>
              </w:rPr>
            </w:pPr>
            <w:r w:rsidRPr="0047058F">
              <w:rPr>
                <w:rFonts w:eastAsia="Times New Roman" w:cs="Arial"/>
                <w:b/>
              </w:rPr>
              <w:t>14.9</w:t>
            </w:r>
          </w:p>
        </w:tc>
      </w:tr>
    </w:tbl>
    <w:p w14:paraId="7ACFD5C1" w14:textId="77777777" w:rsidR="00B93A94" w:rsidRPr="0047058F" w:rsidRDefault="00B93A94" w:rsidP="00F77104">
      <w:pPr>
        <w:pStyle w:val="TableText"/>
        <w:spacing w:after="240"/>
      </w:pPr>
      <w:r w:rsidRPr="0047058F">
        <w:rPr>
          <w:rFonts w:cs="Arial"/>
        </w:rPr>
        <w:t>Note: Unweighted data.</w:t>
      </w:r>
    </w:p>
    <w:p w14:paraId="12484394" w14:textId="77777777" w:rsidR="00B93A94" w:rsidRPr="0047058F" w:rsidRDefault="00B93A94" w:rsidP="00B93A94">
      <w:pPr>
        <w:pStyle w:val="FigureName"/>
      </w:pPr>
      <w:bookmarkStart w:id="244" w:name="_Ref387051896"/>
      <w:bookmarkStart w:id="245" w:name="_Toc529117566"/>
      <w:bookmarkStart w:id="246" w:name="_Toc532473639"/>
      <w:r w:rsidRPr="0047058F">
        <w:t>Figure 5.2</w:t>
      </w:r>
      <w:bookmarkEnd w:id="244"/>
      <w:r w:rsidRPr="0047058F">
        <w:tab/>
        <w:t xml:space="preserve">Proportion of </w:t>
      </w:r>
      <w:r w:rsidRPr="0047058F">
        <w:rPr>
          <w:u w:val="single"/>
        </w:rPr>
        <w:t>entire longitudinal cohort</w:t>
      </w:r>
      <w:r w:rsidRPr="0047058F">
        <w:t xml:space="preserve"> with no disorder, subsyndromal disorder and probable disorder on K10 in 2010 and 2015</w:t>
      </w:r>
      <w:bookmarkEnd w:id="245"/>
      <w:bookmarkEnd w:id="246"/>
    </w:p>
    <w:p w14:paraId="79553EFB" w14:textId="77777777" w:rsidR="003427E0" w:rsidRPr="0047058F" w:rsidRDefault="00B93A94" w:rsidP="003427E0">
      <w:pPr>
        <w:spacing w:after="360"/>
      </w:pPr>
      <w:r w:rsidRPr="0047058F">
        <w:rPr>
          <w:noProof/>
          <w:lang w:eastAsia="en-AU"/>
        </w:rPr>
        <w:drawing>
          <wp:inline distT="0" distB="0" distL="0" distR="0" wp14:anchorId="0EF6525F" wp14:editId="3AC5F5D9">
            <wp:extent cx="4572000" cy="2743200"/>
            <wp:effectExtent l="0" t="0" r="0" b="0"/>
            <wp:docPr id="17" name="Chart 17" descr="Figure 5.2 Proportion of entire longitudinal cohort with no disorder, subsyndromal disorder and probable disorder on K10 in 2010 and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46B5B6" w14:textId="77777777" w:rsidR="00B93A94" w:rsidRPr="0047058F" w:rsidRDefault="00B93A94" w:rsidP="00B93A94">
      <w:pPr>
        <w:pStyle w:val="TableName"/>
      </w:pPr>
      <w:bookmarkStart w:id="247" w:name="_Ref384555929"/>
      <w:bookmarkStart w:id="248" w:name="_Toc529117515"/>
      <w:bookmarkStart w:id="249" w:name="_Toc532473585"/>
      <w:r w:rsidRPr="0047058F">
        <w:t>Table 5.3</w:t>
      </w:r>
      <w:bookmarkEnd w:id="247"/>
      <w:r w:rsidRPr="0047058F">
        <w:tab/>
        <w:t xml:space="preserve">Proportion of </w:t>
      </w:r>
      <w:r w:rsidRPr="0047058F">
        <w:rPr>
          <w:u w:val="single"/>
        </w:rPr>
        <w:t>Transitioned ADF in the longitudinal cohort</w:t>
      </w:r>
      <w:r w:rsidRPr="0047058F">
        <w:t xml:space="preserve"> with no disorder, subsyndromal disorder and probable disorder on K10 in 2010 and 2015 based on self-reported measures</w:t>
      </w:r>
      <w:bookmarkEnd w:id="248"/>
      <w:bookmarkEnd w:id="249"/>
    </w:p>
    <w:tbl>
      <w:tblPr>
        <w:tblStyle w:val="TWRPTable"/>
        <w:tblW w:w="5000" w:type="pct"/>
        <w:tblLayout w:type="fixed"/>
        <w:tblLook w:val="04A0" w:firstRow="1" w:lastRow="0" w:firstColumn="1" w:lastColumn="0" w:noHBand="0" w:noVBand="1"/>
        <w:tblDescription w:val="Table 5.3 Proportion of Transitioned ADF in the longitudinal cohort with no disorder, subsyndromal disorder and probable disorder on K10 in 2010 and 2015 based on self-reported measures"/>
      </w:tblPr>
      <w:tblGrid>
        <w:gridCol w:w="2718"/>
        <w:gridCol w:w="629"/>
        <w:gridCol w:w="630"/>
        <w:gridCol w:w="556"/>
        <w:gridCol w:w="556"/>
        <w:gridCol w:w="557"/>
        <w:gridCol w:w="556"/>
        <w:gridCol w:w="556"/>
        <w:gridCol w:w="557"/>
      </w:tblGrid>
      <w:tr w:rsidR="00B93A94" w:rsidRPr="0047058F" w14:paraId="32ABD3BA"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977" w:type="dxa"/>
            <w:gridSpan w:val="3"/>
            <w:vMerge w:val="restart"/>
          </w:tcPr>
          <w:p w14:paraId="34B5F710" w14:textId="77777777" w:rsidR="00B93A94" w:rsidRPr="0047058F" w:rsidRDefault="00B93A94" w:rsidP="00AF7596">
            <w:pPr>
              <w:pStyle w:val="TableText"/>
            </w:pPr>
            <w:r w:rsidRPr="0047058F">
              <w:t>2010 ADF Mental Health Prevalence and Wellbeing Study</w:t>
            </w:r>
          </w:p>
        </w:tc>
        <w:tc>
          <w:tcPr>
            <w:tcW w:w="3338" w:type="dxa"/>
            <w:gridSpan w:val="6"/>
          </w:tcPr>
          <w:p w14:paraId="43D3E2AD" w14:textId="77777777" w:rsidR="00B93A94" w:rsidRPr="0047058F" w:rsidRDefault="00B93A94" w:rsidP="00AF7596">
            <w:pPr>
              <w:pStyle w:val="TableText"/>
              <w:jc w:val="center"/>
            </w:pPr>
            <w:r w:rsidRPr="0047058F">
              <w:t>2015 Transition and Wellbeing Research Programme</w:t>
            </w:r>
          </w:p>
        </w:tc>
      </w:tr>
      <w:tr w:rsidR="00B93A94" w:rsidRPr="0047058F" w14:paraId="7A010120"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977" w:type="dxa"/>
            <w:gridSpan w:val="3"/>
            <w:vMerge/>
          </w:tcPr>
          <w:p w14:paraId="04E647FD" w14:textId="77777777" w:rsidR="00B93A94" w:rsidRPr="0047058F" w:rsidRDefault="00B93A94" w:rsidP="00AF7596">
            <w:pPr>
              <w:pStyle w:val="TableText"/>
            </w:pPr>
          </w:p>
        </w:tc>
        <w:tc>
          <w:tcPr>
            <w:tcW w:w="1112" w:type="dxa"/>
            <w:gridSpan w:val="2"/>
            <w:hideMark/>
          </w:tcPr>
          <w:p w14:paraId="116457FB" w14:textId="77777777" w:rsidR="00B93A94" w:rsidRPr="0047058F" w:rsidRDefault="00B93A94" w:rsidP="00AF7596">
            <w:pPr>
              <w:pStyle w:val="TableText"/>
              <w:jc w:val="center"/>
            </w:pPr>
            <w:r w:rsidRPr="0047058F">
              <w:t>No disorder</w:t>
            </w:r>
          </w:p>
        </w:tc>
        <w:tc>
          <w:tcPr>
            <w:tcW w:w="1113" w:type="dxa"/>
            <w:gridSpan w:val="2"/>
          </w:tcPr>
          <w:p w14:paraId="518FEBF5" w14:textId="77777777" w:rsidR="00B93A94" w:rsidRPr="0047058F" w:rsidRDefault="00B93A94" w:rsidP="00AF7596">
            <w:pPr>
              <w:pStyle w:val="TableText"/>
              <w:jc w:val="center"/>
            </w:pPr>
            <w:r w:rsidRPr="0047058F">
              <w:t>Subsyndromal disorder</w:t>
            </w:r>
          </w:p>
        </w:tc>
        <w:tc>
          <w:tcPr>
            <w:tcW w:w="1113" w:type="dxa"/>
            <w:gridSpan w:val="2"/>
          </w:tcPr>
          <w:p w14:paraId="195C038D" w14:textId="77777777" w:rsidR="00B93A94" w:rsidRPr="0047058F" w:rsidRDefault="00B93A94" w:rsidP="00AF7596">
            <w:pPr>
              <w:pStyle w:val="TableText"/>
              <w:jc w:val="center"/>
            </w:pPr>
            <w:r w:rsidRPr="0047058F">
              <w:t>Probable disorder</w:t>
            </w:r>
          </w:p>
        </w:tc>
      </w:tr>
      <w:tr w:rsidR="00B93A94" w:rsidRPr="0047058F" w14:paraId="55F123CB"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718" w:type="dxa"/>
          </w:tcPr>
          <w:p w14:paraId="13951EB7" w14:textId="77777777" w:rsidR="00B93A94" w:rsidRPr="0047058F" w:rsidRDefault="00B93A94" w:rsidP="00AF7596">
            <w:pPr>
              <w:pStyle w:val="TableText"/>
            </w:pPr>
            <w:r w:rsidRPr="0047058F">
              <w:rPr>
                <w:rFonts w:cs="Arial"/>
              </w:rPr>
              <w:t>K10</w:t>
            </w:r>
          </w:p>
        </w:tc>
        <w:tc>
          <w:tcPr>
            <w:tcW w:w="629" w:type="dxa"/>
          </w:tcPr>
          <w:p w14:paraId="5AC81025" w14:textId="77777777" w:rsidR="00B93A94" w:rsidRPr="0047058F" w:rsidRDefault="00B93A94" w:rsidP="00AF7596">
            <w:pPr>
              <w:pStyle w:val="TableText"/>
              <w:jc w:val="right"/>
              <w:rPr>
                <w:rFonts w:cs="Arial"/>
              </w:rPr>
            </w:pPr>
            <w:r w:rsidRPr="0047058F">
              <w:rPr>
                <w:rFonts w:cs="Arial"/>
              </w:rPr>
              <w:t>n</w:t>
            </w:r>
          </w:p>
        </w:tc>
        <w:tc>
          <w:tcPr>
            <w:tcW w:w="630" w:type="dxa"/>
          </w:tcPr>
          <w:p w14:paraId="48204816" w14:textId="77777777" w:rsidR="00B93A94" w:rsidRPr="0047058F" w:rsidRDefault="00B93A94" w:rsidP="00AF7596">
            <w:pPr>
              <w:pStyle w:val="TableText"/>
              <w:jc w:val="right"/>
              <w:rPr>
                <w:rFonts w:cs="Arial"/>
              </w:rPr>
            </w:pPr>
            <w:r w:rsidRPr="0047058F">
              <w:rPr>
                <w:rFonts w:cs="Arial"/>
              </w:rPr>
              <w:t>%</w:t>
            </w:r>
          </w:p>
        </w:tc>
        <w:tc>
          <w:tcPr>
            <w:tcW w:w="556" w:type="dxa"/>
          </w:tcPr>
          <w:p w14:paraId="197A5C5F" w14:textId="77777777" w:rsidR="00B93A94" w:rsidRPr="0047058F" w:rsidRDefault="00B93A94" w:rsidP="00AF7596">
            <w:pPr>
              <w:pStyle w:val="TableText"/>
              <w:jc w:val="right"/>
              <w:rPr>
                <w:rFonts w:cs="Arial"/>
              </w:rPr>
            </w:pPr>
            <w:r w:rsidRPr="0047058F">
              <w:rPr>
                <w:rFonts w:cs="Arial"/>
              </w:rPr>
              <w:t>n</w:t>
            </w:r>
          </w:p>
        </w:tc>
        <w:tc>
          <w:tcPr>
            <w:tcW w:w="556" w:type="dxa"/>
          </w:tcPr>
          <w:p w14:paraId="06365CF7" w14:textId="77777777" w:rsidR="00B93A94" w:rsidRPr="0047058F" w:rsidRDefault="00B93A94" w:rsidP="00AF7596">
            <w:pPr>
              <w:pStyle w:val="TableText"/>
              <w:jc w:val="right"/>
              <w:rPr>
                <w:rFonts w:cs="Arial"/>
              </w:rPr>
            </w:pPr>
            <w:r w:rsidRPr="0047058F">
              <w:rPr>
                <w:rFonts w:cs="Arial"/>
              </w:rPr>
              <w:t>%</w:t>
            </w:r>
          </w:p>
        </w:tc>
        <w:tc>
          <w:tcPr>
            <w:tcW w:w="557" w:type="dxa"/>
          </w:tcPr>
          <w:p w14:paraId="6E9928E6" w14:textId="77777777" w:rsidR="00B93A94" w:rsidRPr="0047058F" w:rsidRDefault="00B93A94" w:rsidP="00AF7596">
            <w:pPr>
              <w:pStyle w:val="TableText"/>
              <w:jc w:val="right"/>
              <w:rPr>
                <w:rFonts w:cs="Arial"/>
              </w:rPr>
            </w:pPr>
            <w:r w:rsidRPr="0047058F">
              <w:rPr>
                <w:rFonts w:cs="Arial"/>
              </w:rPr>
              <w:t>n</w:t>
            </w:r>
          </w:p>
        </w:tc>
        <w:tc>
          <w:tcPr>
            <w:tcW w:w="556" w:type="dxa"/>
          </w:tcPr>
          <w:p w14:paraId="04C2F01A" w14:textId="77777777" w:rsidR="00B93A94" w:rsidRPr="0047058F" w:rsidRDefault="00B93A94" w:rsidP="00AF7596">
            <w:pPr>
              <w:pStyle w:val="TableText"/>
              <w:jc w:val="right"/>
              <w:rPr>
                <w:rFonts w:cs="Arial"/>
              </w:rPr>
            </w:pPr>
            <w:r w:rsidRPr="0047058F">
              <w:rPr>
                <w:rFonts w:cs="Arial"/>
              </w:rPr>
              <w:t>%</w:t>
            </w:r>
          </w:p>
        </w:tc>
        <w:tc>
          <w:tcPr>
            <w:tcW w:w="556" w:type="dxa"/>
          </w:tcPr>
          <w:p w14:paraId="4581C254" w14:textId="77777777" w:rsidR="00B93A94" w:rsidRPr="0047058F" w:rsidRDefault="00B93A94" w:rsidP="00AF7596">
            <w:pPr>
              <w:pStyle w:val="TableText"/>
              <w:jc w:val="right"/>
              <w:rPr>
                <w:rFonts w:cs="Arial"/>
              </w:rPr>
            </w:pPr>
            <w:r w:rsidRPr="0047058F">
              <w:rPr>
                <w:rFonts w:cs="Arial"/>
              </w:rPr>
              <w:t>n</w:t>
            </w:r>
          </w:p>
        </w:tc>
        <w:tc>
          <w:tcPr>
            <w:tcW w:w="557" w:type="dxa"/>
          </w:tcPr>
          <w:p w14:paraId="1E08E2CA" w14:textId="77777777" w:rsidR="00B93A94" w:rsidRPr="0047058F" w:rsidRDefault="00B93A94" w:rsidP="00AF7596">
            <w:pPr>
              <w:pStyle w:val="TableText"/>
              <w:jc w:val="right"/>
              <w:rPr>
                <w:rFonts w:cs="Arial"/>
              </w:rPr>
            </w:pPr>
            <w:r w:rsidRPr="0047058F">
              <w:rPr>
                <w:rFonts w:cs="Arial"/>
              </w:rPr>
              <w:t>%</w:t>
            </w:r>
          </w:p>
        </w:tc>
      </w:tr>
      <w:tr w:rsidR="00B93A94" w:rsidRPr="0047058F" w14:paraId="035F6E77"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718" w:type="dxa"/>
          </w:tcPr>
          <w:p w14:paraId="1EF6F65E"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629" w:type="dxa"/>
          </w:tcPr>
          <w:p w14:paraId="035642E7" w14:textId="77777777" w:rsidR="00B93A94" w:rsidRPr="0047058F" w:rsidRDefault="00B93A94" w:rsidP="00AF7596">
            <w:pPr>
              <w:pStyle w:val="TableText"/>
              <w:jc w:val="right"/>
            </w:pPr>
            <w:r w:rsidRPr="0047058F">
              <w:rPr>
                <w:rFonts w:eastAsia="Times New Roman" w:cs="Arial"/>
              </w:rPr>
              <w:t>1375</w:t>
            </w:r>
          </w:p>
        </w:tc>
        <w:tc>
          <w:tcPr>
            <w:tcW w:w="630" w:type="dxa"/>
          </w:tcPr>
          <w:p w14:paraId="1F5147B9" w14:textId="77777777" w:rsidR="00B93A94" w:rsidRPr="0047058F" w:rsidRDefault="00B93A94" w:rsidP="00AF7596">
            <w:pPr>
              <w:pStyle w:val="TableText"/>
              <w:jc w:val="right"/>
              <w:rPr>
                <w:rFonts w:eastAsia="Times New Roman" w:cs="Arial"/>
              </w:rPr>
            </w:pPr>
            <w:r w:rsidRPr="0047058F">
              <w:rPr>
                <w:rFonts w:eastAsia="Times New Roman" w:cs="Arial"/>
              </w:rPr>
              <w:t>63.3</w:t>
            </w:r>
          </w:p>
        </w:tc>
        <w:tc>
          <w:tcPr>
            <w:tcW w:w="556" w:type="dxa"/>
          </w:tcPr>
          <w:p w14:paraId="0C3959B4" w14:textId="77777777" w:rsidR="00B93A94" w:rsidRPr="0047058F" w:rsidRDefault="00B93A94" w:rsidP="00AF7596">
            <w:pPr>
              <w:pStyle w:val="TableText"/>
              <w:jc w:val="right"/>
            </w:pPr>
            <w:r w:rsidRPr="0047058F">
              <w:rPr>
                <w:rFonts w:eastAsia="Times New Roman" w:cs="Arial"/>
              </w:rPr>
              <w:t>944</w:t>
            </w:r>
          </w:p>
        </w:tc>
        <w:tc>
          <w:tcPr>
            <w:tcW w:w="556" w:type="dxa"/>
          </w:tcPr>
          <w:p w14:paraId="0F330B89" w14:textId="77777777" w:rsidR="00B93A94" w:rsidRPr="0047058F" w:rsidRDefault="00B93A94" w:rsidP="00AF7596">
            <w:pPr>
              <w:pStyle w:val="TableText"/>
              <w:jc w:val="right"/>
            </w:pPr>
            <w:r w:rsidRPr="0047058F">
              <w:rPr>
                <w:rFonts w:eastAsia="Times New Roman" w:cs="Arial"/>
              </w:rPr>
              <w:t>68.7</w:t>
            </w:r>
          </w:p>
        </w:tc>
        <w:tc>
          <w:tcPr>
            <w:tcW w:w="557" w:type="dxa"/>
          </w:tcPr>
          <w:p w14:paraId="344E42A3" w14:textId="77777777" w:rsidR="00B93A94" w:rsidRPr="0047058F" w:rsidRDefault="00B93A94" w:rsidP="00AF7596">
            <w:pPr>
              <w:pStyle w:val="TableText"/>
              <w:jc w:val="right"/>
            </w:pPr>
            <w:r w:rsidRPr="0047058F">
              <w:rPr>
                <w:rFonts w:eastAsia="Times New Roman" w:cs="Arial"/>
              </w:rPr>
              <w:t>222</w:t>
            </w:r>
          </w:p>
        </w:tc>
        <w:tc>
          <w:tcPr>
            <w:tcW w:w="556" w:type="dxa"/>
          </w:tcPr>
          <w:p w14:paraId="395F4613" w14:textId="77777777" w:rsidR="00B93A94" w:rsidRPr="0047058F" w:rsidRDefault="00B93A94" w:rsidP="00AF7596">
            <w:pPr>
              <w:pStyle w:val="TableText"/>
              <w:jc w:val="right"/>
            </w:pPr>
            <w:r w:rsidRPr="0047058F">
              <w:rPr>
                <w:rFonts w:eastAsia="Times New Roman" w:cs="Arial"/>
              </w:rPr>
              <w:t>16.1</w:t>
            </w:r>
          </w:p>
        </w:tc>
        <w:tc>
          <w:tcPr>
            <w:tcW w:w="556" w:type="dxa"/>
          </w:tcPr>
          <w:p w14:paraId="17101F19" w14:textId="77777777" w:rsidR="00B93A94" w:rsidRPr="0047058F" w:rsidRDefault="00B93A94" w:rsidP="00AF7596">
            <w:pPr>
              <w:pStyle w:val="TableText"/>
              <w:jc w:val="right"/>
            </w:pPr>
            <w:r w:rsidRPr="0047058F">
              <w:rPr>
                <w:rFonts w:eastAsia="Times New Roman" w:cs="Arial"/>
              </w:rPr>
              <w:t>209</w:t>
            </w:r>
          </w:p>
        </w:tc>
        <w:tc>
          <w:tcPr>
            <w:tcW w:w="557" w:type="dxa"/>
          </w:tcPr>
          <w:p w14:paraId="6085AD8A" w14:textId="77777777" w:rsidR="00B93A94" w:rsidRPr="0047058F" w:rsidRDefault="00B93A94" w:rsidP="00AF7596">
            <w:pPr>
              <w:pStyle w:val="TableText"/>
              <w:jc w:val="right"/>
            </w:pPr>
            <w:r w:rsidRPr="0047058F">
              <w:rPr>
                <w:rFonts w:eastAsia="Times New Roman" w:cs="Arial"/>
              </w:rPr>
              <w:t>15.2</w:t>
            </w:r>
          </w:p>
        </w:tc>
      </w:tr>
      <w:tr w:rsidR="00B93A94" w:rsidRPr="0047058F" w14:paraId="6AA01900" w14:textId="77777777" w:rsidTr="00AF7596">
        <w:trPr>
          <w:cantSplit/>
        </w:trPr>
        <w:tc>
          <w:tcPr>
            <w:tcW w:w="2718" w:type="dxa"/>
          </w:tcPr>
          <w:p w14:paraId="7F1D6AD9"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629" w:type="dxa"/>
          </w:tcPr>
          <w:p w14:paraId="2698F9B3" w14:textId="77777777" w:rsidR="00B93A94" w:rsidRPr="0047058F" w:rsidRDefault="00B93A94" w:rsidP="00AF7596">
            <w:pPr>
              <w:pStyle w:val="TableText"/>
              <w:jc w:val="right"/>
            </w:pPr>
            <w:r w:rsidRPr="0047058F">
              <w:rPr>
                <w:rFonts w:eastAsia="Times New Roman" w:cs="Arial"/>
              </w:rPr>
              <w:t>548</w:t>
            </w:r>
          </w:p>
        </w:tc>
        <w:tc>
          <w:tcPr>
            <w:tcW w:w="630" w:type="dxa"/>
          </w:tcPr>
          <w:p w14:paraId="55B00D09" w14:textId="77777777" w:rsidR="00B93A94" w:rsidRPr="0047058F" w:rsidRDefault="00B93A94" w:rsidP="00AF7596">
            <w:pPr>
              <w:pStyle w:val="TableText"/>
              <w:jc w:val="right"/>
              <w:rPr>
                <w:rFonts w:eastAsia="Times New Roman" w:cs="Arial"/>
              </w:rPr>
            </w:pPr>
            <w:r w:rsidRPr="0047058F">
              <w:rPr>
                <w:rFonts w:eastAsia="Times New Roman" w:cs="Arial"/>
              </w:rPr>
              <w:t>25.2</w:t>
            </w:r>
          </w:p>
        </w:tc>
        <w:tc>
          <w:tcPr>
            <w:tcW w:w="556" w:type="dxa"/>
          </w:tcPr>
          <w:p w14:paraId="5DF0F745" w14:textId="77777777" w:rsidR="00B93A94" w:rsidRPr="0047058F" w:rsidRDefault="00B93A94" w:rsidP="00AF7596">
            <w:pPr>
              <w:pStyle w:val="TableText"/>
              <w:jc w:val="right"/>
            </w:pPr>
            <w:r w:rsidRPr="0047058F">
              <w:rPr>
                <w:rFonts w:eastAsia="Times New Roman" w:cs="Arial"/>
              </w:rPr>
              <w:t>231</w:t>
            </w:r>
          </w:p>
        </w:tc>
        <w:tc>
          <w:tcPr>
            <w:tcW w:w="556" w:type="dxa"/>
          </w:tcPr>
          <w:p w14:paraId="004B0C94" w14:textId="77777777" w:rsidR="00B93A94" w:rsidRPr="0047058F" w:rsidRDefault="00B93A94" w:rsidP="00AF7596">
            <w:pPr>
              <w:pStyle w:val="TableText"/>
              <w:jc w:val="right"/>
            </w:pPr>
            <w:r w:rsidRPr="0047058F">
              <w:rPr>
                <w:rFonts w:eastAsia="Times New Roman" w:cs="Arial"/>
              </w:rPr>
              <w:t>42.2</w:t>
            </w:r>
          </w:p>
        </w:tc>
        <w:tc>
          <w:tcPr>
            <w:tcW w:w="557" w:type="dxa"/>
          </w:tcPr>
          <w:p w14:paraId="5A2E3C91" w14:textId="77777777" w:rsidR="00B93A94" w:rsidRPr="0047058F" w:rsidRDefault="00B93A94" w:rsidP="00AF7596">
            <w:pPr>
              <w:pStyle w:val="TableText"/>
              <w:jc w:val="right"/>
            </w:pPr>
            <w:r w:rsidRPr="0047058F">
              <w:rPr>
                <w:rFonts w:eastAsia="Times New Roman" w:cs="Arial"/>
              </w:rPr>
              <w:t>179</w:t>
            </w:r>
          </w:p>
        </w:tc>
        <w:tc>
          <w:tcPr>
            <w:tcW w:w="556" w:type="dxa"/>
          </w:tcPr>
          <w:p w14:paraId="3AD6665C" w14:textId="77777777" w:rsidR="00B93A94" w:rsidRPr="0047058F" w:rsidRDefault="00B93A94" w:rsidP="00AF7596">
            <w:pPr>
              <w:pStyle w:val="TableText"/>
              <w:jc w:val="right"/>
            </w:pPr>
            <w:r w:rsidRPr="0047058F">
              <w:rPr>
                <w:rFonts w:eastAsia="Times New Roman" w:cs="Arial"/>
              </w:rPr>
              <w:t>32.7</w:t>
            </w:r>
          </w:p>
        </w:tc>
        <w:tc>
          <w:tcPr>
            <w:tcW w:w="556" w:type="dxa"/>
          </w:tcPr>
          <w:p w14:paraId="4E21BDEC" w14:textId="77777777" w:rsidR="00B93A94" w:rsidRPr="0047058F" w:rsidRDefault="00B93A94" w:rsidP="00AF7596">
            <w:pPr>
              <w:pStyle w:val="TableText"/>
              <w:jc w:val="right"/>
            </w:pPr>
            <w:r w:rsidRPr="0047058F">
              <w:rPr>
                <w:rFonts w:eastAsia="Times New Roman" w:cs="Arial"/>
              </w:rPr>
              <w:t>138</w:t>
            </w:r>
          </w:p>
        </w:tc>
        <w:tc>
          <w:tcPr>
            <w:tcW w:w="557" w:type="dxa"/>
          </w:tcPr>
          <w:p w14:paraId="7F7FF327" w14:textId="77777777" w:rsidR="00B93A94" w:rsidRPr="0047058F" w:rsidRDefault="00B93A94" w:rsidP="00AF7596">
            <w:pPr>
              <w:pStyle w:val="TableText"/>
              <w:jc w:val="right"/>
            </w:pPr>
            <w:r w:rsidRPr="0047058F">
              <w:rPr>
                <w:rFonts w:eastAsia="Times New Roman" w:cs="Arial"/>
              </w:rPr>
              <w:t>25.2</w:t>
            </w:r>
          </w:p>
        </w:tc>
      </w:tr>
      <w:tr w:rsidR="00B93A94" w:rsidRPr="0047058F" w14:paraId="69CE188B"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718" w:type="dxa"/>
          </w:tcPr>
          <w:p w14:paraId="1AEBFC54"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629" w:type="dxa"/>
          </w:tcPr>
          <w:p w14:paraId="6A3BE87F" w14:textId="77777777" w:rsidR="00B93A94" w:rsidRPr="0047058F" w:rsidRDefault="00B93A94" w:rsidP="00AF7596">
            <w:pPr>
              <w:pStyle w:val="TableText"/>
              <w:jc w:val="right"/>
            </w:pPr>
            <w:r w:rsidRPr="0047058F">
              <w:rPr>
                <w:rFonts w:eastAsia="Times New Roman" w:cs="Arial"/>
              </w:rPr>
              <w:t>250</w:t>
            </w:r>
          </w:p>
        </w:tc>
        <w:tc>
          <w:tcPr>
            <w:tcW w:w="630" w:type="dxa"/>
          </w:tcPr>
          <w:p w14:paraId="17534301" w14:textId="77777777" w:rsidR="00B93A94" w:rsidRPr="0047058F" w:rsidRDefault="00B93A94" w:rsidP="00AF7596">
            <w:pPr>
              <w:pStyle w:val="TableText"/>
              <w:jc w:val="right"/>
              <w:rPr>
                <w:rFonts w:eastAsia="Times New Roman" w:cs="Arial"/>
              </w:rPr>
            </w:pPr>
            <w:r w:rsidRPr="0047058F">
              <w:rPr>
                <w:rFonts w:eastAsia="Times New Roman" w:cs="Arial"/>
              </w:rPr>
              <w:t>11.5</w:t>
            </w:r>
          </w:p>
        </w:tc>
        <w:tc>
          <w:tcPr>
            <w:tcW w:w="556" w:type="dxa"/>
          </w:tcPr>
          <w:p w14:paraId="703E424B" w14:textId="77777777" w:rsidR="00B93A94" w:rsidRPr="0047058F" w:rsidRDefault="00B93A94" w:rsidP="00AF7596">
            <w:pPr>
              <w:pStyle w:val="TableText"/>
              <w:jc w:val="right"/>
            </w:pPr>
            <w:r w:rsidRPr="0047058F">
              <w:rPr>
                <w:rFonts w:eastAsia="Times New Roman" w:cs="Arial"/>
              </w:rPr>
              <w:t>47</w:t>
            </w:r>
          </w:p>
        </w:tc>
        <w:tc>
          <w:tcPr>
            <w:tcW w:w="556" w:type="dxa"/>
          </w:tcPr>
          <w:p w14:paraId="1F823BA6" w14:textId="77777777" w:rsidR="00B93A94" w:rsidRPr="0047058F" w:rsidRDefault="00B93A94" w:rsidP="00AF7596">
            <w:pPr>
              <w:pStyle w:val="TableText"/>
              <w:jc w:val="right"/>
            </w:pPr>
            <w:r w:rsidRPr="0047058F">
              <w:rPr>
                <w:rFonts w:eastAsia="Times New Roman" w:cs="Arial"/>
              </w:rPr>
              <w:t>18.8</w:t>
            </w:r>
          </w:p>
        </w:tc>
        <w:tc>
          <w:tcPr>
            <w:tcW w:w="557" w:type="dxa"/>
          </w:tcPr>
          <w:p w14:paraId="62370148" w14:textId="77777777" w:rsidR="00B93A94" w:rsidRPr="0047058F" w:rsidRDefault="00B93A94" w:rsidP="00AF7596">
            <w:pPr>
              <w:pStyle w:val="TableText"/>
              <w:jc w:val="right"/>
            </w:pPr>
            <w:r w:rsidRPr="0047058F">
              <w:rPr>
                <w:rFonts w:eastAsia="Times New Roman" w:cs="Arial"/>
              </w:rPr>
              <w:t>58</w:t>
            </w:r>
          </w:p>
        </w:tc>
        <w:tc>
          <w:tcPr>
            <w:tcW w:w="556" w:type="dxa"/>
          </w:tcPr>
          <w:p w14:paraId="733906E9" w14:textId="77777777" w:rsidR="00B93A94" w:rsidRPr="0047058F" w:rsidRDefault="00B93A94" w:rsidP="00AF7596">
            <w:pPr>
              <w:pStyle w:val="TableText"/>
              <w:jc w:val="right"/>
            </w:pPr>
            <w:r w:rsidRPr="0047058F">
              <w:rPr>
                <w:rFonts w:eastAsia="Times New Roman" w:cs="Arial"/>
              </w:rPr>
              <w:t>23.2</w:t>
            </w:r>
          </w:p>
        </w:tc>
        <w:tc>
          <w:tcPr>
            <w:tcW w:w="556" w:type="dxa"/>
          </w:tcPr>
          <w:p w14:paraId="6DCB1E17" w14:textId="77777777" w:rsidR="00B93A94" w:rsidRPr="0047058F" w:rsidRDefault="00B93A94" w:rsidP="00AF7596">
            <w:pPr>
              <w:pStyle w:val="TableText"/>
              <w:jc w:val="right"/>
            </w:pPr>
            <w:r w:rsidRPr="0047058F">
              <w:rPr>
                <w:rFonts w:eastAsia="Times New Roman" w:cs="Arial"/>
              </w:rPr>
              <w:t>145</w:t>
            </w:r>
          </w:p>
        </w:tc>
        <w:tc>
          <w:tcPr>
            <w:tcW w:w="557" w:type="dxa"/>
          </w:tcPr>
          <w:p w14:paraId="244E4587" w14:textId="77777777" w:rsidR="00B93A94" w:rsidRPr="0047058F" w:rsidRDefault="00B93A94" w:rsidP="00AF7596">
            <w:pPr>
              <w:pStyle w:val="TableText"/>
              <w:jc w:val="right"/>
            </w:pPr>
            <w:r w:rsidRPr="0047058F">
              <w:rPr>
                <w:rFonts w:eastAsia="Times New Roman" w:cs="Arial"/>
              </w:rPr>
              <w:t>58.0</w:t>
            </w:r>
          </w:p>
        </w:tc>
      </w:tr>
      <w:tr w:rsidR="00B93A94" w:rsidRPr="0047058F" w14:paraId="0308BA59" w14:textId="77777777" w:rsidTr="00AF7596">
        <w:trPr>
          <w:cantSplit/>
        </w:trPr>
        <w:tc>
          <w:tcPr>
            <w:tcW w:w="2718" w:type="dxa"/>
          </w:tcPr>
          <w:p w14:paraId="229077CC" w14:textId="77777777" w:rsidR="00B93A94" w:rsidRPr="0047058F" w:rsidRDefault="00B93A94" w:rsidP="00AF7596">
            <w:pPr>
              <w:pStyle w:val="TableText"/>
              <w:rPr>
                <w:rFonts w:cs="Arial"/>
                <w:b/>
              </w:rPr>
            </w:pPr>
            <w:r w:rsidRPr="0047058F">
              <w:rPr>
                <w:rFonts w:cs="Arial"/>
                <w:b/>
              </w:rPr>
              <w:t>Total</w:t>
            </w:r>
          </w:p>
        </w:tc>
        <w:tc>
          <w:tcPr>
            <w:tcW w:w="629" w:type="dxa"/>
          </w:tcPr>
          <w:p w14:paraId="1B5084C9" w14:textId="77777777" w:rsidR="00B93A94" w:rsidRPr="0047058F" w:rsidRDefault="00B93A94" w:rsidP="00AF7596">
            <w:pPr>
              <w:pStyle w:val="TableText"/>
              <w:jc w:val="right"/>
              <w:rPr>
                <w:rFonts w:cs="Arial"/>
                <w:b/>
              </w:rPr>
            </w:pPr>
            <w:r w:rsidRPr="0047058F">
              <w:rPr>
                <w:rFonts w:cs="Arial"/>
                <w:b/>
              </w:rPr>
              <w:t>2173</w:t>
            </w:r>
          </w:p>
        </w:tc>
        <w:tc>
          <w:tcPr>
            <w:tcW w:w="630" w:type="dxa"/>
          </w:tcPr>
          <w:p w14:paraId="7B02C4EB" w14:textId="77777777" w:rsidR="00B93A94" w:rsidRPr="0047058F" w:rsidRDefault="00B93A94" w:rsidP="00AF7596">
            <w:pPr>
              <w:pStyle w:val="TableText"/>
              <w:jc w:val="right"/>
              <w:rPr>
                <w:rFonts w:eastAsia="Times New Roman" w:cs="Arial"/>
                <w:b/>
              </w:rPr>
            </w:pPr>
            <w:r w:rsidRPr="0047058F">
              <w:rPr>
                <w:rFonts w:eastAsia="Times New Roman" w:cs="Arial"/>
                <w:b/>
              </w:rPr>
              <w:t>100.0</w:t>
            </w:r>
          </w:p>
        </w:tc>
        <w:tc>
          <w:tcPr>
            <w:tcW w:w="556" w:type="dxa"/>
          </w:tcPr>
          <w:p w14:paraId="34496A87" w14:textId="77777777" w:rsidR="00B93A94" w:rsidRPr="0047058F" w:rsidRDefault="00B93A94" w:rsidP="00AF7596">
            <w:pPr>
              <w:pStyle w:val="TableText"/>
              <w:jc w:val="right"/>
              <w:rPr>
                <w:rFonts w:cs="Arial"/>
                <w:b/>
              </w:rPr>
            </w:pPr>
            <w:r w:rsidRPr="0047058F">
              <w:rPr>
                <w:rFonts w:eastAsia="Times New Roman" w:cs="Arial"/>
                <w:b/>
              </w:rPr>
              <w:t>1222</w:t>
            </w:r>
          </w:p>
        </w:tc>
        <w:tc>
          <w:tcPr>
            <w:tcW w:w="556" w:type="dxa"/>
          </w:tcPr>
          <w:p w14:paraId="7F8879F5" w14:textId="77777777" w:rsidR="00B93A94" w:rsidRPr="0047058F" w:rsidRDefault="00B93A94" w:rsidP="00AF7596">
            <w:pPr>
              <w:pStyle w:val="TableText"/>
              <w:jc w:val="right"/>
              <w:rPr>
                <w:rFonts w:cs="Arial"/>
                <w:b/>
              </w:rPr>
            </w:pPr>
            <w:r w:rsidRPr="0047058F">
              <w:rPr>
                <w:rFonts w:eastAsia="Times New Roman" w:cs="Arial"/>
                <w:b/>
              </w:rPr>
              <w:t>56.2</w:t>
            </w:r>
          </w:p>
        </w:tc>
        <w:tc>
          <w:tcPr>
            <w:tcW w:w="557" w:type="dxa"/>
          </w:tcPr>
          <w:p w14:paraId="31BB9FB2" w14:textId="77777777" w:rsidR="00B93A94" w:rsidRPr="0047058F" w:rsidRDefault="00B93A94" w:rsidP="00AF7596">
            <w:pPr>
              <w:pStyle w:val="TableText"/>
              <w:jc w:val="right"/>
              <w:rPr>
                <w:rFonts w:cs="Arial"/>
                <w:b/>
              </w:rPr>
            </w:pPr>
            <w:r w:rsidRPr="0047058F">
              <w:rPr>
                <w:rFonts w:eastAsia="Times New Roman" w:cs="Arial"/>
                <w:b/>
              </w:rPr>
              <w:t>459</w:t>
            </w:r>
          </w:p>
        </w:tc>
        <w:tc>
          <w:tcPr>
            <w:tcW w:w="556" w:type="dxa"/>
          </w:tcPr>
          <w:p w14:paraId="05EA3487" w14:textId="77777777" w:rsidR="00B93A94" w:rsidRPr="0047058F" w:rsidRDefault="00B93A94" w:rsidP="00AF7596">
            <w:pPr>
              <w:pStyle w:val="TableText"/>
              <w:jc w:val="right"/>
              <w:rPr>
                <w:rFonts w:cs="Arial"/>
                <w:b/>
              </w:rPr>
            </w:pPr>
            <w:r w:rsidRPr="0047058F">
              <w:rPr>
                <w:rFonts w:eastAsia="Times New Roman" w:cs="Arial"/>
                <w:b/>
              </w:rPr>
              <w:t>21.1</w:t>
            </w:r>
          </w:p>
        </w:tc>
        <w:tc>
          <w:tcPr>
            <w:tcW w:w="556" w:type="dxa"/>
          </w:tcPr>
          <w:p w14:paraId="04EDCFC0" w14:textId="77777777" w:rsidR="00B93A94" w:rsidRPr="0047058F" w:rsidRDefault="00B93A94" w:rsidP="00AF7596">
            <w:pPr>
              <w:pStyle w:val="TableText"/>
              <w:jc w:val="right"/>
              <w:rPr>
                <w:rFonts w:cs="Arial"/>
                <w:b/>
              </w:rPr>
            </w:pPr>
            <w:r w:rsidRPr="0047058F">
              <w:rPr>
                <w:rFonts w:eastAsia="Times New Roman" w:cs="Arial"/>
                <w:b/>
              </w:rPr>
              <w:t>492</w:t>
            </w:r>
          </w:p>
        </w:tc>
        <w:tc>
          <w:tcPr>
            <w:tcW w:w="557" w:type="dxa"/>
          </w:tcPr>
          <w:p w14:paraId="3247AEC6" w14:textId="77777777" w:rsidR="00B93A94" w:rsidRPr="0047058F" w:rsidRDefault="00B93A94" w:rsidP="00AF7596">
            <w:pPr>
              <w:pStyle w:val="TableText"/>
              <w:jc w:val="right"/>
              <w:rPr>
                <w:rFonts w:cs="Arial"/>
                <w:b/>
              </w:rPr>
            </w:pPr>
            <w:r w:rsidRPr="0047058F">
              <w:rPr>
                <w:rFonts w:eastAsia="Times New Roman" w:cs="Arial"/>
                <w:b/>
              </w:rPr>
              <w:t>22.6</w:t>
            </w:r>
          </w:p>
        </w:tc>
      </w:tr>
    </w:tbl>
    <w:p w14:paraId="00E1A8B3" w14:textId="77777777" w:rsidR="00B93A94" w:rsidRPr="0047058F" w:rsidRDefault="00B93A94" w:rsidP="00B93A94">
      <w:pPr>
        <w:pStyle w:val="TableNotes"/>
      </w:pPr>
      <w:r w:rsidRPr="0047058F">
        <w:t>Note: Unweighted data.</w:t>
      </w:r>
    </w:p>
    <w:p w14:paraId="6845947C" w14:textId="3B1F352E" w:rsidR="002D47A3" w:rsidRPr="0047058F" w:rsidRDefault="002D47A3" w:rsidP="002D47A3">
      <w:pPr>
        <w:pStyle w:val="FigureName"/>
      </w:pPr>
      <w:bookmarkStart w:id="250" w:name="_Toc529117567"/>
      <w:bookmarkStart w:id="251" w:name="_Toc532473640"/>
      <w:r w:rsidRPr="0047058F">
        <w:t>Figure 5.3</w:t>
      </w:r>
      <w:r w:rsidRPr="0047058F">
        <w:tab/>
        <w:t xml:space="preserve">Proportion of </w:t>
      </w:r>
      <w:r w:rsidRPr="0047058F">
        <w:rPr>
          <w:u w:val="single"/>
        </w:rPr>
        <w:t>Transitioned ADF in the longitudinal cohort</w:t>
      </w:r>
      <w:r w:rsidRPr="0047058F">
        <w:t xml:space="preserve"> with no disorder, subsyndromal disorder and probable disorder on K10 in 2010 and 2015</w:t>
      </w:r>
      <w:bookmarkEnd w:id="250"/>
      <w:bookmarkEnd w:id="251"/>
    </w:p>
    <w:p w14:paraId="505E4A3A" w14:textId="77777777" w:rsidR="002D47A3" w:rsidRPr="0047058F" w:rsidRDefault="002D47A3" w:rsidP="002D47A3">
      <w:pPr>
        <w:spacing w:after="360"/>
      </w:pPr>
      <w:r w:rsidRPr="0047058F">
        <w:rPr>
          <w:noProof/>
          <w:lang w:eastAsia="en-AU"/>
        </w:rPr>
        <w:drawing>
          <wp:inline distT="0" distB="0" distL="0" distR="0" wp14:anchorId="4C5267E4" wp14:editId="7916035B">
            <wp:extent cx="4572000" cy="2743200"/>
            <wp:effectExtent l="0" t="0" r="0" b="0"/>
            <wp:docPr id="450" name="Chart 450" descr="Figure 5.3 Proportion of Transitioned ADF in the longitudinal cohort with no disorder, subsyndromal disorder and probable disorder on K10 in 2010 and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A4206B" w14:textId="77777777" w:rsidR="00B93A94" w:rsidRPr="0047058F" w:rsidRDefault="00B93A94" w:rsidP="00B93A94">
      <w:pPr>
        <w:pStyle w:val="TableName"/>
      </w:pPr>
      <w:bookmarkStart w:id="252" w:name="_Ref384555930"/>
      <w:bookmarkStart w:id="253" w:name="_Toc529117516"/>
      <w:bookmarkStart w:id="254" w:name="_Toc532473586"/>
      <w:r w:rsidRPr="0047058F">
        <w:t>Table 5.4</w:t>
      </w:r>
      <w:bookmarkEnd w:id="252"/>
      <w:r w:rsidRPr="0047058F">
        <w:tab/>
        <w:t xml:space="preserve">Proportion of </w:t>
      </w:r>
      <w:r w:rsidRPr="0047058F">
        <w:rPr>
          <w:u w:val="single"/>
        </w:rPr>
        <w:t>2015 Regular ADF in the longitudinal cohort</w:t>
      </w:r>
      <w:r w:rsidRPr="0047058F">
        <w:t xml:space="preserve"> with no disorder, subsyndromal disorder and probable disorder on K10 in 2010 and 2015 based on self-reported measures</w:t>
      </w:r>
      <w:bookmarkEnd w:id="253"/>
      <w:bookmarkEnd w:id="254"/>
    </w:p>
    <w:tbl>
      <w:tblPr>
        <w:tblStyle w:val="TWRPTable"/>
        <w:tblW w:w="0" w:type="auto"/>
        <w:tblLook w:val="04A0" w:firstRow="1" w:lastRow="0" w:firstColumn="1" w:lastColumn="0" w:noHBand="0" w:noVBand="1"/>
        <w:tblDescription w:val="Table 5.4 Proportion of 2015 Regular ADF in the longitudinal cohort with no disorder, subsyndromal disorder and probable disorder on K10 in 2010 and 2015 based on self-reported measures"/>
      </w:tblPr>
      <w:tblGrid>
        <w:gridCol w:w="2808"/>
        <w:gridCol w:w="576"/>
        <w:gridCol w:w="577"/>
        <w:gridCol w:w="559"/>
        <w:gridCol w:w="559"/>
        <w:gridCol w:w="559"/>
        <w:gridCol w:w="559"/>
        <w:gridCol w:w="559"/>
        <w:gridCol w:w="559"/>
      </w:tblGrid>
      <w:tr w:rsidR="00B93A94" w:rsidRPr="0047058F" w14:paraId="2BC31EC1"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val="restart"/>
          </w:tcPr>
          <w:p w14:paraId="117C9EBD" w14:textId="77777777" w:rsidR="00B93A94" w:rsidRPr="0047058F" w:rsidRDefault="00B93A94" w:rsidP="00AF7596">
            <w:pPr>
              <w:pStyle w:val="TableText"/>
            </w:pPr>
            <w:r w:rsidRPr="0047058F">
              <w:t>2010 ADF Mental Health Prevalence and Wellbeing Study</w:t>
            </w:r>
          </w:p>
        </w:tc>
        <w:tc>
          <w:tcPr>
            <w:tcW w:w="0" w:type="auto"/>
            <w:gridSpan w:val="6"/>
          </w:tcPr>
          <w:p w14:paraId="74E2617E" w14:textId="77777777" w:rsidR="00B93A94" w:rsidRPr="0047058F" w:rsidRDefault="00B93A94" w:rsidP="00AF7596">
            <w:pPr>
              <w:pStyle w:val="TableText"/>
              <w:jc w:val="center"/>
            </w:pPr>
            <w:r w:rsidRPr="0047058F">
              <w:t>2015 Transition and Wellbeing Research Programme</w:t>
            </w:r>
          </w:p>
        </w:tc>
      </w:tr>
      <w:tr w:rsidR="00B93A94" w:rsidRPr="0047058F" w14:paraId="37082562"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tcPr>
          <w:p w14:paraId="777F8EE1" w14:textId="77777777" w:rsidR="00B93A94" w:rsidRPr="0047058F" w:rsidRDefault="00B93A94" w:rsidP="00AF7596">
            <w:pPr>
              <w:pStyle w:val="TableText"/>
            </w:pPr>
          </w:p>
        </w:tc>
        <w:tc>
          <w:tcPr>
            <w:tcW w:w="1118" w:type="dxa"/>
            <w:gridSpan w:val="2"/>
            <w:hideMark/>
          </w:tcPr>
          <w:p w14:paraId="7399337D" w14:textId="77777777" w:rsidR="00B93A94" w:rsidRPr="0047058F" w:rsidRDefault="00B93A94" w:rsidP="00AF7596">
            <w:pPr>
              <w:pStyle w:val="TableText"/>
              <w:jc w:val="center"/>
            </w:pPr>
            <w:r w:rsidRPr="0047058F">
              <w:t>No disorder</w:t>
            </w:r>
          </w:p>
        </w:tc>
        <w:tc>
          <w:tcPr>
            <w:tcW w:w="1118" w:type="dxa"/>
            <w:gridSpan w:val="2"/>
          </w:tcPr>
          <w:p w14:paraId="57593606" w14:textId="77777777" w:rsidR="00B93A94" w:rsidRPr="0047058F" w:rsidRDefault="00B93A94" w:rsidP="00AF7596">
            <w:pPr>
              <w:pStyle w:val="TableText"/>
              <w:jc w:val="center"/>
            </w:pPr>
            <w:r w:rsidRPr="0047058F">
              <w:t>Subsyndromal disorder</w:t>
            </w:r>
          </w:p>
        </w:tc>
        <w:tc>
          <w:tcPr>
            <w:tcW w:w="1118" w:type="dxa"/>
            <w:gridSpan w:val="2"/>
          </w:tcPr>
          <w:p w14:paraId="147A6883" w14:textId="77777777" w:rsidR="00B93A94" w:rsidRPr="0047058F" w:rsidRDefault="00B93A94" w:rsidP="00AF7596">
            <w:pPr>
              <w:pStyle w:val="TableText"/>
              <w:jc w:val="center"/>
            </w:pPr>
            <w:r w:rsidRPr="0047058F">
              <w:t>Probable disorder</w:t>
            </w:r>
          </w:p>
        </w:tc>
      </w:tr>
      <w:tr w:rsidR="00B93A94" w:rsidRPr="0047058F" w14:paraId="22574EAD"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4E8EF87E" w14:textId="77777777" w:rsidR="00B93A94" w:rsidRPr="0047058F" w:rsidRDefault="00B93A94" w:rsidP="00AF7596">
            <w:pPr>
              <w:pStyle w:val="TableText"/>
            </w:pPr>
            <w:r w:rsidRPr="0047058F">
              <w:rPr>
                <w:rFonts w:cs="Arial"/>
              </w:rPr>
              <w:t>K10</w:t>
            </w:r>
          </w:p>
        </w:tc>
        <w:tc>
          <w:tcPr>
            <w:tcW w:w="576" w:type="dxa"/>
          </w:tcPr>
          <w:p w14:paraId="5DDFD615" w14:textId="77777777" w:rsidR="00B93A94" w:rsidRPr="0047058F" w:rsidRDefault="00B93A94" w:rsidP="00AF7596">
            <w:pPr>
              <w:pStyle w:val="TableText"/>
              <w:jc w:val="right"/>
              <w:rPr>
                <w:rFonts w:cs="Arial"/>
              </w:rPr>
            </w:pPr>
            <w:r w:rsidRPr="0047058F">
              <w:rPr>
                <w:rFonts w:cs="Arial"/>
              </w:rPr>
              <w:t>n</w:t>
            </w:r>
          </w:p>
        </w:tc>
        <w:tc>
          <w:tcPr>
            <w:tcW w:w="577" w:type="dxa"/>
          </w:tcPr>
          <w:p w14:paraId="6F24DB70" w14:textId="77777777" w:rsidR="00B93A94" w:rsidRPr="0047058F" w:rsidRDefault="00B93A94" w:rsidP="00AF7596">
            <w:pPr>
              <w:pStyle w:val="TableText"/>
              <w:jc w:val="right"/>
              <w:rPr>
                <w:rFonts w:cs="Arial"/>
              </w:rPr>
            </w:pPr>
            <w:r w:rsidRPr="0047058F">
              <w:rPr>
                <w:rFonts w:cs="Arial"/>
              </w:rPr>
              <w:t>%</w:t>
            </w:r>
          </w:p>
        </w:tc>
        <w:tc>
          <w:tcPr>
            <w:tcW w:w="559" w:type="dxa"/>
          </w:tcPr>
          <w:p w14:paraId="74034288" w14:textId="77777777" w:rsidR="00B93A94" w:rsidRPr="0047058F" w:rsidRDefault="00B93A94" w:rsidP="00AF7596">
            <w:pPr>
              <w:pStyle w:val="TableText"/>
              <w:jc w:val="right"/>
              <w:rPr>
                <w:rFonts w:cs="Arial"/>
              </w:rPr>
            </w:pPr>
            <w:r w:rsidRPr="0047058F">
              <w:rPr>
                <w:rFonts w:cs="Arial"/>
              </w:rPr>
              <w:t>n</w:t>
            </w:r>
          </w:p>
        </w:tc>
        <w:tc>
          <w:tcPr>
            <w:tcW w:w="559" w:type="dxa"/>
          </w:tcPr>
          <w:p w14:paraId="3C1C5C82" w14:textId="77777777" w:rsidR="00B93A94" w:rsidRPr="0047058F" w:rsidRDefault="00B93A94" w:rsidP="00AF7596">
            <w:pPr>
              <w:pStyle w:val="TableText"/>
              <w:jc w:val="right"/>
              <w:rPr>
                <w:rFonts w:cs="Arial"/>
              </w:rPr>
            </w:pPr>
            <w:r w:rsidRPr="0047058F">
              <w:rPr>
                <w:rFonts w:cs="Arial"/>
              </w:rPr>
              <w:t>%</w:t>
            </w:r>
          </w:p>
        </w:tc>
        <w:tc>
          <w:tcPr>
            <w:tcW w:w="559" w:type="dxa"/>
          </w:tcPr>
          <w:p w14:paraId="2715BFDE" w14:textId="77777777" w:rsidR="00B93A94" w:rsidRPr="0047058F" w:rsidRDefault="00B93A94" w:rsidP="00AF7596">
            <w:pPr>
              <w:pStyle w:val="TableText"/>
              <w:jc w:val="right"/>
              <w:rPr>
                <w:rFonts w:cs="Arial"/>
              </w:rPr>
            </w:pPr>
            <w:r w:rsidRPr="0047058F">
              <w:rPr>
                <w:rFonts w:cs="Arial"/>
              </w:rPr>
              <w:t>n</w:t>
            </w:r>
          </w:p>
        </w:tc>
        <w:tc>
          <w:tcPr>
            <w:tcW w:w="559" w:type="dxa"/>
          </w:tcPr>
          <w:p w14:paraId="086E7CEC" w14:textId="77777777" w:rsidR="00B93A94" w:rsidRPr="0047058F" w:rsidRDefault="00B93A94" w:rsidP="00AF7596">
            <w:pPr>
              <w:pStyle w:val="TableText"/>
              <w:jc w:val="right"/>
              <w:rPr>
                <w:rFonts w:cs="Arial"/>
              </w:rPr>
            </w:pPr>
            <w:r w:rsidRPr="0047058F">
              <w:rPr>
                <w:rFonts w:cs="Arial"/>
              </w:rPr>
              <w:t>%</w:t>
            </w:r>
          </w:p>
        </w:tc>
        <w:tc>
          <w:tcPr>
            <w:tcW w:w="559" w:type="dxa"/>
          </w:tcPr>
          <w:p w14:paraId="11BB11F9" w14:textId="77777777" w:rsidR="00B93A94" w:rsidRPr="0047058F" w:rsidRDefault="00B93A94" w:rsidP="00AF7596">
            <w:pPr>
              <w:pStyle w:val="TableText"/>
              <w:jc w:val="right"/>
              <w:rPr>
                <w:rFonts w:cs="Arial"/>
              </w:rPr>
            </w:pPr>
            <w:r w:rsidRPr="0047058F">
              <w:rPr>
                <w:rFonts w:cs="Arial"/>
              </w:rPr>
              <w:t>n</w:t>
            </w:r>
          </w:p>
        </w:tc>
        <w:tc>
          <w:tcPr>
            <w:tcW w:w="559" w:type="dxa"/>
          </w:tcPr>
          <w:p w14:paraId="50AD45B0" w14:textId="77777777" w:rsidR="00B93A94" w:rsidRPr="0047058F" w:rsidRDefault="00B93A94" w:rsidP="00AF7596">
            <w:pPr>
              <w:pStyle w:val="TableText"/>
              <w:jc w:val="right"/>
              <w:rPr>
                <w:rFonts w:cs="Arial"/>
              </w:rPr>
            </w:pPr>
            <w:r w:rsidRPr="0047058F">
              <w:rPr>
                <w:rFonts w:cs="Arial"/>
              </w:rPr>
              <w:t>%</w:t>
            </w:r>
          </w:p>
        </w:tc>
      </w:tr>
      <w:tr w:rsidR="00B93A94" w:rsidRPr="0047058F" w14:paraId="6C01EFC6"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08" w:type="dxa"/>
          </w:tcPr>
          <w:p w14:paraId="0A71FF3E"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576" w:type="dxa"/>
          </w:tcPr>
          <w:p w14:paraId="5259B06F" w14:textId="77777777" w:rsidR="00B93A94" w:rsidRPr="0047058F" w:rsidRDefault="00B93A94" w:rsidP="00AF7596">
            <w:pPr>
              <w:pStyle w:val="TableText"/>
              <w:jc w:val="right"/>
            </w:pPr>
            <w:r w:rsidRPr="0047058F">
              <w:rPr>
                <w:rFonts w:eastAsia="Times New Roman" w:cs="Arial"/>
              </w:rPr>
              <w:t>4172</w:t>
            </w:r>
          </w:p>
        </w:tc>
        <w:tc>
          <w:tcPr>
            <w:tcW w:w="577" w:type="dxa"/>
          </w:tcPr>
          <w:p w14:paraId="55D27408" w14:textId="77777777" w:rsidR="00B93A94" w:rsidRPr="0047058F" w:rsidRDefault="00B93A94" w:rsidP="00AF7596">
            <w:pPr>
              <w:pStyle w:val="TableText"/>
              <w:jc w:val="right"/>
              <w:rPr>
                <w:rFonts w:eastAsia="Times New Roman" w:cs="Arial"/>
              </w:rPr>
            </w:pPr>
            <w:r w:rsidRPr="0047058F">
              <w:rPr>
                <w:rFonts w:eastAsia="Times New Roman" w:cs="Arial"/>
              </w:rPr>
              <w:t>72.2</w:t>
            </w:r>
          </w:p>
        </w:tc>
        <w:tc>
          <w:tcPr>
            <w:tcW w:w="559" w:type="dxa"/>
          </w:tcPr>
          <w:p w14:paraId="05BA2B5B" w14:textId="77777777" w:rsidR="00B93A94" w:rsidRPr="0047058F" w:rsidRDefault="00B93A94" w:rsidP="00AF7596">
            <w:pPr>
              <w:pStyle w:val="TableText"/>
              <w:jc w:val="right"/>
            </w:pPr>
            <w:r w:rsidRPr="0047058F">
              <w:rPr>
                <w:rFonts w:eastAsia="Times New Roman" w:cs="Arial"/>
              </w:rPr>
              <w:t>3335</w:t>
            </w:r>
          </w:p>
        </w:tc>
        <w:tc>
          <w:tcPr>
            <w:tcW w:w="559" w:type="dxa"/>
          </w:tcPr>
          <w:p w14:paraId="521DEA5F" w14:textId="77777777" w:rsidR="00B93A94" w:rsidRPr="0047058F" w:rsidRDefault="00B93A94" w:rsidP="00AF7596">
            <w:pPr>
              <w:pStyle w:val="TableText"/>
              <w:jc w:val="right"/>
            </w:pPr>
            <w:r w:rsidRPr="0047058F">
              <w:rPr>
                <w:rFonts w:eastAsia="Times New Roman" w:cs="Arial"/>
              </w:rPr>
              <w:t>79.9</w:t>
            </w:r>
          </w:p>
        </w:tc>
        <w:tc>
          <w:tcPr>
            <w:tcW w:w="559" w:type="dxa"/>
          </w:tcPr>
          <w:p w14:paraId="60B50DB6" w14:textId="77777777" w:rsidR="00B93A94" w:rsidRPr="0047058F" w:rsidRDefault="00B93A94" w:rsidP="00AF7596">
            <w:pPr>
              <w:pStyle w:val="TableText"/>
              <w:jc w:val="right"/>
            </w:pPr>
            <w:r w:rsidRPr="0047058F">
              <w:rPr>
                <w:rFonts w:eastAsia="Times New Roman" w:cs="Arial"/>
              </w:rPr>
              <w:t>481</w:t>
            </w:r>
          </w:p>
        </w:tc>
        <w:tc>
          <w:tcPr>
            <w:tcW w:w="559" w:type="dxa"/>
          </w:tcPr>
          <w:p w14:paraId="1CDBD8BC" w14:textId="77777777" w:rsidR="00B93A94" w:rsidRPr="0047058F" w:rsidRDefault="00B93A94" w:rsidP="00AF7596">
            <w:pPr>
              <w:pStyle w:val="TableText"/>
              <w:jc w:val="right"/>
            </w:pPr>
            <w:r w:rsidRPr="0047058F">
              <w:rPr>
                <w:rFonts w:eastAsia="Times New Roman" w:cs="Arial"/>
              </w:rPr>
              <w:t>11.5</w:t>
            </w:r>
          </w:p>
        </w:tc>
        <w:tc>
          <w:tcPr>
            <w:tcW w:w="559" w:type="dxa"/>
          </w:tcPr>
          <w:p w14:paraId="39166111" w14:textId="77777777" w:rsidR="00B93A94" w:rsidRPr="0047058F" w:rsidRDefault="00B93A94" w:rsidP="00AF7596">
            <w:pPr>
              <w:pStyle w:val="TableText"/>
              <w:jc w:val="right"/>
            </w:pPr>
            <w:r w:rsidRPr="0047058F">
              <w:rPr>
                <w:rFonts w:eastAsia="Times New Roman" w:cs="Arial"/>
              </w:rPr>
              <w:t>356</w:t>
            </w:r>
          </w:p>
        </w:tc>
        <w:tc>
          <w:tcPr>
            <w:tcW w:w="559" w:type="dxa"/>
          </w:tcPr>
          <w:p w14:paraId="2A968891" w14:textId="77777777" w:rsidR="00B93A94" w:rsidRPr="0047058F" w:rsidRDefault="00B93A94" w:rsidP="00AF7596">
            <w:pPr>
              <w:pStyle w:val="TableText"/>
              <w:jc w:val="right"/>
            </w:pPr>
            <w:r w:rsidRPr="0047058F">
              <w:rPr>
                <w:rFonts w:eastAsia="Times New Roman" w:cs="Arial"/>
              </w:rPr>
              <w:t>8.5</w:t>
            </w:r>
          </w:p>
        </w:tc>
      </w:tr>
      <w:tr w:rsidR="00B93A94" w:rsidRPr="0047058F" w14:paraId="2AF8E1B7" w14:textId="77777777" w:rsidTr="00AF7596">
        <w:trPr>
          <w:cantSplit/>
        </w:trPr>
        <w:tc>
          <w:tcPr>
            <w:tcW w:w="2808" w:type="dxa"/>
          </w:tcPr>
          <w:p w14:paraId="21587B9D"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576" w:type="dxa"/>
          </w:tcPr>
          <w:p w14:paraId="5A8AF31A" w14:textId="77777777" w:rsidR="00B93A94" w:rsidRPr="0047058F" w:rsidRDefault="00B93A94" w:rsidP="00AF7596">
            <w:pPr>
              <w:pStyle w:val="TableText"/>
              <w:jc w:val="right"/>
            </w:pPr>
            <w:r w:rsidRPr="0047058F">
              <w:rPr>
                <w:rFonts w:eastAsia="Times New Roman" w:cs="Arial"/>
              </w:rPr>
              <w:t>1237</w:t>
            </w:r>
          </w:p>
        </w:tc>
        <w:tc>
          <w:tcPr>
            <w:tcW w:w="577" w:type="dxa"/>
          </w:tcPr>
          <w:p w14:paraId="1F9D07B6" w14:textId="77777777" w:rsidR="00B93A94" w:rsidRPr="0047058F" w:rsidRDefault="00B93A94" w:rsidP="00AF7596">
            <w:pPr>
              <w:pStyle w:val="TableText"/>
              <w:jc w:val="right"/>
              <w:rPr>
                <w:rFonts w:eastAsia="Times New Roman" w:cs="Arial"/>
              </w:rPr>
            </w:pPr>
            <w:r w:rsidRPr="0047058F">
              <w:rPr>
                <w:rFonts w:eastAsia="Times New Roman" w:cs="Arial"/>
              </w:rPr>
              <w:t>21.4</w:t>
            </w:r>
          </w:p>
        </w:tc>
        <w:tc>
          <w:tcPr>
            <w:tcW w:w="559" w:type="dxa"/>
          </w:tcPr>
          <w:p w14:paraId="663D8DBB" w14:textId="77777777" w:rsidR="00B93A94" w:rsidRPr="0047058F" w:rsidRDefault="00B93A94" w:rsidP="00AF7596">
            <w:pPr>
              <w:pStyle w:val="TableText"/>
              <w:jc w:val="right"/>
            </w:pPr>
            <w:r w:rsidRPr="0047058F">
              <w:rPr>
                <w:rFonts w:eastAsia="Times New Roman" w:cs="Arial"/>
              </w:rPr>
              <w:t>619</w:t>
            </w:r>
          </w:p>
        </w:tc>
        <w:tc>
          <w:tcPr>
            <w:tcW w:w="559" w:type="dxa"/>
          </w:tcPr>
          <w:p w14:paraId="62733D1C" w14:textId="77777777" w:rsidR="00B93A94" w:rsidRPr="0047058F" w:rsidRDefault="00B93A94" w:rsidP="00AF7596">
            <w:pPr>
              <w:pStyle w:val="TableText"/>
              <w:jc w:val="right"/>
            </w:pPr>
            <w:r w:rsidRPr="0047058F">
              <w:rPr>
                <w:rFonts w:eastAsia="Times New Roman" w:cs="Arial"/>
              </w:rPr>
              <w:t>50.0</w:t>
            </w:r>
          </w:p>
        </w:tc>
        <w:tc>
          <w:tcPr>
            <w:tcW w:w="559" w:type="dxa"/>
          </w:tcPr>
          <w:p w14:paraId="79FC56E0" w14:textId="77777777" w:rsidR="00B93A94" w:rsidRPr="0047058F" w:rsidRDefault="00B93A94" w:rsidP="00AF7596">
            <w:pPr>
              <w:pStyle w:val="TableText"/>
              <w:jc w:val="right"/>
            </w:pPr>
            <w:r w:rsidRPr="0047058F">
              <w:rPr>
                <w:rFonts w:eastAsia="Times New Roman" w:cs="Arial"/>
              </w:rPr>
              <w:t>402</w:t>
            </w:r>
          </w:p>
        </w:tc>
        <w:tc>
          <w:tcPr>
            <w:tcW w:w="559" w:type="dxa"/>
          </w:tcPr>
          <w:p w14:paraId="609DCB4E" w14:textId="77777777" w:rsidR="00B93A94" w:rsidRPr="0047058F" w:rsidRDefault="00B93A94" w:rsidP="00AF7596">
            <w:pPr>
              <w:pStyle w:val="TableText"/>
              <w:jc w:val="right"/>
            </w:pPr>
            <w:r w:rsidRPr="0047058F">
              <w:rPr>
                <w:rFonts w:eastAsia="Times New Roman" w:cs="Arial"/>
              </w:rPr>
              <w:t>32.5</w:t>
            </w:r>
          </w:p>
        </w:tc>
        <w:tc>
          <w:tcPr>
            <w:tcW w:w="559" w:type="dxa"/>
          </w:tcPr>
          <w:p w14:paraId="208D59F6" w14:textId="77777777" w:rsidR="00B93A94" w:rsidRPr="0047058F" w:rsidRDefault="00B93A94" w:rsidP="00AF7596">
            <w:pPr>
              <w:pStyle w:val="TableText"/>
              <w:jc w:val="right"/>
            </w:pPr>
            <w:r w:rsidRPr="0047058F">
              <w:rPr>
                <w:rFonts w:eastAsia="Times New Roman" w:cs="Arial"/>
              </w:rPr>
              <w:t>216</w:t>
            </w:r>
          </w:p>
        </w:tc>
        <w:tc>
          <w:tcPr>
            <w:tcW w:w="559" w:type="dxa"/>
          </w:tcPr>
          <w:p w14:paraId="69C0F80C" w14:textId="77777777" w:rsidR="00B93A94" w:rsidRPr="0047058F" w:rsidRDefault="00B93A94" w:rsidP="00AF7596">
            <w:pPr>
              <w:pStyle w:val="TableText"/>
              <w:jc w:val="right"/>
            </w:pPr>
            <w:r w:rsidRPr="0047058F">
              <w:rPr>
                <w:rFonts w:eastAsia="Times New Roman" w:cs="Arial"/>
              </w:rPr>
              <w:t>17.5</w:t>
            </w:r>
          </w:p>
        </w:tc>
      </w:tr>
      <w:tr w:rsidR="00B93A94" w:rsidRPr="0047058F" w14:paraId="118E83AB"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08" w:type="dxa"/>
          </w:tcPr>
          <w:p w14:paraId="28F7FEE7"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576" w:type="dxa"/>
          </w:tcPr>
          <w:p w14:paraId="4CFA9A17" w14:textId="77777777" w:rsidR="00B93A94" w:rsidRPr="0047058F" w:rsidRDefault="00B93A94" w:rsidP="00AF7596">
            <w:pPr>
              <w:pStyle w:val="TableText"/>
              <w:jc w:val="right"/>
            </w:pPr>
            <w:r w:rsidRPr="0047058F">
              <w:rPr>
                <w:rFonts w:eastAsia="Times New Roman" w:cs="Arial"/>
              </w:rPr>
              <w:t>366</w:t>
            </w:r>
          </w:p>
        </w:tc>
        <w:tc>
          <w:tcPr>
            <w:tcW w:w="577" w:type="dxa"/>
          </w:tcPr>
          <w:p w14:paraId="44F64AB5" w14:textId="77777777" w:rsidR="00B93A94" w:rsidRPr="0047058F" w:rsidRDefault="00B93A94" w:rsidP="00AF7596">
            <w:pPr>
              <w:pStyle w:val="TableText"/>
              <w:jc w:val="right"/>
              <w:rPr>
                <w:rFonts w:eastAsia="Times New Roman" w:cs="Arial"/>
              </w:rPr>
            </w:pPr>
            <w:r w:rsidRPr="0047058F">
              <w:rPr>
                <w:rFonts w:eastAsia="Times New Roman" w:cs="Arial"/>
              </w:rPr>
              <w:t>6.3</w:t>
            </w:r>
          </w:p>
        </w:tc>
        <w:tc>
          <w:tcPr>
            <w:tcW w:w="559" w:type="dxa"/>
          </w:tcPr>
          <w:p w14:paraId="379CE03D" w14:textId="77777777" w:rsidR="00B93A94" w:rsidRPr="0047058F" w:rsidRDefault="00B93A94" w:rsidP="00AF7596">
            <w:pPr>
              <w:pStyle w:val="TableText"/>
              <w:jc w:val="right"/>
            </w:pPr>
            <w:r w:rsidRPr="0047058F">
              <w:rPr>
                <w:rFonts w:eastAsia="Times New Roman" w:cs="Arial"/>
              </w:rPr>
              <w:t>129</w:t>
            </w:r>
          </w:p>
        </w:tc>
        <w:tc>
          <w:tcPr>
            <w:tcW w:w="559" w:type="dxa"/>
          </w:tcPr>
          <w:p w14:paraId="18535FE0" w14:textId="77777777" w:rsidR="00B93A94" w:rsidRPr="0047058F" w:rsidRDefault="00B93A94" w:rsidP="00AF7596">
            <w:pPr>
              <w:pStyle w:val="TableText"/>
              <w:jc w:val="right"/>
            </w:pPr>
            <w:r w:rsidRPr="0047058F">
              <w:rPr>
                <w:rFonts w:eastAsia="Times New Roman" w:cs="Arial"/>
              </w:rPr>
              <w:t>35.2</w:t>
            </w:r>
          </w:p>
        </w:tc>
        <w:tc>
          <w:tcPr>
            <w:tcW w:w="559" w:type="dxa"/>
          </w:tcPr>
          <w:p w14:paraId="5191D470" w14:textId="77777777" w:rsidR="00B93A94" w:rsidRPr="0047058F" w:rsidRDefault="00B93A94" w:rsidP="00AF7596">
            <w:pPr>
              <w:pStyle w:val="TableText"/>
              <w:jc w:val="right"/>
            </w:pPr>
            <w:r w:rsidRPr="0047058F">
              <w:rPr>
                <w:rFonts w:eastAsia="Times New Roman" w:cs="Arial"/>
              </w:rPr>
              <w:t>120</w:t>
            </w:r>
          </w:p>
        </w:tc>
        <w:tc>
          <w:tcPr>
            <w:tcW w:w="559" w:type="dxa"/>
          </w:tcPr>
          <w:p w14:paraId="628FB223" w14:textId="77777777" w:rsidR="00B93A94" w:rsidRPr="0047058F" w:rsidRDefault="00B93A94" w:rsidP="00AF7596">
            <w:pPr>
              <w:pStyle w:val="TableText"/>
              <w:jc w:val="right"/>
            </w:pPr>
            <w:r w:rsidRPr="0047058F">
              <w:rPr>
                <w:rFonts w:eastAsia="Times New Roman" w:cs="Arial"/>
              </w:rPr>
              <w:t>32.8</w:t>
            </w:r>
          </w:p>
        </w:tc>
        <w:tc>
          <w:tcPr>
            <w:tcW w:w="559" w:type="dxa"/>
          </w:tcPr>
          <w:p w14:paraId="3DB1E6AB" w14:textId="77777777" w:rsidR="00B93A94" w:rsidRPr="0047058F" w:rsidRDefault="00B93A94" w:rsidP="00AF7596">
            <w:pPr>
              <w:pStyle w:val="TableText"/>
              <w:jc w:val="right"/>
            </w:pPr>
            <w:r w:rsidRPr="0047058F">
              <w:rPr>
                <w:rFonts w:eastAsia="Times New Roman" w:cs="Arial"/>
              </w:rPr>
              <w:t>117</w:t>
            </w:r>
          </w:p>
        </w:tc>
        <w:tc>
          <w:tcPr>
            <w:tcW w:w="559" w:type="dxa"/>
          </w:tcPr>
          <w:p w14:paraId="6CEB14EC" w14:textId="77777777" w:rsidR="00B93A94" w:rsidRPr="0047058F" w:rsidRDefault="00B93A94" w:rsidP="00AF7596">
            <w:pPr>
              <w:pStyle w:val="TableText"/>
              <w:jc w:val="right"/>
            </w:pPr>
            <w:r w:rsidRPr="0047058F">
              <w:rPr>
                <w:rFonts w:eastAsia="Times New Roman" w:cs="Arial"/>
              </w:rPr>
              <w:t>32.0</w:t>
            </w:r>
          </w:p>
        </w:tc>
      </w:tr>
      <w:tr w:rsidR="00B93A94" w:rsidRPr="0047058F" w14:paraId="712DDC44" w14:textId="77777777" w:rsidTr="00AF7596">
        <w:trPr>
          <w:cantSplit/>
        </w:trPr>
        <w:tc>
          <w:tcPr>
            <w:tcW w:w="2808" w:type="dxa"/>
          </w:tcPr>
          <w:p w14:paraId="235DFA2F" w14:textId="77777777" w:rsidR="00B93A94" w:rsidRPr="0047058F" w:rsidRDefault="00B93A94" w:rsidP="00AF7596">
            <w:pPr>
              <w:pStyle w:val="TableText"/>
              <w:rPr>
                <w:rFonts w:cs="Arial"/>
                <w:b/>
              </w:rPr>
            </w:pPr>
            <w:r w:rsidRPr="0047058F">
              <w:rPr>
                <w:rFonts w:cs="Arial"/>
                <w:b/>
              </w:rPr>
              <w:t>Total</w:t>
            </w:r>
          </w:p>
        </w:tc>
        <w:tc>
          <w:tcPr>
            <w:tcW w:w="576" w:type="dxa"/>
          </w:tcPr>
          <w:p w14:paraId="6753A65A" w14:textId="77777777" w:rsidR="00B93A94" w:rsidRPr="0047058F" w:rsidRDefault="00B93A94" w:rsidP="00AF7596">
            <w:pPr>
              <w:pStyle w:val="TableText"/>
              <w:jc w:val="right"/>
              <w:rPr>
                <w:rFonts w:cs="Arial"/>
                <w:b/>
              </w:rPr>
            </w:pPr>
            <w:r w:rsidRPr="0047058F">
              <w:rPr>
                <w:rFonts w:cs="Arial"/>
                <w:b/>
              </w:rPr>
              <w:t>5775</w:t>
            </w:r>
          </w:p>
        </w:tc>
        <w:tc>
          <w:tcPr>
            <w:tcW w:w="577" w:type="dxa"/>
          </w:tcPr>
          <w:p w14:paraId="0F21BD44" w14:textId="77777777" w:rsidR="00B93A94" w:rsidRPr="0047058F" w:rsidRDefault="00B93A94" w:rsidP="00AF7596">
            <w:pPr>
              <w:pStyle w:val="TableText"/>
              <w:jc w:val="right"/>
              <w:rPr>
                <w:rFonts w:eastAsia="Times New Roman" w:cs="Arial"/>
                <w:b/>
              </w:rPr>
            </w:pPr>
            <w:r w:rsidRPr="0047058F">
              <w:rPr>
                <w:rFonts w:eastAsia="Times New Roman" w:cs="Arial"/>
                <w:b/>
              </w:rPr>
              <w:t>100.0</w:t>
            </w:r>
          </w:p>
        </w:tc>
        <w:tc>
          <w:tcPr>
            <w:tcW w:w="559" w:type="dxa"/>
          </w:tcPr>
          <w:p w14:paraId="1C6682C4" w14:textId="77777777" w:rsidR="00B93A94" w:rsidRPr="0047058F" w:rsidRDefault="00B93A94" w:rsidP="00AF7596">
            <w:pPr>
              <w:pStyle w:val="TableText"/>
              <w:jc w:val="right"/>
              <w:rPr>
                <w:rFonts w:cs="Arial"/>
                <w:b/>
              </w:rPr>
            </w:pPr>
            <w:r w:rsidRPr="0047058F">
              <w:rPr>
                <w:rFonts w:eastAsia="Times New Roman" w:cs="Arial"/>
                <w:b/>
              </w:rPr>
              <w:t>4083</w:t>
            </w:r>
          </w:p>
        </w:tc>
        <w:tc>
          <w:tcPr>
            <w:tcW w:w="559" w:type="dxa"/>
          </w:tcPr>
          <w:p w14:paraId="23B3615C" w14:textId="77777777" w:rsidR="00B93A94" w:rsidRPr="0047058F" w:rsidRDefault="00B93A94" w:rsidP="00AF7596">
            <w:pPr>
              <w:pStyle w:val="TableText"/>
              <w:jc w:val="right"/>
              <w:rPr>
                <w:rFonts w:cs="Arial"/>
                <w:b/>
              </w:rPr>
            </w:pPr>
            <w:r w:rsidRPr="0047058F">
              <w:rPr>
                <w:rFonts w:eastAsia="Times New Roman" w:cs="Arial"/>
                <w:b/>
              </w:rPr>
              <w:t>70.7</w:t>
            </w:r>
          </w:p>
        </w:tc>
        <w:tc>
          <w:tcPr>
            <w:tcW w:w="559" w:type="dxa"/>
          </w:tcPr>
          <w:p w14:paraId="33AADD31" w14:textId="77777777" w:rsidR="00B93A94" w:rsidRPr="0047058F" w:rsidRDefault="00B93A94" w:rsidP="00AF7596">
            <w:pPr>
              <w:pStyle w:val="TableText"/>
              <w:jc w:val="right"/>
              <w:rPr>
                <w:rFonts w:cs="Arial"/>
                <w:b/>
              </w:rPr>
            </w:pPr>
            <w:r w:rsidRPr="0047058F">
              <w:rPr>
                <w:rFonts w:eastAsia="Times New Roman" w:cs="Arial"/>
                <w:b/>
              </w:rPr>
              <w:t>1003</w:t>
            </w:r>
          </w:p>
        </w:tc>
        <w:tc>
          <w:tcPr>
            <w:tcW w:w="559" w:type="dxa"/>
          </w:tcPr>
          <w:p w14:paraId="3CF46151" w14:textId="77777777" w:rsidR="00B93A94" w:rsidRPr="0047058F" w:rsidRDefault="00B93A94" w:rsidP="00AF7596">
            <w:pPr>
              <w:pStyle w:val="TableText"/>
              <w:jc w:val="right"/>
              <w:rPr>
                <w:rFonts w:cs="Arial"/>
                <w:b/>
              </w:rPr>
            </w:pPr>
            <w:r w:rsidRPr="0047058F">
              <w:rPr>
                <w:rFonts w:eastAsia="Times New Roman" w:cs="Arial"/>
                <w:b/>
              </w:rPr>
              <w:t>17.4</w:t>
            </w:r>
          </w:p>
        </w:tc>
        <w:tc>
          <w:tcPr>
            <w:tcW w:w="559" w:type="dxa"/>
          </w:tcPr>
          <w:p w14:paraId="064622F7" w14:textId="77777777" w:rsidR="00B93A94" w:rsidRPr="0047058F" w:rsidRDefault="00B93A94" w:rsidP="00AF7596">
            <w:pPr>
              <w:pStyle w:val="TableText"/>
              <w:jc w:val="right"/>
              <w:rPr>
                <w:rFonts w:cs="Arial"/>
                <w:b/>
              </w:rPr>
            </w:pPr>
            <w:r w:rsidRPr="0047058F">
              <w:rPr>
                <w:rFonts w:eastAsia="Times New Roman" w:cs="Arial"/>
                <w:b/>
              </w:rPr>
              <w:t>689</w:t>
            </w:r>
          </w:p>
        </w:tc>
        <w:tc>
          <w:tcPr>
            <w:tcW w:w="559" w:type="dxa"/>
          </w:tcPr>
          <w:p w14:paraId="4BB81C98" w14:textId="77777777" w:rsidR="00B93A94" w:rsidRPr="0047058F" w:rsidRDefault="00B93A94" w:rsidP="00AF7596">
            <w:pPr>
              <w:pStyle w:val="TableText"/>
              <w:jc w:val="right"/>
              <w:rPr>
                <w:rFonts w:cs="Arial"/>
                <w:b/>
              </w:rPr>
            </w:pPr>
            <w:r w:rsidRPr="0047058F">
              <w:rPr>
                <w:rFonts w:eastAsia="Times New Roman" w:cs="Arial"/>
                <w:b/>
              </w:rPr>
              <w:t>11.9</w:t>
            </w:r>
          </w:p>
        </w:tc>
      </w:tr>
    </w:tbl>
    <w:p w14:paraId="07680FDF" w14:textId="77777777" w:rsidR="00B93A94" w:rsidRPr="0047058F" w:rsidRDefault="00B93A94" w:rsidP="00B93A94">
      <w:pPr>
        <w:pStyle w:val="TableNotes"/>
      </w:pPr>
      <w:r w:rsidRPr="0047058F">
        <w:t>Note: Unweighted data.</w:t>
      </w:r>
    </w:p>
    <w:p w14:paraId="356AF2BE" w14:textId="77777777" w:rsidR="00B93A94" w:rsidRPr="0047058F" w:rsidRDefault="00B93A94" w:rsidP="00B93A94">
      <w:pPr>
        <w:pStyle w:val="FigureName"/>
      </w:pPr>
      <w:bookmarkStart w:id="255" w:name="_Ref387052410"/>
      <w:bookmarkStart w:id="256" w:name="_Toc529117568"/>
      <w:bookmarkStart w:id="257" w:name="_Toc532473641"/>
      <w:r w:rsidRPr="0047058F">
        <w:t>Figure 5.4</w:t>
      </w:r>
      <w:bookmarkEnd w:id="255"/>
      <w:r w:rsidRPr="0047058F">
        <w:tab/>
        <w:t xml:space="preserve">Proportion of </w:t>
      </w:r>
      <w:r w:rsidRPr="0047058F">
        <w:rPr>
          <w:u w:val="single"/>
        </w:rPr>
        <w:t>2015 Regular ADF in the longitudinal cohort</w:t>
      </w:r>
      <w:r w:rsidRPr="0047058F">
        <w:t xml:space="preserve"> with no disorder, subsyndromal disorder and probable disorder on K10 in 2010 and 2015</w:t>
      </w:r>
      <w:bookmarkEnd w:id="256"/>
      <w:bookmarkEnd w:id="257"/>
    </w:p>
    <w:p w14:paraId="62EF2E1A" w14:textId="77777777" w:rsidR="003427E0" w:rsidRPr="0047058F" w:rsidRDefault="00B93A94" w:rsidP="003427E0">
      <w:pPr>
        <w:spacing w:after="360"/>
      </w:pPr>
      <w:r w:rsidRPr="0047058F">
        <w:rPr>
          <w:rFonts w:eastAsiaTheme="majorEastAsia" w:cstheme="majorBidi"/>
          <w:b/>
          <w:bCs/>
          <w:noProof/>
          <w:color w:val="002561"/>
          <w:sz w:val="32"/>
          <w:szCs w:val="28"/>
          <w:lang w:eastAsia="en-AU"/>
        </w:rPr>
        <w:drawing>
          <wp:inline distT="0" distB="0" distL="0" distR="0" wp14:anchorId="4EE4279B" wp14:editId="7DCCE46C">
            <wp:extent cx="4572000" cy="2743200"/>
            <wp:effectExtent l="0" t="0" r="0" b="0"/>
            <wp:docPr id="451" name="Chart 451" descr="Figure 5.4 Proportion of 2015 Regular ADF in the longitudinal cohort with no disorder, subsyndromal disorder and probable disorder on K10 in 2010 and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C87570" w14:textId="77777777" w:rsidR="00B93A94" w:rsidRPr="0047058F" w:rsidRDefault="00B93A94" w:rsidP="00860F45">
      <w:pPr>
        <w:pStyle w:val="Heading2"/>
        <w:rPr>
          <w:lang w:eastAsia="en-AU"/>
        </w:rPr>
      </w:pPr>
      <w:bookmarkStart w:id="258" w:name="_Toc529117474"/>
      <w:bookmarkStart w:id="259" w:name="_Toc532474374"/>
      <w:r w:rsidRPr="0047058F">
        <w:rPr>
          <w:lang w:eastAsia="en-AU"/>
        </w:rPr>
        <w:t>Posttraumatic stress disorder symptoms (PCL-C) in the longitudinal cohort</w:t>
      </w:r>
      <w:bookmarkEnd w:id="258"/>
      <w:bookmarkEnd w:id="259"/>
    </w:p>
    <w:p w14:paraId="014E02F0" w14:textId="77777777" w:rsidR="00B93A94" w:rsidRPr="0047058F" w:rsidRDefault="00B93A94" w:rsidP="00F77104">
      <w:pPr>
        <w:keepNext/>
      </w:pPr>
      <w:r w:rsidRPr="0047058F">
        <w:t>This section will provide a detailed summary of the pattern of posttraumatic stress disorder (PTSD) symptoms reported by the longitudinal cohort across two time points: the 2010 MHPWS assessment, and the 2015 Transition and Wellbeing Research Programme assessment.</w:t>
      </w:r>
    </w:p>
    <w:p w14:paraId="28D35BF9" w14:textId="77777777" w:rsidR="00B93A94" w:rsidRPr="0047058F" w:rsidRDefault="00B93A94" w:rsidP="00B93A94">
      <w:pPr>
        <w:rPr>
          <w:rFonts w:cs="Calibri"/>
        </w:rPr>
      </w:pPr>
      <w:r w:rsidRPr="0047058F">
        <w:rPr>
          <w:rFonts w:cs="Calibri"/>
        </w:rPr>
        <w:t xml:space="preserve">Respondents were instructed to indicate how much they were bothered by each symptom in the last month by using one of the following response options: ‘not at all’ (1), ‘a little bit’ (2), ‘moderately’ (3), ‘quite a bit’ (4), or ‘extremely’ (5). The 17-item Posttraumatic Stress Disorder Checklist – civilian version (PCL-C) was used instead of the PCL-5 (PCL for the </w:t>
      </w:r>
      <w:r w:rsidRPr="0047058F">
        <w:rPr>
          <w:rFonts w:cs="Calibri"/>
          <w:i/>
        </w:rPr>
        <w:t>Diagnostic and Statistical Manual of Mental Disorders, Fifth Edition</w:t>
      </w:r>
      <w:r w:rsidRPr="0047058F">
        <w:rPr>
          <w:rFonts w:cs="Calibri"/>
        </w:rPr>
        <w:t xml:space="preserve"> (DSM-5)) in order to allow comparisons to be made with the 2010 Regular ADF cohort. Additional questions relating to DSM-5 PTSD were included in the survey but will not be addressed in this section.</w:t>
      </w:r>
    </w:p>
    <w:p w14:paraId="4F7C2E6F" w14:textId="77777777" w:rsidR="00B93A94" w:rsidRPr="0047058F" w:rsidRDefault="00B93A94" w:rsidP="00B93A94">
      <w:pPr>
        <w:rPr>
          <w:rFonts w:cs="Calibri"/>
        </w:rPr>
      </w:pPr>
      <w:r w:rsidRPr="0047058F">
        <w:rPr>
          <w:rFonts w:cs="Calibri"/>
        </w:rPr>
        <w:t>The 17 questions of the PCL-C were scored from 1 to 5 and summed to give a total score of between 17 and 85. From this, mean PCL-C scores were derived and reported for Transitioned ADF and Regular ADF at each time point.</w:t>
      </w:r>
    </w:p>
    <w:p w14:paraId="6A0E2888" w14:textId="77777777" w:rsidR="00B93A94" w:rsidRPr="0047058F" w:rsidRDefault="00B93A94" w:rsidP="00B93A94">
      <w:pPr>
        <w:rPr>
          <w:rFonts w:cs="Calibri"/>
        </w:rPr>
      </w:pPr>
      <w:r w:rsidRPr="0047058F">
        <w:rPr>
          <w:rFonts w:cs="Calibri"/>
        </w:rPr>
        <w:t>In addition to mean PCL-C scores, an optimal screening cut-off of 29 and an optimal epidemiological cut-off of 53 were used. These cut-offs were derived from the 2010 ADF Mental Health Prevalence and Wellbeing Study.</w:t>
      </w:r>
    </w:p>
    <w:p w14:paraId="3C35E796" w14:textId="77777777" w:rsidR="00B93A94" w:rsidRPr="0047058F" w:rsidRDefault="00B93A94" w:rsidP="00B93A94">
      <w:r w:rsidRPr="0047058F">
        <w:rPr>
          <w:color w:val="000000" w:themeColor="text1"/>
        </w:rPr>
        <w:t>Table 5.5</w:t>
      </w:r>
      <w:r w:rsidRPr="0047058F">
        <w:t xml:space="preserve"> and Figure 5.5 show mean PCL-C scores in 2010 and 2015 for the longitudinal cohort according to whether they had transitioned or remained in the Regular ADF in 2015.</w:t>
      </w:r>
    </w:p>
    <w:p w14:paraId="7B023AD5" w14:textId="4504B984" w:rsidR="00B93A94" w:rsidRPr="0047058F" w:rsidRDefault="00B93A94" w:rsidP="00B93A94">
      <w:pPr>
        <w:rPr>
          <w:lang w:eastAsia="en-AU"/>
        </w:rPr>
      </w:pPr>
      <w:r w:rsidRPr="0047058F">
        <w:rPr>
          <w:lang w:eastAsia="en-AU"/>
        </w:rPr>
        <w:t>Mean PCL-C scores were 23.5 (SE 0.1) in 2010 and increased to 25.8 (SE 0.1) in 2015. Those who had transitioned reported higher mean scores in both 2010 and 2015 than those who remained in the Regular ADF (2010: 25.6 (SE 0.3) vs 22.7 (SE 0.1), 2015: 30.3 (SE 0.4) vs 24.1 (</w:t>
      </w:r>
      <w:r w:rsidR="006A4D13">
        <w:rPr>
          <w:lang w:eastAsia="en-AU"/>
        </w:rPr>
        <w:t xml:space="preserve">SE </w:t>
      </w:r>
      <w:r w:rsidRPr="0047058F">
        <w:rPr>
          <w:lang w:eastAsia="en-AU"/>
        </w:rPr>
        <w:t>0.1)). Those who had transitioned also had a greater increase in mean scores compared to those who remained in the Regular ADF.</w:t>
      </w:r>
    </w:p>
    <w:p w14:paraId="1F97F950" w14:textId="77777777" w:rsidR="00B93A94" w:rsidRPr="0047058F" w:rsidRDefault="00B93A94" w:rsidP="00B93A94">
      <w:pPr>
        <w:pStyle w:val="TableName"/>
        <w:rPr>
          <w:lang w:eastAsia="en-AU"/>
        </w:rPr>
      </w:pPr>
      <w:bookmarkStart w:id="260" w:name="_Ref384557268"/>
      <w:bookmarkStart w:id="261" w:name="_Toc529117517"/>
      <w:bookmarkStart w:id="262" w:name="_Toc532473587"/>
      <w:r w:rsidRPr="0047058F">
        <w:t>Table 5.5</w:t>
      </w:r>
      <w:bookmarkEnd w:id="260"/>
      <w:r w:rsidRPr="0047058F">
        <w:tab/>
        <w:t>Mean PCL-C scores in Transitioned ADF and 2015 Regular ADF in the longitudinal cohort</w:t>
      </w:r>
      <w:bookmarkEnd w:id="261"/>
      <w:bookmarkEnd w:id="262"/>
    </w:p>
    <w:tbl>
      <w:tblPr>
        <w:tblStyle w:val="TWRPTable"/>
        <w:tblW w:w="5000" w:type="pct"/>
        <w:tblLayout w:type="fixed"/>
        <w:tblLook w:val="04A0" w:firstRow="1" w:lastRow="0" w:firstColumn="1" w:lastColumn="0" w:noHBand="0" w:noVBand="1"/>
        <w:tblDescription w:val="Table 5.5 Mean PCL-C scores in Transitioned ADF and 2015 Regular ADF in the longitudinal cohort"/>
      </w:tblPr>
      <w:tblGrid>
        <w:gridCol w:w="3438"/>
        <w:gridCol w:w="646"/>
        <w:gridCol w:w="646"/>
        <w:gridCol w:w="646"/>
        <w:gridCol w:w="646"/>
        <w:gridCol w:w="646"/>
        <w:gridCol w:w="647"/>
      </w:tblGrid>
      <w:tr w:rsidR="00B93A94" w:rsidRPr="0047058F" w14:paraId="5A0DED04"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438" w:type="dxa"/>
            <w:tcBorders>
              <w:top w:val="single" w:sz="4" w:space="0" w:color="000000"/>
              <w:bottom w:val="nil"/>
            </w:tcBorders>
          </w:tcPr>
          <w:p w14:paraId="24443653" w14:textId="77777777" w:rsidR="00B93A94" w:rsidRPr="0047058F" w:rsidRDefault="00B93A94" w:rsidP="00AF7596">
            <w:pPr>
              <w:pStyle w:val="TableText"/>
            </w:pPr>
          </w:p>
        </w:tc>
        <w:tc>
          <w:tcPr>
            <w:tcW w:w="1292" w:type="dxa"/>
            <w:gridSpan w:val="2"/>
            <w:hideMark/>
          </w:tcPr>
          <w:p w14:paraId="67E4D3D5" w14:textId="77777777" w:rsidR="00B93A94" w:rsidRPr="0047058F" w:rsidRDefault="00B93A94" w:rsidP="00AF7596">
            <w:pPr>
              <w:pStyle w:val="TableText"/>
              <w:jc w:val="center"/>
            </w:pPr>
            <w:r w:rsidRPr="0047058F">
              <w:t>Transitioned ADF</w:t>
            </w:r>
            <w:r w:rsidRPr="0047058F">
              <w:br/>
              <w:t>n = 2027</w:t>
            </w:r>
          </w:p>
        </w:tc>
        <w:tc>
          <w:tcPr>
            <w:tcW w:w="1292" w:type="dxa"/>
            <w:gridSpan w:val="2"/>
            <w:hideMark/>
          </w:tcPr>
          <w:p w14:paraId="509F8FBC" w14:textId="77777777" w:rsidR="00B93A94" w:rsidRPr="0047058F" w:rsidRDefault="00B93A94" w:rsidP="00AF7596">
            <w:pPr>
              <w:pStyle w:val="TableText"/>
              <w:jc w:val="center"/>
            </w:pPr>
            <w:r w:rsidRPr="0047058F">
              <w:rPr>
                <w:bCs/>
              </w:rPr>
              <w:t>2015 Regular ADF</w:t>
            </w:r>
            <w:r w:rsidRPr="0047058F">
              <w:rPr>
                <w:bCs/>
              </w:rPr>
              <w:br/>
            </w:r>
            <w:r w:rsidRPr="0047058F">
              <w:t>n = 5476</w:t>
            </w:r>
          </w:p>
        </w:tc>
        <w:tc>
          <w:tcPr>
            <w:tcW w:w="1293" w:type="dxa"/>
            <w:gridSpan w:val="2"/>
          </w:tcPr>
          <w:p w14:paraId="1459F4B8" w14:textId="77777777" w:rsidR="00B93A94" w:rsidRPr="0047058F" w:rsidRDefault="00B93A94" w:rsidP="00AF7596">
            <w:pPr>
              <w:pStyle w:val="TableText"/>
              <w:jc w:val="center"/>
              <w:rPr>
                <w:bCs/>
              </w:rPr>
            </w:pPr>
            <w:r w:rsidRPr="0047058F">
              <w:rPr>
                <w:bCs/>
              </w:rPr>
              <w:t>Total</w:t>
            </w:r>
            <w:r w:rsidRPr="0047058F">
              <w:rPr>
                <w:bCs/>
              </w:rPr>
              <w:br/>
              <w:t>n = 7503</w:t>
            </w:r>
          </w:p>
        </w:tc>
      </w:tr>
      <w:tr w:rsidR="00B93A94" w:rsidRPr="0047058F" w14:paraId="2012A2B8"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438" w:type="dxa"/>
            <w:tcBorders>
              <w:top w:val="nil"/>
            </w:tcBorders>
          </w:tcPr>
          <w:p w14:paraId="634A98CE" w14:textId="77777777" w:rsidR="00B93A94" w:rsidRPr="0047058F" w:rsidRDefault="00B93A94" w:rsidP="00AF7596">
            <w:pPr>
              <w:pStyle w:val="TableText"/>
            </w:pPr>
            <w:r w:rsidRPr="0047058F">
              <w:rPr>
                <w:rFonts w:cs="Arial"/>
              </w:rPr>
              <w:t>K10</w:t>
            </w:r>
          </w:p>
        </w:tc>
        <w:tc>
          <w:tcPr>
            <w:tcW w:w="646" w:type="dxa"/>
          </w:tcPr>
          <w:p w14:paraId="3FD4F552" w14:textId="77777777" w:rsidR="00B93A94" w:rsidRPr="0047058F" w:rsidRDefault="00B93A94" w:rsidP="00AF7596">
            <w:pPr>
              <w:pStyle w:val="TableText"/>
              <w:jc w:val="right"/>
              <w:rPr>
                <w:rFonts w:cs="Arial"/>
                <w:bCs/>
              </w:rPr>
            </w:pPr>
            <w:r w:rsidRPr="0047058F">
              <w:rPr>
                <w:rFonts w:cs="Arial"/>
                <w:bCs/>
              </w:rPr>
              <w:t>Mean</w:t>
            </w:r>
          </w:p>
        </w:tc>
        <w:tc>
          <w:tcPr>
            <w:tcW w:w="646" w:type="dxa"/>
          </w:tcPr>
          <w:p w14:paraId="67D42680" w14:textId="77777777" w:rsidR="00B93A94" w:rsidRPr="0047058F" w:rsidRDefault="00B93A94" w:rsidP="00AF7596">
            <w:pPr>
              <w:pStyle w:val="TableText"/>
              <w:jc w:val="right"/>
              <w:rPr>
                <w:rFonts w:cs="Arial"/>
                <w:bCs/>
              </w:rPr>
            </w:pPr>
            <w:r w:rsidRPr="0047058F">
              <w:rPr>
                <w:rFonts w:cs="Arial"/>
                <w:bCs/>
              </w:rPr>
              <w:t>SE</w:t>
            </w:r>
          </w:p>
        </w:tc>
        <w:tc>
          <w:tcPr>
            <w:tcW w:w="646" w:type="dxa"/>
          </w:tcPr>
          <w:p w14:paraId="50D5E2ED" w14:textId="77777777" w:rsidR="00B93A94" w:rsidRPr="0047058F" w:rsidRDefault="00B93A94" w:rsidP="00AF7596">
            <w:pPr>
              <w:pStyle w:val="TableText"/>
              <w:jc w:val="right"/>
              <w:rPr>
                <w:rFonts w:cs="Arial"/>
                <w:bCs/>
              </w:rPr>
            </w:pPr>
            <w:r w:rsidRPr="0047058F">
              <w:rPr>
                <w:rFonts w:cs="Arial"/>
                <w:bCs/>
              </w:rPr>
              <w:t>Mean</w:t>
            </w:r>
          </w:p>
        </w:tc>
        <w:tc>
          <w:tcPr>
            <w:tcW w:w="646" w:type="dxa"/>
          </w:tcPr>
          <w:p w14:paraId="386F838D" w14:textId="77777777" w:rsidR="00B93A94" w:rsidRPr="0047058F" w:rsidRDefault="00B93A94" w:rsidP="00AF7596">
            <w:pPr>
              <w:pStyle w:val="TableText"/>
              <w:jc w:val="right"/>
              <w:rPr>
                <w:rFonts w:cs="Arial"/>
                <w:bCs/>
              </w:rPr>
            </w:pPr>
            <w:r w:rsidRPr="0047058F">
              <w:rPr>
                <w:rFonts w:cs="Arial"/>
                <w:bCs/>
              </w:rPr>
              <w:t>SE</w:t>
            </w:r>
          </w:p>
        </w:tc>
        <w:tc>
          <w:tcPr>
            <w:tcW w:w="646" w:type="dxa"/>
          </w:tcPr>
          <w:p w14:paraId="29168FD1" w14:textId="77777777" w:rsidR="00B93A94" w:rsidRPr="0047058F" w:rsidRDefault="00B93A94" w:rsidP="00AF7596">
            <w:pPr>
              <w:pStyle w:val="TableText"/>
              <w:jc w:val="right"/>
              <w:rPr>
                <w:rFonts w:cs="Arial"/>
                <w:bCs/>
              </w:rPr>
            </w:pPr>
            <w:r w:rsidRPr="0047058F">
              <w:rPr>
                <w:rFonts w:cs="Arial"/>
                <w:bCs/>
              </w:rPr>
              <w:t>Mean</w:t>
            </w:r>
          </w:p>
        </w:tc>
        <w:tc>
          <w:tcPr>
            <w:tcW w:w="647" w:type="dxa"/>
          </w:tcPr>
          <w:p w14:paraId="6198055D" w14:textId="77777777" w:rsidR="00B93A94" w:rsidRPr="0047058F" w:rsidRDefault="00B93A94" w:rsidP="00AF7596">
            <w:pPr>
              <w:pStyle w:val="TableText"/>
              <w:jc w:val="right"/>
              <w:rPr>
                <w:rFonts w:cs="Arial"/>
                <w:bCs/>
              </w:rPr>
            </w:pPr>
            <w:r w:rsidRPr="0047058F">
              <w:rPr>
                <w:rFonts w:cs="Arial"/>
                <w:bCs/>
              </w:rPr>
              <w:t>SE</w:t>
            </w:r>
          </w:p>
        </w:tc>
      </w:tr>
      <w:tr w:rsidR="00B93A94" w:rsidRPr="0047058F" w14:paraId="3508D516"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3438" w:type="dxa"/>
          </w:tcPr>
          <w:p w14:paraId="05F92FD5" w14:textId="77777777" w:rsidR="00B93A94" w:rsidRPr="0047058F" w:rsidRDefault="00B93A94" w:rsidP="00AF7596">
            <w:pPr>
              <w:pStyle w:val="TableText"/>
              <w:rPr>
                <w:rFonts w:cs="Calibri"/>
                <w:szCs w:val="14"/>
              </w:rPr>
            </w:pPr>
            <w:r w:rsidRPr="0047058F">
              <w:rPr>
                <w:rFonts w:cs="Calibri"/>
                <w:szCs w:val="14"/>
              </w:rPr>
              <w:t>2010 ADF Mental Health Prevalence and Wellbeing Study</w:t>
            </w:r>
          </w:p>
        </w:tc>
        <w:tc>
          <w:tcPr>
            <w:tcW w:w="646" w:type="dxa"/>
          </w:tcPr>
          <w:p w14:paraId="43ACC0B1" w14:textId="77777777" w:rsidR="00B93A94" w:rsidRPr="0047058F" w:rsidRDefault="00B93A94" w:rsidP="00AF7596">
            <w:pPr>
              <w:pStyle w:val="TableText"/>
              <w:jc w:val="right"/>
            </w:pPr>
            <w:r w:rsidRPr="0047058F">
              <w:rPr>
                <w:rFonts w:eastAsia="Times New Roman" w:cs="Arial"/>
              </w:rPr>
              <w:t>25.6</w:t>
            </w:r>
          </w:p>
        </w:tc>
        <w:tc>
          <w:tcPr>
            <w:tcW w:w="646" w:type="dxa"/>
          </w:tcPr>
          <w:p w14:paraId="5569169F" w14:textId="77777777" w:rsidR="00B93A94" w:rsidRPr="0047058F" w:rsidRDefault="00B93A94" w:rsidP="00AF7596">
            <w:pPr>
              <w:pStyle w:val="TableText"/>
              <w:jc w:val="right"/>
            </w:pPr>
            <w:r w:rsidRPr="0047058F">
              <w:rPr>
                <w:rFonts w:eastAsia="Times New Roman" w:cs="Arial"/>
              </w:rPr>
              <w:t>0.3</w:t>
            </w:r>
          </w:p>
        </w:tc>
        <w:tc>
          <w:tcPr>
            <w:tcW w:w="646" w:type="dxa"/>
          </w:tcPr>
          <w:p w14:paraId="3B95C72D" w14:textId="77777777" w:rsidR="00B93A94" w:rsidRPr="0047058F" w:rsidRDefault="00B93A94" w:rsidP="00AF7596">
            <w:pPr>
              <w:pStyle w:val="TableText"/>
              <w:jc w:val="right"/>
            </w:pPr>
            <w:r w:rsidRPr="0047058F">
              <w:rPr>
                <w:rFonts w:eastAsia="Times New Roman" w:cs="Arial"/>
              </w:rPr>
              <w:t>22.7</w:t>
            </w:r>
          </w:p>
        </w:tc>
        <w:tc>
          <w:tcPr>
            <w:tcW w:w="646" w:type="dxa"/>
          </w:tcPr>
          <w:p w14:paraId="7C06D506" w14:textId="77777777" w:rsidR="00B93A94" w:rsidRPr="0047058F" w:rsidRDefault="00B93A94" w:rsidP="00AF7596">
            <w:pPr>
              <w:pStyle w:val="TableText"/>
              <w:jc w:val="right"/>
            </w:pPr>
            <w:r w:rsidRPr="0047058F">
              <w:rPr>
                <w:rFonts w:eastAsia="Times New Roman" w:cs="Arial"/>
              </w:rPr>
              <w:t>0.1</w:t>
            </w:r>
          </w:p>
        </w:tc>
        <w:tc>
          <w:tcPr>
            <w:tcW w:w="646" w:type="dxa"/>
          </w:tcPr>
          <w:p w14:paraId="2D27328E" w14:textId="77777777" w:rsidR="00B93A94" w:rsidRPr="0047058F" w:rsidRDefault="00B93A94" w:rsidP="00AF7596">
            <w:pPr>
              <w:pStyle w:val="TableText"/>
              <w:jc w:val="right"/>
            </w:pPr>
            <w:r w:rsidRPr="0047058F">
              <w:rPr>
                <w:rFonts w:eastAsia="Times New Roman" w:cs="Arial"/>
              </w:rPr>
              <w:t>23.5</w:t>
            </w:r>
          </w:p>
        </w:tc>
        <w:tc>
          <w:tcPr>
            <w:tcW w:w="647" w:type="dxa"/>
          </w:tcPr>
          <w:p w14:paraId="53CB304D" w14:textId="77777777" w:rsidR="00B93A94" w:rsidRPr="0047058F" w:rsidRDefault="00B93A94" w:rsidP="00AF7596">
            <w:pPr>
              <w:pStyle w:val="TableText"/>
              <w:jc w:val="right"/>
            </w:pPr>
            <w:r w:rsidRPr="0047058F">
              <w:rPr>
                <w:rFonts w:eastAsia="Times New Roman" w:cs="Arial"/>
              </w:rPr>
              <w:t>0.1</w:t>
            </w:r>
          </w:p>
        </w:tc>
      </w:tr>
      <w:tr w:rsidR="00B93A94" w:rsidRPr="0047058F" w14:paraId="2CCABCE0" w14:textId="77777777" w:rsidTr="00AF7596">
        <w:trPr>
          <w:cantSplit/>
        </w:trPr>
        <w:tc>
          <w:tcPr>
            <w:tcW w:w="3438" w:type="dxa"/>
          </w:tcPr>
          <w:p w14:paraId="2EE3820A" w14:textId="77777777" w:rsidR="00B93A94" w:rsidRPr="0047058F" w:rsidRDefault="00B93A94" w:rsidP="00AF7596">
            <w:pPr>
              <w:pStyle w:val="TableText"/>
              <w:rPr>
                <w:rFonts w:cs="Calibri"/>
                <w:szCs w:val="14"/>
              </w:rPr>
            </w:pPr>
            <w:r w:rsidRPr="0047058F">
              <w:rPr>
                <w:rFonts w:cs="Calibri"/>
                <w:szCs w:val="14"/>
              </w:rPr>
              <w:t>2015 Transition and Wellbeing Research Programme</w:t>
            </w:r>
          </w:p>
        </w:tc>
        <w:tc>
          <w:tcPr>
            <w:tcW w:w="646" w:type="dxa"/>
          </w:tcPr>
          <w:p w14:paraId="69007353" w14:textId="77777777" w:rsidR="00B93A94" w:rsidRPr="0047058F" w:rsidRDefault="00B93A94" w:rsidP="00AF7596">
            <w:pPr>
              <w:pStyle w:val="TableText"/>
              <w:jc w:val="right"/>
            </w:pPr>
            <w:r w:rsidRPr="0047058F">
              <w:rPr>
                <w:rFonts w:eastAsia="Times New Roman" w:cs="Arial"/>
              </w:rPr>
              <w:t>30.3</w:t>
            </w:r>
          </w:p>
        </w:tc>
        <w:tc>
          <w:tcPr>
            <w:tcW w:w="646" w:type="dxa"/>
          </w:tcPr>
          <w:p w14:paraId="5155321C" w14:textId="77777777" w:rsidR="00B93A94" w:rsidRPr="0047058F" w:rsidRDefault="00B93A94" w:rsidP="00AF7596">
            <w:pPr>
              <w:pStyle w:val="TableText"/>
              <w:jc w:val="right"/>
            </w:pPr>
            <w:r w:rsidRPr="0047058F">
              <w:rPr>
                <w:rFonts w:eastAsia="Times New Roman" w:cs="Arial"/>
              </w:rPr>
              <w:t>0.4</w:t>
            </w:r>
          </w:p>
        </w:tc>
        <w:tc>
          <w:tcPr>
            <w:tcW w:w="646" w:type="dxa"/>
          </w:tcPr>
          <w:p w14:paraId="4C7038C8" w14:textId="77777777" w:rsidR="00B93A94" w:rsidRPr="0047058F" w:rsidRDefault="00B93A94" w:rsidP="00AF7596">
            <w:pPr>
              <w:pStyle w:val="TableText"/>
              <w:jc w:val="right"/>
            </w:pPr>
            <w:r w:rsidRPr="0047058F">
              <w:rPr>
                <w:rFonts w:eastAsia="Times New Roman" w:cs="Arial"/>
              </w:rPr>
              <w:t>24.1</w:t>
            </w:r>
          </w:p>
        </w:tc>
        <w:tc>
          <w:tcPr>
            <w:tcW w:w="646" w:type="dxa"/>
          </w:tcPr>
          <w:p w14:paraId="083F3DFB" w14:textId="77777777" w:rsidR="00B93A94" w:rsidRPr="0047058F" w:rsidRDefault="00B93A94" w:rsidP="00AF7596">
            <w:pPr>
              <w:pStyle w:val="TableText"/>
              <w:jc w:val="right"/>
            </w:pPr>
            <w:r w:rsidRPr="0047058F">
              <w:rPr>
                <w:rFonts w:eastAsia="Times New Roman" w:cs="Arial"/>
              </w:rPr>
              <w:t>0.1</w:t>
            </w:r>
          </w:p>
        </w:tc>
        <w:tc>
          <w:tcPr>
            <w:tcW w:w="646" w:type="dxa"/>
          </w:tcPr>
          <w:p w14:paraId="7D397A2E" w14:textId="77777777" w:rsidR="00B93A94" w:rsidRPr="0047058F" w:rsidRDefault="00B93A94" w:rsidP="00AF7596">
            <w:pPr>
              <w:pStyle w:val="TableText"/>
              <w:jc w:val="right"/>
            </w:pPr>
            <w:r w:rsidRPr="0047058F">
              <w:rPr>
                <w:rFonts w:eastAsia="Times New Roman" w:cs="Arial"/>
              </w:rPr>
              <w:t>25.8</w:t>
            </w:r>
          </w:p>
        </w:tc>
        <w:tc>
          <w:tcPr>
            <w:tcW w:w="647" w:type="dxa"/>
          </w:tcPr>
          <w:p w14:paraId="2111392A" w14:textId="77777777" w:rsidR="00B93A94" w:rsidRPr="0047058F" w:rsidRDefault="00B93A94" w:rsidP="00AF7596">
            <w:pPr>
              <w:pStyle w:val="TableText"/>
              <w:jc w:val="right"/>
            </w:pPr>
            <w:r w:rsidRPr="0047058F">
              <w:rPr>
                <w:rFonts w:eastAsia="Times New Roman" w:cs="Arial"/>
              </w:rPr>
              <w:t>0.1</w:t>
            </w:r>
          </w:p>
        </w:tc>
      </w:tr>
    </w:tbl>
    <w:p w14:paraId="78BCB530" w14:textId="77777777" w:rsidR="00B93A94" w:rsidRPr="0047058F" w:rsidRDefault="00B93A94" w:rsidP="00F77104">
      <w:pPr>
        <w:pStyle w:val="TableNotes"/>
        <w:keepNext/>
        <w:rPr>
          <w:bCs/>
        </w:rPr>
      </w:pPr>
      <w:r w:rsidRPr="0047058F">
        <w:t>Note: Unweighted data.</w:t>
      </w:r>
    </w:p>
    <w:p w14:paraId="7A7FEE24" w14:textId="77777777" w:rsidR="00B93A94" w:rsidRPr="0047058F" w:rsidRDefault="00B93A94" w:rsidP="00B93A94">
      <w:pPr>
        <w:pStyle w:val="FigureName"/>
      </w:pPr>
      <w:bookmarkStart w:id="263" w:name="_Ref387052946"/>
      <w:bookmarkStart w:id="264" w:name="_Toc529117569"/>
      <w:bookmarkStart w:id="265" w:name="_Toc532473642"/>
      <w:r w:rsidRPr="0047058F">
        <w:t>Figure 5.5</w:t>
      </w:r>
      <w:bookmarkEnd w:id="263"/>
      <w:r w:rsidRPr="0047058F">
        <w:tab/>
        <w:t>Mean PCL-C scores in Transitioned ADF and 2015 Regular ADF in the longitudinal cohort</w:t>
      </w:r>
      <w:bookmarkEnd w:id="264"/>
      <w:bookmarkEnd w:id="265"/>
    </w:p>
    <w:p w14:paraId="18DFD716" w14:textId="77777777" w:rsidR="003427E0" w:rsidRPr="0047058F" w:rsidRDefault="00B93A94" w:rsidP="003427E0">
      <w:pPr>
        <w:spacing w:after="360"/>
      </w:pPr>
      <w:r w:rsidRPr="0047058F">
        <w:rPr>
          <w:noProof/>
          <w:lang w:eastAsia="en-AU"/>
        </w:rPr>
        <w:drawing>
          <wp:inline distT="0" distB="0" distL="0" distR="0" wp14:anchorId="4E49D882" wp14:editId="4A59975F">
            <wp:extent cx="4572000" cy="2743200"/>
            <wp:effectExtent l="0" t="0" r="0" b="0"/>
            <wp:docPr id="10" name="Chart 10" descr="Figure 5.5 Mean PCL-C scores in Transitioned ADF and 2015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4B3225" w14:textId="77777777" w:rsidR="00B93A94" w:rsidRPr="0047058F" w:rsidRDefault="00B93A94" w:rsidP="00B93A94">
      <w:r w:rsidRPr="0047058F">
        <w:t>Table 5.6 and Figure 5.6, Table 5.7 and Figure 5.7, and Table 5.8 and Figure 5.8 show the p</w:t>
      </w:r>
      <w:r w:rsidRPr="0047058F">
        <w:rPr>
          <w:bCs/>
        </w:rPr>
        <w:t>roportion with no disorder, subsyndromal disorder and probable disorder on the PCL-C in 2010 cross-tabulated by the same grouping of PCL-C scores in 2015, among the entire longitudinal cohort, and according to whether they had transitioned or remained in the Regular ADF in 2015.</w:t>
      </w:r>
    </w:p>
    <w:p w14:paraId="05CF9667" w14:textId="77777777" w:rsidR="00B93A94" w:rsidRPr="0047058F" w:rsidRDefault="00B93A94" w:rsidP="00B93A94">
      <w:pPr>
        <w:rPr>
          <w:lang w:eastAsia="en-AU"/>
        </w:rPr>
      </w:pPr>
      <w:r w:rsidRPr="0047058F">
        <w:rPr>
          <w:lang w:eastAsia="en-AU"/>
        </w:rPr>
        <w:t>In 2010, 81.1% did not meet criteria for any disorder on the PCL-C, 16.2% met criteria for subsyndromal disorder, and 2.7% met criteria for probable disorder. In 2015, 75.3% had no disorder, and subsyndromal disorder increased to 19.2% and probable disorder to 5.5%. Of those with no disorder on the PCL-C in 2010, 83.2% continued to have no disorder in 2015, 14.1% now had a subsyndromal disorder and 2.6% now had a probable disorder. Of those with subsyndromal disorder in 2010, 40.3% remained subsyndromal, 45.4% no longer had a disorder on the PCL-C and 14.3% now met criteria for a probable disorder. Of those with a probable disorder in 2010, 37.6% remained in this category, 45.4% fell to subsyndromal and 17.1% no longer had a disorder.</w:t>
      </w:r>
    </w:p>
    <w:p w14:paraId="47E525A9" w14:textId="77777777" w:rsidR="00F77104" w:rsidRPr="0047058F" w:rsidRDefault="00F77104" w:rsidP="00B93A94">
      <w:pPr>
        <w:rPr>
          <w:lang w:eastAsia="en-AU"/>
        </w:rPr>
      </w:pPr>
      <w:bookmarkStart w:id="266" w:name="_Ref384557288"/>
      <w:bookmarkStart w:id="267" w:name="_Toc529117518"/>
      <w:r w:rsidRPr="0047058F">
        <w:rPr>
          <w:lang w:eastAsia="en-AU"/>
        </w:rPr>
        <w:t>Among those who had transitioned, 75.0% did not meet criteria for a disorder in 2010, 19.6% met criteria for a subsyndromal disorder and 5.4% met probable disorder. In 2015, only 62.8% had no disorder, while subsyndromal increased to 25.0% and probable disorder increased to 12.2%. Of those with no disorder in 2010, 19.8% became new cases of subsyndromal disorder in 2015 and 6.3% became new cases of probable disorder. Of those with subsyndromal disorder in 2010, 42.0% remained subsyndromal, 34.7% no longer had a disorder and 23.4% now met criteria for probable disorder. Of those with probable disorder in 2010, over half (55.0%) remained probable in 2015, 34.9% were now subsyndromal and 10.1% no longer met criteria for disorder.</w:t>
      </w:r>
    </w:p>
    <w:p w14:paraId="15528505" w14:textId="77777777" w:rsidR="00F77104" w:rsidRPr="0047058F" w:rsidRDefault="00F77104" w:rsidP="00B93A94">
      <w:pPr>
        <w:rPr>
          <w:lang w:eastAsia="en-AU"/>
        </w:rPr>
      </w:pPr>
      <w:r w:rsidRPr="0047058F">
        <w:t xml:space="preserve">Those who remained in the Regular ADF reported lower levels of disorder on the PCL-C in 2010 and 2015 compared to those who had transitioned. </w:t>
      </w:r>
      <w:r w:rsidRPr="0047058F">
        <w:rPr>
          <w:lang w:eastAsia="en-AU"/>
        </w:rPr>
        <w:t>In 2010, 83.3% of those who remained in the Regular ADF had no disorder, 14.9% had subsyndromal disorder and 1.8% had probable disorder. In 2015, 79.9% had no disorder, and subsyndromal disorder increased slightly to 17.1% and probable disorder to 3.0%. Of those with no disorder in 2010, 86.3% still had no disorder in 2015, 12.3% now had a subsyndromal disorder and 1.4% now had a probable disorder. Of those with subsyndromal disorder in 2010, 39.5% remained in this category, 50.6% no longer had a disorder and 9.9% now had a probable disorder. Of those with a probable disorder in 2010, 17.7% still had a probable disorder in 2015, 57.3% now had a subsyndromal disorder and 25.0% no longer had a disorder.</w:t>
      </w:r>
    </w:p>
    <w:p w14:paraId="19C5DFCB" w14:textId="77777777" w:rsidR="00F77104" w:rsidRPr="0047058F" w:rsidRDefault="00F77104" w:rsidP="00B93A94">
      <w:r w:rsidRPr="0047058F">
        <w:t>When comparing Transitioned ADF and 2015 Regular ADF, more 2015 Regular ADF who had no disorder on the PCL-C in 2010 remained disorder free in 2015 (86.3% vs 73.9%), and more 2015 Regular ADF who had probable disorder in 2010 had no disorder in 2015 (50.6% vs 34.7%). Conversely, more Transitioned ADF who had probable disorder in 2010 remained cases of probable disorder in 2015 (55.0% vs 17.7%).</w:t>
      </w:r>
    </w:p>
    <w:p w14:paraId="07C9A28C" w14:textId="77777777" w:rsidR="00B93A94" w:rsidRPr="0047058F" w:rsidRDefault="00B93A94" w:rsidP="00B93A94">
      <w:pPr>
        <w:pStyle w:val="TableName"/>
        <w:rPr>
          <w:lang w:eastAsia="en-AU"/>
        </w:rPr>
      </w:pPr>
      <w:bookmarkStart w:id="268" w:name="_Toc532473588"/>
      <w:r w:rsidRPr="0047058F">
        <w:t>Table 5.6</w:t>
      </w:r>
      <w:bookmarkEnd w:id="266"/>
      <w:r w:rsidRPr="0047058F">
        <w:tab/>
        <w:t xml:space="preserve">Proportion of </w:t>
      </w:r>
      <w:r w:rsidRPr="0047058F">
        <w:rPr>
          <w:u w:val="single"/>
        </w:rPr>
        <w:t>entire longitudinal cohort</w:t>
      </w:r>
      <w:r w:rsidRPr="0047058F">
        <w:t xml:space="preserve"> with no disorder, subsyndromal disorder and probable disorder on PCL-C in 2010 and 2015 based on self-reported measures</w:t>
      </w:r>
      <w:bookmarkEnd w:id="267"/>
      <w:bookmarkEnd w:id="268"/>
    </w:p>
    <w:tbl>
      <w:tblPr>
        <w:tblStyle w:val="TWRPTable"/>
        <w:tblW w:w="5019" w:type="pct"/>
        <w:tblLook w:val="04A0" w:firstRow="1" w:lastRow="0" w:firstColumn="1" w:lastColumn="0" w:noHBand="0" w:noVBand="1"/>
        <w:tblDescription w:val="Table 5.6 Proportion of entire longitudinal cohort with no disorder, subsyndromal disorder and probable disorder on PCL-C in 2010 and 2015 based on self-reported measures"/>
      </w:tblPr>
      <w:tblGrid>
        <w:gridCol w:w="2719"/>
        <w:gridCol w:w="627"/>
        <w:gridCol w:w="627"/>
        <w:gridCol w:w="562"/>
        <w:gridCol w:w="562"/>
        <w:gridCol w:w="562"/>
        <w:gridCol w:w="564"/>
        <w:gridCol w:w="562"/>
        <w:gridCol w:w="558"/>
      </w:tblGrid>
      <w:tr w:rsidR="00B93A94" w:rsidRPr="0047058F" w14:paraId="241E2C89"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704" w:type="pct"/>
            <w:gridSpan w:val="3"/>
            <w:vMerge w:val="restart"/>
          </w:tcPr>
          <w:p w14:paraId="5D6D8004" w14:textId="77777777" w:rsidR="00B93A94" w:rsidRPr="0047058F" w:rsidRDefault="00B93A94" w:rsidP="00AF7596">
            <w:pPr>
              <w:pStyle w:val="TableText"/>
            </w:pPr>
            <w:r w:rsidRPr="0047058F">
              <w:t>2010 ADF Mental Health Prevalence and Wellbeing Study</w:t>
            </w:r>
          </w:p>
        </w:tc>
        <w:tc>
          <w:tcPr>
            <w:tcW w:w="2296" w:type="pct"/>
            <w:gridSpan w:val="6"/>
          </w:tcPr>
          <w:p w14:paraId="4CD50B45" w14:textId="77777777" w:rsidR="00B93A94" w:rsidRPr="0047058F" w:rsidRDefault="00B93A94" w:rsidP="00AF7596">
            <w:pPr>
              <w:pStyle w:val="TableText"/>
              <w:jc w:val="center"/>
            </w:pPr>
            <w:r w:rsidRPr="0047058F">
              <w:t>2015 Transition and Wellbeing Research Programme</w:t>
            </w:r>
          </w:p>
        </w:tc>
      </w:tr>
      <w:tr w:rsidR="00B93A94" w:rsidRPr="0047058F" w14:paraId="3632EBFF"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704" w:type="pct"/>
            <w:gridSpan w:val="3"/>
            <w:vMerge/>
          </w:tcPr>
          <w:p w14:paraId="349F4EC6" w14:textId="77777777" w:rsidR="00B93A94" w:rsidRPr="0047058F" w:rsidRDefault="00B93A94" w:rsidP="00AF7596">
            <w:pPr>
              <w:pStyle w:val="TableText"/>
            </w:pPr>
          </w:p>
        </w:tc>
        <w:tc>
          <w:tcPr>
            <w:tcW w:w="765" w:type="pct"/>
            <w:gridSpan w:val="2"/>
            <w:hideMark/>
          </w:tcPr>
          <w:p w14:paraId="5E9DD4F3" w14:textId="77777777" w:rsidR="00B93A94" w:rsidRPr="0047058F" w:rsidRDefault="00B93A94" w:rsidP="00AF7596">
            <w:pPr>
              <w:pStyle w:val="TableText"/>
              <w:jc w:val="center"/>
            </w:pPr>
            <w:r w:rsidRPr="0047058F">
              <w:t>No disorder</w:t>
            </w:r>
          </w:p>
        </w:tc>
        <w:tc>
          <w:tcPr>
            <w:tcW w:w="767" w:type="pct"/>
            <w:gridSpan w:val="2"/>
          </w:tcPr>
          <w:p w14:paraId="67FF5201" w14:textId="77777777" w:rsidR="00B93A94" w:rsidRPr="0047058F" w:rsidRDefault="00B93A94" w:rsidP="00AF7596">
            <w:pPr>
              <w:pStyle w:val="TableText"/>
              <w:jc w:val="center"/>
            </w:pPr>
            <w:r w:rsidRPr="0047058F">
              <w:t>Subsyndromal disorder</w:t>
            </w:r>
          </w:p>
        </w:tc>
        <w:tc>
          <w:tcPr>
            <w:tcW w:w="764" w:type="pct"/>
            <w:gridSpan w:val="2"/>
          </w:tcPr>
          <w:p w14:paraId="48F9E780" w14:textId="77777777" w:rsidR="00B93A94" w:rsidRPr="0047058F" w:rsidRDefault="00B93A94" w:rsidP="00AF7596">
            <w:pPr>
              <w:pStyle w:val="TableText"/>
              <w:jc w:val="center"/>
            </w:pPr>
            <w:r w:rsidRPr="0047058F">
              <w:t>Probable disorder</w:t>
            </w:r>
          </w:p>
        </w:tc>
      </w:tr>
      <w:tr w:rsidR="00AF7596" w:rsidRPr="0047058F" w14:paraId="7C116FB2"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1851" w:type="pct"/>
          </w:tcPr>
          <w:p w14:paraId="5A946EF3" w14:textId="77777777" w:rsidR="00B93A94" w:rsidRPr="0047058F" w:rsidRDefault="00B93A94" w:rsidP="00AF7596">
            <w:pPr>
              <w:pStyle w:val="TableText"/>
            </w:pPr>
            <w:r w:rsidRPr="0047058F">
              <w:rPr>
                <w:rFonts w:cs="Arial"/>
              </w:rPr>
              <w:t>PCL-C</w:t>
            </w:r>
          </w:p>
        </w:tc>
        <w:tc>
          <w:tcPr>
            <w:tcW w:w="426" w:type="pct"/>
          </w:tcPr>
          <w:p w14:paraId="0B714DE7" w14:textId="77777777" w:rsidR="00B93A94" w:rsidRPr="0047058F" w:rsidRDefault="00B93A94" w:rsidP="00AF7596">
            <w:pPr>
              <w:pStyle w:val="TableText"/>
              <w:jc w:val="right"/>
              <w:rPr>
                <w:rFonts w:cs="Arial"/>
              </w:rPr>
            </w:pPr>
            <w:r w:rsidRPr="0047058F">
              <w:rPr>
                <w:rFonts w:cs="Arial"/>
              </w:rPr>
              <w:t>n</w:t>
            </w:r>
          </w:p>
        </w:tc>
        <w:tc>
          <w:tcPr>
            <w:tcW w:w="426" w:type="pct"/>
          </w:tcPr>
          <w:p w14:paraId="14C6406E" w14:textId="77777777" w:rsidR="00B93A94" w:rsidRPr="0047058F" w:rsidRDefault="00B93A94" w:rsidP="00AF7596">
            <w:pPr>
              <w:pStyle w:val="TableText"/>
              <w:jc w:val="right"/>
              <w:rPr>
                <w:rFonts w:cs="Arial"/>
              </w:rPr>
            </w:pPr>
            <w:r w:rsidRPr="0047058F">
              <w:rPr>
                <w:rFonts w:cs="Arial"/>
              </w:rPr>
              <w:t>%</w:t>
            </w:r>
          </w:p>
        </w:tc>
        <w:tc>
          <w:tcPr>
            <w:tcW w:w="383" w:type="pct"/>
          </w:tcPr>
          <w:p w14:paraId="14A28791" w14:textId="77777777" w:rsidR="00B93A94" w:rsidRPr="0047058F" w:rsidRDefault="00B93A94" w:rsidP="00AF7596">
            <w:pPr>
              <w:pStyle w:val="TableText"/>
              <w:jc w:val="right"/>
              <w:rPr>
                <w:rFonts w:cs="Arial"/>
              </w:rPr>
            </w:pPr>
            <w:r w:rsidRPr="0047058F">
              <w:rPr>
                <w:rFonts w:cs="Arial"/>
              </w:rPr>
              <w:t>n</w:t>
            </w:r>
          </w:p>
        </w:tc>
        <w:tc>
          <w:tcPr>
            <w:tcW w:w="383" w:type="pct"/>
          </w:tcPr>
          <w:p w14:paraId="3A3783B8" w14:textId="77777777" w:rsidR="00B93A94" w:rsidRPr="0047058F" w:rsidRDefault="00B93A94" w:rsidP="00AF7596">
            <w:pPr>
              <w:pStyle w:val="TableText"/>
              <w:jc w:val="right"/>
              <w:rPr>
                <w:rFonts w:cs="Arial"/>
              </w:rPr>
            </w:pPr>
            <w:r w:rsidRPr="0047058F">
              <w:rPr>
                <w:rFonts w:cs="Arial"/>
              </w:rPr>
              <w:t>%</w:t>
            </w:r>
          </w:p>
        </w:tc>
        <w:tc>
          <w:tcPr>
            <w:tcW w:w="383" w:type="pct"/>
          </w:tcPr>
          <w:p w14:paraId="7EC4EC9A" w14:textId="77777777" w:rsidR="00B93A94" w:rsidRPr="0047058F" w:rsidRDefault="00B93A94" w:rsidP="00AF7596">
            <w:pPr>
              <w:pStyle w:val="TableText"/>
              <w:jc w:val="right"/>
              <w:rPr>
                <w:rFonts w:cs="Arial"/>
              </w:rPr>
            </w:pPr>
            <w:r w:rsidRPr="0047058F">
              <w:rPr>
                <w:rFonts w:cs="Arial"/>
              </w:rPr>
              <w:t>n</w:t>
            </w:r>
          </w:p>
        </w:tc>
        <w:tc>
          <w:tcPr>
            <w:tcW w:w="384" w:type="pct"/>
          </w:tcPr>
          <w:p w14:paraId="63B5CA14" w14:textId="77777777" w:rsidR="00B93A94" w:rsidRPr="0047058F" w:rsidRDefault="00B93A94" w:rsidP="00AF7596">
            <w:pPr>
              <w:pStyle w:val="TableText"/>
              <w:jc w:val="right"/>
              <w:rPr>
                <w:rFonts w:cs="Arial"/>
              </w:rPr>
            </w:pPr>
            <w:r w:rsidRPr="0047058F">
              <w:rPr>
                <w:rFonts w:cs="Arial"/>
              </w:rPr>
              <w:t>%</w:t>
            </w:r>
          </w:p>
        </w:tc>
        <w:tc>
          <w:tcPr>
            <w:tcW w:w="383" w:type="pct"/>
          </w:tcPr>
          <w:p w14:paraId="50163E1A" w14:textId="77777777" w:rsidR="00B93A94" w:rsidRPr="0047058F" w:rsidRDefault="00B93A94" w:rsidP="00AF7596">
            <w:pPr>
              <w:pStyle w:val="TableText"/>
              <w:jc w:val="right"/>
              <w:rPr>
                <w:rFonts w:cs="Arial"/>
              </w:rPr>
            </w:pPr>
            <w:r w:rsidRPr="0047058F">
              <w:rPr>
                <w:rFonts w:cs="Arial"/>
              </w:rPr>
              <w:t>n</w:t>
            </w:r>
          </w:p>
        </w:tc>
        <w:tc>
          <w:tcPr>
            <w:tcW w:w="381" w:type="pct"/>
          </w:tcPr>
          <w:p w14:paraId="00594750" w14:textId="77777777" w:rsidR="00B93A94" w:rsidRPr="0047058F" w:rsidRDefault="00B93A94" w:rsidP="00AF7596">
            <w:pPr>
              <w:pStyle w:val="TableText"/>
              <w:jc w:val="right"/>
              <w:rPr>
                <w:rFonts w:cs="Arial"/>
              </w:rPr>
            </w:pPr>
            <w:r w:rsidRPr="0047058F">
              <w:rPr>
                <w:rFonts w:cs="Arial"/>
              </w:rPr>
              <w:t>%</w:t>
            </w:r>
          </w:p>
        </w:tc>
      </w:tr>
      <w:tr w:rsidR="00AF7596" w:rsidRPr="0047058F" w14:paraId="659A5741"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1851" w:type="pct"/>
          </w:tcPr>
          <w:p w14:paraId="43F7033D"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426" w:type="pct"/>
          </w:tcPr>
          <w:p w14:paraId="764421E2" w14:textId="77777777" w:rsidR="00B93A94" w:rsidRPr="0047058F" w:rsidRDefault="00B93A94" w:rsidP="00AF7596">
            <w:pPr>
              <w:pStyle w:val="TableText"/>
              <w:jc w:val="right"/>
            </w:pPr>
            <w:r w:rsidRPr="0047058F">
              <w:rPr>
                <w:rFonts w:eastAsia="Times New Roman" w:cs="Arial"/>
              </w:rPr>
              <w:t>6082</w:t>
            </w:r>
          </w:p>
        </w:tc>
        <w:tc>
          <w:tcPr>
            <w:tcW w:w="426" w:type="pct"/>
          </w:tcPr>
          <w:p w14:paraId="2ED4DC6E" w14:textId="77777777" w:rsidR="00B93A94" w:rsidRPr="0047058F" w:rsidRDefault="00B93A94" w:rsidP="00AF7596">
            <w:pPr>
              <w:pStyle w:val="TableText"/>
              <w:jc w:val="right"/>
              <w:rPr>
                <w:rFonts w:eastAsia="Times New Roman" w:cs="Arial"/>
              </w:rPr>
            </w:pPr>
            <w:r w:rsidRPr="0047058F">
              <w:rPr>
                <w:rFonts w:eastAsia="Times New Roman" w:cs="Arial"/>
              </w:rPr>
              <w:t>81.1</w:t>
            </w:r>
          </w:p>
        </w:tc>
        <w:tc>
          <w:tcPr>
            <w:tcW w:w="383" w:type="pct"/>
          </w:tcPr>
          <w:p w14:paraId="37192F38" w14:textId="77777777" w:rsidR="00B93A94" w:rsidRPr="0047058F" w:rsidRDefault="00B93A94" w:rsidP="00AF7596">
            <w:pPr>
              <w:pStyle w:val="TableText"/>
              <w:jc w:val="right"/>
            </w:pPr>
            <w:r w:rsidRPr="0047058F">
              <w:rPr>
                <w:rFonts w:eastAsia="Times New Roman" w:cs="Arial"/>
              </w:rPr>
              <w:t>5061</w:t>
            </w:r>
          </w:p>
        </w:tc>
        <w:tc>
          <w:tcPr>
            <w:tcW w:w="383" w:type="pct"/>
          </w:tcPr>
          <w:p w14:paraId="5C354737" w14:textId="77777777" w:rsidR="00B93A94" w:rsidRPr="0047058F" w:rsidRDefault="00B93A94" w:rsidP="00AF7596">
            <w:pPr>
              <w:pStyle w:val="TableText"/>
              <w:jc w:val="right"/>
            </w:pPr>
            <w:r w:rsidRPr="0047058F">
              <w:rPr>
                <w:rFonts w:eastAsia="Times New Roman" w:cs="Arial"/>
              </w:rPr>
              <w:t>83.2</w:t>
            </w:r>
          </w:p>
        </w:tc>
        <w:tc>
          <w:tcPr>
            <w:tcW w:w="383" w:type="pct"/>
          </w:tcPr>
          <w:p w14:paraId="02F9FAF3" w14:textId="77777777" w:rsidR="00B93A94" w:rsidRPr="0047058F" w:rsidRDefault="00B93A94" w:rsidP="00AF7596">
            <w:pPr>
              <w:pStyle w:val="TableText"/>
              <w:jc w:val="right"/>
            </w:pPr>
            <w:r w:rsidRPr="0047058F">
              <w:rPr>
                <w:rFonts w:eastAsia="Times New Roman" w:cs="Arial"/>
              </w:rPr>
              <w:t>860</w:t>
            </w:r>
          </w:p>
        </w:tc>
        <w:tc>
          <w:tcPr>
            <w:tcW w:w="384" w:type="pct"/>
          </w:tcPr>
          <w:p w14:paraId="4B1CFA51" w14:textId="77777777" w:rsidR="00B93A94" w:rsidRPr="0047058F" w:rsidRDefault="00B93A94" w:rsidP="00AF7596">
            <w:pPr>
              <w:pStyle w:val="TableText"/>
              <w:jc w:val="right"/>
            </w:pPr>
            <w:r w:rsidRPr="0047058F">
              <w:rPr>
                <w:rFonts w:eastAsia="Times New Roman" w:cs="Arial"/>
              </w:rPr>
              <w:t>14.1</w:t>
            </w:r>
          </w:p>
        </w:tc>
        <w:tc>
          <w:tcPr>
            <w:tcW w:w="383" w:type="pct"/>
          </w:tcPr>
          <w:p w14:paraId="31BBDE8E" w14:textId="77777777" w:rsidR="00B93A94" w:rsidRPr="0047058F" w:rsidRDefault="00B93A94" w:rsidP="00AF7596">
            <w:pPr>
              <w:pStyle w:val="TableText"/>
              <w:jc w:val="right"/>
            </w:pPr>
            <w:r w:rsidRPr="0047058F">
              <w:rPr>
                <w:rFonts w:eastAsia="Times New Roman" w:cs="Arial"/>
              </w:rPr>
              <w:t>161</w:t>
            </w:r>
          </w:p>
        </w:tc>
        <w:tc>
          <w:tcPr>
            <w:tcW w:w="381" w:type="pct"/>
          </w:tcPr>
          <w:p w14:paraId="0F55B200" w14:textId="77777777" w:rsidR="00B93A94" w:rsidRPr="0047058F" w:rsidRDefault="00B93A94" w:rsidP="00AF7596">
            <w:pPr>
              <w:pStyle w:val="TableText"/>
              <w:jc w:val="right"/>
            </w:pPr>
            <w:r w:rsidRPr="0047058F">
              <w:rPr>
                <w:rFonts w:eastAsia="Times New Roman" w:cs="Arial"/>
              </w:rPr>
              <w:t>2.6</w:t>
            </w:r>
          </w:p>
        </w:tc>
      </w:tr>
      <w:tr w:rsidR="00AF7596" w:rsidRPr="0047058F" w14:paraId="21ACAE5E" w14:textId="77777777" w:rsidTr="00AF7596">
        <w:trPr>
          <w:cantSplit/>
        </w:trPr>
        <w:tc>
          <w:tcPr>
            <w:tcW w:w="1851" w:type="pct"/>
          </w:tcPr>
          <w:p w14:paraId="6D124DB9"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426" w:type="pct"/>
          </w:tcPr>
          <w:p w14:paraId="723CAEBC" w14:textId="77777777" w:rsidR="00B93A94" w:rsidRPr="0047058F" w:rsidRDefault="00B93A94" w:rsidP="00AF7596">
            <w:pPr>
              <w:pStyle w:val="TableText"/>
              <w:jc w:val="right"/>
            </w:pPr>
            <w:r w:rsidRPr="0047058F">
              <w:rPr>
                <w:rFonts w:eastAsia="Times New Roman" w:cs="Arial"/>
              </w:rPr>
              <w:t>1216</w:t>
            </w:r>
          </w:p>
        </w:tc>
        <w:tc>
          <w:tcPr>
            <w:tcW w:w="426" w:type="pct"/>
          </w:tcPr>
          <w:p w14:paraId="1D085E4E" w14:textId="77777777" w:rsidR="00B93A94" w:rsidRPr="0047058F" w:rsidRDefault="00B93A94" w:rsidP="00AF7596">
            <w:pPr>
              <w:pStyle w:val="TableText"/>
              <w:jc w:val="right"/>
              <w:rPr>
                <w:rFonts w:eastAsia="Times New Roman" w:cs="Arial"/>
              </w:rPr>
            </w:pPr>
            <w:r w:rsidRPr="0047058F">
              <w:rPr>
                <w:rFonts w:eastAsia="Times New Roman" w:cs="Arial"/>
              </w:rPr>
              <w:t>16.2</w:t>
            </w:r>
          </w:p>
        </w:tc>
        <w:tc>
          <w:tcPr>
            <w:tcW w:w="383" w:type="pct"/>
          </w:tcPr>
          <w:p w14:paraId="6516A17D" w14:textId="77777777" w:rsidR="00B93A94" w:rsidRPr="0047058F" w:rsidRDefault="00B93A94" w:rsidP="00AF7596">
            <w:pPr>
              <w:pStyle w:val="TableText"/>
              <w:jc w:val="right"/>
            </w:pPr>
            <w:r w:rsidRPr="0047058F">
              <w:rPr>
                <w:rFonts w:eastAsia="Times New Roman" w:cs="Arial"/>
              </w:rPr>
              <w:t>552</w:t>
            </w:r>
          </w:p>
        </w:tc>
        <w:tc>
          <w:tcPr>
            <w:tcW w:w="383" w:type="pct"/>
          </w:tcPr>
          <w:p w14:paraId="303E195E" w14:textId="77777777" w:rsidR="00B93A94" w:rsidRPr="0047058F" w:rsidRDefault="00B93A94" w:rsidP="00AF7596">
            <w:pPr>
              <w:pStyle w:val="TableText"/>
              <w:jc w:val="right"/>
            </w:pPr>
            <w:r w:rsidRPr="0047058F">
              <w:rPr>
                <w:rFonts w:eastAsia="Times New Roman" w:cs="Arial"/>
              </w:rPr>
              <w:t>45.4</w:t>
            </w:r>
          </w:p>
        </w:tc>
        <w:tc>
          <w:tcPr>
            <w:tcW w:w="383" w:type="pct"/>
          </w:tcPr>
          <w:p w14:paraId="596006A2" w14:textId="77777777" w:rsidR="00B93A94" w:rsidRPr="0047058F" w:rsidRDefault="00B93A94" w:rsidP="00AF7596">
            <w:pPr>
              <w:pStyle w:val="TableText"/>
              <w:jc w:val="right"/>
            </w:pPr>
            <w:r w:rsidRPr="0047058F">
              <w:rPr>
                <w:rFonts w:eastAsia="Times New Roman" w:cs="Arial"/>
              </w:rPr>
              <w:t>490</w:t>
            </w:r>
          </w:p>
        </w:tc>
        <w:tc>
          <w:tcPr>
            <w:tcW w:w="384" w:type="pct"/>
          </w:tcPr>
          <w:p w14:paraId="53EB6CBC" w14:textId="77777777" w:rsidR="00B93A94" w:rsidRPr="0047058F" w:rsidRDefault="00B93A94" w:rsidP="00AF7596">
            <w:pPr>
              <w:pStyle w:val="TableText"/>
              <w:jc w:val="right"/>
            </w:pPr>
            <w:r w:rsidRPr="0047058F">
              <w:rPr>
                <w:rFonts w:eastAsia="Times New Roman" w:cs="Arial"/>
              </w:rPr>
              <w:t>40.3</w:t>
            </w:r>
          </w:p>
        </w:tc>
        <w:tc>
          <w:tcPr>
            <w:tcW w:w="383" w:type="pct"/>
          </w:tcPr>
          <w:p w14:paraId="09B75A1E" w14:textId="77777777" w:rsidR="00B93A94" w:rsidRPr="0047058F" w:rsidRDefault="00B93A94" w:rsidP="00AF7596">
            <w:pPr>
              <w:pStyle w:val="TableText"/>
              <w:jc w:val="right"/>
            </w:pPr>
            <w:r w:rsidRPr="0047058F">
              <w:rPr>
                <w:rFonts w:eastAsia="Times New Roman" w:cs="Arial"/>
              </w:rPr>
              <w:t>174</w:t>
            </w:r>
          </w:p>
        </w:tc>
        <w:tc>
          <w:tcPr>
            <w:tcW w:w="381" w:type="pct"/>
          </w:tcPr>
          <w:p w14:paraId="5A08E100" w14:textId="77777777" w:rsidR="00B93A94" w:rsidRPr="0047058F" w:rsidRDefault="00B93A94" w:rsidP="00AF7596">
            <w:pPr>
              <w:pStyle w:val="TableText"/>
              <w:jc w:val="right"/>
            </w:pPr>
            <w:r w:rsidRPr="0047058F">
              <w:rPr>
                <w:rFonts w:eastAsia="Times New Roman" w:cs="Arial"/>
              </w:rPr>
              <w:t>14.3</w:t>
            </w:r>
          </w:p>
        </w:tc>
      </w:tr>
      <w:tr w:rsidR="00AF7596" w:rsidRPr="0047058F" w14:paraId="204E16E0"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1851" w:type="pct"/>
          </w:tcPr>
          <w:p w14:paraId="78AA1F2A"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426" w:type="pct"/>
          </w:tcPr>
          <w:p w14:paraId="317A985A" w14:textId="77777777" w:rsidR="00B93A94" w:rsidRPr="0047058F" w:rsidRDefault="00B93A94" w:rsidP="00AF7596">
            <w:pPr>
              <w:pStyle w:val="TableText"/>
              <w:jc w:val="right"/>
            </w:pPr>
            <w:r w:rsidRPr="0047058F">
              <w:rPr>
                <w:rFonts w:eastAsia="Times New Roman" w:cs="Arial"/>
              </w:rPr>
              <w:t>205</w:t>
            </w:r>
          </w:p>
        </w:tc>
        <w:tc>
          <w:tcPr>
            <w:tcW w:w="426" w:type="pct"/>
          </w:tcPr>
          <w:p w14:paraId="4733858B" w14:textId="77777777" w:rsidR="00B93A94" w:rsidRPr="0047058F" w:rsidRDefault="00B93A94" w:rsidP="00AF7596">
            <w:pPr>
              <w:pStyle w:val="TableText"/>
              <w:jc w:val="right"/>
              <w:rPr>
                <w:rFonts w:eastAsia="Times New Roman" w:cs="Arial"/>
              </w:rPr>
            </w:pPr>
            <w:r w:rsidRPr="0047058F">
              <w:rPr>
                <w:rFonts w:eastAsia="Times New Roman" w:cs="Arial"/>
              </w:rPr>
              <w:t>2.7</w:t>
            </w:r>
          </w:p>
        </w:tc>
        <w:tc>
          <w:tcPr>
            <w:tcW w:w="383" w:type="pct"/>
          </w:tcPr>
          <w:p w14:paraId="1E96FEF6" w14:textId="77777777" w:rsidR="00B93A94" w:rsidRPr="0047058F" w:rsidRDefault="00B93A94" w:rsidP="00AF7596">
            <w:pPr>
              <w:pStyle w:val="TableText"/>
              <w:jc w:val="right"/>
            </w:pPr>
            <w:r w:rsidRPr="0047058F">
              <w:rPr>
                <w:rFonts w:eastAsia="Times New Roman" w:cs="Arial"/>
              </w:rPr>
              <w:t>35</w:t>
            </w:r>
          </w:p>
        </w:tc>
        <w:tc>
          <w:tcPr>
            <w:tcW w:w="383" w:type="pct"/>
          </w:tcPr>
          <w:p w14:paraId="21BFF890" w14:textId="77777777" w:rsidR="00B93A94" w:rsidRPr="0047058F" w:rsidRDefault="00B93A94" w:rsidP="00AF7596">
            <w:pPr>
              <w:pStyle w:val="TableText"/>
              <w:jc w:val="right"/>
            </w:pPr>
            <w:r w:rsidRPr="0047058F">
              <w:rPr>
                <w:rFonts w:eastAsia="Times New Roman" w:cs="Arial"/>
              </w:rPr>
              <w:t>17.1</w:t>
            </w:r>
          </w:p>
        </w:tc>
        <w:tc>
          <w:tcPr>
            <w:tcW w:w="383" w:type="pct"/>
          </w:tcPr>
          <w:p w14:paraId="5CAF73F1" w14:textId="77777777" w:rsidR="00B93A94" w:rsidRPr="0047058F" w:rsidRDefault="00B93A94" w:rsidP="00AF7596">
            <w:pPr>
              <w:pStyle w:val="TableText"/>
              <w:jc w:val="right"/>
            </w:pPr>
            <w:r w:rsidRPr="0047058F">
              <w:rPr>
                <w:rFonts w:eastAsia="Times New Roman" w:cs="Arial"/>
              </w:rPr>
              <w:t>93</w:t>
            </w:r>
          </w:p>
        </w:tc>
        <w:tc>
          <w:tcPr>
            <w:tcW w:w="384" w:type="pct"/>
          </w:tcPr>
          <w:p w14:paraId="51FFD744" w14:textId="77777777" w:rsidR="00B93A94" w:rsidRPr="0047058F" w:rsidRDefault="00B93A94" w:rsidP="00AF7596">
            <w:pPr>
              <w:pStyle w:val="TableText"/>
              <w:jc w:val="right"/>
            </w:pPr>
            <w:r w:rsidRPr="0047058F">
              <w:rPr>
                <w:rFonts w:eastAsia="Times New Roman" w:cs="Arial"/>
              </w:rPr>
              <w:t>45.4</w:t>
            </w:r>
          </w:p>
        </w:tc>
        <w:tc>
          <w:tcPr>
            <w:tcW w:w="383" w:type="pct"/>
          </w:tcPr>
          <w:p w14:paraId="5EF22910" w14:textId="77777777" w:rsidR="00B93A94" w:rsidRPr="0047058F" w:rsidRDefault="00B93A94" w:rsidP="00AF7596">
            <w:pPr>
              <w:pStyle w:val="TableText"/>
              <w:jc w:val="right"/>
            </w:pPr>
            <w:r w:rsidRPr="0047058F">
              <w:rPr>
                <w:rFonts w:eastAsia="Times New Roman" w:cs="Arial"/>
              </w:rPr>
              <w:t>77</w:t>
            </w:r>
          </w:p>
        </w:tc>
        <w:tc>
          <w:tcPr>
            <w:tcW w:w="381" w:type="pct"/>
          </w:tcPr>
          <w:p w14:paraId="0B1E3118" w14:textId="77777777" w:rsidR="00B93A94" w:rsidRPr="0047058F" w:rsidRDefault="00B93A94" w:rsidP="00AF7596">
            <w:pPr>
              <w:pStyle w:val="TableText"/>
              <w:jc w:val="right"/>
            </w:pPr>
            <w:r w:rsidRPr="0047058F">
              <w:rPr>
                <w:rFonts w:eastAsia="Times New Roman" w:cs="Arial"/>
              </w:rPr>
              <w:t>37.6</w:t>
            </w:r>
          </w:p>
        </w:tc>
      </w:tr>
      <w:tr w:rsidR="00AF7596" w:rsidRPr="0047058F" w14:paraId="492DA900" w14:textId="77777777" w:rsidTr="00AF7596">
        <w:trPr>
          <w:cantSplit/>
        </w:trPr>
        <w:tc>
          <w:tcPr>
            <w:tcW w:w="1851" w:type="pct"/>
          </w:tcPr>
          <w:p w14:paraId="6ED048D8" w14:textId="77777777" w:rsidR="00B93A94" w:rsidRPr="00D74123" w:rsidRDefault="00B93A94" w:rsidP="00AF7596">
            <w:pPr>
              <w:pStyle w:val="TableText"/>
              <w:rPr>
                <w:rFonts w:cs="Arial"/>
                <w:b/>
              </w:rPr>
            </w:pPr>
            <w:r w:rsidRPr="00D74123">
              <w:rPr>
                <w:rFonts w:cs="Arial"/>
                <w:b/>
              </w:rPr>
              <w:t>Total</w:t>
            </w:r>
          </w:p>
        </w:tc>
        <w:tc>
          <w:tcPr>
            <w:tcW w:w="426" w:type="pct"/>
          </w:tcPr>
          <w:p w14:paraId="47876C85" w14:textId="77777777" w:rsidR="00B93A94" w:rsidRPr="00D74123" w:rsidRDefault="00B93A94" w:rsidP="00AF7596">
            <w:pPr>
              <w:pStyle w:val="TableText"/>
              <w:jc w:val="right"/>
              <w:rPr>
                <w:rFonts w:cs="Arial"/>
                <w:b/>
              </w:rPr>
            </w:pPr>
            <w:r w:rsidRPr="00D74123">
              <w:rPr>
                <w:rFonts w:cs="Arial"/>
                <w:b/>
              </w:rPr>
              <w:t>7503</w:t>
            </w:r>
          </w:p>
        </w:tc>
        <w:tc>
          <w:tcPr>
            <w:tcW w:w="426" w:type="pct"/>
          </w:tcPr>
          <w:p w14:paraId="315B1371" w14:textId="77777777" w:rsidR="00B93A94" w:rsidRPr="00D74123" w:rsidRDefault="00B93A94" w:rsidP="00AF7596">
            <w:pPr>
              <w:pStyle w:val="TableText"/>
              <w:jc w:val="right"/>
              <w:rPr>
                <w:rFonts w:eastAsia="Times New Roman" w:cs="Arial"/>
                <w:b/>
              </w:rPr>
            </w:pPr>
            <w:r w:rsidRPr="00D74123">
              <w:rPr>
                <w:rFonts w:eastAsia="Times New Roman" w:cs="Arial"/>
                <w:b/>
              </w:rPr>
              <w:t>100.0</w:t>
            </w:r>
          </w:p>
        </w:tc>
        <w:tc>
          <w:tcPr>
            <w:tcW w:w="383" w:type="pct"/>
          </w:tcPr>
          <w:p w14:paraId="0E05A9D3" w14:textId="77777777" w:rsidR="00B93A94" w:rsidRPr="00D74123" w:rsidRDefault="00B93A94" w:rsidP="00AF7596">
            <w:pPr>
              <w:pStyle w:val="TableText"/>
              <w:jc w:val="right"/>
              <w:rPr>
                <w:rFonts w:cs="Arial"/>
                <w:b/>
              </w:rPr>
            </w:pPr>
            <w:r w:rsidRPr="00D74123">
              <w:rPr>
                <w:rFonts w:eastAsia="Times New Roman" w:cs="Arial"/>
                <w:b/>
              </w:rPr>
              <w:t>5648</w:t>
            </w:r>
          </w:p>
        </w:tc>
        <w:tc>
          <w:tcPr>
            <w:tcW w:w="383" w:type="pct"/>
          </w:tcPr>
          <w:p w14:paraId="0A50B9FB" w14:textId="77777777" w:rsidR="00B93A94" w:rsidRPr="00D74123" w:rsidRDefault="00B93A94" w:rsidP="00AF7596">
            <w:pPr>
              <w:pStyle w:val="TableText"/>
              <w:jc w:val="right"/>
              <w:rPr>
                <w:rFonts w:cs="Arial"/>
                <w:b/>
              </w:rPr>
            </w:pPr>
            <w:r w:rsidRPr="00D74123">
              <w:rPr>
                <w:rFonts w:eastAsia="Times New Roman" w:cs="Arial"/>
                <w:b/>
              </w:rPr>
              <w:t>75.3</w:t>
            </w:r>
          </w:p>
        </w:tc>
        <w:tc>
          <w:tcPr>
            <w:tcW w:w="383" w:type="pct"/>
          </w:tcPr>
          <w:p w14:paraId="55FB79BF" w14:textId="77777777" w:rsidR="00B93A94" w:rsidRPr="00D74123" w:rsidRDefault="00B93A94" w:rsidP="00AF7596">
            <w:pPr>
              <w:pStyle w:val="TableText"/>
              <w:jc w:val="right"/>
              <w:rPr>
                <w:rFonts w:cs="Arial"/>
                <w:b/>
              </w:rPr>
            </w:pPr>
            <w:r w:rsidRPr="00D74123">
              <w:rPr>
                <w:rFonts w:eastAsia="Times New Roman" w:cs="Arial"/>
                <w:b/>
              </w:rPr>
              <w:t>1443</w:t>
            </w:r>
          </w:p>
        </w:tc>
        <w:tc>
          <w:tcPr>
            <w:tcW w:w="384" w:type="pct"/>
          </w:tcPr>
          <w:p w14:paraId="2B7A6AA1" w14:textId="77777777" w:rsidR="00B93A94" w:rsidRPr="00D74123" w:rsidRDefault="00B93A94" w:rsidP="00AF7596">
            <w:pPr>
              <w:pStyle w:val="TableText"/>
              <w:jc w:val="right"/>
              <w:rPr>
                <w:rFonts w:cs="Arial"/>
                <w:b/>
              </w:rPr>
            </w:pPr>
            <w:r w:rsidRPr="00D74123">
              <w:rPr>
                <w:rFonts w:eastAsia="Times New Roman" w:cs="Arial"/>
                <w:b/>
              </w:rPr>
              <w:t>19.2</w:t>
            </w:r>
          </w:p>
        </w:tc>
        <w:tc>
          <w:tcPr>
            <w:tcW w:w="383" w:type="pct"/>
          </w:tcPr>
          <w:p w14:paraId="12597EF4" w14:textId="77777777" w:rsidR="00B93A94" w:rsidRPr="00D74123" w:rsidRDefault="00B93A94" w:rsidP="00AF7596">
            <w:pPr>
              <w:pStyle w:val="TableText"/>
              <w:jc w:val="right"/>
              <w:rPr>
                <w:rFonts w:cs="Arial"/>
                <w:b/>
              </w:rPr>
            </w:pPr>
            <w:r w:rsidRPr="00D74123">
              <w:rPr>
                <w:rFonts w:eastAsia="Times New Roman" w:cs="Arial"/>
                <w:b/>
              </w:rPr>
              <w:t>412</w:t>
            </w:r>
          </w:p>
        </w:tc>
        <w:tc>
          <w:tcPr>
            <w:tcW w:w="381" w:type="pct"/>
          </w:tcPr>
          <w:p w14:paraId="0E680FAA" w14:textId="77777777" w:rsidR="00B93A94" w:rsidRPr="00D74123" w:rsidRDefault="00B93A94" w:rsidP="00AF7596">
            <w:pPr>
              <w:pStyle w:val="TableText"/>
              <w:jc w:val="right"/>
              <w:rPr>
                <w:rFonts w:cs="Arial"/>
                <w:b/>
              </w:rPr>
            </w:pPr>
            <w:r w:rsidRPr="00D74123">
              <w:rPr>
                <w:rFonts w:eastAsia="Times New Roman" w:cs="Arial"/>
                <w:b/>
              </w:rPr>
              <w:t>5.5</w:t>
            </w:r>
          </w:p>
        </w:tc>
      </w:tr>
    </w:tbl>
    <w:p w14:paraId="77B94056" w14:textId="77777777" w:rsidR="00B93A94" w:rsidRPr="0047058F" w:rsidRDefault="00B93A94" w:rsidP="00F77104">
      <w:pPr>
        <w:pStyle w:val="TableNotes"/>
        <w:keepNext/>
      </w:pPr>
      <w:r w:rsidRPr="0047058F">
        <w:t>Note: Unweighted data.</w:t>
      </w:r>
    </w:p>
    <w:p w14:paraId="18E60D32" w14:textId="77777777" w:rsidR="00B93A94" w:rsidRPr="0047058F" w:rsidRDefault="00B93A94" w:rsidP="00B93A94">
      <w:pPr>
        <w:pStyle w:val="FigureName"/>
      </w:pPr>
      <w:bookmarkStart w:id="269" w:name="_Ref387053039"/>
      <w:bookmarkStart w:id="270" w:name="_Toc529117570"/>
      <w:bookmarkStart w:id="271" w:name="_Toc532473643"/>
      <w:r w:rsidRPr="0047058F">
        <w:t>Figure 5.6</w:t>
      </w:r>
      <w:bookmarkEnd w:id="269"/>
      <w:r w:rsidRPr="0047058F">
        <w:tab/>
        <w:t xml:space="preserve">Proportion of </w:t>
      </w:r>
      <w:r w:rsidRPr="0047058F">
        <w:rPr>
          <w:u w:val="single"/>
        </w:rPr>
        <w:t>entire longitudinal cohort</w:t>
      </w:r>
      <w:r w:rsidRPr="0047058F">
        <w:t xml:space="preserve"> with no disorder, subsyndromal disorder and probable disorder on PCL-C in 2010 and 2015 based on self-reported measures</w:t>
      </w:r>
      <w:bookmarkEnd w:id="270"/>
      <w:bookmarkEnd w:id="271"/>
    </w:p>
    <w:p w14:paraId="4C94E4A5" w14:textId="77777777" w:rsidR="003427E0" w:rsidRPr="0047058F" w:rsidRDefault="00B93A94" w:rsidP="003427E0">
      <w:pPr>
        <w:spacing w:after="360"/>
      </w:pPr>
      <w:r w:rsidRPr="0047058F">
        <w:rPr>
          <w:noProof/>
          <w:lang w:eastAsia="en-AU"/>
        </w:rPr>
        <w:drawing>
          <wp:inline distT="0" distB="0" distL="0" distR="0" wp14:anchorId="6917FD3D" wp14:editId="59214094">
            <wp:extent cx="4572000" cy="2743200"/>
            <wp:effectExtent l="0" t="0" r="0" b="0"/>
            <wp:docPr id="18" name="Chart 18" descr="Figure 5.6 Proportion of entire longitudinal cohort with no disorder, subsyndromal disorder and probable disorder on PCL-C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56C463" w14:textId="77777777" w:rsidR="00B93A94" w:rsidRPr="0047058F" w:rsidRDefault="00B93A94" w:rsidP="00B93A94">
      <w:pPr>
        <w:pStyle w:val="TableName"/>
        <w:rPr>
          <w:lang w:eastAsia="en-AU"/>
        </w:rPr>
      </w:pPr>
      <w:bookmarkStart w:id="272" w:name="_Ref384557292"/>
      <w:bookmarkStart w:id="273" w:name="_Toc529117519"/>
      <w:bookmarkStart w:id="274" w:name="_Toc532473589"/>
      <w:r w:rsidRPr="0047058F">
        <w:t>Table 5.7</w:t>
      </w:r>
      <w:bookmarkEnd w:id="272"/>
      <w:r w:rsidRPr="0047058F">
        <w:tab/>
        <w:t xml:space="preserve">Proportion of </w:t>
      </w:r>
      <w:r w:rsidRPr="0047058F">
        <w:rPr>
          <w:u w:val="single"/>
        </w:rPr>
        <w:t>Transitioned ADF in the longitudinal cohort</w:t>
      </w:r>
      <w:r w:rsidRPr="0047058F">
        <w:t xml:space="preserve"> with no disorder, subsyndromal disorder and probable disorder on PCL-C in 2010 and 2015 based on self-reported measures</w:t>
      </w:r>
      <w:bookmarkEnd w:id="273"/>
      <w:bookmarkEnd w:id="274"/>
    </w:p>
    <w:tbl>
      <w:tblPr>
        <w:tblStyle w:val="TWRPTable"/>
        <w:tblW w:w="5108" w:type="pct"/>
        <w:tblLook w:val="04A0" w:firstRow="1" w:lastRow="0" w:firstColumn="1" w:lastColumn="0" w:noHBand="0" w:noVBand="1"/>
        <w:tblDescription w:val="Table 5.7 Proportion of Transitioned ADF in the longitudinal cohort with no disorder, subsyndromal disorder and probable disorder on PCL-C in 2010 and 2015 based on self-reported measures"/>
      </w:tblPr>
      <w:tblGrid>
        <w:gridCol w:w="2408"/>
        <w:gridCol w:w="648"/>
        <w:gridCol w:w="649"/>
        <w:gridCol w:w="628"/>
        <w:gridCol w:w="628"/>
        <w:gridCol w:w="628"/>
        <w:gridCol w:w="628"/>
        <w:gridCol w:w="628"/>
        <w:gridCol w:w="628"/>
      </w:tblGrid>
      <w:tr w:rsidR="00B93A94" w:rsidRPr="0047058F" w14:paraId="1F0CB652"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480" w:type="pct"/>
            <w:gridSpan w:val="3"/>
            <w:vMerge w:val="restart"/>
          </w:tcPr>
          <w:p w14:paraId="39B8E095" w14:textId="77777777" w:rsidR="00B93A94" w:rsidRPr="0047058F" w:rsidRDefault="00B93A94" w:rsidP="00AF7596">
            <w:pPr>
              <w:pStyle w:val="TableText"/>
            </w:pPr>
            <w:r w:rsidRPr="0047058F">
              <w:t>2010 ADF Mental Health Prevalence and Wellbeing Study</w:t>
            </w:r>
          </w:p>
        </w:tc>
        <w:tc>
          <w:tcPr>
            <w:tcW w:w="2520" w:type="pct"/>
            <w:gridSpan w:val="6"/>
          </w:tcPr>
          <w:p w14:paraId="048C8D13" w14:textId="77777777" w:rsidR="00B93A94" w:rsidRPr="0047058F" w:rsidRDefault="00B93A94" w:rsidP="00AF7596">
            <w:pPr>
              <w:pStyle w:val="TableText"/>
              <w:jc w:val="center"/>
            </w:pPr>
            <w:r w:rsidRPr="0047058F">
              <w:t>2015 Transition and Wellbeing Research Programme</w:t>
            </w:r>
          </w:p>
        </w:tc>
      </w:tr>
      <w:tr w:rsidR="00B93A94" w:rsidRPr="0047058F" w14:paraId="6DC5639C"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480" w:type="pct"/>
            <w:gridSpan w:val="3"/>
            <w:vMerge/>
          </w:tcPr>
          <w:p w14:paraId="45BB25E8" w14:textId="77777777" w:rsidR="00B93A94" w:rsidRPr="0047058F" w:rsidRDefault="00B93A94" w:rsidP="00AF7596">
            <w:pPr>
              <w:pStyle w:val="TableText"/>
            </w:pPr>
          </w:p>
        </w:tc>
        <w:tc>
          <w:tcPr>
            <w:tcW w:w="840" w:type="pct"/>
            <w:gridSpan w:val="2"/>
            <w:hideMark/>
          </w:tcPr>
          <w:p w14:paraId="37A9FF03" w14:textId="77777777" w:rsidR="00B93A94" w:rsidRPr="0047058F" w:rsidRDefault="00B93A94" w:rsidP="00AF7596">
            <w:pPr>
              <w:pStyle w:val="TableText"/>
              <w:jc w:val="center"/>
            </w:pPr>
            <w:r w:rsidRPr="0047058F">
              <w:t>No disorder</w:t>
            </w:r>
          </w:p>
        </w:tc>
        <w:tc>
          <w:tcPr>
            <w:tcW w:w="840" w:type="pct"/>
            <w:gridSpan w:val="2"/>
          </w:tcPr>
          <w:p w14:paraId="0FA8E5BE" w14:textId="77777777" w:rsidR="00B93A94" w:rsidRPr="0047058F" w:rsidRDefault="00B93A94" w:rsidP="00AF7596">
            <w:pPr>
              <w:pStyle w:val="TableText"/>
              <w:jc w:val="center"/>
            </w:pPr>
            <w:r w:rsidRPr="0047058F">
              <w:t>Subsyndromal disorder</w:t>
            </w:r>
          </w:p>
        </w:tc>
        <w:tc>
          <w:tcPr>
            <w:tcW w:w="839" w:type="pct"/>
            <w:gridSpan w:val="2"/>
          </w:tcPr>
          <w:p w14:paraId="5D8260B8" w14:textId="77777777" w:rsidR="00B93A94" w:rsidRPr="0047058F" w:rsidRDefault="00B93A94" w:rsidP="00AF7596">
            <w:pPr>
              <w:pStyle w:val="TableText"/>
              <w:jc w:val="center"/>
            </w:pPr>
            <w:r w:rsidRPr="0047058F">
              <w:t>Probable disorder</w:t>
            </w:r>
          </w:p>
        </w:tc>
      </w:tr>
      <w:tr w:rsidR="00B93A94" w:rsidRPr="0047058F" w14:paraId="6F088279"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1612" w:type="pct"/>
          </w:tcPr>
          <w:p w14:paraId="488B3FAC" w14:textId="77777777" w:rsidR="00B93A94" w:rsidRPr="0047058F" w:rsidRDefault="00B93A94" w:rsidP="00AF7596">
            <w:pPr>
              <w:pStyle w:val="TableText"/>
            </w:pPr>
            <w:r w:rsidRPr="0047058F">
              <w:rPr>
                <w:rFonts w:cs="Arial"/>
              </w:rPr>
              <w:t>PCL-C</w:t>
            </w:r>
          </w:p>
        </w:tc>
        <w:tc>
          <w:tcPr>
            <w:tcW w:w="434" w:type="pct"/>
          </w:tcPr>
          <w:p w14:paraId="211687D2" w14:textId="77777777" w:rsidR="00B93A94" w:rsidRPr="0047058F" w:rsidRDefault="00B93A94" w:rsidP="00AF7596">
            <w:pPr>
              <w:pStyle w:val="TableText"/>
              <w:jc w:val="right"/>
              <w:rPr>
                <w:rFonts w:cs="Arial"/>
              </w:rPr>
            </w:pPr>
            <w:r w:rsidRPr="0047058F">
              <w:rPr>
                <w:rFonts w:cs="Arial"/>
              </w:rPr>
              <w:t>n</w:t>
            </w:r>
          </w:p>
        </w:tc>
        <w:tc>
          <w:tcPr>
            <w:tcW w:w="434" w:type="pct"/>
          </w:tcPr>
          <w:p w14:paraId="78655110" w14:textId="77777777" w:rsidR="00B93A94" w:rsidRPr="0047058F" w:rsidRDefault="00B93A94" w:rsidP="00AF7596">
            <w:pPr>
              <w:pStyle w:val="TableText"/>
              <w:jc w:val="right"/>
              <w:rPr>
                <w:rFonts w:cs="Arial"/>
              </w:rPr>
            </w:pPr>
            <w:r w:rsidRPr="0047058F">
              <w:rPr>
                <w:rFonts w:cs="Arial"/>
              </w:rPr>
              <w:t>%</w:t>
            </w:r>
          </w:p>
        </w:tc>
        <w:tc>
          <w:tcPr>
            <w:tcW w:w="420" w:type="pct"/>
          </w:tcPr>
          <w:p w14:paraId="61E3C17B" w14:textId="77777777" w:rsidR="00B93A94" w:rsidRPr="0047058F" w:rsidRDefault="00B93A94" w:rsidP="00AF7596">
            <w:pPr>
              <w:pStyle w:val="TableText"/>
              <w:jc w:val="right"/>
              <w:rPr>
                <w:rFonts w:cs="Arial"/>
              </w:rPr>
            </w:pPr>
            <w:r w:rsidRPr="0047058F">
              <w:rPr>
                <w:rFonts w:cs="Arial"/>
              </w:rPr>
              <w:t>n</w:t>
            </w:r>
          </w:p>
        </w:tc>
        <w:tc>
          <w:tcPr>
            <w:tcW w:w="420" w:type="pct"/>
          </w:tcPr>
          <w:p w14:paraId="79827075" w14:textId="77777777" w:rsidR="00B93A94" w:rsidRPr="0047058F" w:rsidRDefault="00B93A94" w:rsidP="00AF7596">
            <w:pPr>
              <w:pStyle w:val="TableText"/>
              <w:jc w:val="right"/>
              <w:rPr>
                <w:rFonts w:cs="Arial"/>
              </w:rPr>
            </w:pPr>
            <w:r w:rsidRPr="0047058F">
              <w:rPr>
                <w:rFonts w:cs="Arial"/>
              </w:rPr>
              <w:t>%</w:t>
            </w:r>
          </w:p>
        </w:tc>
        <w:tc>
          <w:tcPr>
            <w:tcW w:w="420" w:type="pct"/>
          </w:tcPr>
          <w:p w14:paraId="1C214479" w14:textId="77777777" w:rsidR="00B93A94" w:rsidRPr="0047058F" w:rsidRDefault="00B93A94" w:rsidP="00AF7596">
            <w:pPr>
              <w:pStyle w:val="TableText"/>
              <w:jc w:val="right"/>
              <w:rPr>
                <w:rFonts w:cs="Arial"/>
              </w:rPr>
            </w:pPr>
            <w:r w:rsidRPr="0047058F">
              <w:rPr>
                <w:rFonts w:cs="Arial"/>
              </w:rPr>
              <w:t>n</w:t>
            </w:r>
          </w:p>
        </w:tc>
        <w:tc>
          <w:tcPr>
            <w:tcW w:w="420" w:type="pct"/>
          </w:tcPr>
          <w:p w14:paraId="434C951F" w14:textId="77777777" w:rsidR="00B93A94" w:rsidRPr="0047058F" w:rsidRDefault="00B93A94" w:rsidP="00AF7596">
            <w:pPr>
              <w:pStyle w:val="TableText"/>
              <w:jc w:val="right"/>
              <w:rPr>
                <w:rFonts w:cs="Arial"/>
              </w:rPr>
            </w:pPr>
            <w:r w:rsidRPr="0047058F">
              <w:rPr>
                <w:rFonts w:cs="Arial"/>
              </w:rPr>
              <w:t>%</w:t>
            </w:r>
          </w:p>
        </w:tc>
        <w:tc>
          <w:tcPr>
            <w:tcW w:w="420" w:type="pct"/>
          </w:tcPr>
          <w:p w14:paraId="6C01A4D2" w14:textId="77777777" w:rsidR="00B93A94" w:rsidRPr="0047058F" w:rsidRDefault="00B93A94" w:rsidP="00AF7596">
            <w:pPr>
              <w:pStyle w:val="TableText"/>
              <w:jc w:val="right"/>
              <w:rPr>
                <w:rFonts w:cs="Arial"/>
              </w:rPr>
            </w:pPr>
            <w:r w:rsidRPr="0047058F">
              <w:rPr>
                <w:rFonts w:cs="Arial"/>
              </w:rPr>
              <w:t>n</w:t>
            </w:r>
          </w:p>
        </w:tc>
        <w:tc>
          <w:tcPr>
            <w:tcW w:w="419" w:type="pct"/>
          </w:tcPr>
          <w:p w14:paraId="161CEEF9" w14:textId="77777777" w:rsidR="00B93A94" w:rsidRPr="0047058F" w:rsidRDefault="00B93A94" w:rsidP="00AF7596">
            <w:pPr>
              <w:pStyle w:val="TableText"/>
              <w:jc w:val="right"/>
              <w:rPr>
                <w:rFonts w:cs="Arial"/>
              </w:rPr>
            </w:pPr>
            <w:r w:rsidRPr="0047058F">
              <w:rPr>
                <w:rFonts w:cs="Arial"/>
              </w:rPr>
              <w:t>%</w:t>
            </w:r>
          </w:p>
        </w:tc>
      </w:tr>
      <w:tr w:rsidR="00AF7596" w:rsidRPr="0047058F" w14:paraId="2A1345DD"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1612" w:type="pct"/>
          </w:tcPr>
          <w:p w14:paraId="348248C1"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434" w:type="pct"/>
          </w:tcPr>
          <w:p w14:paraId="052DE411" w14:textId="77777777" w:rsidR="00B93A94" w:rsidRPr="0047058F" w:rsidRDefault="00B93A94" w:rsidP="00AF7596">
            <w:pPr>
              <w:pStyle w:val="TableText"/>
              <w:jc w:val="right"/>
            </w:pPr>
            <w:r w:rsidRPr="0047058F">
              <w:rPr>
                <w:rFonts w:eastAsia="Times New Roman" w:cs="Arial"/>
              </w:rPr>
              <w:t>1520</w:t>
            </w:r>
          </w:p>
        </w:tc>
        <w:tc>
          <w:tcPr>
            <w:tcW w:w="434" w:type="pct"/>
          </w:tcPr>
          <w:p w14:paraId="4C930C62" w14:textId="77777777" w:rsidR="00B93A94" w:rsidRPr="0047058F" w:rsidRDefault="00B93A94" w:rsidP="00AF7596">
            <w:pPr>
              <w:pStyle w:val="TableText"/>
              <w:jc w:val="right"/>
              <w:rPr>
                <w:rFonts w:eastAsia="Times New Roman" w:cs="Arial"/>
              </w:rPr>
            </w:pPr>
            <w:r w:rsidRPr="0047058F">
              <w:rPr>
                <w:rFonts w:eastAsia="Times New Roman" w:cs="Arial"/>
              </w:rPr>
              <w:t>75.0</w:t>
            </w:r>
          </w:p>
        </w:tc>
        <w:tc>
          <w:tcPr>
            <w:tcW w:w="420" w:type="pct"/>
          </w:tcPr>
          <w:p w14:paraId="404EEBE2" w14:textId="77777777" w:rsidR="00B93A94" w:rsidRPr="0047058F" w:rsidRDefault="00B93A94" w:rsidP="00AF7596">
            <w:pPr>
              <w:pStyle w:val="TableText"/>
              <w:jc w:val="right"/>
            </w:pPr>
            <w:r w:rsidRPr="0047058F">
              <w:rPr>
                <w:rFonts w:eastAsia="Times New Roman" w:cs="Arial"/>
              </w:rPr>
              <w:t>1124</w:t>
            </w:r>
          </w:p>
        </w:tc>
        <w:tc>
          <w:tcPr>
            <w:tcW w:w="420" w:type="pct"/>
          </w:tcPr>
          <w:p w14:paraId="2EBC269A" w14:textId="77777777" w:rsidR="00B93A94" w:rsidRPr="0047058F" w:rsidRDefault="00B93A94" w:rsidP="00AF7596">
            <w:pPr>
              <w:pStyle w:val="TableText"/>
              <w:jc w:val="right"/>
            </w:pPr>
            <w:r w:rsidRPr="0047058F">
              <w:rPr>
                <w:rFonts w:eastAsia="Times New Roman" w:cs="Arial"/>
              </w:rPr>
              <w:t>73.9</w:t>
            </w:r>
          </w:p>
        </w:tc>
        <w:tc>
          <w:tcPr>
            <w:tcW w:w="420" w:type="pct"/>
          </w:tcPr>
          <w:p w14:paraId="0321B233" w14:textId="77777777" w:rsidR="00B93A94" w:rsidRPr="0047058F" w:rsidRDefault="00B93A94" w:rsidP="00AF7596">
            <w:pPr>
              <w:pStyle w:val="TableText"/>
              <w:jc w:val="right"/>
            </w:pPr>
            <w:r w:rsidRPr="0047058F">
              <w:rPr>
                <w:rFonts w:eastAsia="Times New Roman" w:cs="Arial"/>
              </w:rPr>
              <w:t>301</w:t>
            </w:r>
          </w:p>
        </w:tc>
        <w:tc>
          <w:tcPr>
            <w:tcW w:w="420" w:type="pct"/>
          </w:tcPr>
          <w:p w14:paraId="3EBDF03F" w14:textId="77777777" w:rsidR="00B93A94" w:rsidRPr="0047058F" w:rsidRDefault="00B93A94" w:rsidP="00AF7596">
            <w:pPr>
              <w:pStyle w:val="TableText"/>
              <w:jc w:val="right"/>
            </w:pPr>
            <w:r w:rsidRPr="0047058F">
              <w:rPr>
                <w:rFonts w:eastAsia="Times New Roman" w:cs="Arial"/>
              </w:rPr>
              <w:t>19.8</w:t>
            </w:r>
          </w:p>
        </w:tc>
        <w:tc>
          <w:tcPr>
            <w:tcW w:w="420" w:type="pct"/>
          </w:tcPr>
          <w:p w14:paraId="17B670B1" w14:textId="77777777" w:rsidR="00B93A94" w:rsidRPr="0047058F" w:rsidRDefault="00B93A94" w:rsidP="00AF7596">
            <w:pPr>
              <w:pStyle w:val="TableText"/>
              <w:jc w:val="right"/>
            </w:pPr>
            <w:r w:rsidRPr="0047058F">
              <w:rPr>
                <w:rFonts w:eastAsia="Times New Roman" w:cs="Arial"/>
              </w:rPr>
              <w:t>95</w:t>
            </w:r>
          </w:p>
        </w:tc>
        <w:tc>
          <w:tcPr>
            <w:tcW w:w="419" w:type="pct"/>
          </w:tcPr>
          <w:p w14:paraId="4D0DEB93" w14:textId="77777777" w:rsidR="00B93A94" w:rsidRPr="0047058F" w:rsidRDefault="00B93A94" w:rsidP="00AF7596">
            <w:pPr>
              <w:pStyle w:val="TableText"/>
              <w:jc w:val="right"/>
            </w:pPr>
            <w:r w:rsidRPr="0047058F">
              <w:rPr>
                <w:rFonts w:eastAsia="Times New Roman" w:cs="Arial"/>
              </w:rPr>
              <w:t>6.3</w:t>
            </w:r>
          </w:p>
        </w:tc>
      </w:tr>
      <w:tr w:rsidR="00B93A94" w:rsidRPr="0047058F" w14:paraId="575E91BA" w14:textId="77777777" w:rsidTr="00AF7596">
        <w:trPr>
          <w:cantSplit/>
        </w:trPr>
        <w:tc>
          <w:tcPr>
            <w:tcW w:w="1612" w:type="pct"/>
          </w:tcPr>
          <w:p w14:paraId="406BF27F"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434" w:type="pct"/>
          </w:tcPr>
          <w:p w14:paraId="0842C95B" w14:textId="77777777" w:rsidR="00B93A94" w:rsidRPr="0047058F" w:rsidRDefault="00B93A94" w:rsidP="00AF7596">
            <w:pPr>
              <w:pStyle w:val="TableText"/>
              <w:jc w:val="right"/>
            </w:pPr>
            <w:r w:rsidRPr="0047058F">
              <w:rPr>
                <w:rFonts w:eastAsia="Times New Roman" w:cs="Arial"/>
              </w:rPr>
              <w:t>398</w:t>
            </w:r>
          </w:p>
        </w:tc>
        <w:tc>
          <w:tcPr>
            <w:tcW w:w="434" w:type="pct"/>
          </w:tcPr>
          <w:p w14:paraId="05336C06" w14:textId="77777777" w:rsidR="00B93A94" w:rsidRPr="0047058F" w:rsidRDefault="00B93A94" w:rsidP="00AF7596">
            <w:pPr>
              <w:pStyle w:val="TableText"/>
              <w:jc w:val="right"/>
              <w:rPr>
                <w:rFonts w:eastAsia="Times New Roman" w:cs="Arial"/>
              </w:rPr>
            </w:pPr>
            <w:r w:rsidRPr="0047058F">
              <w:rPr>
                <w:rFonts w:eastAsia="Times New Roman" w:cs="Arial"/>
              </w:rPr>
              <w:t>19.6</w:t>
            </w:r>
          </w:p>
        </w:tc>
        <w:tc>
          <w:tcPr>
            <w:tcW w:w="420" w:type="pct"/>
          </w:tcPr>
          <w:p w14:paraId="20C3CBFE" w14:textId="77777777" w:rsidR="00B93A94" w:rsidRPr="0047058F" w:rsidRDefault="00B93A94" w:rsidP="00AF7596">
            <w:pPr>
              <w:pStyle w:val="TableText"/>
              <w:jc w:val="right"/>
            </w:pPr>
            <w:r w:rsidRPr="0047058F">
              <w:rPr>
                <w:rFonts w:eastAsia="Times New Roman" w:cs="Arial"/>
              </w:rPr>
              <w:t>138</w:t>
            </w:r>
          </w:p>
        </w:tc>
        <w:tc>
          <w:tcPr>
            <w:tcW w:w="420" w:type="pct"/>
          </w:tcPr>
          <w:p w14:paraId="12759064" w14:textId="77777777" w:rsidR="00B93A94" w:rsidRPr="0047058F" w:rsidRDefault="00B93A94" w:rsidP="00AF7596">
            <w:pPr>
              <w:pStyle w:val="TableText"/>
              <w:jc w:val="right"/>
            </w:pPr>
            <w:r w:rsidRPr="0047058F">
              <w:rPr>
                <w:rFonts w:eastAsia="Times New Roman" w:cs="Arial"/>
              </w:rPr>
              <w:t>34.7</w:t>
            </w:r>
          </w:p>
        </w:tc>
        <w:tc>
          <w:tcPr>
            <w:tcW w:w="420" w:type="pct"/>
          </w:tcPr>
          <w:p w14:paraId="4330F9E2" w14:textId="77777777" w:rsidR="00B93A94" w:rsidRPr="0047058F" w:rsidRDefault="00B93A94" w:rsidP="00AF7596">
            <w:pPr>
              <w:pStyle w:val="TableText"/>
              <w:jc w:val="right"/>
            </w:pPr>
            <w:r w:rsidRPr="0047058F">
              <w:rPr>
                <w:rFonts w:eastAsia="Times New Roman" w:cs="Arial"/>
              </w:rPr>
              <w:t>167</w:t>
            </w:r>
          </w:p>
        </w:tc>
        <w:tc>
          <w:tcPr>
            <w:tcW w:w="420" w:type="pct"/>
          </w:tcPr>
          <w:p w14:paraId="48EF3DB9" w14:textId="77777777" w:rsidR="00B93A94" w:rsidRPr="0047058F" w:rsidRDefault="00B93A94" w:rsidP="00AF7596">
            <w:pPr>
              <w:pStyle w:val="TableText"/>
              <w:jc w:val="right"/>
            </w:pPr>
            <w:r w:rsidRPr="0047058F">
              <w:rPr>
                <w:rFonts w:eastAsia="Times New Roman" w:cs="Arial"/>
              </w:rPr>
              <w:t>42.0</w:t>
            </w:r>
          </w:p>
        </w:tc>
        <w:tc>
          <w:tcPr>
            <w:tcW w:w="420" w:type="pct"/>
          </w:tcPr>
          <w:p w14:paraId="1D1FCE42" w14:textId="77777777" w:rsidR="00B93A94" w:rsidRPr="0047058F" w:rsidRDefault="00B93A94" w:rsidP="00AF7596">
            <w:pPr>
              <w:pStyle w:val="TableText"/>
              <w:jc w:val="right"/>
            </w:pPr>
            <w:r w:rsidRPr="0047058F">
              <w:rPr>
                <w:rFonts w:eastAsia="Times New Roman" w:cs="Arial"/>
              </w:rPr>
              <w:t>93</w:t>
            </w:r>
          </w:p>
        </w:tc>
        <w:tc>
          <w:tcPr>
            <w:tcW w:w="419" w:type="pct"/>
          </w:tcPr>
          <w:p w14:paraId="68386A9A" w14:textId="77777777" w:rsidR="00B93A94" w:rsidRPr="0047058F" w:rsidRDefault="00B93A94" w:rsidP="00AF7596">
            <w:pPr>
              <w:pStyle w:val="TableText"/>
              <w:jc w:val="right"/>
            </w:pPr>
            <w:r w:rsidRPr="0047058F">
              <w:rPr>
                <w:rFonts w:eastAsia="Times New Roman" w:cs="Arial"/>
              </w:rPr>
              <w:t>23.4</w:t>
            </w:r>
          </w:p>
        </w:tc>
      </w:tr>
      <w:tr w:rsidR="00AF7596" w:rsidRPr="0047058F" w14:paraId="30F5D8F4"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1612" w:type="pct"/>
          </w:tcPr>
          <w:p w14:paraId="6209691B"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434" w:type="pct"/>
          </w:tcPr>
          <w:p w14:paraId="1E12172A" w14:textId="77777777" w:rsidR="00B93A94" w:rsidRPr="0047058F" w:rsidRDefault="00B93A94" w:rsidP="00AF7596">
            <w:pPr>
              <w:pStyle w:val="TableText"/>
              <w:jc w:val="right"/>
            </w:pPr>
            <w:r w:rsidRPr="0047058F">
              <w:rPr>
                <w:rFonts w:eastAsia="Times New Roman" w:cs="Arial"/>
              </w:rPr>
              <w:t>109</w:t>
            </w:r>
          </w:p>
        </w:tc>
        <w:tc>
          <w:tcPr>
            <w:tcW w:w="434" w:type="pct"/>
          </w:tcPr>
          <w:p w14:paraId="370F5E61" w14:textId="77777777" w:rsidR="00B93A94" w:rsidRPr="0047058F" w:rsidRDefault="00B93A94" w:rsidP="00AF7596">
            <w:pPr>
              <w:pStyle w:val="TableText"/>
              <w:jc w:val="right"/>
              <w:rPr>
                <w:rFonts w:eastAsia="Times New Roman" w:cs="Arial"/>
              </w:rPr>
            </w:pPr>
            <w:r w:rsidRPr="0047058F">
              <w:rPr>
                <w:rFonts w:eastAsia="Times New Roman" w:cs="Arial"/>
              </w:rPr>
              <w:t>5.4</w:t>
            </w:r>
          </w:p>
        </w:tc>
        <w:tc>
          <w:tcPr>
            <w:tcW w:w="420" w:type="pct"/>
          </w:tcPr>
          <w:p w14:paraId="63A48AF3" w14:textId="77777777" w:rsidR="00B93A94" w:rsidRPr="0047058F" w:rsidRDefault="00B93A94" w:rsidP="00AF7596">
            <w:pPr>
              <w:pStyle w:val="TableText"/>
              <w:jc w:val="right"/>
            </w:pPr>
            <w:r w:rsidRPr="0047058F">
              <w:rPr>
                <w:rFonts w:eastAsia="Times New Roman" w:cs="Arial"/>
              </w:rPr>
              <w:t>11</w:t>
            </w:r>
          </w:p>
        </w:tc>
        <w:tc>
          <w:tcPr>
            <w:tcW w:w="420" w:type="pct"/>
          </w:tcPr>
          <w:p w14:paraId="3A7372B4" w14:textId="77777777" w:rsidR="00B93A94" w:rsidRPr="0047058F" w:rsidRDefault="00B93A94" w:rsidP="00AF7596">
            <w:pPr>
              <w:pStyle w:val="TableText"/>
              <w:jc w:val="right"/>
            </w:pPr>
            <w:r w:rsidRPr="0047058F">
              <w:rPr>
                <w:rFonts w:eastAsia="Times New Roman" w:cs="Arial"/>
              </w:rPr>
              <w:t>10.1</w:t>
            </w:r>
          </w:p>
        </w:tc>
        <w:tc>
          <w:tcPr>
            <w:tcW w:w="420" w:type="pct"/>
          </w:tcPr>
          <w:p w14:paraId="7A0448D7" w14:textId="77777777" w:rsidR="00B93A94" w:rsidRPr="0047058F" w:rsidRDefault="00B93A94" w:rsidP="00AF7596">
            <w:pPr>
              <w:pStyle w:val="TableText"/>
              <w:jc w:val="right"/>
            </w:pPr>
            <w:r w:rsidRPr="0047058F">
              <w:rPr>
                <w:rFonts w:eastAsia="Times New Roman" w:cs="Arial"/>
              </w:rPr>
              <w:t>38</w:t>
            </w:r>
          </w:p>
        </w:tc>
        <w:tc>
          <w:tcPr>
            <w:tcW w:w="420" w:type="pct"/>
          </w:tcPr>
          <w:p w14:paraId="116B5E10" w14:textId="77777777" w:rsidR="00B93A94" w:rsidRPr="0047058F" w:rsidRDefault="00B93A94" w:rsidP="00AF7596">
            <w:pPr>
              <w:pStyle w:val="TableText"/>
              <w:jc w:val="right"/>
            </w:pPr>
            <w:r w:rsidRPr="0047058F">
              <w:rPr>
                <w:rFonts w:eastAsia="Times New Roman" w:cs="Arial"/>
              </w:rPr>
              <w:t>34.9</w:t>
            </w:r>
          </w:p>
        </w:tc>
        <w:tc>
          <w:tcPr>
            <w:tcW w:w="420" w:type="pct"/>
          </w:tcPr>
          <w:p w14:paraId="5F044C53" w14:textId="77777777" w:rsidR="00B93A94" w:rsidRPr="0047058F" w:rsidRDefault="00B93A94" w:rsidP="00AF7596">
            <w:pPr>
              <w:pStyle w:val="TableText"/>
              <w:jc w:val="right"/>
            </w:pPr>
            <w:r w:rsidRPr="0047058F">
              <w:rPr>
                <w:rFonts w:eastAsia="Times New Roman" w:cs="Arial"/>
              </w:rPr>
              <w:t>60</w:t>
            </w:r>
          </w:p>
        </w:tc>
        <w:tc>
          <w:tcPr>
            <w:tcW w:w="419" w:type="pct"/>
          </w:tcPr>
          <w:p w14:paraId="42F0F50D" w14:textId="77777777" w:rsidR="00B93A94" w:rsidRPr="0047058F" w:rsidRDefault="00B93A94" w:rsidP="00AF7596">
            <w:pPr>
              <w:pStyle w:val="TableText"/>
              <w:jc w:val="right"/>
            </w:pPr>
            <w:r w:rsidRPr="0047058F">
              <w:rPr>
                <w:rFonts w:eastAsia="Times New Roman" w:cs="Arial"/>
              </w:rPr>
              <w:t>55.0</w:t>
            </w:r>
          </w:p>
        </w:tc>
      </w:tr>
      <w:tr w:rsidR="00B93A94" w:rsidRPr="0047058F" w14:paraId="56900738" w14:textId="77777777" w:rsidTr="00AF7596">
        <w:trPr>
          <w:cantSplit/>
        </w:trPr>
        <w:tc>
          <w:tcPr>
            <w:tcW w:w="1612" w:type="pct"/>
          </w:tcPr>
          <w:p w14:paraId="6290CB53" w14:textId="77777777" w:rsidR="00B93A94" w:rsidRPr="0047058F" w:rsidRDefault="00B93A94" w:rsidP="00AF7596">
            <w:pPr>
              <w:pStyle w:val="TableText"/>
              <w:rPr>
                <w:rFonts w:cs="Arial"/>
                <w:b/>
              </w:rPr>
            </w:pPr>
            <w:r w:rsidRPr="0047058F">
              <w:rPr>
                <w:rFonts w:cs="Arial"/>
                <w:b/>
              </w:rPr>
              <w:t>Total</w:t>
            </w:r>
          </w:p>
        </w:tc>
        <w:tc>
          <w:tcPr>
            <w:tcW w:w="434" w:type="pct"/>
          </w:tcPr>
          <w:p w14:paraId="67D52251" w14:textId="77777777" w:rsidR="00B93A94" w:rsidRPr="0047058F" w:rsidRDefault="00B93A94" w:rsidP="00AF7596">
            <w:pPr>
              <w:pStyle w:val="TableText"/>
              <w:jc w:val="right"/>
              <w:rPr>
                <w:rFonts w:cs="Arial"/>
                <w:b/>
              </w:rPr>
            </w:pPr>
            <w:r w:rsidRPr="0047058F">
              <w:rPr>
                <w:rFonts w:cs="Arial"/>
                <w:b/>
              </w:rPr>
              <w:t>2027</w:t>
            </w:r>
          </w:p>
        </w:tc>
        <w:tc>
          <w:tcPr>
            <w:tcW w:w="434" w:type="pct"/>
          </w:tcPr>
          <w:p w14:paraId="76925E3B" w14:textId="77777777" w:rsidR="00B93A94" w:rsidRPr="0047058F" w:rsidRDefault="00B93A94" w:rsidP="00AF7596">
            <w:pPr>
              <w:pStyle w:val="TableText"/>
              <w:jc w:val="right"/>
              <w:rPr>
                <w:rFonts w:eastAsia="Times New Roman" w:cs="Arial"/>
                <w:b/>
              </w:rPr>
            </w:pPr>
            <w:r w:rsidRPr="0047058F">
              <w:rPr>
                <w:rFonts w:eastAsia="Times New Roman" w:cs="Arial"/>
                <w:b/>
              </w:rPr>
              <w:t>100.0</w:t>
            </w:r>
          </w:p>
        </w:tc>
        <w:tc>
          <w:tcPr>
            <w:tcW w:w="420" w:type="pct"/>
          </w:tcPr>
          <w:p w14:paraId="6835F158" w14:textId="77777777" w:rsidR="00B93A94" w:rsidRPr="0047058F" w:rsidRDefault="00B93A94" w:rsidP="00AF7596">
            <w:pPr>
              <w:pStyle w:val="TableText"/>
              <w:jc w:val="right"/>
              <w:rPr>
                <w:rFonts w:cs="Arial"/>
                <w:b/>
              </w:rPr>
            </w:pPr>
            <w:r w:rsidRPr="0047058F">
              <w:rPr>
                <w:rFonts w:eastAsia="Times New Roman" w:cs="Arial"/>
                <w:b/>
              </w:rPr>
              <w:t>1273</w:t>
            </w:r>
          </w:p>
        </w:tc>
        <w:tc>
          <w:tcPr>
            <w:tcW w:w="420" w:type="pct"/>
          </w:tcPr>
          <w:p w14:paraId="7878BD2B" w14:textId="77777777" w:rsidR="00B93A94" w:rsidRPr="0047058F" w:rsidRDefault="00B93A94" w:rsidP="00AF7596">
            <w:pPr>
              <w:pStyle w:val="TableText"/>
              <w:jc w:val="right"/>
              <w:rPr>
                <w:rFonts w:cs="Arial"/>
                <w:b/>
              </w:rPr>
            </w:pPr>
            <w:r w:rsidRPr="0047058F">
              <w:rPr>
                <w:rFonts w:eastAsia="Times New Roman" w:cs="Arial"/>
                <w:b/>
              </w:rPr>
              <w:t>62.8</w:t>
            </w:r>
          </w:p>
        </w:tc>
        <w:tc>
          <w:tcPr>
            <w:tcW w:w="420" w:type="pct"/>
          </w:tcPr>
          <w:p w14:paraId="4AFE12A8" w14:textId="77777777" w:rsidR="00B93A94" w:rsidRPr="0047058F" w:rsidRDefault="00B93A94" w:rsidP="00AF7596">
            <w:pPr>
              <w:pStyle w:val="TableText"/>
              <w:jc w:val="right"/>
              <w:rPr>
                <w:rFonts w:cs="Arial"/>
                <w:b/>
              </w:rPr>
            </w:pPr>
            <w:r w:rsidRPr="0047058F">
              <w:rPr>
                <w:rFonts w:eastAsia="Times New Roman" w:cs="Arial"/>
                <w:b/>
              </w:rPr>
              <w:t>506</w:t>
            </w:r>
          </w:p>
        </w:tc>
        <w:tc>
          <w:tcPr>
            <w:tcW w:w="420" w:type="pct"/>
          </w:tcPr>
          <w:p w14:paraId="101E9093" w14:textId="77777777" w:rsidR="00B93A94" w:rsidRPr="0047058F" w:rsidRDefault="00B93A94" w:rsidP="00AF7596">
            <w:pPr>
              <w:pStyle w:val="TableText"/>
              <w:jc w:val="right"/>
              <w:rPr>
                <w:rFonts w:cs="Arial"/>
                <w:b/>
              </w:rPr>
            </w:pPr>
            <w:r w:rsidRPr="0047058F">
              <w:rPr>
                <w:rFonts w:eastAsia="Times New Roman" w:cs="Arial"/>
                <w:b/>
              </w:rPr>
              <w:t>25.0</w:t>
            </w:r>
          </w:p>
        </w:tc>
        <w:tc>
          <w:tcPr>
            <w:tcW w:w="420" w:type="pct"/>
          </w:tcPr>
          <w:p w14:paraId="7F9D0D33" w14:textId="77777777" w:rsidR="00B93A94" w:rsidRPr="0047058F" w:rsidRDefault="00B93A94" w:rsidP="00AF7596">
            <w:pPr>
              <w:pStyle w:val="TableText"/>
              <w:jc w:val="right"/>
              <w:rPr>
                <w:rFonts w:cs="Arial"/>
                <w:b/>
              </w:rPr>
            </w:pPr>
            <w:r w:rsidRPr="0047058F">
              <w:rPr>
                <w:rFonts w:eastAsia="Times New Roman" w:cs="Arial"/>
                <w:b/>
              </w:rPr>
              <w:t>248</w:t>
            </w:r>
          </w:p>
        </w:tc>
        <w:tc>
          <w:tcPr>
            <w:tcW w:w="419" w:type="pct"/>
          </w:tcPr>
          <w:p w14:paraId="47104767" w14:textId="77777777" w:rsidR="00B93A94" w:rsidRPr="0047058F" w:rsidRDefault="00B93A94" w:rsidP="00AF7596">
            <w:pPr>
              <w:pStyle w:val="TableText"/>
              <w:jc w:val="right"/>
              <w:rPr>
                <w:rFonts w:cs="Arial"/>
                <w:b/>
              </w:rPr>
            </w:pPr>
            <w:r w:rsidRPr="0047058F">
              <w:rPr>
                <w:rFonts w:eastAsia="Times New Roman" w:cs="Arial"/>
                <w:b/>
              </w:rPr>
              <w:t>12.2</w:t>
            </w:r>
          </w:p>
        </w:tc>
      </w:tr>
    </w:tbl>
    <w:p w14:paraId="6E71D026" w14:textId="77777777" w:rsidR="00B93A94" w:rsidRPr="0047058F" w:rsidRDefault="00B93A94" w:rsidP="00B93A94">
      <w:pPr>
        <w:pStyle w:val="TableNotes"/>
      </w:pPr>
      <w:r w:rsidRPr="0047058F">
        <w:t>Note: Unweighted data.</w:t>
      </w:r>
    </w:p>
    <w:p w14:paraId="7232B764" w14:textId="7D77CAA2" w:rsidR="00140BA1" w:rsidRPr="0047058F" w:rsidRDefault="00140BA1" w:rsidP="00140BA1">
      <w:pPr>
        <w:pStyle w:val="FigureName"/>
      </w:pPr>
      <w:bookmarkStart w:id="275" w:name="_Ref387053050"/>
      <w:bookmarkStart w:id="276" w:name="_Toc529117571"/>
      <w:bookmarkStart w:id="277" w:name="_Toc532473644"/>
      <w:r w:rsidRPr="0047058F">
        <w:t>Figure 5.7</w:t>
      </w:r>
      <w:bookmarkEnd w:id="275"/>
      <w:r w:rsidRPr="0047058F">
        <w:tab/>
        <w:t xml:space="preserve">Proportion of </w:t>
      </w:r>
      <w:r w:rsidRPr="0047058F">
        <w:rPr>
          <w:u w:val="single"/>
        </w:rPr>
        <w:t>Transitioned ADF</w:t>
      </w:r>
      <w:r>
        <w:rPr>
          <w:u w:val="single"/>
        </w:rPr>
        <w:t xml:space="preserve"> in the longitudinal cohort</w:t>
      </w:r>
      <w:r w:rsidRPr="0047058F">
        <w:t xml:space="preserve"> with no disorder, subsyndromal disorder and probable disorder on PCL-C in 2010 and 2015 based on self-reported measures</w:t>
      </w:r>
      <w:bookmarkEnd w:id="276"/>
      <w:bookmarkEnd w:id="277"/>
    </w:p>
    <w:p w14:paraId="1EB2713D" w14:textId="77777777" w:rsidR="00140BA1" w:rsidRPr="0047058F" w:rsidRDefault="00140BA1" w:rsidP="00140BA1">
      <w:pPr>
        <w:spacing w:after="360"/>
      </w:pPr>
      <w:r w:rsidRPr="0047058F">
        <w:rPr>
          <w:noProof/>
          <w:lang w:eastAsia="en-AU"/>
        </w:rPr>
        <w:drawing>
          <wp:inline distT="0" distB="0" distL="0" distR="0" wp14:anchorId="3EAEF904" wp14:editId="64A11397">
            <wp:extent cx="4572000" cy="2743200"/>
            <wp:effectExtent l="0" t="0" r="0" b="0"/>
            <wp:docPr id="453" name="Chart 453" descr="Figure 5.7 Proportion of Transitioned ADF in the longitudinal cohort with no disorder, subsyndromal disorder and probable disorder on PCL-C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0BE440" w14:textId="62E0C8B4" w:rsidR="00B93A94" w:rsidRPr="0047058F" w:rsidRDefault="00B93A94" w:rsidP="00B93A94">
      <w:pPr>
        <w:pStyle w:val="TableName"/>
      </w:pPr>
      <w:bookmarkStart w:id="278" w:name="_Ref384557295"/>
      <w:bookmarkStart w:id="279" w:name="_Toc529117520"/>
      <w:bookmarkStart w:id="280" w:name="_Toc532473590"/>
      <w:r w:rsidRPr="0047058F">
        <w:t>Table 5.8</w:t>
      </w:r>
      <w:bookmarkEnd w:id="278"/>
      <w:r w:rsidRPr="0047058F">
        <w:tab/>
        <w:t xml:space="preserve">Proportion of </w:t>
      </w:r>
      <w:r w:rsidRPr="0047058F">
        <w:rPr>
          <w:u w:val="single"/>
        </w:rPr>
        <w:t>2015 Regular ADF</w:t>
      </w:r>
      <w:r w:rsidR="004113C8">
        <w:rPr>
          <w:u w:val="single"/>
        </w:rPr>
        <w:t xml:space="preserve"> in the longitudinal cohort</w:t>
      </w:r>
      <w:r w:rsidRPr="0047058F">
        <w:t xml:space="preserve"> with no disorder, subsyndromal disorder and probable disorder on PCL-C in 2010 and 2015 based on self-reported measures</w:t>
      </w:r>
      <w:bookmarkEnd w:id="279"/>
      <w:bookmarkEnd w:id="280"/>
    </w:p>
    <w:tbl>
      <w:tblPr>
        <w:tblStyle w:val="TWRPTable"/>
        <w:tblW w:w="0" w:type="auto"/>
        <w:tblLook w:val="04A0" w:firstRow="1" w:lastRow="0" w:firstColumn="1" w:lastColumn="0" w:noHBand="0" w:noVBand="1"/>
        <w:tblDescription w:val="Table 5.8 Proportion of 2015 Regular ADF in the longitudinal cohort with no disorder, subsyndromal disorder and probable disorder on PCL-C in 2010 and 2015 based on self-reported measures"/>
      </w:tblPr>
      <w:tblGrid>
        <w:gridCol w:w="2899"/>
        <w:gridCol w:w="526"/>
        <w:gridCol w:w="526"/>
        <w:gridCol w:w="560"/>
        <w:gridCol w:w="561"/>
        <w:gridCol w:w="561"/>
        <w:gridCol w:w="560"/>
        <w:gridCol w:w="561"/>
        <w:gridCol w:w="561"/>
      </w:tblGrid>
      <w:tr w:rsidR="00B93A94" w:rsidRPr="0047058F" w14:paraId="1EFB8392"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val="restart"/>
          </w:tcPr>
          <w:p w14:paraId="0F401E48" w14:textId="77777777" w:rsidR="00B93A94" w:rsidRPr="0047058F" w:rsidRDefault="00B93A94" w:rsidP="00AF7596">
            <w:pPr>
              <w:pStyle w:val="TableText"/>
            </w:pPr>
            <w:r w:rsidRPr="0047058F">
              <w:t>2010 ADF Mental Health Prevalence and Wellbeing Study</w:t>
            </w:r>
          </w:p>
        </w:tc>
        <w:tc>
          <w:tcPr>
            <w:tcW w:w="0" w:type="auto"/>
            <w:gridSpan w:val="6"/>
          </w:tcPr>
          <w:p w14:paraId="29D65805" w14:textId="77777777" w:rsidR="00B93A94" w:rsidRPr="0047058F" w:rsidRDefault="00B93A94" w:rsidP="00AF7596">
            <w:pPr>
              <w:pStyle w:val="TableText"/>
              <w:jc w:val="center"/>
            </w:pPr>
            <w:r w:rsidRPr="0047058F">
              <w:t>2015 Transition and Wellbeing Research Programme</w:t>
            </w:r>
          </w:p>
        </w:tc>
      </w:tr>
      <w:tr w:rsidR="00B93A94" w:rsidRPr="0047058F" w14:paraId="48500B33"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tcPr>
          <w:p w14:paraId="31F34404" w14:textId="77777777" w:rsidR="00B93A94" w:rsidRPr="0047058F" w:rsidRDefault="00B93A94" w:rsidP="00AF7596">
            <w:pPr>
              <w:pStyle w:val="TableText"/>
            </w:pPr>
          </w:p>
        </w:tc>
        <w:tc>
          <w:tcPr>
            <w:tcW w:w="1121" w:type="dxa"/>
            <w:gridSpan w:val="2"/>
            <w:hideMark/>
          </w:tcPr>
          <w:p w14:paraId="5C852E56" w14:textId="77777777" w:rsidR="00B93A94" w:rsidRPr="0047058F" w:rsidRDefault="00B93A94" w:rsidP="00AF7596">
            <w:pPr>
              <w:pStyle w:val="TableText"/>
              <w:jc w:val="center"/>
            </w:pPr>
            <w:r w:rsidRPr="0047058F">
              <w:t>No disorder</w:t>
            </w:r>
          </w:p>
        </w:tc>
        <w:tc>
          <w:tcPr>
            <w:tcW w:w="1121" w:type="dxa"/>
            <w:gridSpan w:val="2"/>
          </w:tcPr>
          <w:p w14:paraId="7C4F6DC2" w14:textId="77777777" w:rsidR="00B93A94" w:rsidRPr="0047058F" w:rsidRDefault="00B93A94" w:rsidP="00AF7596">
            <w:pPr>
              <w:pStyle w:val="TableText"/>
              <w:jc w:val="center"/>
            </w:pPr>
            <w:r w:rsidRPr="0047058F">
              <w:t>Subsyndromal disorder</w:t>
            </w:r>
          </w:p>
        </w:tc>
        <w:tc>
          <w:tcPr>
            <w:tcW w:w="1122" w:type="dxa"/>
            <w:gridSpan w:val="2"/>
          </w:tcPr>
          <w:p w14:paraId="0E32A77C" w14:textId="77777777" w:rsidR="00B93A94" w:rsidRPr="0047058F" w:rsidRDefault="00B93A94" w:rsidP="00AF7596">
            <w:pPr>
              <w:pStyle w:val="TableText"/>
              <w:jc w:val="center"/>
            </w:pPr>
            <w:r w:rsidRPr="0047058F">
              <w:t>Probable disorder</w:t>
            </w:r>
          </w:p>
        </w:tc>
      </w:tr>
      <w:tr w:rsidR="00B93A94" w:rsidRPr="0047058F" w14:paraId="201AF6D5"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2899" w:type="dxa"/>
          </w:tcPr>
          <w:p w14:paraId="41CA847C" w14:textId="77777777" w:rsidR="00B93A94" w:rsidRPr="0047058F" w:rsidRDefault="00B93A94" w:rsidP="00AF7596">
            <w:pPr>
              <w:pStyle w:val="TableText"/>
            </w:pPr>
            <w:r w:rsidRPr="0047058F">
              <w:rPr>
                <w:rFonts w:cs="Arial"/>
              </w:rPr>
              <w:t>PCL-C</w:t>
            </w:r>
          </w:p>
        </w:tc>
        <w:tc>
          <w:tcPr>
            <w:tcW w:w="526" w:type="dxa"/>
          </w:tcPr>
          <w:p w14:paraId="1149648A" w14:textId="77777777" w:rsidR="00B93A94" w:rsidRPr="0047058F" w:rsidRDefault="00B93A94" w:rsidP="00AF7596">
            <w:pPr>
              <w:pStyle w:val="TableText"/>
              <w:jc w:val="right"/>
              <w:rPr>
                <w:rFonts w:cs="Arial"/>
              </w:rPr>
            </w:pPr>
            <w:r w:rsidRPr="0047058F">
              <w:rPr>
                <w:rFonts w:cs="Arial"/>
              </w:rPr>
              <w:t>n</w:t>
            </w:r>
          </w:p>
        </w:tc>
        <w:tc>
          <w:tcPr>
            <w:tcW w:w="526" w:type="dxa"/>
          </w:tcPr>
          <w:p w14:paraId="47A2AD4B" w14:textId="77777777" w:rsidR="00B93A94" w:rsidRPr="0047058F" w:rsidRDefault="00B93A94" w:rsidP="00AF7596">
            <w:pPr>
              <w:pStyle w:val="TableText"/>
              <w:jc w:val="right"/>
              <w:rPr>
                <w:rFonts w:cs="Arial"/>
              </w:rPr>
            </w:pPr>
            <w:r w:rsidRPr="0047058F">
              <w:rPr>
                <w:rFonts w:cs="Arial"/>
              </w:rPr>
              <w:t>%</w:t>
            </w:r>
          </w:p>
        </w:tc>
        <w:tc>
          <w:tcPr>
            <w:tcW w:w="560" w:type="dxa"/>
          </w:tcPr>
          <w:p w14:paraId="46DEE1B3" w14:textId="77777777" w:rsidR="00B93A94" w:rsidRPr="0047058F" w:rsidRDefault="00B93A94" w:rsidP="00AF7596">
            <w:pPr>
              <w:pStyle w:val="TableText"/>
              <w:jc w:val="right"/>
              <w:rPr>
                <w:rFonts w:cs="Arial"/>
              </w:rPr>
            </w:pPr>
            <w:r w:rsidRPr="0047058F">
              <w:rPr>
                <w:rFonts w:cs="Arial"/>
              </w:rPr>
              <w:t>n</w:t>
            </w:r>
          </w:p>
        </w:tc>
        <w:tc>
          <w:tcPr>
            <w:tcW w:w="561" w:type="dxa"/>
          </w:tcPr>
          <w:p w14:paraId="6F85667E" w14:textId="77777777" w:rsidR="00B93A94" w:rsidRPr="0047058F" w:rsidRDefault="00B93A94" w:rsidP="00AF7596">
            <w:pPr>
              <w:pStyle w:val="TableText"/>
              <w:jc w:val="right"/>
              <w:rPr>
                <w:rFonts w:cs="Arial"/>
              </w:rPr>
            </w:pPr>
            <w:r w:rsidRPr="0047058F">
              <w:rPr>
                <w:rFonts w:cs="Arial"/>
              </w:rPr>
              <w:t>%</w:t>
            </w:r>
          </w:p>
        </w:tc>
        <w:tc>
          <w:tcPr>
            <w:tcW w:w="561" w:type="dxa"/>
          </w:tcPr>
          <w:p w14:paraId="6BB9E123" w14:textId="77777777" w:rsidR="00B93A94" w:rsidRPr="0047058F" w:rsidRDefault="00B93A94" w:rsidP="00AF7596">
            <w:pPr>
              <w:pStyle w:val="TableText"/>
              <w:jc w:val="right"/>
              <w:rPr>
                <w:rFonts w:cs="Arial"/>
              </w:rPr>
            </w:pPr>
            <w:r w:rsidRPr="0047058F">
              <w:rPr>
                <w:rFonts w:cs="Arial"/>
              </w:rPr>
              <w:t>n</w:t>
            </w:r>
          </w:p>
        </w:tc>
        <w:tc>
          <w:tcPr>
            <w:tcW w:w="560" w:type="dxa"/>
          </w:tcPr>
          <w:p w14:paraId="54FEF52C" w14:textId="77777777" w:rsidR="00B93A94" w:rsidRPr="0047058F" w:rsidRDefault="00B93A94" w:rsidP="00AF7596">
            <w:pPr>
              <w:pStyle w:val="TableText"/>
              <w:jc w:val="right"/>
              <w:rPr>
                <w:rFonts w:cs="Arial"/>
              </w:rPr>
            </w:pPr>
            <w:r w:rsidRPr="0047058F">
              <w:rPr>
                <w:rFonts w:cs="Arial"/>
              </w:rPr>
              <w:t>%</w:t>
            </w:r>
          </w:p>
        </w:tc>
        <w:tc>
          <w:tcPr>
            <w:tcW w:w="561" w:type="dxa"/>
          </w:tcPr>
          <w:p w14:paraId="541083C2" w14:textId="77777777" w:rsidR="00B93A94" w:rsidRPr="0047058F" w:rsidRDefault="00B93A94" w:rsidP="00AF7596">
            <w:pPr>
              <w:pStyle w:val="TableText"/>
              <w:jc w:val="right"/>
              <w:rPr>
                <w:rFonts w:cs="Arial"/>
              </w:rPr>
            </w:pPr>
            <w:r w:rsidRPr="0047058F">
              <w:rPr>
                <w:rFonts w:cs="Arial"/>
              </w:rPr>
              <w:t>n</w:t>
            </w:r>
          </w:p>
        </w:tc>
        <w:tc>
          <w:tcPr>
            <w:tcW w:w="561" w:type="dxa"/>
          </w:tcPr>
          <w:p w14:paraId="189B7D19" w14:textId="77777777" w:rsidR="00B93A94" w:rsidRPr="0047058F" w:rsidRDefault="00B93A94" w:rsidP="00AF7596">
            <w:pPr>
              <w:pStyle w:val="TableText"/>
              <w:jc w:val="right"/>
              <w:rPr>
                <w:rFonts w:cs="Arial"/>
              </w:rPr>
            </w:pPr>
            <w:r w:rsidRPr="0047058F">
              <w:rPr>
                <w:rFonts w:cs="Arial"/>
              </w:rPr>
              <w:t>%</w:t>
            </w:r>
          </w:p>
        </w:tc>
      </w:tr>
      <w:tr w:rsidR="00B93A94" w:rsidRPr="0047058F" w14:paraId="58FAA3B9"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99" w:type="dxa"/>
          </w:tcPr>
          <w:p w14:paraId="457C1F8C"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526" w:type="dxa"/>
          </w:tcPr>
          <w:p w14:paraId="45D3135A" w14:textId="77777777" w:rsidR="00B93A94" w:rsidRPr="0047058F" w:rsidRDefault="00B93A94" w:rsidP="00AF7596">
            <w:pPr>
              <w:pStyle w:val="TableText"/>
              <w:jc w:val="right"/>
            </w:pPr>
            <w:r w:rsidRPr="0047058F">
              <w:rPr>
                <w:rFonts w:eastAsia="Times New Roman" w:cs="Arial"/>
              </w:rPr>
              <w:t>4562</w:t>
            </w:r>
          </w:p>
        </w:tc>
        <w:tc>
          <w:tcPr>
            <w:tcW w:w="526" w:type="dxa"/>
          </w:tcPr>
          <w:p w14:paraId="4D9A4733" w14:textId="77777777" w:rsidR="00B93A94" w:rsidRPr="0047058F" w:rsidRDefault="00B93A94" w:rsidP="00AF7596">
            <w:pPr>
              <w:pStyle w:val="TableText"/>
              <w:jc w:val="right"/>
              <w:rPr>
                <w:rFonts w:eastAsia="Times New Roman" w:cs="Arial"/>
              </w:rPr>
            </w:pPr>
            <w:r w:rsidRPr="0047058F">
              <w:rPr>
                <w:rFonts w:eastAsia="Times New Roman" w:cs="Arial"/>
              </w:rPr>
              <w:t>83.3</w:t>
            </w:r>
          </w:p>
        </w:tc>
        <w:tc>
          <w:tcPr>
            <w:tcW w:w="560" w:type="dxa"/>
          </w:tcPr>
          <w:p w14:paraId="32AA51C2" w14:textId="77777777" w:rsidR="00B93A94" w:rsidRPr="0047058F" w:rsidRDefault="00B93A94" w:rsidP="00AF7596">
            <w:pPr>
              <w:pStyle w:val="TableText"/>
              <w:jc w:val="right"/>
            </w:pPr>
            <w:r w:rsidRPr="0047058F">
              <w:rPr>
                <w:rFonts w:eastAsia="Times New Roman" w:cs="Arial"/>
              </w:rPr>
              <w:t>3937</w:t>
            </w:r>
          </w:p>
        </w:tc>
        <w:tc>
          <w:tcPr>
            <w:tcW w:w="561" w:type="dxa"/>
          </w:tcPr>
          <w:p w14:paraId="4B0F5E56" w14:textId="77777777" w:rsidR="00B93A94" w:rsidRPr="0047058F" w:rsidRDefault="00B93A94" w:rsidP="00AF7596">
            <w:pPr>
              <w:pStyle w:val="TableText"/>
              <w:jc w:val="right"/>
            </w:pPr>
            <w:r w:rsidRPr="0047058F">
              <w:rPr>
                <w:rFonts w:eastAsia="Times New Roman" w:cs="Arial"/>
              </w:rPr>
              <w:t>86.3</w:t>
            </w:r>
          </w:p>
        </w:tc>
        <w:tc>
          <w:tcPr>
            <w:tcW w:w="561" w:type="dxa"/>
          </w:tcPr>
          <w:p w14:paraId="27A2E16F" w14:textId="77777777" w:rsidR="00B93A94" w:rsidRPr="0047058F" w:rsidRDefault="00B93A94" w:rsidP="00AF7596">
            <w:pPr>
              <w:pStyle w:val="TableText"/>
              <w:jc w:val="right"/>
            </w:pPr>
            <w:r w:rsidRPr="0047058F">
              <w:rPr>
                <w:rFonts w:eastAsia="Times New Roman" w:cs="Arial"/>
              </w:rPr>
              <w:t>559</w:t>
            </w:r>
          </w:p>
        </w:tc>
        <w:tc>
          <w:tcPr>
            <w:tcW w:w="560" w:type="dxa"/>
          </w:tcPr>
          <w:p w14:paraId="2EAF3126" w14:textId="77777777" w:rsidR="00B93A94" w:rsidRPr="0047058F" w:rsidRDefault="00B93A94" w:rsidP="00AF7596">
            <w:pPr>
              <w:pStyle w:val="TableText"/>
              <w:jc w:val="right"/>
            </w:pPr>
            <w:r w:rsidRPr="0047058F">
              <w:rPr>
                <w:rFonts w:eastAsia="Times New Roman" w:cs="Arial"/>
              </w:rPr>
              <w:t>12.3</w:t>
            </w:r>
          </w:p>
        </w:tc>
        <w:tc>
          <w:tcPr>
            <w:tcW w:w="561" w:type="dxa"/>
          </w:tcPr>
          <w:p w14:paraId="11FD3FC5" w14:textId="77777777" w:rsidR="00B93A94" w:rsidRPr="0047058F" w:rsidRDefault="00B93A94" w:rsidP="00AF7596">
            <w:pPr>
              <w:pStyle w:val="TableText"/>
              <w:jc w:val="right"/>
            </w:pPr>
            <w:r w:rsidRPr="0047058F">
              <w:rPr>
                <w:rFonts w:eastAsia="Times New Roman" w:cs="Arial"/>
              </w:rPr>
              <w:t>66</w:t>
            </w:r>
          </w:p>
        </w:tc>
        <w:tc>
          <w:tcPr>
            <w:tcW w:w="561" w:type="dxa"/>
          </w:tcPr>
          <w:p w14:paraId="3B842E8D" w14:textId="77777777" w:rsidR="00B93A94" w:rsidRPr="0047058F" w:rsidRDefault="00B93A94" w:rsidP="00AF7596">
            <w:pPr>
              <w:pStyle w:val="TableText"/>
              <w:jc w:val="right"/>
            </w:pPr>
            <w:r w:rsidRPr="0047058F">
              <w:rPr>
                <w:rFonts w:eastAsia="Times New Roman" w:cs="Arial"/>
              </w:rPr>
              <w:t>1.4</w:t>
            </w:r>
          </w:p>
        </w:tc>
      </w:tr>
      <w:tr w:rsidR="00B93A94" w:rsidRPr="0047058F" w14:paraId="2154374F" w14:textId="77777777" w:rsidTr="00AF7596">
        <w:trPr>
          <w:cantSplit/>
        </w:trPr>
        <w:tc>
          <w:tcPr>
            <w:tcW w:w="2899" w:type="dxa"/>
          </w:tcPr>
          <w:p w14:paraId="2267DB82"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526" w:type="dxa"/>
          </w:tcPr>
          <w:p w14:paraId="055CC1E7" w14:textId="77777777" w:rsidR="00B93A94" w:rsidRPr="0047058F" w:rsidRDefault="00B93A94" w:rsidP="00AF7596">
            <w:pPr>
              <w:pStyle w:val="TableText"/>
              <w:jc w:val="right"/>
            </w:pPr>
            <w:r w:rsidRPr="0047058F">
              <w:rPr>
                <w:rFonts w:eastAsia="Times New Roman" w:cs="Arial"/>
              </w:rPr>
              <w:t>818</w:t>
            </w:r>
          </w:p>
        </w:tc>
        <w:tc>
          <w:tcPr>
            <w:tcW w:w="526" w:type="dxa"/>
          </w:tcPr>
          <w:p w14:paraId="52876CD2" w14:textId="77777777" w:rsidR="00B93A94" w:rsidRPr="0047058F" w:rsidRDefault="00B93A94" w:rsidP="00AF7596">
            <w:pPr>
              <w:pStyle w:val="TableText"/>
              <w:jc w:val="right"/>
              <w:rPr>
                <w:rFonts w:eastAsia="Times New Roman" w:cs="Arial"/>
              </w:rPr>
            </w:pPr>
            <w:r w:rsidRPr="0047058F">
              <w:rPr>
                <w:rFonts w:eastAsia="Times New Roman" w:cs="Arial"/>
              </w:rPr>
              <w:t>14.9</w:t>
            </w:r>
          </w:p>
        </w:tc>
        <w:tc>
          <w:tcPr>
            <w:tcW w:w="560" w:type="dxa"/>
          </w:tcPr>
          <w:p w14:paraId="30668D15" w14:textId="77777777" w:rsidR="00B93A94" w:rsidRPr="0047058F" w:rsidRDefault="00B93A94" w:rsidP="00AF7596">
            <w:pPr>
              <w:pStyle w:val="TableText"/>
              <w:jc w:val="right"/>
            </w:pPr>
            <w:r w:rsidRPr="0047058F">
              <w:rPr>
                <w:rFonts w:eastAsia="Times New Roman" w:cs="Arial"/>
              </w:rPr>
              <w:t>414</w:t>
            </w:r>
          </w:p>
        </w:tc>
        <w:tc>
          <w:tcPr>
            <w:tcW w:w="561" w:type="dxa"/>
          </w:tcPr>
          <w:p w14:paraId="693F1B78" w14:textId="77777777" w:rsidR="00B93A94" w:rsidRPr="0047058F" w:rsidRDefault="00B93A94" w:rsidP="00AF7596">
            <w:pPr>
              <w:pStyle w:val="TableText"/>
              <w:jc w:val="right"/>
            </w:pPr>
            <w:r w:rsidRPr="0047058F">
              <w:rPr>
                <w:rFonts w:eastAsia="Times New Roman" w:cs="Arial"/>
              </w:rPr>
              <w:t>50.6</w:t>
            </w:r>
          </w:p>
        </w:tc>
        <w:tc>
          <w:tcPr>
            <w:tcW w:w="561" w:type="dxa"/>
          </w:tcPr>
          <w:p w14:paraId="350DB751" w14:textId="77777777" w:rsidR="00B93A94" w:rsidRPr="0047058F" w:rsidRDefault="00B93A94" w:rsidP="00AF7596">
            <w:pPr>
              <w:pStyle w:val="TableText"/>
              <w:jc w:val="right"/>
            </w:pPr>
            <w:r w:rsidRPr="0047058F">
              <w:rPr>
                <w:rFonts w:eastAsia="Times New Roman" w:cs="Arial"/>
              </w:rPr>
              <w:t>323</w:t>
            </w:r>
          </w:p>
        </w:tc>
        <w:tc>
          <w:tcPr>
            <w:tcW w:w="560" w:type="dxa"/>
          </w:tcPr>
          <w:p w14:paraId="6A3E6767" w14:textId="77777777" w:rsidR="00B93A94" w:rsidRPr="0047058F" w:rsidRDefault="00B93A94" w:rsidP="00AF7596">
            <w:pPr>
              <w:pStyle w:val="TableText"/>
              <w:jc w:val="right"/>
            </w:pPr>
            <w:r w:rsidRPr="0047058F">
              <w:rPr>
                <w:rFonts w:eastAsia="Times New Roman" w:cs="Arial"/>
              </w:rPr>
              <w:t>39.5</w:t>
            </w:r>
          </w:p>
        </w:tc>
        <w:tc>
          <w:tcPr>
            <w:tcW w:w="561" w:type="dxa"/>
          </w:tcPr>
          <w:p w14:paraId="7711D778" w14:textId="77777777" w:rsidR="00B93A94" w:rsidRPr="0047058F" w:rsidRDefault="00B93A94" w:rsidP="00AF7596">
            <w:pPr>
              <w:pStyle w:val="TableText"/>
              <w:jc w:val="right"/>
            </w:pPr>
            <w:r w:rsidRPr="0047058F">
              <w:rPr>
                <w:rFonts w:eastAsia="Times New Roman" w:cs="Arial"/>
              </w:rPr>
              <w:t>81</w:t>
            </w:r>
          </w:p>
        </w:tc>
        <w:tc>
          <w:tcPr>
            <w:tcW w:w="561" w:type="dxa"/>
          </w:tcPr>
          <w:p w14:paraId="02841CDF" w14:textId="77777777" w:rsidR="00B93A94" w:rsidRPr="0047058F" w:rsidRDefault="00B93A94" w:rsidP="00AF7596">
            <w:pPr>
              <w:pStyle w:val="TableText"/>
              <w:jc w:val="right"/>
            </w:pPr>
            <w:r w:rsidRPr="0047058F">
              <w:rPr>
                <w:rFonts w:eastAsia="Times New Roman" w:cs="Arial"/>
              </w:rPr>
              <w:t>9.9</w:t>
            </w:r>
          </w:p>
        </w:tc>
      </w:tr>
      <w:tr w:rsidR="00B93A94" w:rsidRPr="0047058F" w14:paraId="1F45D1A0"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2899" w:type="dxa"/>
          </w:tcPr>
          <w:p w14:paraId="36DA9031"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526" w:type="dxa"/>
          </w:tcPr>
          <w:p w14:paraId="79DA8502" w14:textId="77777777" w:rsidR="00B93A94" w:rsidRPr="0047058F" w:rsidRDefault="00B93A94" w:rsidP="00AF7596">
            <w:pPr>
              <w:pStyle w:val="TableText"/>
              <w:jc w:val="right"/>
            </w:pPr>
            <w:r w:rsidRPr="0047058F">
              <w:rPr>
                <w:rFonts w:eastAsia="Times New Roman" w:cs="Arial"/>
              </w:rPr>
              <w:t>96</w:t>
            </w:r>
          </w:p>
        </w:tc>
        <w:tc>
          <w:tcPr>
            <w:tcW w:w="526" w:type="dxa"/>
          </w:tcPr>
          <w:p w14:paraId="4F2D9C6E" w14:textId="77777777" w:rsidR="00B93A94" w:rsidRPr="0047058F" w:rsidRDefault="00B93A94" w:rsidP="00AF7596">
            <w:pPr>
              <w:pStyle w:val="TableText"/>
              <w:jc w:val="right"/>
              <w:rPr>
                <w:rFonts w:eastAsia="Times New Roman" w:cs="Arial"/>
              </w:rPr>
            </w:pPr>
            <w:r w:rsidRPr="0047058F">
              <w:rPr>
                <w:rFonts w:eastAsia="Times New Roman" w:cs="Arial"/>
              </w:rPr>
              <w:t>1.8</w:t>
            </w:r>
          </w:p>
        </w:tc>
        <w:tc>
          <w:tcPr>
            <w:tcW w:w="560" w:type="dxa"/>
          </w:tcPr>
          <w:p w14:paraId="23D707CC" w14:textId="77777777" w:rsidR="00B93A94" w:rsidRPr="0047058F" w:rsidRDefault="00B93A94" w:rsidP="00AF7596">
            <w:pPr>
              <w:pStyle w:val="TableText"/>
              <w:jc w:val="right"/>
            </w:pPr>
            <w:r w:rsidRPr="0047058F">
              <w:rPr>
                <w:rFonts w:eastAsia="Times New Roman" w:cs="Arial"/>
              </w:rPr>
              <w:t>24</w:t>
            </w:r>
          </w:p>
        </w:tc>
        <w:tc>
          <w:tcPr>
            <w:tcW w:w="561" w:type="dxa"/>
          </w:tcPr>
          <w:p w14:paraId="0B52DCCD" w14:textId="77777777" w:rsidR="00B93A94" w:rsidRPr="0047058F" w:rsidRDefault="00B93A94" w:rsidP="00AF7596">
            <w:pPr>
              <w:pStyle w:val="TableText"/>
              <w:jc w:val="right"/>
            </w:pPr>
            <w:r w:rsidRPr="0047058F">
              <w:rPr>
                <w:rFonts w:eastAsia="Times New Roman" w:cs="Arial"/>
              </w:rPr>
              <w:t>25.0</w:t>
            </w:r>
          </w:p>
        </w:tc>
        <w:tc>
          <w:tcPr>
            <w:tcW w:w="561" w:type="dxa"/>
          </w:tcPr>
          <w:p w14:paraId="04ED6716" w14:textId="77777777" w:rsidR="00B93A94" w:rsidRPr="0047058F" w:rsidRDefault="00B93A94" w:rsidP="00AF7596">
            <w:pPr>
              <w:pStyle w:val="TableText"/>
              <w:jc w:val="right"/>
            </w:pPr>
            <w:r w:rsidRPr="0047058F">
              <w:rPr>
                <w:rFonts w:eastAsia="Times New Roman" w:cs="Arial"/>
              </w:rPr>
              <w:t>55</w:t>
            </w:r>
          </w:p>
        </w:tc>
        <w:tc>
          <w:tcPr>
            <w:tcW w:w="560" w:type="dxa"/>
          </w:tcPr>
          <w:p w14:paraId="22987CD4" w14:textId="77777777" w:rsidR="00B93A94" w:rsidRPr="0047058F" w:rsidRDefault="00B93A94" w:rsidP="00AF7596">
            <w:pPr>
              <w:pStyle w:val="TableText"/>
              <w:jc w:val="right"/>
            </w:pPr>
            <w:r w:rsidRPr="0047058F">
              <w:rPr>
                <w:rFonts w:eastAsia="Times New Roman" w:cs="Arial"/>
              </w:rPr>
              <w:t>57.3</w:t>
            </w:r>
          </w:p>
        </w:tc>
        <w:tc>
          <w:tcPr>
            <w:tcW w:w="561" w:type="dxa"/>
          </w:tcPr>
          <w:p w14:paraId="4EF98F95" w14:textId="77777777" w:rsidR="00B93A94" w:rsidRPr="0047058F" w:rsidRDefault="00B93A94" w:rsidP="00AF7596">
            <w:pPr>
              <w:pStyle w:val="TableText"/>
              <w:jc w:val="right"/>
            </w:pPr>
            <w:r w:rsidRPr="0047058F">
              <w:rPr>
                <w:rFonts w:eastAsia="Times New Roman" w:cs="Arial"/>
              </w:rPr>
              <w:t>17</w:t>
            </w:r>
          </w:p>
        </w:tc>
        <w:tc>
          <w:tcPr>
            <w:tcW w:w="561" w:type="dxa"/>
          </w:tcPr>
          <w:p w14:paraId="5706144E" w14:textId="77777777" w:rsidR="00B93A94" w:rsidRPr="0047058F" w:rsidRDefault="00B93A94" w:rsidP="00AF7596">
            <w:pPr>
              <w:pStyle w:val="TableText"/>
              <w:jc w:val="right"/>
            </w:pPr>
            <w:r w:rsidRPr="0047058F">
              <w:rPr>
                <w:rFonts w:eastAsia="Times New Roman" w:cs="Arial"/>
              </w:rPr>
              <w:t>17.7</w:t>
            </w:r>
          </w:p>
        </w:tc>
      </w:tr>
      <w:tr w:rsidR="00B93A94" w:rsidRPr="0047058F" w14:paraId="7E993F21" w14:textId="77777777" w:rsidTr="00AF7596">
        <w:trPr>
          <w:cantSplit/>
        </w:trPr>
        <w:tc>
          <w:tcPr>
            <w:tcW w:w="2899" w:type="dxa"/>
          </w:tcPr>
          <w:p w14:paraId="5487A012" w14:textId="77777777" w:rsidR="00B93A94" w:rsidRPr="0047058F" w:rsidRDefault="00B93A94" w:rsidP="00AF7596">
            <w:pPr>
              <w:pStyle w:val="TableText"/>
              <w:rPr>
                <w:rFonts w:cs="Arial"/>
                <w:b/>
              </w:rPr>
            </w:pPr>
            <w:r w:rsidRPr="0047058F">
              <w:rPr>
                <w:rFonts w:cs="Arial"/>
                <w:b/>
              </w:rPr>
              <w:t>Total</w:t>
            </w:r>
          </w:p>
        </w:tc>
        <w:tc>
          <w:tcPr>
            <w:tcW w:w="526" w:type="dxa"/>
          </w:tcPr>
          <w:p w14:paraId="7214AE2C" w14:textId="77777777" w:rsidR="00B93A94" w:rsidRPr="0047058F" w:rsidRDefault="00B93A94" w:rsidP="00AF7596">
            <w:pPr>
              <w:pStyle w:val="TableText"/>
              <w:jc w:val="right"/>
              <w:rPr>
                <w:rFonts w:cs="Arial"/>
                <w:b/>
              </w:rPr>
            </w:pPr>
            <w:r w:rsidRPr="0047058F">
              <w:rPr>
                <w:rFonts w:cs="Arial"/>
                <w:b/>
              </w:rPr>
              <w:t>5476</w:t>
            </w:r>
          </w:p>
        </w:tc>
        <w:tc>
          <w:tcPr>
            <w:tcW w:w="526" w:type="dxa"/>
          </w:tcPr>
          <w:p w14:paraId="1E6AD3CF" w14:textId="77777777" w:rsidR="00B93A94" w:rsidRPr="0047058F" w:rsidRDefault="00B93A94" w:rsidP="00AF7596">
            <w:pPr>
              <w:pStyle w:val="TableText"/>
              <w:jc w:val="right"/>
              <w:rPr>
                <w:rFonts w:eastAsia="Times New Roman" w:cs="Arial"/>
                <w:b/>
              </w:rPr>
            </w:pPr>
            <w:r w:rsidRPr="0047058F">
              <w:rPr>
                <w:rFonts w:eastAsia="Times New Roman" w:cs="Arial"/>
                <w:b/>
              </w:rPr>
              <w:t>100.0</w:t>
            </w:r>
          </w:p>
        </w:tc>
        <w:tc>
          <w:tcPr>
            <w:tcW w:w="560" w:type="dxa"/>
          </w:tcPr>
          <w:p w14:paraId="034C6F90" w14:textId="77777777" w:rsidR="00B93A94" w:rsidRPr="0047058F" w:rsidRDefault="00B93A94" w:rsidP="00AF7596">
            <w:pPr>
              <w:pStyle w:val="TableText"/>
              <w:jc w:val="right"/>
              <w:rPr>
                <w:rFonts w:cs="Arial"/>
                <w:b/>
              </w:rPr>
            </w:pPr>
            <w:r w:rsidRPr="0047058F">
              <w:rPr>
                <w:rFonts w:eastAsia="Times New Roman" w:cs="Arial"/>
                <w:b/>
              </w:rPr>
              <w:t>4375</w:t>
            </w:r>
          </w:p>
        </w:tc>
        <w:tc>
          <w:tcPr>
            <w:tcW w:w="561" w:type="dxa"/>
          </w:tcPr>
          <w:p w14:paraId="2660A61B" w14:textId="77777777" w:rsidR="00B93A94" w:rsidRPr="0047058F" w:rsidRDefault="00B93A94" w:rsidP="00AF7596">
            <w:pPr>
              <w:pStyle w:val="TableText"/>
              <w:jc w:val="right"/>
              <w:rPr>
                <w:rFonts w:cs="Arial"/>
                <w:b/>
              </w:rPr>
            </w:pPr>
            <w:r w:rsidRPr="0047058F">
              <w:rPr>
                <w:rFonts w:eastAsia="Times New Roman" w:cs="Arial"/>
                <w:b/>
              </w:rPr>
              <w:t>79.9</w:t>
            </w:r>
          </w:p>
        </w:tc>
        <w:tc>
          <w:tcPr>
            <w:tcW w:w="561" w:type="dxa"/>
          </w:tcPr>
          <w:p w14:paraId="64D11587" w14:textId="77777777" w:rsidR="00B93A94" w:rsidRPr="0047058F" w:rsidRDefault="00B93A94" w:rsidP="00AF7596">
            <w:pPr>
              <w:pStyle w:val="TableText"/>
              <w:jc w:val="right"/>
              <w:rPr>
                <w:rFonts w:cs="Arial"/>
                <w:b/>
              </w:rPr>
            </w:pPr>
            <w:r w:rsidRPr="0047058F">
              <w:rPr>
                <w:rFonts w:eastAsia="Times New Roman" w:cs="Arial"/>
                <w:b/>
              </w:rPr>
              <w:t>937</w:t>
            </w:r>
          </w:p>
        </w:tc>
        <w:tc>
          <w:tcPr>
            <w:tcW w:w="560" w:type="dxa"/>
          </w:tcPr>
          <w:p w14:paraId="4433C3F8" w14:textId="77777777" w:rsidR="00B93A94" w:rsidRPr="0047058F" w:rsidRDefault="00B93A94" w:rsidP="00AF7596">
            <w:pPr>
              <w:pStyle w:val="TableText"/>
              <w:jc w:val="right"/>
              <w:rPr>
                <w:rFonts w:cs="Arial"/>
                <w:b/>
              </w:rPr>
            </w:pPr>
            <w:r w:rsidRPr="0047058F">
              <w:rPr>
                <w:rFonts w:eastAsia="Times New Roman" w:cs="Arial"/>
                <w:b/>
              </w:rPr>
              <w:t>17.1</w:t>
            </w:r>
          </w:p>
        </w:tc>
        <w:tc>
          <w:tcPr>
            <w:tcW w:w="561" w:type="dxa"/>
          </w:tcPr>
          <w:p w14:paraId="10F1D877" w14:textId="77777777" w:rsidR="00B93A94" w:rsidRPr="0047058F" w:rsidRDefault="00B93A94" w:rsidP="00AF7596">
            <w:pPr>
              <w:pStyle w:val="TableText"/>
              <w:jc w:val="right"/>
              <w:rPr>
                <w:rFonts w:cs="Arial"/>
                <w:b/>
              </w:rPr>
            </w:pPr>
            <w:r w:rsidRPr="0047058F">
              <w:rPr>
                <w:rFonts w:eastAsia="Times New Roman" w:cs="Arial"/>
                <w:b/>
              </w:rPr>
              <w:t>164</w:t>
            </w:r>
          </w:p>
        </w:tc>
        <w:tc>
          <w:tcPr>
            <w:tcW w:w="561" w:type="dxa"/>
          </w:tcPr>
          <w:p w14:paraId="2909F8C4" w14:textId="77777777" w:rsidR="00B93A94" w:rsidRPr="0047058F" w:rsidRDefault="00B93A94" w:rsidP="00AF7596">
            <w:pPr>
              <w:pStyle w:val="TableText"/>
              <w:jc w:val="right"/>
              <w:rPr>
                <w:rFonts w:cs="Arial"/>
                <w:b/>
              </w:rPr>
            </w:pPr>
            <w:r w:rsidRPr="0047058F">
              <w:rPr>
                <w:rFonts w:eastAsia="Times New Roman" w:cs="Arial"/>
                <w:b/>
              </w:rPr>
              <w:t>3.0</w:t>
            </w:r>
          </w:p>
        </w:tc>
      </w:tr>
    </w:tbl>
    <w:p w14:paraId="5817E393" w14:textId="77777777" w:rsidR="00B93A94" w:rsidRPr="0047058F" w:rsidRDefault="00B93A94" w:rsidP="00B93A94">
      <w:pPr>
        <w:pStyle w:val="TableNotes"/>
      </w:pPr>
      <w:r w:rsidRPr="0047058F">
        <w:t>Note: Unweighted data.</w:t>
      </w:r>
    </w:p>
    <w:p w14:paraId="18183E62" w14:textId="042EB384" w:rsidR="00B93A94" w:rsidRPr="0047058F" w:rsidRDefault="00B93A94" w:rsidP="00B93A94">
      <w:pPr>
        <w:pStyle w:val="FigureName"/>
        <w:rPr>
          <w:rFonts w:cs="Calibri"/>
          <w:szCs w:val="18"/>
        </w:rPr>
      </w:pPr>
      <w:bookmarkStart w:id="281" w:name="_Ref387053064"/>
      <w:bookmarkStart w:id="282" w:name="_Toc529117572"/>
      <w:bookmarkStart w:id="283" w:name="_Toc532473645"/>
      <w:r w:rsidRPr="0047058F">
        <w:t>Figure 5.8</w:t>
      </w:r>
      <w:bookmarkEnd w:id="281"/>
      <w:r w:rsidRPr="0047058F">
        <w:tab/>
        <w:t xml:space="preserve">Proportion of </w:t>
      </w:r>
      <w:r w:rsidRPr="0047058F">
        <w:rPr>
          <w:u w:val="single"/>
        </w:rPr>
        <w:t>2015 Regular ADF</w:t>
      </w:r>
      <w:r w:rsidR="004113C8">
        <w:rPr>
          <w:u w:val="single"/>
        </w:rPr>
        <w:t xml:space="preserve"> in the longitudinal cohort</w:t>
      </w:r>
      <w:r w:rsidRPr="0047058F">
        <w:t xml:space="preserve"> with no disorder, subsyndromal disorder and probable disorder on PCL-C in 2010 and 2015 based on self-reported measures</w:t>
      </w:r>
      <w:bookmarkEnd w:id="282"/>
      <w:bookmarkEnd w:id="283"/>
    </w:p>
    <w:p w14:paraId="751DE9C0" w14:textId="77777777" w:rsidR="00B93A94" w:rsidRPr="0047058F" w:rsidRDefault="00B93A94" w:rsidP="00B93A94">
      <w:pPr>
        <w:rPr>
          <w:rFonts w:cs="Calibri"/>
          <w:sz w:val="22"/>
          <w:szCs w:val="22"/>
        </w:rPr>
      </w:pPr>
      <w:r w:rsidRPr="0047058F">
        <w:rPr>
          <w:rFonts w:cs="Calibri"/>
          <w:noProof/>
          <w:sz w:val="22"/>
          <w:szCs w:val="22"/>
          <w:lang w:eastAsia="en-AU"/>
        </w:rPr>
        <w:drawing>
          <wp:inline distT="0" distB="0" distL="0" distR="0" wp14:anchorId="759005A6" wp14:editId="689B37BA">
            <wp:extent cx="4572000" cy="2743200"/>
            <wp:effectExtent l="0" t="0" r="0" b="0"/>
            <wp:docPr id="454" name="Chart 454" descr="Figure 5.8 Proportion of 2015 Regular ADF in the longitudinal cohort with no disorder, subsyndromal disorder and probable disorder on PCL-C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9D54C7" w14:textId="77777777" w:rsidR="00B93A94" w:rsidRPr="0047058F" w:rsidRDefault="00B93A94" w:rsidP="00860F45">
      <w:pPr>
        <w:pStyle w:val="Heading2"/>
      </w:pPr>
      <w:bookmarkStart w:id="284" w:name="_Toc482021371"/>
      <w:bookmarkStart w:id="285" w:name="_Toc482024461"/>
      <w:bookmarkStart w:id="286" w:name="_Toc487011219"/>
      <w:bookmarkStart w:id="287" w:name="_Toc381263155"/>
      <w:bookmarkStart w:id="288" w:name="_Toc529117475"/>
      <w:bookmarkStart w:id="289" w:name="_Toc532474375"/>
      <w:r w:rsidRPr="0047058F">
        <w:t>Alcohol use and problem drinking (AUDIT)</w:t>
      </w:r>
      <w:bookmarkStart w:id="290" w:name="_Toc482011758"/>
      <w:bookmarkEnd w:id="284"/>
      <w:bookmarkEnd w:id="285"/>
      <w:bookmarkEnd w:id="286"/>
      <w:bookmarkEnd w:id="287"/>
      <w:bookmarkEnd w:id="290"/>
      <w:r w:rsidRPr="0047058F">
        <w:t xml:space="preserve"> in the longitudinal cohort</w:t>
      </w:r>
      <w:bookmarkEnd w:id="288"/>
      <w:bookmarkEnd w:id="289"/>
    </w:p>
    <w:p w14:paraId="09CA0AAC" w14:textId="77777777" w:rsidR="00B93A94" w:rsidRPr="0047058F" w:rsidRDefault="00B93A94" w:rsidP="00F77104">
      <w:pPr>
        <w:keepNext/>
        <w:rPr>
          <w:rFonts w:cs="Calibri"/>
        </w:rPr>
      </w:pPr>
      <w:r w:rsidRPr="0047058F">
        <w:rPr>
          <w:rFonts w:cs="Calibri"/>
        </w:rPr>
        <w:t>This section of the report will provide a detailed summary of the pattern of self-reported alcohol use and problem drinking reported by the longitudinal cohort across two time points: the 2010 MHPWS assessment, and the 2015 Transition and Wellbeing Research Programme assessment.</w:t>
      </w:r>
    </w:p>
    <w:p w14:paraId="27081AB0" w14:textId="3546B4A7" w:rsidR="00B93A94" w:rsidRPr="0047058F" w:rsidRDefault="00B93A94" w:rsidP="00B93A94">
      <w:pPr>
        <w:rPr>
          <w:rStyle w:val="CommentReference"/>
          <w:rFonts w:cs="Calibri"/>
        </w:rPr>
      </w:pPr>
      <w:r w:rsidRPr="0047058F">
        <w:rPr>
          <w:rFonts w:cs="Calibri"/>
        </w:rPr>
        <w:t xml:space="preserve">The Alcohol Use Disorders Identification Test (AUDIT) (Saunders et al., 1993) is a brief self-report instrument that is widely used in epidemiological and clinical practice for defining at-risk patterns of drinking. It was developed by the World Health Organization for </w:t>
      </w:r>
      <w:r w:rsidR="006A4D13">
        <w:rPr>
          <w:rFonts w:cs="Calibri"/>
        </w:rPr>
        <w:t xml:space="preserve">the </w:t>
      </w:r>
      <w:r w:rsidRPr="0047058F">
        <w:rPr>
          <w:rFonts w:cs="Calibri"/>
        </w:rPr>
        <w:t>primary care setting after an extensive six-nation validation trial that included Australia (Babor et al., 2001).</w:t>
      </w:r>
    </w:p>
    <w:p w14:paraId="7CF4A03C" w14:textId="77777777" w:rsidR="00B93A94" w:rsidRPr="0047058F" w:rsidRDefault="00B93A94" w:rsidP="00B93A94">
      <w:pPr>
        <w:rPr>
          <w:rFonts w:cs="Calibri"/>
        </w:rPr>
      </w:pPr>
      <w:r w:rsidRPr="0047058F">
        <w:rPr>
          <w:rFonts w:cs="Calibri"/>
        </w:rPr>
        <w:t>The AUDIT examines the quantity and frequency of alcohol consumption, possible symptoms of dependence, and the reactions or problems related to alcohol. The first eight questions use a five-item continuous scale (scored 0 to 4), while the last two questions use a three-item scale (scored 0, 2 or 4). A final score is reached by summing across all 10 questions.</w:t>
      </w:r>
    </w:p>
    <w:p w14:paraId="4FB416E1" w14:textId="77777777" w:rsidR="00B93A94" w:rsidRPr="0047058F" w:rsidRDefault="00B93A94" w:rsidP="00B93A94">
      <w:pPr>
        <w:rPr>
          <w:rFonts w:cs="Calibri"/>
        </w:rPr>
      </w:pPr>
      <w:r w:rsidRPr="0047058F">
        <w:rPr>
          <w:rFonts w:cs="Calibri"/>
        </w:rPr>
        <w:t>The AUDIT has been utilised by the ADF as an educational, epidemiological and clinical tool since the start of the ADF Mental Health Strategy. It was officially recognised as a tool to ‘identify people whose drinking may pose a risk to their health, or who are already experiencing alcohol-related problems, including dependence’ in ADF Health Bulletin Number 15/2003 (Department of Defence, 2003). It has been part of the Post-Operational Psychological Screen process since its introduction in 1999 (Steele &amp; Goodman, 2006), and was used in the 2010 ADF Mental Health Prevalence and Wellbeing Study to examine self-reported alcohol use and problems in the entire ADF.</w:t>
      </w:r>
    </w:p>
    <w:p w14:paraId="4ADEA3F5" w14:textId="77777777" w:rsidR="00B93A94" w:rsidRPr="0047058F" w:rsidRDefault="00B93A94" w:rsidP="00B93A94">
      <w:pPr>
        <w:rPr>
          <w:rFonts w:cs="Calibri"/>
        </w:rPr>
      </w:pPr>
      <w:r w:rsidRPr="0047058F">
        <w:rPr>
          <w:rFonts w:cs="Calibri"/>
        </w:rPr>
        <w:t>In addition to mean AUDIT scores, an optimal screening cut-off of 8 and an optimal epidemiological cut-off of 20 was used. These cut-offs were derived from the 2010 ADF Mental Health Prevalence and Wellbeing Study.</w:t>
      </w:r>
    </w:p>
    <w:p w14:paraId="5A44CF42" w14:textId="77777777" w:rsidR="00B93A94" w:rsidRPr="0047058F" w:rsidRDefault="00B93A94" w:rsidP="00B93A94">
      <w:pPr>
        <w:rPr>
          <w:rFonts w:cs="Calibri"/>
        </w:rPr>
      </w:pPr>
      <w:r w:rsidRPr="0047058F">
        <w:rPr>
          <w:color w:val="000000" w:themeColor="text1"/>
        </w:rPr>
        <w:t>Table 5.9</w:t>
      </w:r>
      <w:r w:rsidRPr="0047058F">
        <w:rPr>
          <w:rFonts w:cs="Calibri"/>
        </w:rPr>
        <w:t xml:space="preserve"> and </w:t>
      </w:r>
      <w:r w:rsidRPr="0047058F">
        <w:t>Figure 5.9</w:t>
      </w:r>
      <w:r w:rsidRPr="0047058F">
        <w:rPr>
          <w:rFonts w:cs="Calibri"/>
        </w:rPr>
        <w:t xml:space="preserve"> show mean AUDIT scores in 2010 and 2015 for the longitudinal cohort according to whether they had transitioned or remained in the Regular ADF in 2015.</w:t>
      </w:r>
    </w:p>
    <w:p w14:paraId="1CD00E57" w14:textId="77777777" w:rsidR="00B93A94" w:rsidRPr="0047058F" w:rsidRDefault="00B93A94" w:rsidP="00B93A94">
      <w:pPr>
        <w:rPr>
          <w:rFonts w:cs="Calibri"/>
        </w:rPr>
      </w:pPr>
      <w:r w:rsidRPr="0047058F">
        <w:rPr>
          <w:rFonts w:cs="Calibri"/>
        </w:rPr>
        <w:t>Mean AUDIT scores were the same in both 2010 and 2015 (2010: 5.6 (SE 0.0), 2015: 5.6 (SE 0.1)). Mean scores were higher among those who had transitioned compared to those who remained in the Regular ADF, but more so in 2015 (2010: 5.9 (SE 0.1) vs 5.5 (SE 0.1), 2015: 6.8 (SE 0.1) vs 5.2 (SE 0.1)). Mean scores increased at the second time point for those who had transitioned, but decreased for those who remained in the Regular ADF.</w:t>
      </w:r>
    </w:p>
    <w:p w14:paraId="74C2E0A4" w14:textId="77777777" w:rsidR="00B93A94" w:rsidRPr="0047058F" w:rsidRDefault="00B93A94" w:rsidP="00B93A94">
      <w:pPr>
        <w:pStyle w:val="TableName"/>
        <w:rPr>
          <w:rFonts w:cs="Calibri"/>
        </w:rPr>
      </w:pPr>
      <w:bookmarkStart w:id="291" w:name="_Ref384557548"/>
      <w:bookmarkStart w:id="292" w:name="_Toc529117521"/>
      <w:bookmarkStart w:id="293" w:name="_Toc532473591"/>
      <w:r w:rsidRPr="0047058F">
        <w:t>Table 5.9</w:t>
      </w:r>
      <w:bookmarkEnd w:id="291"/>
      <w:r w:rsidRPr="0047058F">
        <w:tab/>
        <w:t>Mean AUDIT scores in Transitioned ADF and 2015 Regular ADF in the longitudinal cohort</w:t>
      </w:r>
      <w:bookmarkEnd w:id="292"/>
      <w:bookmarkEnd w:id="293"/>
    </w:p>
    <w:tbl>
      <w:tblPr>
        <w:tblStyle w:val="TWRPTable"/>
        <w:tblW w:w="5000" w:type="pct"/>
        <w:tblLayout w:type="fixed"/>
        <w:tblLook w:val="04A0" w:firstRow="1" w:lastRow="0" w:firstColumn="1" w:lastColumn="0" w:noHBand="0" w:noVBand="1"/>
        <w:tblDescription w:val="Table 5.9 Mean AUDIT scores in Transitioned ADF and 2015 Regular ADF in the longitudinal cohort"/>
      </w:tblPr>
      <w:tblGrid>
        <w:gridCol w:w="3618"/>
        <w:gridCol w:w="616"/>
        <w:gridCol w:w="616"/>
        <w:gridCol w:w="616"/>
        <w:gridCol w:w="616"/>
        <w:gridCol w:w="616"/>
        <w:gridCol w:w="617"/>
      </w:tblGrid>
      <w:tr w:rsidR="00B93A94" w:rsidRPr="0047058F" w14:paraId="77E2D39A"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618" w:type="dxa"/>
            <w:tcBorders>
              <w:top w:val="single" w:sz="4" w:space="0" w:color="000000"/>
              <w:bottom w:val="nil"/>
            </w:tcBorders>
          </w:tcPr>
          <w:p w14:paraId="7330E6E4" w14:textId="77777777" w:rsidR="00B93A94" w:rsidRPr="0047058F" w:rsidRDefault="00B93A94" w:rsidP="00AF7596">
            <w:pPr>
              <w:pStyle w:val="TableText"/>
            </w:pPr>
          </w:p>
        </w:tc>
        <w:tc>
          <w:tcPr>
            <w:tcW w:w="1232" w:type="dxa"/>
            <w:gridSpan w:val="2"/>
            <w:hideMark/>
          </w:tcPr>
          <w:p w14:paraId="3616A7A6" w14:textId="77777777" w:rsidR="00B93A94" w:rsidRPr="0047058F" w:rsidRDefault="00B93A94" w:rsidP="00AF7596">
            <w:pPr>
              <w:pStyle w:val="TableText"/>
              <w:jc w:val="center"/>
            </w:pPr>
            <w:r w:rsidRPr="0047058F">
              <w:t>Transitioned ADF</w:t>
            </w:r>
            <w:r w:rsidRPr="0047058F">
              <w:br/>
              <w:t>n = 2050</w:t>
            </w:r>
          </w:p>
        </w:tc>
        <w:tc>
          <w:tcPr>
            <w:tcW w:w="1232" w:type="dxa"/>
            <w:gridSpan w:val="2"/>
            <w:hideMark/>
          </w:tcPr>
          <w:p w14:paraId="1E2A57A9" w14:textId="77777777" w:rsidR="00B93A94" w:rsidRPr="0047058F" w:rsidRDefault="00B93A94" w:rsidP="00AF7596">
            <w:pPr>
              <w:pStyle w:val="TableText"/>
              <w:jc w:val="center"/>
            </w:pPr>
            <w:r w:rsidRPr="0047058F">
              <w:rPr>
                <w:bCs/>
              </w:rPr>
              <w:t>Regular ADF</w:t>
            </w:r>
            <w:r w:rsidRPr="0047058F">
              <w:rPr>
                <w:bCs/>
              </w:rPr>
              <w:br/>
            </w:r>
            <w:r w:rsidRPr="0047058F">
              <w:t>n = 5553</w:t>
            </w:r>
          </w:p>
        </w:tc>
        <w:tc>
          <w:tcPr>
            <w:tcW w:w="1233" w:type="dxa"/>
            <w:gridSpan w:val="2"/>
          </w:tcPr>
          <w:p w14:paraId="5971A564" w14:textId="77777777" w:rsidR="00B93A94" w:rsidRPr="0047058F" w:rsidRDefault="00B93A94" w:rsidP="00AF7596">
            <w:pPr>
              <w:pStyle w:val="TableText"/>
              <w:jc w:val="center"/>
              <w:rPr>
                <w:bCs/>
              </w:rPr>
            </w:pPr>
            <w:r w:rsidRPr="0047058F">
              <w:rPr>
                <w:bCs/>
              </w:rPr>
              <w:t>Total</w:t>
            </w:r>
            <w:r w:rsidRPr="0047058F">
              <w:rPr>
                <w:bCs/>
              </w:rPr>
              <w:br/>
              <w:t>n = 7603</w:t>
            </w:r>
          </w:p>
        </w:tc>
      </w:tr>
      <w:tr w:rsidR="00B93A94" w:rsidRPr="0047058F" w14:paraId="6AE650E8"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3618" w:type="dxa"/>
            <w:tcBorders>
              <w:top w:val="nil"/>
            </w:tcBorders>
          </w:tcPr>
          <w:p w14:paraId="53DCB8D3" w14:textId="77777777" w:rsidR="00B93A94" w:rsidRPr="0047058F" w:rsidRDefault="00B93A94" w:rsidP="00AF7596">
            <w:pPr>
              <w:pStyle w:val="TableText"/>
            </w:pPr>
            <w:r w:rsidRPr="0047058F">
              <w:rPr>
                <w:rFonts w:cs="Arial"/>
              </w:rPr>
              <w:t>AUDIT</w:t>
            </w:r>
          </w:p>
        </w:tc>
        <w:tc>
          <w:tcPr>
            <w:tcW w:w="616" w:type="dxa"/>
          </w:tcPr>
          <w:p w14:paraId="55AB567C" w14:textId="77777777" w:rsidR="00B93A94" w:rsidRPr="0047058F" w:rsidRDefault="00B93A94" w:rsidP="00AF7596">
            <w:pPr>
              <w:pStyle w:val="TableText"/>
              <w:jc w:val="right"/>
              <w:rPr>
                <w:rFonts w:cs="Arial"/>
                <w:bCs/>
              </w:rPr>
            </w:pPr>
            <w:r w:rsidRPr="0047058F">
              <w:rPr>
                <w:rFonts w:cs="Arial"/>
                <w:bCs/>
              </w:rPr>
              <w:t>Mean</w:t>
            </w:r>
          </w:p>
        </w:tc>
        <w:tc>
          <w:tcPr>
            <w:tcW w:w="616" w:type="dxa"/>
          </w:tcPr>
          <w:p w14:paraId="2921B91A" w14:textId="77777777" w:rsidR="00B93A94" w:rsidRPr="0047058F" w:rsidRDefault="00B93A94" w:rsidP="00AF7596">
            <w:pPr>
              <w:pStyle w:val="TableText"/>
              <w:jc w:val="right"/>
              <w:rPr>
                <w:rFonts w:cs="Arial"/>
                <w:bCs/>
              </w:rPr>
            </w:pPr>
            <w:r w:rsidRPr="0047058F">
              <w:rPr>
                <w:rFonts w:cs="Arial"/>
                <w:bCs/>
              </w:rPr>
              <w:t>SE</w:t>
            </w:r>
          </w:p>
        </w:tc>
        <w:tc>
          <w:tcPr>
            <w:tcW w:w="616" w:type="dxa"/>
          </w:tcPr>
          <w:p w14:paraId="0DC6DD0F" w14:textId="77777777" w:rsidR="00B93A94" w:rsidRPr="0047058F" w:rsidRDefault="00B93A94" w:rsidP="00AF7596">
            <w:pPr>
              <w:pStyle w:val="TableText"/>
              <w:jc w:val="right"/>
              <w:rPr>
                <w:rFonts w:cs="Arial"/>
                <w:bCs/>
              </w:rPr>
            </w:pPr>
            <w:r w:rsidRPr="0047058F">
              <w:rPr>
                <w:rFonts w:cs="Arial"/>
                <w:bCs/>
              </w:rPr>
              <w:t>Mean</w:t>
            </w:r>
          </w:p>
        </w:tc>
        <w:tc>
          <w:tcPr>
            <w:tcW w:w="616" w:type="dxa"/>
          </w:tcPr>
          <w:p w14:paraId="211B4E49" w14:textId="77777777" w:rsidR="00B93A94" w:rsidRPr="0047058F" w:rsidRDefault="00B93A94" w:rsidP="00AF7596">
            <w:pPr>
              <w:pStyle w:val="TableText"/>
              <w:jc w:val="right"/>
              <w:rPr>
                <w:rFonts w:cs="Arial"/>
                <w:bCs/>
              </w:rPr>
            </w:pPr>
            <w:r w:rsidRPr="0047058F">
              <w:rPr>
                <w:rFonts w:cs="Arial"/>
                <w:bCs/>
              </w:rPr>
              <w:t>SE</w:t>
            </w:r>
          </w:p>
        </w:tc>
        <w:tc>
          <w:tcPr>
            <w:tcW w:w="616" w:type="dxa"/>
          </w:tcPr>
          <w:p w14:paraId="2F970516" w14:textId="77777777" w:rsidR="00B93A94" w:rsidRPr="0047058F" w:rsidRDefault="00B93A94" w:rsidP="00AF7596">
            <w:pPr>
              <w:pStyle w:val="TableText"/>
              <w:jc w:val="right"/>
              <w:rPr>
                <w:rFonts w:cs="Arial"/>
                <w:bCs/>
              </w:rPr>
            </w:pPr>
            <w:r w:rsidRPr="0047058F">
              <w:rPr>
                <w:rFonts w:cs="Arial"/>
                <w:bCs/>
              </w:rPr>
              <w:t>Mean</w:t>
            </w:r>
          </w:p>
        </w:tc>
        <w:tc>
          <w:tcPr>
            <w:tcW w:w="617" w:type="dxa"/>
          </w:tcPr>
          <w:p w14:paraId="4FAAEA2B" w14:textId="77777777" w:rsidR="00B93A94" w:rsidRPr="0047058F" w:rsidRDefault="00B93A94" w:rsidP="00AF7596">
            <w:pPr>
              <w:pStyle w:val="TableText"/>
              <w:jc w:val="right"/>
              <w:rPr>
                <w:rFonts w:cs="Arial"/>
                <w:bCs/>
              </w:rPr>
            </w:pPr>
            <w:r w:rsidRPr="0047058F">
              <w:rPr>
                <w:rFonts w:cs="Arial"/>
                <w:bCs/>
              </w:rPr>
              <w:t>SE</w:t>
            </w:r>
          </w:p>
        </w:tc>
      </w:tr>
      <w:tr w:rsidR="00B93A94" w:rsidRPr="0047058F" w14:paraId="12F45657" w14:textId="77777777" w:rsidTr="00AF7596">
        <w:trPr>
          <w:cnfStyle w:val="000000100000" w:firstRow="0" w:lastRow="0" w:firstColumn="0" w:lastColumn="0" w:oddVBand="0" w:evenVBand="0" w:oddHBand="1" w:evenHBand="0" w:firstRowFirstColumn="0" w:firstRowLastColumn="0" w:lastRowFirstColumn="0" w:lastRowLastColumn="0"/>
          <w:cantSplit/>
        </w:trPr>
        <w:tc>
          <w:tcPr>
            <w:tcW w:w="3618" w:type="dxa"/>
          </w:tcPr>
          <w:p w14:paraId="20BAB398" w14:textId="77777777" w:rsidR="00B93A94" w:rsidRPr="0047058F" w:rsidRDefault="00B93A94" w:rsidP="00AF7596">
            <w:pPr>
              <w:pStyle w:val="TableText"/>
              <w:rPr>
                <w:rFonts w:cs="Calibri"/>
                <w:szCs w:val="14"/>
              </w:rPr>
            </w:pPr>
            <w:r w:rsidRPr="0047058F">
              <w:rPr>
                <w:rFonts w:cs="Calibri"/>
                <w:szCs w:val="14"/>
              </w:rPr>
              <w:t>2010 ADF Mental Health Prevalence and Wellbeing Study</w:t>
            </w:r>
          </w:p>
        </w:tc>
        <w:tc>
          <w:tcPr>
            <w:tcW w:w="616" w:type="dxa"/>
          </w:tcPr>
          <w:p w14:paraId="3588837E" w14:textId="77777777" w:rsidR="00B93A94" w:rsidRPr="0047058F" w:rsidRDefault="00B93A94" w:rsidP="00AF7596">
            <w:pPr>
              <w:pStyle w:val="TableText"/>
              <w:jc w:val="right"/>
            </w:pPr>
            <w:r w:rsidRPr="0047058F">
              <w:rPr>
                <w:rFonts w:eastAsia="Times New Roman" w:cs="Arial"/>
              </w:rPr>
              <w:t>5.9</w:t>
            </w:r>
          </w:p>
        </w:tc>
        <w:tc>
          <w:tcPr>
            <w:tcW w:w="616" w:type="dxa"/>
          </w:tcPr>
          <w:p w14:paraId="5129583B" w14:textId="77777777" w:rsidR="00B93A94" w:rsidRPr="0047058F" w:rsidRDefault="00B93A94" w:rsidP="00AF7596">
            <w:pPr>
              <w:pStyle w:val="TableText"/>
              <w:jc w:val="right"/>
            </w:pPr>
            <w:r w:rsidRPr="0047058F">
              <w:rPr>
                <w:rFonts w:eastAsia="Times New Roman" w:cs="Arial"/>
              </w:rPr>
              <w:t>0.1</w:t>
            </w:r>
          </w:p>
        </w:tc>
        <w:tc>
          <w:tcPr>
            <w:tcW w:w="616" w:type="dxa"/>
          </w:tcPr>
          <w:p w14:paraId="3A2AB902" w14:textId="77777777" w:rsidR="00B93A94" w:rsidRPr="0047058F" w:rsidRDefault="00B93A94" w:rsidP="00AF7596">
            <w:pPr>
              <w:pStyle w:val="TableText"/>
              <w:jc w:val="right"/>
            </w:pPr>
            <w:r w:rsidRPr="0047058F">
              <w:rPr>
                <w:rFonts w:eastAsia="Times New Roman" w:cs="Arial"/>
              </w:rPr>
              <w:t>5.5</w:t>
            </w:r>
          </w:p>
        </w:tc>
        <w:tc>
          <w:tcPr>
            <w:tcW w:w="616" w:type="dxa"/>
          </w:tcPr>
          <w:p w14:paraId="140858F2" w14:textId="77777777" w:rsidR="00B93A94" w:rsidRPr="0047058F" w:rsidRDefault="00B93A94" w:rsidP="00AF7596">
            <w:pPr>
              <w:pStyle w:val="TableText"/>
              <w:jc w:val="right"/>
            </w:pPr>
            <w:r w:rsidRPr="0047058F">
              <w:rPr>
                <w:rFonts w:eastAsia="Times New Roman" w:cs="Arial"/>
              </w:rPr>
              <w:t>0.1</w:t>
            </w:r>
          </w:p>
        </w:tc>
        <w:tc>
          <w:tcPr>
            <w:tcW w:w="616" w:type="dxa"/>
          </w:tcPr>
          <w:p w14:paraId="1F48FFE0" w14:textId="77777777" w:rsidR="00B93A94" w:rsidRPr="0047058F" w:rsidRDefault="00B93A94" w:rsidP="00AF7596">
            <w:pPr>
              <w:pStyle w:val="TableText"/>
              <w:jc w:val="right"/>
            </w:pPr>
            <w:r w:rsidRPr="0047058F">
              <w:rPr>
                <w:rFonts w:eastAsia="Times New Roman" w:cs="Arial"/>
              </w:rPr>
              <w:t>5.6</w:t>
            </w:r>
          </w:p>
        </w:tc>
        <w:tc>
          <w:tcPr>
            <w:tcW w:w="617" w:type="dxa"/>
          </w:tcPr>
          <w:p w14:paraId="4E8D048C" w14:textId="77777777" w:rsidR="00B93A94" w:rsidRPr="0047058F" w:rsidRDefault="00B93A94" w:rsidP="00AF7596">
            <w:pPr>
              <w:pStyle w:val="TableText"/>
              <w:jc w:val="right"/>
            </w:pPr>
            <w:r w:rsidRPr="0047058F">
              <w:rPr>
                <w:rFonts w:eastAsia="Times New Roman" w:cs="Arial"/>
              </w:rPr>
              <w:t>0.0</w:t>
            </w:r>
          </w:p>
        </w:tc>
      </w:tr>
      <w:tr w:rsidR="00B93A94" w:rsidRPr="0047058F" w14:paraId="3C49E434" w14:textId="77777777" w:rsidTr="00AF7596">
        <w:trPr>
          <w:cantSplit/>
        </w:trPr>
        <w:tc>
          <w:tcPr>
            <w:tcW w:w="3618" w:type="dxa"/>
          </w:tcPr>
          <w:p w14:paraId="42A0F529" w14:textId="77777777" w:rsidR="00B93A94" w:rsidRPr="0047058F" w:rsidRDefault="00B93A94" w:rsidP="00AF7596">
            <w:pPr>
              <w:pStyle w:val="TableText"/>
              <w:rPr>
                <w:rFonts w:cs="Calibri"/>
                <w:szCs w:val="14"/>
              </w:rPr>
            </w:pPr>
            <w:r w:rsidRPr="0047058F">
              <w:rPr>
                <w:rFonts w:cs="Calibri"/>
                <w:szCs w:val="14"/>
              </w:rPr>
              <w:t>2015 Transition and Wellbeing Research Programme</w:t>
            </w:r>
          </w:p>
        </w:tc>
        <w:tc>
          <w:tcPr>
            <w:tcW w:w="616" w:type="dxa"/>
          </w:tcPr>
          <w:p w14:paraId="33EA1085" w14:textId="77777777" w:rsidR="00B93A94" w:rsidRPr="0047058F" w:rsidRDefault="00B93A94" w:rsidP="00AF7596">
            <w:pPr>
              <w:pStyle w:val="TableText"/>
              <w:jc w:val="right"/>
            </w:pPr>
            <w:r w:rsidRPr="0047058F">
              <w:rPr>
                <w:rFonts w:eastAsia="Times New Roman" w:cs="Arial"/>
              </w:rPr>
              <w:t>6.8</w:t>
            </w:r>
          </w:p>
        </w:tc>
        <w:tc>
          <w:tcPr>
            <w:tcW w:w="616" w:type="dxa"/>
          </w:tcPr>
          <w:p w14:paraId="35888400" w14:textId="77777777" w:rsidR="00B93A94" w:rsidRPr="0047058F" w:rsidRDefault="00B93A94" w:rsidP="00AF7596">
            <w:pPr>
              <w:pStyle w:val="TableText"/>
              <w:jc w:val="right"/>
            </w:pPr>
            <w:r w:rsidRPr="0047058F">
              <w:rPr>
                <w:rFonts w:eastAsia="Times New Roman" w:cs="Arial"/>
              </w:rPr>
              <w:t>0.1</w:t>
            </w:r>
          </w:p>
        </w:tc>
        <w:tc>
          <w:tcPr>
            <w:tcW w:w="616" w:type="dxa"/>
          </w:tcPr>
          <w:p w14:paraId="513CCAFE" w14:textId="77777777" w:rsidR="00B93A94" w:rsidRPr="0047058F" w:rsidRDefault="00B93A94" w:rsidP="00AF7596">
            <w:pPr>
              <w:pStyle w:val="TableText"/>
              <w:jc w:val="right"/>
            </w:pPr>
            <w:r w:rsidRPr="0047058F">
              <w:rPr>
                <w:rFonts w:eastAsia="Times New Roman" w:cs="Arial"/>
              </w:rPr>
              <w:t>5.2</w:t>
            </w:r>
          </w:p>
        </w:tc>
        <w:tc>
          <w:tcPr>
            <w:tcW w:w="616" w:type="dxa"/>
          </w:tcPr>
          <w:p w14:paraId="244447B2" w14:textId="77777777" w:rsidR="00B93A94" w:rsidRPr="0047058F" w:rsidRDefault="00B93A94" w:rsidP="00AF7596">
            <w:pPr>
              <w:pStyle w:val="TableText"/>
              <w:jc w:val="right"/>
            </w:pPr>
            <w:r w:rsidRPr="0047058F">
              <w:rPr>
                <w:rFonts w:eastAsia="Times New Roman" w:cs="Arial"/>
              </w:rPr>
              <w:t>0.1</w:t>
            </w:r>
          </w:p>
        </w:tc>
        <w:tc>
          <w:tcPr>
            <w:tcW w:w="616" w:type="dxa"/>
          </w:tcPr>
          <w:p w14:paraId="6A7F2DD6" w14:textId="77777777" w:rsidR="00B93A94" w:rsidRPr="0047058F" w:rsidRDefault="00B93A94" w:rsidP="00AF7596">
            <w:pPr>
              <w:pStyle w:val="TableText"/>
              <w:jc w:val="right"/>
            </w:pPr>
            <w:r w:rsidRPr="0047058F">
              <w:rPr>
                <w:rFonts w:eastAsia="Times New Roman" w:cs="Arial"/>
              </w:rPr>
              <w:t>5.6</w:t>
            </w:r>
          </w:p>
        </w:tc>
        <w:tc>
          <w:tcPr>
            <w:tcW w:w="617" w:type="dxa"/>
          </w:tcPr>
          <w:p w14:paraId="2C0E5119" w14:textId="77777777" w:rsidR="00B93A94" w:rsidRPr="0047058F" w:rsidRDefault="00B93A94" w:rsidP="00AF7596">
            <w:pPr>
              <w:pStyle w:val="TableText"/>
              <w:jc w:val="right"/>
            </w:pPr>
            <w:r w:rsidRPr="0047058F">
              <w:rPr>
                <w:rFonts w:eastAsia="Times New Roman" w:cs="Arial"/>
              </w:rPr>
              <w:t>0.1</w:t>
            </w:r>
          </w:p>
        </w:tc>
      </w:tr>
    </w:tbl>
    <w:p w14:paraId="79C47A9A" w14:textId="77777777" w:rsidR="00B93A94" w:rsidRPr="0047058F" w:rsidRDefault="00B93A94" w:rsidP="00B93A94">
      <w:pPr>
        <w:pStyle w:val="TableNotes"/>
        <w:rPr>
          <w:bCs/>
        </w:rPr>
      </w:pPr>
      <w:r w:rsidRPr="0047058F">
        <w:t>Note: Unweighted data.</w:t>
      </w:r>
    </w:p>
    <w:p w14:paraId="01A04C60" w14:textId="77777777" w:rsidR="00B93A94" w:rsidRPr="0047058F" w:rsidRDefault="00B93A94" w:rsidP="00B93A94">
      <w:pPr>
        <w:pStyle w:val="FigureName"/>
      </w:pPr>
      <w:bookmarkStart w:id="294" w:name="_Ref387053249"/>
      <w:bookmarkStart w:id="295" w:name="_Toc529117573"/>
      <w:bookmarkStart w:id="296" w:name="_Toc532473646"/>
      <w:r w:rsidRPr="0047058F">
        <w:t>Figure 5.9</w:t>
      </w:r>
      <w:bookmarkEnd w:id="294"/>
      <w:r w:rsidRPr="0047058F">
        <w:tab/>
        <w:t>Mean AUDIT scores in Transitioned ADF and Regular ADF in the longitudinal cohort</w:t>
      </w:r>
      <w:bookmarkEnd w:id="295"/>
      <w:bookmarkEnd w:id="296"/>
    </w:p>
    <w:p w14:paraId="7D9EBE09" w14:textId="77777777" w:rsidR="003427E0" w:rsidRPr="0047058F" w:rsidRDefault="00B93A94" w:rsidP="003427E0">
      <w:pPr>
        <w:spacing w:after="360"/>
      </w:pPr>
      <w:r w:rsidRPr="0047058F">
        <w:rPr>
          <w:noProof/>
          <w:lang w:eastAsia="en-AU"/>
        </w:rPr>
        <w:drawing>
          <wp:inline distT="0" distB="0" distL="0" distR="0" wp14:anchorId="730A4401" wp14:editId="68E1E5C3">
            <wp:extent cx="4572000" cy="2743200"/>
            <wp:effectExtent l="0" t="0" r="0" b="0"/>
            <wp:docPr id="23" name="Chart 23" descr="Figure 5.9 Mean AUDIT scores in Transitioned ADF and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ED6431" w14:textId="77777777" w:rsidR="00B93A94" w:rsidRPr="0047058F" w:rsidRDefault="00B93A94" w:rsidP="00B93A94">
      <w:pPr>
        <w:rPr>
          <w:rFonts w:cs="Calibri"/>
        </w:rPr>
      </w:pPr>
      <w:r w:rsidRPr="0047058F">
        <w:rPr>
          <w:color w:val="000000" w:themeColor="text1"/>
        </w:rPr>
        <w:t>Table 5.10</w:t>
      </w:r>
      <w:r w:rsidRPr="0047058F">
        <w:rPr>
          <w:rFonts w:cs="Calibri"/>
        </w:rPr>
        <w:t xml:space="preserve"> and </w:t>
      </w:r>
      <w:r w:rsidRPr="0047058F">
        <w:t>Figure 5.10</w:t>
      </w:r>
      <w:r w:rsidRPr="0047058F">
        <w:rPr>
          <w:rFonts w:cs="Calibri"/>
        </w:rPr>
        <w:t xml:space="preserve">, </w:t>
      </w:r>
      <w:r w:rsidRPr="0047058F">
        <w:rPr>
          <w:color w:val="000000" w:themeColor="text1"/>
        </w:rPr>
        <w:t>Table 5.11</w:t>
      </w:r>
      <w:r w:rsidRPr="0047058F">
        <w:rPr>
          <w:rFonts w:cs="Calibri"/>
        </w:rPr>
        <w:t xml:space="preserve"> and </w:t>
      </w:r>
      <w:r w:rsidRPr="0047058F">
        <w:t>Figure 5.11</w:t>
      </w:r>
      <w:r w:rsidRPr="0047058F">
        <w:rPr>
          <w:rFonts w:cs="Calibri"/>
        </w:rPr>
        <w:t xml:space="preserve">, and </w:t>
      </w:r>
      <w:r w:rsidRPr="0047058F">
        <w:t>Table 5.12</w:t>
      </w:r>
      <w:r w:rsidRPr="0047058F">
        <w:rPr>
          <w:rFonts w:cs="Calibri"/>
        </w:rPr>
        <w:t xml:space="preserve"> and </w:t>
      </w:r>
      <w:r w:rsidRPr="0047058F">
        <w:t>Figure 5.12</w:t>
      </w:r>
      <w:r w:rsidRPr="0047058F">
        <w:rPr>
          <w:rFonts w:cs="Calibri"/>
        </w:rPr>
        <w:t xml:space="preserve"> show the p</w:t>
      </w:r>
      <w:r w:rsidRPr="0047058F">
        <w:rPr>
          <w:rFonts w:cs="Calibri"/>
          <w:bCs/>
        </w:rPr>
        <w:t>roportion</w:t>
      </w:r>
      <w:r w:rsidRPr="0047058F">
        <w:t xml:space="preserve"> </w:t>
      </w:r>
      <w:r w:rsidRPr="0047058F">
        <w:rPr>
          <w:rFonts w:cs="Calibri"/>
          <w:bCs/>
        </w:rPr>
        <w:t>with no disorder, subsyndromal disorder and probable disorder on the AUDIT in 2010 cross-tabulated by the same grouping of AUDIT scores in 2015, among the entire longitudinal cohort, and according to whether they had transitioned or remained in the Regular ADF.</w:t>
      </w:r>
    </w:p>
    <w:p w14:paraId="27299A06" w14:textId="77777777" w:rsidR="00B93A94" w:rsidRPr="0047058F" w:rsidRDefault="00B93A94" w:rsidP="00B93A94">
      <w:pPr>
        <w:rPr>
          <w:rFonts w:cs="Calibri"/>
        </w:rPr>
      </w:pPr>
      <w:r w:rsidRPr="0047058F">
        <w:rPr>
          <w:rFonts w:cs="Calibri"/>
        </w:rPr>
        <w:t>In 2010, 76.7% had no disorder on the AUDIT, 22.3% had subsyndromal disorder and 1.0% had probable disorder. In 2015, a similar 77.4% had no probable disorder, subsyndromal dropped slightly to 20.3% and probable disorder increased to 2.4%. Of those with no disorder on the AUDIT in 2010, 88.6% still had no disorder in 2015, 10.7% were new cases of subsyndromal disorder and 0.7% were new cases of probable disorder. Of those with subsyndromal disorder in 2010, half (51.7%) remained subsyndromal in 2015, 41.9% had no disorder and 6.4% now had a probable disorder. Of those with probable disorder in 2010, 35.9% still had probable disorder in 2015, 48.7% now had a subsyndromal disorder and 15.4% no longer had a disorder.</w:t>
      </w:r>
    </w:p>
    <w:p w14:paraId="0FA87BE9" w14:textId="77777777" w:rsidR="00225BAA" w:rsidRPr="0047058F" w:rsidRDefault="00225BAA" w:rsidP="00B93A94">
      <w:pPr>
        <w:rPr>
          <w:rFonts w:cs="Calibri"/>
        </w:rPr>
      </w:pPr>
      <w:bookmarkStart w:id="297" w:name="_Ref384557564"/>
      <w:bookmarkStart w:id="298" w:name="_Toc529117522"/>
      <w:r w:rsidRPr="0047058F">
        <w:rPr>
          <w:rFonts w:cs="Calibri"/>
        </w:rPr>
        <w:t>For those who had transitioned, 74.2% had no disorder on the AUDIT in 2010, 23.8% had a subsyndromal disorder and 2.0% had a probable disorder. In 2015, 69.2% reported no disorder, and subsyndromal disorder increased slightly to 25.4% and probable disorder to 5.4%. For those with no disorder on the AUDIT, 82.7% had no disorder in 2015, 15.2% now had a subsyndromal disorder and 2.1% now had a probable disorder. Of those with a subsyndromal disorder in 2010, 55.9% remained subsyndromal, 32.2% no longer had a disorder and 11.9% now had a probable disorder. There w</w:t>
      </w:r>
      <w:r>
        <w:rPr>
          <w:rFonts w:cs="Calibri"/>
        </w:rPr>
        <w:t>ere</w:t>
      </w:r>
      <w:r w:rsidRPr="0047058F">
        <w:rPr>
          <w:rFonts w:cs="Calibri"/>
        </w:rPr>
        <w:t xml:space="preserve"> 48.8% of the sample </w:t>
      </w:r>
      <w:r>
        <w:rPr>
          <w:rFonts w:cs="Calibri"/>
        </w:rPr>
        <w:t>who</w:t>
      </w:r>
      <w:r w:rsidRPr="0047058F">
        <w:rPr>
          <w:rFonts w:cs="Calibri"/>
        </w:rPr>
        <w:t xml:space="preserve"> were probable cases of disorder at both time points, and 43.9% went from being a probable case to a subsyndromal case.</w:t>
      </w:r>
    </w:p>
    <w:p w14:paraId="6FE50674" w14:textId="77777777" w:rsidR="00AA7A7D" w:rsidRPr="0047058F" w:rsidRDefault="00AA7A7D" w:rsidP="00B93A94">
      <w:pPr>
        <w:rPr>
          <w:rFonts w:cs="Calibri"/>
        </w:rPr>
      </w:pPr>
      <w:r w:rsidRPr="0047058F">
        <w:rPr>
          <w:rFonts w:cs="Calibri"/>
        </w:rPr>
        <w:t>Those who remained in the Regular ADF reported lower levels of disorder on the AUDIT in 2010 and 2015 compared to those who had transitioned. In 2010, 77.5% of those remaining in the Regular ADF did not meet criteria for disorder on the AUDIT in 2010, 21.8% met criteria for subsyndromal disorder and 0.7% for probable disorder. In 2015, those not meeting criteria for a disorder increased to 80.4%, and those meeting criteria for subsyndromal disorder dropped slightly to 18.4% and increased slightly for probable disorder to 1.2%. The majority of those not meeting disorder criteria in 2010 remained in this category in 2015 (90.6%), with only 9.2% becoming new cases of subsyndromal disorder and 0.2% becoming probable disorder cases. Of those who were subsyndromal in 2010, half (50.0%) remained subsyndromal, 45.8% no longer met criteria for a disorder and 4.2% became probable cases on the AUDIT. Of those with probable disorder in 2010, 21.6% remained in this category in 2015, 54.1% became subsyndromal and 23.4% no longer met criteria.</w:t>
      </w:r>
    </w:p>
    <w:p w14:paraId="40358B19" w14:textId="77777777" w:rsidR="00AA7A7D" w:rsidRPr="0047058F" w:rsidRDefault="00AA7A7D" w:rsidP="00B93A94">
      <w:r w:rsidRPr="0047058F">
        <w:t>When comparing Transitioned ADF and 2015 Regular ADF, more 2015 Regular ADF who had probable disorder on the AUDIT in 2010 had no disorder in 2015 (24.3% vs 7.3%). Conversely, more Transitioned ADF who had probable disorder in 2010 remained cases of probable disorder in 2015 (48.8% vs 21.6%).</w:t>
      </w:r>
    </w:p>
    <w:p w14:paraId="02069314" w14:textId="77777777" w:rsidR="00B93A94" w:rsidRPr="0047058F" w:rsidRDefault="00B93A94" w:rsidP="00B93A94">
      <w:pPr>
        <w:pStyle w:val="TableName"/>
        <w:rPr>
          <w:rFonts w:cs="Calibri"/>
        </w:rPr>
      </w:pPr>
      <w:bookmarkStart w:id="299" w:name="_Toc532473592"/>
      <w:r w:rsidRPr="0047058F">
        <w:t>Table 5.10</w:t>
      </w:r>
      <w:bookmarkEnd w:id="297"/>
      <w:r w:rsidRPr="0047058F">
        <w:tab/>
        <w:t xml:space="preserve">Proportion of </w:t>
      </w:r>
      <w:r w:rsidRPr="0047058F">
        <w:rPr>
          <w:u w:val="single"/>
        </w:rPr>
        <w:t>entire longitudinal cohort</w:t>
      </w:r>
      <w:r w:rsidRPr="0047058F">
        <w:t xml:space="preserve"> with no disorder, subsyndromal disorder and probable disorder on AUDIT in 2010 and 2015 based on self-reported measures</w:t>
      </w:r>
      <w:bookmarkEnd w:id="298"/>
      <w:bookmarkEnd w:id="299"/>
    </w:p>
    <w:tbl>
      <w:tblPr>
        <w:tblStyle w:val="TWRPTable"/>
        <w:tblW w:w="0" w:type="auto"/>
        <w:tblLook w:val="04A0" w:firstRow="1" w:lastRow="0" w:firstColumn="1" w:lastColumn="0" w:noHBand="0" w:noVBand="1"/>
        <w:tblDescription w:val="Table 5.10 Proportion of entire longitudinal cohort with no disorder, subsyndromal disorder and probable disorder on AUDIT in 2010 and 2015 based on self-reported measures"/>
      </w:tblPr>
      <w:tblGrid>
        <w:gridCol w:w="2808"/>
        <w:gridCol w:w="576"/>
        <w:gridCol w:w="577"/>
        <w:gridCol w:w="559"/>
        <w:gridCol w:w="559"/>
        <w:gridCol w:w="559"/>
        <w:gridCol w:w="559"/>
        <w:gridCol w:w="559"/>
        <w:gridCol w:w="559"/>
      </w:tblGrid>
      <w:tr w:rsidR="00B93A94" w:rsidRPr="0047058F" w14:paraId="3F6450F5" w14:textId="77777777" w:rsidTr="00AF759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val="restart"/>
          </w:tcPr>
          <w:p w14:paraId="514510E6" w14:textId="77777777" w:rsidR="00B93A94" w:rsidRPr="0047058F" w:rsidRDefault="00B93A94" w:rsidP="00AF7596">
            <w:pPr>
              <w:pStyle w:val="TableText"/>
            </w:pPr>
            <w:r w:rsidRPr="0047058F">
              <w:t>2010 ADF Mental Health Prevalence and Wellbeing Study</w:t>
            </w:r>
          </w:p>
        </w:tc>
        <w:tc>
          <w:tcPr>
            <w:tcW w:w="0" w:type="auto"/>
            <w:gridSpan w:val="6"/>
          </w:tcPr>
          <w:p w14:paraId="61A62EF5" w14:textId="77777777" w:rsidR="00B93A94" w:rsidRPr="0047058F" w:rsidRDefault="00B93A94" w:rsidP="001340FD">
            <w:pPr>
              <w:pStyle w:val="TableText"/>
              <w:jc w:val="center"/>
            </w:pPr>
            <w:r w:rsidRPr="0047058F">
              <w:t>2015 Transition and Wellbeing Research Programme</w:t>
            </w:r>
          </w:p>
        </w:tc>
      </w:tr>
      <w:tr w:rsidR="00B93A94" w:rsidRPr="0047058F" w14:paraId="5DF57357"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tcPr>
          <w:p w14:paraId="0682ACAF" w14:textId="77777777" w:rsidR="00B93A94" w:rsidRPr="0047058F" w:rsidRDefault="00B93A94" w:rsidP="00AF7596">
            <w:pPr>
              <w:pStyle w:val="TableText"/>
            </w:pPr>
          </w:p>
        </w:tc>
        <w:tc>
          <w:tcPr>
            <w:tcW w:w="1118" w:type="dxa"/>
            <w:gridSpan w:val="2"/>
            <w:hideMark/>
          </w:tcPr>
          <w:p w14:paraId="5E277BB5" w14:textId="77777777" w:rsidR="00B93A94" w:rsidRPr="0047058F" w:rsidRDefault="00B93A94" w:rsidP="001340FD">
            <w:pPr>
              <w:pStyle w:val="TableText"/>
              <w:jc w:val="center"/>
            </w:pPr>
            <w:r w:rsidRPr="0047058F">
              <w:t>No disorder</w:t>
            </w:r>
          </w:p>
        </w:tc>
        <w:tc>
          <w:tcPr>
            <w:tcW w:w="1118" w:type="dxa"/>
            <w:gridSpan w:val="2"/>
          </w:tcPr>
          <w:p w14:paraId="2BC1A932" w14:textId="77777777" w:rsidR="00B93A94" w:rsidRPr="0047058F" w:rsidRDefault="00B93A94" w:rsidP="001340FD">
            <w:pPr>
              <w:pStyle w:val="TableText"/>
              <w:jc w:val="center"/>
            </w:pPr>
            <w:r w:rsidRPr="0047058F">
              <w:t>Subsyndromal disorder</w:t>
            </w:r>
          </w:p>
        </w:tc>
        <w:tc>
          <w:tcPr>
            <w:tcW w:w="1118" w:type="dxa"/>
            <w:gridSpan w:val="2"/>
          </w:tcPr>
          <w:p w14:paraId="3F849FDB" w14:textId="77777777" w:rsidR="00B93A94" w:rsidRPr="0047058F" w:rsidRDefault="00B93A94" w:rsidP="001340FD">
            <w:pPr>
              <w:pStyle w:val="TableText"/>
              <w:jc w:val="center"/>
            </w:pPr>
            <w:r w:rsidRPr="0047058F">
              <w:t>Probable disorder</w:t>
            </w:r>
          </w:p>
        </w:tc>
      </w:tr>
      <w:tr w:rsidR="00B93A94" w:rsidRPr="0047058F" w14:paraId="6FE55713"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2C56C831" w14:textId="77777777" w:rsidR="00B93A94" w:rsidRPr="0047058F" w:rsidRDefault="00B93A94" w:rsidP="00AF7596">
            <w:pPr>
              <w:pStyle w:val="TableText"/>
            </w:pPr>
            <w:r w:rsidRPr="0047058F">
              <w:rPr>
                <w:rFonts w:cs="Arial"/>
              </w:rPr>
              <w:t>AUDIT</w:t>
            </w:r>
          </w:p>
        </w:tc>
        <w:tc>
          <w:tcPr>
            <w:tcW w:w="576" w:type="dxa"/>
          </w:tcPr>
          <w:p w14:paraId="184AD5BF" w14:textId="77777777" w:rsidR="00B93A94" w:rsidRPr="0047058F" w:rsidRDefault="00B93A94" w:rsidP="001340FD">
            <w:pPr>
              <w:pStyle w:val="TableText"/>
              <w:jc w:val="right"/>
              <w:rPr>
                <w:rFonts w:cs="Arial"/>
              </w:rPr>
            </w:pPr>
            <w:r w:rsidRPr="0047058F">
              <w:rPr>
                <w:rFonts w:cs="Arial"/>
              </w:rPr>
              <w:t>n</w:t>
            </w:r>
          </w:p>
        </w:tc>
        <w:tc>
          <w:tcPr>
            <w:tcW w:w="577" w:type="dxa"/>
          </w:tcPr>
          <w:p w14:paraId="09F6C0FB" w14:textId="77777777" w:rsidR="00B93A94" w:rsidRPr="0047058F" w:rsidRDefault="00B93A94" w:rsidP="001340FD">
            <w:pPr>
              <w:pStyle w:val="TableText"/>
              <w:jc w:val="right"/>
              <w:rPr>
                <w:rFonts w:cs="Arial"/>
              </w:rPr>
            </w:pPr>
            <w:r w:rsidRPr="0047058F">
              <w:rPr>
                <w:rFonts w:cs="Arial"/>
              </w:rPr>
              <w:t>%</w:t>
            </w:r>
          </w:p>
        </w:tc>
        <w:tc>
          <w:tcPr>
            <w:tcW w:w="559" w:type="dxa"/>
          </w:tcPr>
          <w:p w14:paraId="5A560053" w14:textId="77777777" w:rsidR="00B93A94" w:rsidRPr="0047058F" w:rsidRDefault="00B93A94" w:rsidP="001340FD">
            <w:pPr>
              <w:pStyle w:val="TableText"/>
              <w:jc w:val="right"/>
              <w:rPr>
                <w:rFonts w:cs="Arial"/>
              </w:rPr>
            </w:pPr>
            <w:r w:rsidRPr="0047058F">
              <w:rPr>
                <w:rFonts w:cs="Arial"/>
              </w:rPr>
              <w:t>n</w:t>
            </w:r>
          </w:p>
        </w:tc>
        <w:tc>
          <w:tcPr>
            <w:tcW w:w="559" w:type="dxa"/>
          </w:tcPr>
          <w:p w14:paraId="30575143" w14:textId="77777777" w:rsidR="00B93A94" w:rsidRPr="0047058F" w:rsidRDefault="00B93A94" w:rsidP="001340FD">
            <w:pPr>
              <w:pStyle w:val="TableText"/>
              <w:jc w:val="right"/>
              <w:rPr>
                <w:rFonts w:cs="Arial"/>
              </w:rPr>
            </w:pPr>
            <w:r w:rsidRPr="0047058F">
              <w:rPr>
                <w:rFonts w:cs="Arial"/>
              </w:rPr>
              <w:t>%</w:t>
            </w:r>
          </w:p>
        </w:tc>
        <w:tc>
          <w:tcPr>
            <w:tcW w:w="559" w:type="dxa"/>
          </w:tcPr>
          <w:p w14:paraId="20D53A67" w14:textId="77777777" w:rsidR="00B93A94" w:rsidRPr="0047058F" w:rsidRDefault="00B93A94" w:rsidP="001340FD">
            <w:pPr>
              <w:pStyle w:val="TableText"/>
              <w:jc w:val="right"/>
              <w:rPr>
                <w:rFonts w:cs="Arial"/>
              </w:rPr>
            </w:pPr>
            <w:r w:rsidRPr="0047058F">
              <w:rPr>
                <w:rFonts w:cs="Arial"/>
              </w:rPr>
              <w:t>n</w:t>
            </w:r>
          </w:p>
        </w:tc>
        <w:tc>
          <w:tcPr>
            <w:tcW w:w="559" w:type="dxa"/>
          </w:tcPr>
          <w:p w14:paraId="2F2E4AB3" w14:textId="77777777" w:rsidR="00B93A94" w:rsidRPr="0047058F" w:rsidRDefault="00B93A94" w:rsidP="001340FD">
            <w:pPr>
              <w:pStyle w:val="TableText"/>
              <w:jc w:val="right"/>
              <w:rPr>
                <w:rFonts w:cs="Arial"/>
              </w:rPr>
            </w:pPr>
            <w:r w:rsidRPr="0047058F">
              <w:rPr>
                <w:rFonts w:cs="Arial"/>
              </w:rPr>
              <w:t>%</w:t>
            </w:r>
          </w:p>
        </w:tc>
        <w:tc>
          <w:tcPr>
            <w:tcW w:w="559" w:type="dxa"/>
          </w:tcPr>
          <w:p w14:paraId="1DF4813B" w14:textId="77777777" w:rsidR="00B93A94" w:rsidRPr="0047058F" w:rsidRDefault="00B93A94" w:rsidP="001340FD">
            <w:pPr>
              <w:pStyle w:val="TableText"/>
              <w:jc w:val="right"/>
              <w:rPr>
                <w:rFonts w:cs="Arial"/>
              </w:rPr>
            </w:pPr>
            <w:r w:rsidRPr="0047058F">
              <w:rPr>
                <w:rFonts w:cs="Arial"/>
              </w:rPr>
              <w:t>n</w:t>
            </w:r>
          </w:p>
        </w:tc>
        <w:tc>
          <w:tcPr>
            <w:tcW w:w="559" w:type="dxa"/>
          </w:tcPr>
          <w:p w14:paraId="480E83DB" w14:textId="77777777" w:rsidR="00B93A94" w:rsidRPr="0047058F" w:rsidRDefault="00B93A94" w:rsidP="001340FD">
            <w:pPr>
              <w:pStyle w:val="TableText"/>
              <w:jc w:val="right"/>
              <w:rPr>
                <w:rFonts w:cs="Arial"/>
              </w:rPr>
            </w:pPr>
            <w:r w:rsidRPr="0047058F">
              <w:rPr>
                <w:rFonts w:cs="Arial"/>
              </w:rPr>
              <w:t>%</w:t>
            </w:r>
          </w:p>
        </w:tc>
      </w:tr>
      <w:tr w:rsidR="00B93A94" w:rsidRPr="0047058F" w14:paraId="2DA46A2B"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4C4A7108" w14:textId="77777777" w:rsidR="00B93A94" w:rsidRPr="0047058F" w:rsidRDefault="00B93A94" w:rsidP="00AF7596">
            <w:pPr>
              <w:pStyle w:val="TableText"/>
              <w:rPr>
                <w:rFonts w:cs="Calibri"/>
                <w:szCs w:val="14"/>
              </w:rPr>
            </w:pPr>
            <w:r w:rsidRPr="0047058F">
              <w:rPr>
                <w:rFonts w:cs="Calibri"/>
                <w:szCs w:val="14"/>
              </w:rPr>
              <w:t>No disorder: Below both screening and epidemiological cut-offs</w:t>
            </w:r>
          </w:p>
        </w:tc>
        <w:tc>
          <w:tcPr>
            <w:tcW w:w="576" w:type="dxa"/>
          </w:tcPr>
          <w:p w14:paraId="5EDF26EE" w14:textId="77777777" w:rsidR="00B93A94" w:rsidRPr="0047058F" w:rsidRDefault="00B93A94" w:rsidP="001340FD">
            <w:pPr>
              <w:pStyle w:val="TableText"/>
              <w:jc w:val="right"/>
            </w:pPr>
            <w:r w:rsidRPr="0047058F">
              <w:rPr>
                <w:rFonts w:eastAsia="Times New Roman" w:cs="Arial"/>
              </w:rPr>
              <w:t>5828</w:t>
            </w:r>
          </w:p>
        </w:tc>
        <w:tc>
          <w:tcPr>
            <w:tcW w:w="577" w:type="dxa"/>
          </w:tcPr>
          <w:p w14:paraId="31E56F4C" w14:textId="77777777" w:rsidR="00B93A94" w:rsidRPr="0047058F" w:rsidRDefault="00B93A94" w:rsidP="001340FD">
            <w:pPr>
              <w:pStyle w:val="TableText"/>
              <w:jc w:val="right"/>
              <w:rPr>
                <w:rFonts w:eastAsia="Times New Roman" w:cs="Arial"/>
              </w:rPr>
            </w:pPr>
            <w:r w:rsidRPr="0047058F">
              <w:rPr>
                <w:rFonts w:eastAsia="Times New Roman" w:cs="Arial"/>
              </w:rPr>
              <w:t>76.7</w:t>
            </w:r>
          </w:p>
        </w:tc>
        <w:tc>
          <w:tcPr>
            <w:tcW w:w="559" w:type="dxa"/>
          </w:tcPr>
          <w:p w14:paraId="49EB9398" w14:textId="77777777" w:rsidR="00B93A94" w:rsidRPr="0047058F" w:rsidRDefault="00B93A94" w:rsidP="001340FD">
            <w:pPr>
              <w:pStyle w:val="TableText"/>
              <w:jc w:val="right"/>
            </w:pPr>
            <w:r w:rsidRPr="0047058F">
              <w:rPr>
                <w:rFonts w:eastAsia="Times New Roman" w:cs="Arial"/>
              </w:rPr>
              <w:t>5161</w:t>
            </w:r>
          </w:p>
        </w:tc>
        <w:tc>
          <w:tcPr>
            <w:tcW w:w="559" w:type="dxa"/>
          </w:tcPr>
          <w:p w14:paraId="6D8A1804" w14:textId="77777777" w:rsidR="00B93A94" w:rsidRPr="0047058F" w:rsidRDefault="00B93A94" w:rsidP="001340FD">
            <w:pPr>
              <w:pStyle w:val="TableText"/>
              <w:jc w:val="right"/>
            </w:pPr>
            <w:r w:rsidRPr="0047058F">
              <w:rPr>
                <w:rFonts w:eastAsia="Times New Roman" w:cs="Arial"/>
              </w:rPr>
              <w:t>88.6</w:t>
            </w:r>
          </w:p>
        </w:tc>
        <w:tc>
          <w:tcPr>
            <w:tcW w:w="559" w:type="dxa"/>
          </w:tcPr>
          <w:p w14:paraId="65C83D93" w14:textId="77777777" w:rsidR="00B93A94" w:rsidRPr="0047058F" w:rsidRDefault="00B93A94" w:rsidP="001340FD">
            <w:pPr>
              <w:pStyle w:val="TableText"/>
              <w:jc w:val="right"/>
            </w:pPr>
            <w:r w:rsidRPr="0047058F">
              <w:rPr>
                <w:rFonts w:eastAsia="Times New Roman" w:cs="Arial"/>
              </w:rPr>
              <w:t>625</w:t>
            </w:r>
          </w:p>
        </w:tc>
        <w:tc>
          <w:tcPr>
            <w:tcW w:w="559" w:type="dxa"/>
          </w:tcPr>
          <w:p w14:paraId="4DEF0E70" w14:textId="77777777" w:rsidR="00B93A94" w:rsidRPr="0047058F" w:rsidRDefault="00B93A94" w:rsidP="001340FD">
            <w:pPr>
              <w:pStyle w:val="TableText"/>
              <w:jc w:val="right"/>
            </w:pPr>
            <w:r w:rsidRPr="0047058F">
              <w:rPr>
                <w:rFonts w:eastAsia="Times New Roman" w:cs="Arial"/>
              </w:rPr>
              <w:t>10.7</w:t>
            </w:r>
          </w:p>
        </w:tc>
        <w:tc>
          <w:tcPr>
            <w:tcW w:w="559" w:type="dxa"/>
          </w:tcPr>
          <w:p w14:paraId="6709B6F3" w14:textId="77777777" w:rsidR="00B93A94" w:rsidRPr="0047058F" w:rsidRDefault="00B93A94" w:rsidP="001340FD">
            <w:pPr>
              <w:pStyle w:val="TableText"/>
              <w:jc w:val="right"/>
            </w:pPr>
            <w:r w:rsidRPr="0047058F">
              <w:rPr>
                <w:rFonts w:eastAsia="Times New Roman" w:cs="Arial"/>
              </w:rPr>
              <w:t>42</w:t>
            </w:r>
          </w:p>
        </w:tc>
        <w:tc>
          <w:tcPr>
            <w:tcW w:w="559" w:type="dxa"/>
          </w:tcPr>
          <w:p w14:paraId="7ABC876D" w14:textId="77777777" w:rsidR="00B93A94" w:rsidRPr="0047058F" w:rsidRDefault="00B93A94" w:rsidP="001340FD">
            <w:pPr>
              <w:pStyle w:val="TableText"/>
              <w:jc w:val="right"/>
            </w:pPr>
            <w:r w:rsidRPr="0047058F">
              <w:rPr>
                <w:rFonts w:eastAsia="Times New Roman" w:cs="Arial"/>
              </w:rPr>
              <w:t>0.7</w:t>
            </w:r>
          </w:p>
        </w:tc>
      </w:tr>
      <w:tr w:rsidR="00B93A94" w:rsidRPr="0047058F" w14:paraId="28E9B6D7" w14:textId="77777777" w:rsidTr="001340FD">
        <w:trPr>
          <w:cantSplit/>
        </w:trPr>
        <w:tc>
          <w:tcPr>
            <w:tcW w:w="2808" w:type="dxa"/>
          </w:tcPr>
          <w:p w14:paraId="1789B9FB" w14:textId="77777777" w:rsidR="00B93A94" w:rsidRPr="0047058F" w:rsidRDefault="00B93A94" w:rsidP="00AF7596">
            <w:pPr>
              <w:pStyle w:val="TableText"/>
              <w:rPr>
                <w:rFonts w:cs="Calibri"/>
                <w:szCs w:val="14"/>
              </w:rPr>
            </w:pPr>
            <w:r w:rsidRPr="0047058F">
              <w:rPr>
                <w:rFonts w:cs="Calibri"/>
                <w:szCs w:val="14"/>
              </w:rPr>
              <w:t>Subsyndromal disorder: Above screening cut-off but below epidemiological cut-off</w:t>
            </w:r>
          </w:p>
        </w:tc>
        <w:tc>
          <w:tcPr>
            <w:tcW w:w="576" w:type="dxa"/>
          </w:tcPr>
          <w:p w14:paraId="19B09B2B" w14:textId="77777777" w:rsidR="00B93A94" w:rsidRPr="0047058F" w:rsidRDefault="00B93A94" w:rsidP="001340FD">
            <w:pPr>
              <w:pStyle w:val="TableText"/>
              <w:jc w:val="right"/>
            </w:pPr>
            <w:r w:rsidRPr="0047058F">
              <w:rPr>
                <w:rFonts w:eastAsia="Times New Roman" w:cs="Arial"/>
              </w:rPr>
              <w:t>1697</w:t>
            </w:r>
          </w:p>
        </w:tc>
        <w:tc>
          <w:tcPr>
            <w:tcW w:w="577" w:type="dxa"/>
          </w:tcPr>
          <w:p w14:paraId="273D70F4" w14:textId="77777777" w:rsidR="00B93A94" w:rsidRPr="0047058F" w:rsidRDefault="00B93A94" w:rsidP="001340FD">
            <w:pPr>
              <w:pStyle w:val="TableText"/>
              <w:jc w:val="right"/>
              <w:rPr>
                <w:rFonts w:eastAsia="Times New Roman" w:cs="Arial"/>
              </w:rPr>
            </w:pPr>
            <w:r w:rsidRPr="0047058F">
              <w:rPr>
                <w:rFonts w:eastAsia="Times New Roman" w:cs="Arial"/>
              </w:rPr>
              <w:t>22.3</w:t>
            </w:r>
          </w:p>
        </w:tc>
        <w:tc>
          <w:tcPr>
            <w:tcW w:w="559" w:type="dxa"/>
          </w:tcPr>
          <w:p w14:paraId="7B22FA2F" w14:textId="77777777" w:rsidR="00B93A94" w:rsidRPr="0047058F" w:rsidRDefault="00B93A94" w:rsidP="001340FD">
            <w:pPr>
              <w:pStyle w:val="TableText"/>
              <w:jc w:val="right"/>
            </w:pPr>
            <w:r w:rsidRPr="0047058F">
              <w:rPr>
                <w:rFonts w:eastAsia="Times New Roman" w:cs="Arial"/>
              </w:rPr>
              <w:t>711</w:t>
            </w:r>
          </w:p>
        </w:tc>
        <w:tc>
          <w:tcPr>
            <w:tcW w:w="559" w:type="dxa"/>
          </w:tcPr>
          <w:p w14:paraId="07E4CA19" w14:textId="77777777" w:rsidR="00B93A94" w:rsidRPr="0047058F" w:rsidRDefault="00B93A94" w:rsidP="001340FD">
            <w:pPr>
              <w:pStyle w:val="TableText"/>
              <w:jc w:val="right"/>
            </w:pPr>
            <w:r w:rsidRPr="0047058F">
              <w:rPr>
                <w:rFonts w:eastAsia="Times New Roman" w:cs="Arial"/>
              </w:rPr>
              <w:t>41.9</w:t>
            </w:r>
          </w:p>
        </w:tc>
        <w:tc>
          <w:tcPr>
            <w:tcW w:w="559" w:type="dxa"/>
          </w:tcPr>
          <w:p w14:paraId="6F29DFA5" w14:textId="77777777" w:rsidR="00B93A94" w:rsidRPr="0047058F" w:rsidRDefault="00B93A94" w:rsidP="001340FD">
            <w:pPr>
              <w:pStyle w:val="TableText"/>
              <w:jc w:val="right"/>
            </w:pPr>
            <w:r w:rsidRPr="0047058F">
              <w:rPr>
                <w:rFonts w:eastAsia="Times New Roman" w:cs="Arial"/>
              </w:rPr>
              <w:t>877</w:t>
            </w:r>
          </w:p>
        </w:tc>
        <w:tc>
          <w:tcPr>
            <w:tcW w:w="559" w:type="dxa"/>
          </w:tcPr>
          <w:p w14:paraId="3475B07B" w14:textId="77777777" w:rsidR="00B93A94" w:rsidRPr="0047058F" w:rsidRDefault="00B93A94" w:rsidP="001340FD">
            <w:pPr>
              <w:pStyle w:val="TableText"/>
              <w:jc w:val="right"/>
            </w:pPr>
            <w:r w:rsidRPr="0047058F">
              <w:rPr>
                <w:rFonts w:eastAsia="Times New Roman" w:cs="Arial"/>
              </w:rPr>
              <w:t>51.7</w:t>
            </w:r>
          </w:p>
        </w:tc>
        <w:tc>
          <w:tcPr>
            <w:tcW w:w="559" w:type="dxa"/>
          </w:tcPr>
          <w:p w14:paraId="22003C1F" w14:textId="77777777" w:rsidR="00B93A94" w:rsidRPr="0047058F" w:rsidRDefault="00B93A94" w:rsidP="001340FD">
            <w:pPr>
              <w:pStyle w:val="TableText"/>
              <w:jc w:val="right"/>
            </w:pPr>
            <w:r w:rsidRPr="0047058F">
              <w:rPr>
                <w:rFonts w:eastAsia="Times New Roman" w:cs="Arial"/>
              </w:rPr>
              <w:t>109</w:t>
            </w:r>
          </w:p>
        </w:tc>
        <w:tc>
          <w:tcPr>
            <w:tcW w:w="559" w:type="dxa"/>
          </w:tcPr>
          <w:p w14:paraId="7E0F3824" w14:textId="77777777" w:rsidR="00B93A94" w:rsidRPr="0047058F" w:rsidRDefault="00B93A94" w:rsidP="001340FD">
            <w:pPr>
              <w:pStyle w:val="TableText"/>
              <w:jc w:val="right"/>
            </w:pPr>
            <w:r w:rsidRPr="0047058F">
              <w:rPr>
                <w:rFonts w:eastAsia="Times New Roman" w:cs="Arial"/>
              </w:rPr>
              <w:t>6.4</w:t>
            </w:r>
          </w:p>
        </w:tc>
      </w:tr>
      <w:tr w:rsidR="00B93A94" w:rsidRPr="0047058F" w14:paraId="6755B120"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29181007" w14:textId="77777777" w:rsidR="00B93A94" w:rsidRPr="0047058F" w:rsidRDefault="00B93A94" w:rsidP="00AF7596">
            <w:pPr>
              <w:pStyle w:val="TableText"/>
              <w:rPr>
                <w:rFonts w:cs="Calibri"/>
                <w:szCs w:val="14"/>
              </w:rPr>
            </w:pPr>
            <w:r w:rsidRPr="0047058F">
              <w:rPr>
                <w:rFonts w:cs="Calibri"/>
                <w:szCs w:val="14"/>
              </w:rPr>
              <w:t>Probable disorder: Above both screening and epidemiological cut-offs</w:t>
            </w:r>
          </w:p>
        </w:tc>
        <w:tc>
          <w:tcPr>
            <w:tcW w:w="576" w:type="dxa"/>
          </w:tcPr>
          <w:p w14:paraId="1B2B9FAE" w14:textId="77777777" w:rsidR="00B93A94" w:rsidRPr="0047058F" w:rsidRDefault="00B93A94" w:rsidP="001340FD">
            <w:pPr>
              <w:pStyle w:val="TableText"/>
              <w:jc w:val="right"/>
            </w:pPr>
            <w:r w:rsidRPr="0047058F">
              <w:rPr>
                <w:rFonts w:eastAsia="Times New Roman" w:cs="Arial"/>
              </w:rPr>
              <w:t>78</w:t>
            </w:r>
          </w:p>
        </w:tc>
        <w:tc>
          <w:tcPr>
            <w:tcW w:w="577" w:type="dxa"/>
          </w:tcPr>
          <w:p w14:paraId="7399A675" w14:textId="77777777" w:rsidR="00B93A94" w:rsidRPr="0047058F" w:rsidRDefault="00B93A94" w:rsidP="001340FD">
            <w:pPr>
              <w:pStyle w:val="TableText"/>
              <w:jc w:val="right"/>
              <w:rPr>
                <w:rFonts w:eastAsia="Times New Roman" w:cs="Arial"/>
              </w:rPr>
            </w:pPr>
            <w:r w:rsidRPr="0047058F">
              <w:rPr>
                <w:rFonts w:eastAsia="Times New Roman" w:cs="Arial"/>
              </w:rPr>
              <w:t>1.0</w:t>
            </w:r>
          </w:p>
        </w:tc>
        <w:tc>
          <w:tcPr>
            <w:tcW w:w="559" w:type="dxa"/>
          </w:tcPr>
          <w:p w14:paraId="6893C4F2" w14:textId="77777777" w:rsidR="00B93A94" w:rsidRPr="0047058F" w:rsidRDefault="00B93A94" w:rsidP="001340FD">
            <w:pPr>
              <w:pStyle w:val="TableText"/>
              <w:jc w:val="right"/>
            </w:pPr>
            <w:r w:rsidRPr="0047058F">
              <w:rPr>
                <w:rFonts w:eastAsia="Times New Roman" w:cs="Arial"/>
              </w:rPr>
              <w:t>12</w:t>
            </w:r>
          </w:p>
        </w:tc>
        <w:tc>
          <w:tcPr>
            <w:tcW w:w="559" w:type="dxa"/>
          </w:tcPr>
          <w:p w14:paraId="07F76E3B" w14:textId="77777777" w:rsidR="00B93A94" w:rsidRPr="0047058F" w:rsidRDefault="00B93A94" w:rsidP="001340FD">
            <w:pPr>
              <w:pStyle w:val="TableText"/>
              <w:jc w:val="right"/>
            </w:pPr>
            <w:r w:rsidRPr="0047058F">
              <w:rPr>
                <w:rFonts w:eastAsia="Times New Roman" w:cs="Arial"/>
              </w:rPr>
              <w:t>15.4</w:t>
            </w:r>
          </w:p>
        </w:tc>
        <w:tc>
          <w:tcPr>
            <w:tcW w:w="559" w:type="dxa"/>
          </w:tcPr>
          <w:p w14:paraId="3A4C79A4" w14:textId="77777777" w:rsidR="00B93A94" w:rsidRPr="0047058F" w:rsidRDefault="00B93A94" w:rsidP="001340FD">
            <w:pPr>
              <w:pStyle w:val="TableText"/>
              <w:jc w:val="right"/>
            </w:pPr>
            <w:r w:rsidRPr="0047058F">
              <w:rPr>
                <w:rFonts w:eastAsia="Times New Roman" w:cs="Arial"/>
              </w:rPr>
              <w:t>38</w:t>
            </w:r>
          </w:p>
        </w:tc>
        <w:tc>
          <w:tcPr>
            <w:tcW w:w="559" w:type="dxa"/>
          </w:tcPr>
          <w:p w14:paraId="22E368DD" w14:textId="77777777" w:rsidR="00B93A94" w:rsidRPr="0047058F" w:rsidRDefault="00B93A94" w:rsidP="001340FD">
            <w:pPr>
              <w:pStyle w:val="TableText"/>
              <w:jc w:val="right"/>
            </w:pPr>
            <w:r w:rsidRPr="0047058F">
              <w:rPr>
                <w:rFonts w:eastAsia="Times New Roman" w:cs="Arial"/>
              </w:rPr>
              <w:t>48.7</w:t>
            </w:r>
          </w:p>
        </w:tc>
        <w:tc>
          <w:tcPr>
            <w:tcW w:w="559" w:type="dxa"/>
          </w:tcPr>
          <w:p w14:paraId="093AA96D" w14:textId="77777777" w:rsidR="00B93A94" w:rsidRPr="0047058F" w:rsidRDefault="00B93A94" w:rsidP="001340FD">
            <w:pPr>
              <w:pStyle w:val="TableText"/>
              <w:jc w:val="right"/>
            </w:pPr>
            <w:r w:rsidRPr="0047058F">
              <w:rPr>
                <w:rFonts w:eastAsia="Times New Roman" w:cs="Arial"/>
              </w:rPr>
              <w:t>28</w:t>
            </w:r>
          </w:p>
        </w:tc>
        <w:tc>
          <w:tcPr>
            <w:tcW w:w="559" w:type="dxa"/>
          </w:tcPr>
          <w:p w14:paraId="2A82647C" w14:textId="77777777" w:rsidR="00B93A94" w:rsidRPr="0047058F" w:rsidRDefault="00B93A94" w:rsidP="001340FD">
            <w:pPr>
              <w:pStyle w:val="TableText"/>
              <w:jc w:val="right"/>
            </w:pPr>
            <w:r w:rsidRPr="0047058F">
              <w:rPr>
                <w:rFonts w:eastAsia="Times New Roman" w:cs="Arial"/>
              </w:rPr>
              <w:t>35.9</w:t>
            </w:r>
          </w:p>
        </w:tc>
      </w:tr>
      <w:tr w:rsidR="00B93A94" w:rsidRPr="0047058F" w14:paraId="5EAD23DB" w14:textId="77777777" w:rsidTr="001340FD">
        <w:trPr>
          <w:cantSplit/>
        </w:trPr>
        <w:tc>
          <w:tcPr>
            <w:tcW w:w="2808" w:type="dxa"/>
          </w:tcPr>
          <w:p w14:paraId="5D790EC9" w14:textId="77777777" w:rsidR="00B93A94" w:rsidRPr="0047058F" w:rsidRDefault="00B93A94" w:rsidP="00AF7596">
            <w:pPr>
              <w:pStyle w:val="TableText"/>
              <w:rPr>
                <w:rFonts w:cs="Arial"/>
                <w:b/>
              </w:rPr>
            </w:pPr>
            <w:r w:rsidRPr="0047058F">
              <w:rPr>
                <w:rFonts w:cs="Arial"/>
                <w:b/>
              </w:rPr>
              <w:t>Total</w:t>
            </w:r>
          </w:p>
        </w:tc>
        <w:tc>
          <w:tcPr>
            <w:tcW w:w="576" w:type="dxa"/>
          </w:tcPr>
          <w:p w14:paraId="08392005" w14:textId="77777777" w:rsidR="00B93A94" w:rsidRPr="0047058F" w:rsidRDefault="00B93A94" w:rsidP="001340FD">
            <w:pPr>
              <w:pStyle w:val="TableText"/>
              <w:jc w:val="right"/>
              <w:rPr>
                <w:rFonts w:cs="Arial"/>
                <w:b/>
              </w:rPr>
            </w:pPr>
            <w:r w:rsidRPr="0047058F">
              <w:rPr>
                <w:rFonts w:cs="Arial"/>
                <w:b/>
              </w:rPr>
              <w:t>7603</w:t>
            </w:r>
          </w:p>
        </w:tc>
        <w:tc>
          <w:tcPr>
            <w:tcW w:w="577" w:type="dxa"/>
          </w:tcPr>
          <w:p w14:paraId="128E21FB" w14:textId="77777777" w:rsidR="00B93A94" w:rsidRPr="0047058F" w:rsidRDefault="00B93A94" w:rsidP="001340FD">
            <w:pPr>
              <w:pStyle w:val="TableText"/>
              <w:jc w:val="right"/>
              <w:rPr>
                <w:rFonts w:eastAsia="Times New Roman" w:cs="Arial"/>
                <w:b/>
              </w:rPr>
            </w:pPr>
            <w:r w:rsidRPr="0047058F">
              <w:rPr>
                <w:rFonts w:eastAsia="Times New Roman" w:cs="Arial"/>
                <w:b/>
              </w:rPr>
              <w:t>100.0</w:t>
            </w:r>
          </w:p>
        </w:tc>
        <w:tc>
          <w:tcPr>
            <w:tcW w:w="559" w:type="dxa"/>
          </w:tcPr>
          <w:p w14:paraId="71BA5C91" w14:textId="77777777" w:rsidR="00B93A94" w:rsidRPr="0047058F" w:rsidRDefault="00B93A94" w:rsidP="001340FD">
            <w:pPr>
              <w:pStyle w:val="TableText"/>
              <w:jc w:val="right"/>
              <w:rPr>
                <w:rFonts w:cs="Arial"/>
                <w:b/>
              </w:rPr>
            </w:pPr>
            <w:r w:rsidRPr="0047058F">
              <w:rPr>
                <w:rFonts w:eastAsia="Times New Roman" w:cs="Arial"/>
                <w:b/>
              </w:rPr>
              <w:t>5884</w:t>
            </w:r>
          </w:p>
        </w:tc>
        <w:tc>
          <w:tcPr>
            <w:tcW w:w="559" w:type="dxa"/>
          </w:tcPr>
          <w:p w14:paraId="157E2455" w14:textId="77777777" w:rsidR="00B93A94" w:rsidRPr="0047058F" w:rsidRDefault="00B93A94" w:rsidP="001340FD">
            <w:pPr>
              <w:pStyle w:val="TableText"/>
              <w:jc w:val="right"/>
              <w:rPr>
                <w:rFonts w:cs="Arial"/>
                <w:b/>
              </w:rPr>
            </w:pPr>
            <w:r w:rsidRPr="0047058F">
              <w:rPr>
                <w:rFonts w:eastAsia="Times New Roman" w:cs="Arial"/>
                <w:b/>
              </w:rPr>
              <w:t>77.4</w:t>
            </w:r>
          </w:p>
        </w:tc>
        <w:tc>
          <w:tcPr>
            <w:tcW w:w="559" w:type="dxa"/>
          </w:tcPr>
          <w:p w14:paraId="23449BE2" w14:textId="77777777" w:rsidR="00B93A94" w:rsidRPr="0047058F" w:rsidRDefault="00B93A94" w:rsidP="001340FD">
            <w:pPr>
              <w:pStyle w:val="TableText"/>
              <w:jc w:val="right"/>
              <w:rPr>
                <w:rFonts w:cs="Arial"/>
                <w:b/>
              </w:rPr>
            </w:pPr>
            <w:r w:rsidRPr="0047058F">
              <w:rPr>
                <w:rFonts w:eastAsia="Times New Roman" w:cs="Arial"/>
                <w:b/>
              </w:rPr>
              <w:t>1540</w:t>
            </w:r>
          </w:p>
        </w:tc>
        <w:tc>
          <w:tcPr>
            <w:tcW w:w="559" w:type="dxa"/>
          </w:tcPr>
          <w:p w14:paraId="1A1D0020" w14:textId="77777777" w:rsidR="00B93A94" w:rsidRPr="0047058F" w:rsidRDefault="00B93A94" w:rsidP="001340FD">
            <w:pPr>
              <w:pStyle w:val="TableText"/>
              <w:jc w:val="right"/>
              <w:rPr>
                <w:rFonts w:cs="Arial"/>
                <w:b/>
              </w:rPr>
            </w:pPr>
            <w:r w:rsidRPr="0047058F">
              <w:rPr>
                <w:rFonts w:eastAsia="Times New Roman" w:cs="Arial"/>
                <w:b/>
              </w:rPr>
              <w:t>20.3</w:t>
            </w:r>
          </w:p>
        </w:tc>
        <w:tc>
          <w:tcPr>
            <w:tcW w:w="559" w:type="dxa"/>
          </w:tcPr>
          <w:p w14:paraId="659A88FD" w14:textId="77777777" w:rsidR="00B93A94" w:rsidRPr="0047058F" w:rsidRDefault="00B93A94" w:rsidP="001340FD">
            <w:pPr>
              <w:pStyle w:val="TableText"/>
              <w:jc w:val="right"/>
              <w:rPr>
                <w:rFonts w:cs="Arial"/>
                <w:b/>
              </w:rPr>
            </w:pPr>
            <w:r w:rsidRPr="0047058F">
              <w:rPr>
                <w:rFonts w:eastAsia="Times New Roman" w:cs="Arial"/>
                <w:b/>
              </w:rPr>
              <w:t>179</w:t>
            </w:r>
          </w:p>
        </w:tc>
        <w:tc>
          <w:tcPr>
            <w:tcW w:w="559" w:type="dxa"/>
          </w:tcPr>
          <w:p w14:paraId="7486490B" w14:textId="77777777" w:rsidR="00B93A94" w:rsidRPr="0047058F" w:rsidRDefault="00B93A94" w:rsidP="001340FD">
            <w:pPr>
              <w:pStyle w:val="TableText"/>
              <w:jc w:val="right"/>
              <w:rPr>
                <w:rFonts w:cs="Arial"/>
                <w:b/>
              </w:rPr>
            </w:pPr>
            <w:r w:rsidRPr="0047058F">
              <w:rPr>
                <w:rFonts w:eastAsia="Times New Roman" w:cs="Arial"/>
                <w:b/>
              </w:rPr>
              <w:t>2.4</w:t>
            </w:r>
          </w:p>
        </w:tc>
      </w:tr>
    </w:tbl>
    <w:p w14:paraId="334561F3" w14:textId="77777777" w:rsidR="00B93A94" w:rsidRPr="0047058F" w:rsidRDefault="00B93A94" w:rsidP="00B93A94">
      <w:pPr>
        <w:pStyle w:val="TableNotes"/>
      </w:pPr>
      <w:r w:rsidRPr="0047058F">
        <w:t>Note: Unweighted data.</w:t>
      </w:r>
    </w:p>
    <w:p w14:paraId="07CB7582" w14:textId="77777777" w:rsidR="00B93A94" w:rsidRPr="0047058F" w:rsidRDefault="00B93A94" w:rsidP="00B93A94">
      <w:pPr>
        <w:pStyle w:val="FigureName"/>
      </w:pPr>
      <w:bookmarkStart w:id="300" w:name="_Ref387053334"/>
      <w:bookmarkStart w:id="301" w:name="_Toc529117574"/>
      <w:bookmarkStart w:id="302" w:name="_Toc532473647"/>
      <w:r w:rsidRPr="0047058F">
        <w:t>Figure 5.10</w:t>
      </w:r>
      <w:bookmarkEnd w:id="300"/>
      <w:r w:rsidRPr="0047058F">
        <w:tab/>
        <w:t xml:space="preserve">Proportion of </w:t>
      </w:r>
      <w:r w:rsidRPr="0047058F">
        <w:rPr>
          <w:u w:val="single"/>
        </w:rPr>
        <w:t>entire longitudinal cohort</w:t>
      </w:r>
      <w:r w:rsidRPr="0047058F">
        <w:t xml:space="preserve"> with no disorder, subsyndromal disorder and probable disorder on AUDIT in 2010 and 2015 based on self-reported measures</w:t>
      </w:r>
      <w:bookmarkEnd w:id="301"/>
      <w:bookmarkEnd w:id="302"/>
    </w:p>
    <w:p w14:paraId="2367A19E" w14:textId="77777777" w:rsidR="003427E0" w:rsidRPr="0047058F" w:rsidRDefault="00B93A94" w:rsidP="003427E0">
      <w:pPr>
        <w:spacing w:after="360"/>
      </w:pPr>
      <w:r w:rsidRPr="0047058F">
        <w:rPr>
          <w:noProof/>
          <w:lang w:eastAsia="en-AU"/>
        </w:rPr>
        <w:drawing>
          <wp:inline distT="0" distB="0" distL="0" distR="0" wp14:anchorId="03A5F776" wp14:editId="7DBD6C77">
            <wp:extent cx="4572000" cy="2743200"/>
            <wp:effectExtent l="0" t="0" r="0" b="0"/>
            <wp:docPr id="24" name="Chart 24" descr="Figure 5.10 Proportion of entire longitudinal cohort with no disorder, subsyndromal disorder and probable disorder on AUDIT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8BA1C2" w14:textId="77777777" w:rsidR="00B93A94" w:rsidRPr="0047058F" w:rsidRDefault="00B93A94" w:rsidP="00B93A94">
      <w:pPr>
        <w:pStyle w:val="TableName"/>
        <w:rPr>
          <w:rFonts w:cs="Calibri"/>
        </w:rPr>
      </w:pPr>
      <w:bookmarkStart w:id="303" w:name="_Ref384557565"/>
      <w:bookmarkStart w:id="304" w:name="_Toc529117523"/>
      <w:bookmarkStart w:id="305" w:name="_Toc532473593"/>
      <w:r w:rsidRPr="0047058F">
        <w:t>Table 5.11</w:t>
      </w:r>
      <w:bookmarkEnd w:id="303"/>
      <w:r w:rsidRPr="0047058F">
        <w:tab/>
        <w:t xml:space="preserve">Proportion of </w:t>
      </w:r>
      <w:r w:rsidRPr="0047058F">
        <w:rPr>
          <w:u w:val="single"/>
        </w:rPr>
        <w:t>Transitioned ADF in the longitudinal cohort</w:t>
      </w:r>
      <w:r w:rsidRPr="0047058F">
        <w:t xml:space="preserve"> with no disorder, subsyndromal disorder and probable disorder on AUDIT in 2010 and 2015 based on self-reported measures</w:t>
      </w:r>
      <w:bookmarkEnd w:id="304"/>
      <w:bookmarkEnd w:id="305"/>
    </w:p>
    <w:tbl>
      <w:tblPr>
        <w:tblStyle w:val="TWRPTable"/>
        <w:tblW w:w="5000" w:type="pct"/>
        <w:tblLayout w:type="fixed"/>
        <w:tblLook w:val="04A0" w:firstRow="1" w:lastRow="0" w:firstColumn="1" w:lastColumn="0" w:noHBand="0" w:noVBand="1"/>
        <w:tblDescription w:val="Table 5.11 Proportion of Transitioned ADF in the longitudinal cohort with no disorder, subsyndromal disorder and probable disorder on AUDIT in 2010 and 2015 based on self-reported measures"/>
      </w:tblPr>
      <w:tblGrid>
        <w:gridCol w:w="2808"/>
        <w:gridCol w:w="581"/>
        <w:gridCol w:w="582"/>
        <w:gridCol w:w="557"/>
        <w:gridCol w:w="557"/>
        <w:gridCol w:w="558"/>
        <w:gridCol w:w="557"/>
        <w:gridCol w:w="557"/>
        <w:gridCol w:w="558"/>
      </w:tblGrid>
      <w:tr w:rsidR="00B93A94" w:rsidRPr="0047058F" w14:paraId="3EA0AC3C"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71" w:type="dxa"/>
            <w:gridSpan w:val="3"/>
            <w:vMerge w:val="restart"/>
          </w:tcPr>
          <w:p w14:paraId="5DC963FF" w14:textId="77777777" w:rsidR="00B93A94" w:rsidRPr="0047058F" w:rsidRDefault="00B93A94" w:rsidP="001340FD">
            <w:pPr>
              <w:pStyle w:val="TableText"/>
            </w:pPr>
            <w:r w:rsidRPr="0047058F">
              <w:t>2010 ADF Mental Health Prevalence and Wellbeing Study</w:t>
            </w:r>
          </w:p>
        </w:tc>
        <w:tc>
          <w:tcPr>
            <w:tcW w:w="3344" w:type="dxa"/>
            <w:gridSpan w:val="6"/>
          </w:tcPr>
          <w:p w14:paraId="120E0348" w14:textId="77777777" w:rsidR="00B93A94" w:rsidRPr="0047058F" w:rsidRDefault="00B93A94" w:rsidP="001340FD">
            <w:pPr>
              <w:pStyle w:val="TableText"/>
              <w:jc w:val="center"/>
            </w:pPr>
            <w:r w:rsidRPr="0047058F">
              <w:t>2015 Transition and Wellbeing Research Programme</w:t>
            </w:r>
          </w:p>
        </w:tc>
      </w:tr>
      <w:tr w:rsidR="00B93A94" w:rsidRPr="0047058F" w14:paraId="031CDA84"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71" w:type="dxa"/>
            <w:gridSpan w:val="3"/>
            <w:vMerge/>
          </w:tcPr>
          <w:p w14:paraId="34FC53C9" w14:textId="77777777" w:rsidR="00B93A94" w:rsidRPr="0047058F" w:rsidRDefault="00B93A94" w:rsidP="001340FD">
            <w:pPr>
              <w:pStyle w:val="TableText"/>
            </w:pPr>
          </w:p>
        </w:tc>
        <w:tc>
          <w:tcPr>
            <w:tcW w:w="1114" w:type="dxa"/>
            <w:gridSpan w:val="2"/>
            <w:hideMark/>
          </w:tcPr>
          <w:p w14:paraId="4F2725A1" w14:textId="77777777" w:rsidR="00B93A94" w:rsidRPr="0047058F" w:rsidRDefault="00B93A94" w:rsidP="001340FD">
            <w:pPr>
              <w:pStyle w:val="TableText"/>
              <w:jc w:val="center"/>
            </w:pPr>
            <w:r w:rsidRPr="0047058F">
              <w:t>No disorder</w:t>
            </w:r>
          </w:p>
        </w:tc>
        <w:tc>
          <w:tcPr>
            <w:tcW w:w="1115" w:type="dxa"/>
            <w:gridSpan w:val="2"/>
          </w:tcPr>
          <w:p w14:paraId="2BDB62A3" w14:textId="77777777" w:rsidR="00B93A94" w:rsidRPr="0047058F" w:rsidRDefault="00B93A94" w:rsidP="001340FD">
            <w:pPr>
              <w:pStyle w:val="TableText"/>
              <w:jc w:val="center"/>
            </w:pPr>
            <w:r w:rsidRPr="0047058F">
              <w:t>Subsyndromal disorder</w:t>
            </w:r>
          </w:p>
        </w:tc>
        <w:tc>
          <w:tcPr>
            <w:tcW w:w="1115" w:type="dxa"/>
            <w:gridSpan w:val="2"/>
          </w:tcPr>
          <w:p w14:paraId="1A63D631" w14:textId="77777777" w:rsidR="00B93A94" w:rsidRPr="0047058F" w:rsidRDefault="00B93A94" w:rsidP="001340FD">
            <w:pPr>
              <w:pStyle w:val="TableText"/>
              <w:jc w:val="center"/>
            </w:pPr>
            <w:r w:rsidRPr="0047058F">
              <w:t>Probable disorder</w:t>
            </w:r>
          </w:p>
        </w:tc>
      </w:tr>
      <w:tr w:rsidR="00B93A94" w:rsidRPr="0047058F" w14:paraId="1089AF79"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04F79CB9" w14:textId="77777777" w:rsidR="00B93A94" w:rsidRPr="0047058F" w:rsidRDefault="00B93A94" w:rsidP="001340FD">
            <w:pPr>
              <w:pStyle w:val="TableText"/>
            </w:pPr>
            <w:r w:rsidRPr="0047058F">
              <w:rPr>
                <w:rFonts w:cs="Arial"/>
              </w:rPr>
              <w:t>AUDIT</w:t>
            </w:r>
          </w:p>
        </w:tc>
        <w:tc>
          <w:tcPr>
            <w:tcW w:w="581" w:type="dxa"/>
          </w:tcPr>
          <w:p w14:paraId="2A44237A" w14:textId="77777777" w:rsidR="00B93A94" w:rsidRPr="0047058F" w:rsidRDefault="00B93A94" w:rsidP="001340FD">
            <w:pPr>
              <w:pStyle w:val="TableText"/>
              <w:jc w:val="right"/>
              <w:rPr>
                <w:rFonts w:cs="Arial"/>
              </w:rPr>
            </w:pPr>
            <w:r w:rsidRPr="0047058F">
              <w:rPr>
                <w:rFonts w:cs="Arial"/>
              </w:rPr>
              <w:t>n</w:t>
            </w:r>
          </w:p>
        </w:tc>
        <w:tc>
          <w:tcPr>
            <w:tcW w:w="582" w:type="dxa"/>
          </w:tcPr>
          <w:p w14:paraId="1311C79F" w14:textId="77777777" w:rsidR="00B93A94" w:rsidRPr="0047058F" w:rsidRDefault="00B93A94" w:rsidP="001340FD">
            <w:pPr>
              <w:pStyle w:val="TableText"/>
              <w:jc w:val="right"/>
              <w:rPr>
                <w:rFonts w:cs="Arial"/>
              </w:rPr>
            </w:pPr>
            <w:r w:rsidRPr="0047058F">
              <w:rPr>
                <w:rFonts w:cs="Arial"/>
              </w:rPr>
              <w:t>%</w:t>
            </w:r>
          </w:p>
        </w:tc>
        <w:tc>
          <w:tcPr>
            <w:tcW w:w="557" w:type="dxa"/>
          </w:tcPr>
          <w:p w14:paraId="2C23CDDB" w14:textId="77777777" w:rsidR="00B93A94" w:rsidRPr="0047058F" w:rsidRDefault="00B93A94" w:rsidP="001340FD">
            <w:pPr>
              <w:pStyle w:val="TableText"/>
              <w:jc w:val="right"/>
              <w:rPr>
                <w:rFonts w:cs="Arial"/>
              </w:rPr>
            </w:pPr>
            <w:r w:rsidRPr="0047058F">
              <w:rPr>
                <w:rFonts w:cs="Arial"/>
              </w:rPr>
              <w:t>n</w:t>
            </w:r>
          </w:p>
        </w:tc>
        <w:tc>
          <w:tcPr>
            <w:tcW w:w="557" w:type="dxa"/>
          </w:tcPr>
          <w:p w14:paraId="749D1765" w14:textId="77777777" w:rsidR="00B93A94" w:rsidRPr="0047058F" w:rsidRDefault="00B93A94" w:rsidP="001340FD">
            <w:pPr>
              <w:pStyle w:val="TableText"/>
              <w:jc w:val="right"/>
              <w:rPr>
                <w:rFonts w:cs="Arial"/>
              </w:rPr>
            </w:pPr>
            <w:r w:rsidRPr="0047058F">
              <w:rPr>
                <w:rFonts w:cs="Arial"/>
              </w:rPr>
              <w:t>%</w:t>
            </w:r>
          </w:p>
        </w:tc>
        <w:tc>
          <w:tcPr>
            <w:tcW w:w="558" w:type="dxa"/>
          </w:tcPr>
          <w:p w14:paraId="4997752A" w14:textId="77777777" w:rsidR="00B93A94" w:rsidRPr="0047058F" w:rsidRDefault="00B93A94" w:rsidP="001340FD">
            <w:pPr>
              <w:pStyle w:val="TableText"/>
              <w:jc w:val="right"/>
              <w:rPr>
                <w:rFonts w:cs="Arial"/>
              </w:rPr>
            </w:pPr>
            <w:r w:rsidRPr="0047058F">
              <w:rPr>
                <w:rFonts w:cs="Arial"/>
              </w:rPr>
              <w:t>n</w:t>
            </w:r>
          </w:p>
        </w:tc>
        <w:tc>
          <w:tcPr>
            <w:tcW w:w="557" w:type="dxa"/>
          </w:tcPr>
          <w:p w14:paraId="5276AB0B" w14:textId="77777777" w:rsidR="00B93A94" w:rsidRPr="0047058F" w:rsidRDefault="00B93A94" w:rsidP="001340FD">
            <w:pPr>
              <w:pStyle w:val="TableText"/>
              <w:jc w:val="right"/>
              <w:rPr>
                <w:rFonts w:cs="Arial"/>
              </w:rPr>
            </w:pPr>
            <w:r w:rsidRPr="0047058F">
              <w:rPr>
                <w:rFonts w:cs="Arial"/>
              </w:rPr>
              <w:t>%</w:t>
            </w:r>
          </w:p>
        </w:tc>
        <w:tc>
          <w:tcPr>
            <w:tcW w:w="557" w:type="dxa"/>
          </w:tcPr>
          <w:p w14:paraId="2D8C9638" w14:textId="77777777" w:rsidR="00B93A94" w:rsidRPr="0047058F" w:rsidRDefault="00B93A94" w:rsidP="001340FD">
            <w:pPr>
              <w:pStyle w:val="TableText"/>
              <w:jc w:val="right"/>
              <w:rPr>
                <w:rFonts w:cs="Arial"/>
              </w:rPr>
            </w:pPr>
            <w:r w:rsidRPr="0047058F">
              <w:rPr>
                <w:rFonts w:cs="Arial"/>
              </w:rPr>
              <w:t>n</w:t>
            </w:r>
          </w:p>
        </w:tc>
        <w:tc>
          <w:tcPr>
            <w:tcW w:w="558" w:type="dxa"/>
          </w:tcPr>
          <w:p w14:paraId="056BB84A" w14:textId="77777777" w:rsidR="00B93A94" w:rsidRPr="0047058F" w:rsidRDefault="00B93A94" w:rsidP="001340FD">
            <w:pPr>
              <w:pStyle w:val="TableText"/>
              <w:jc w:val="right"/>
              <w:rPr>
                <w:rFonts w:cs="Arial"/>
              </w:rPr>
            </w:pPr>
            <w:r w:rsidRPr="0047058F">
              <w:rPr>
                <w:rFonts w:cs="Arial"/>
              </w:rPr>
              <w:t>%</w:t>
            </w:r>
          </w:p>
        </w:tc>
      </w:tr>
      <w:tr w:rsidR="00B93A94" w:rsidRPr="0047058F" w14:paraId="40EE0EA5"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0D1D7E77" w14:textId="77777777" w:rsidR="00B93A94" w:rsidRPr="0047058F" w:rsidRDefault="00B93A94" w:rsidP="001340FD">
            <w:pPr>
              <w:pStyle w:val="TableText"/>
              <w:rPr>
                <w:rFonts w:cs="Calibri"/>
                <w:szCs w:val="14"/>
              </w:rPr>
            </w:pPr>
            <w:r w:rsidRPr="0047058F">
              <w:rPr>
                <w:rFonts w:cs="Calibri"/>
                <w:szCs w:val="14"/>
              </w:rPr>
              <w:t>No disorder: Below both screening and epidemiological cut-offs</w:t>
            </w:r>
          </w:p>
        </w:tc>
        <w:tc>
          <w:tcPr>
            <w:tcW w:w="581" w:type="dxa"/>
          </w:tcPr>
          <w:p w14:paraId="3F8955F9" w14:textId="77777777" w:rsidR="00B93A94" w:rsidRPr="0047058F" w:rsidRDefault="00B93A94" w:rsidP="001340FD">
            <w:pPr>
              <w:pStyle w:val="TableText"/>
              <w:jc w:val="right"/>
            </w:pPr>
            <w:r w:rsidRPr="0047058F">
              <w:rPr>
                <w:rFonts w:eastAsia="Times New Roman" w:cs="Arial"/>
              </w:rPr>
              <w:t>1522</w:t>
            </w:r>
          </w:p>
        </w:tc>
        <w:tc>
          <w:tcPr>
            <w:tcW w:w="582" w:type="dxa"/>
          </w:tcPr>
          <w:p w14:paraId="12B41AE2" w14:textId="77777777" w:rsidR="00B93A94" w:rsidRPr="0047058F" w:rsidRDefault="00B93A94" w:rsidP="001340FD">
            <w:pPr>
              <w:pStyle w:val="TableText"/>
              <w:jc w:val="right"/>
              <w:rPr>
                <w:rFonts w:eastAsia="Times New Roman" w:cs="Arial"/>
              </w:rPr>
            </w:pPr>
            <w:r w:rsidRPr="0047058F">
              <w:rPr>
                <w:rFonts w:eastAsia="Times New Roman" w:cs="Arial"/>
              </w:rPr>
              <w:t>74.2</w:t>
            </w:r>
          </w:p>
        </w:tc>
        <w:tc>
          <w:tcPr>
            <w:tcW w:w="557" w:type="dxa"/>
          </w:tcPr>
          <w:p w14:paraId="22781962" w14:textId="77777777" w:rsidR="00B93A94" w:rsidRPr="0047058F" w:rsidRDefault="00B93A94" w:rsidP="001340FD">
            <w:pPr>
              <w:pStyle w:val="TableText"/>
              <w:jc w:val="right"/>
            </w:pPr>
            <w:r w:rsidRPr="0047058F">
              <w:rPr>
                <w:rFonts w:eastAsia="Times New Roman" w:cs="Arial"/>
              </w:rPr>
              <w:t>1259</w:t>
            </w:r>
          </w:p>
        </w:tc>
        <w:tc>
          <w:tcPr>
            <w:tcW w:w="557" w:type="dxa"/>
          </w:tcPr>
          <w:p w14:paraId="747290CD" w14:textId="77777777" w:rsidR="00B93A94" w:rsidRPr="0047058F" w:rsidRDefault="00B93A94" w:rsidP="001340FD">
            <w:pPr>
              <w:pStyle w:val="TableText"/>
              <w:jc w:val="right"/>
            </w:pPr>
            <w:r w:rsidRPr="0047058F">
              <w:rPr>
                <w:rFonts w:eastAsia="Times New Roman" w:cs="Arial"/>
              </w:rPr>
              <w:t>82.7</w:t>
            </w:r>
          </w:p>
        </w:tc>
        <w:tc>
          <w:tcPr>
            <w:tcW w:w="558" w:type="dxa"/>
          </w:tcPr>
          <w:p w14:paraId="6A29FE42" w14:textId="77777777" w:rsidR="00B93A94" w:rsidRPr="0047058F" w:rsidRDefault="00B93A94" w:rsidP="001340FD">
            <w:pPr>
              <w:pStyle w:val="TableText"/>
              <w:jc w:val="right"/>
            </w:pPr>
            <w:r w:rsidRPr="0047058F">
              <w:rPr>
                <w:rFonts w:eastAsia="Times New Roman" w:cs="Arial"/>
              </w:rPr>
              <w:t>231</w:t>
            </w:r>
          </w:p>
        </w:tc>
        <w:tc>
          <w:tcPr>
            <w:tcW w:w="557" w:type="dxa"/>
          </w:tcPr>
          <w:p w14:paraId="680C187E" w14:textId="77777777" w:rsidR="00B93A94" w:rsidRPr="0047058F" w:rsidRDefault="00B93A94" w:rsidP="001340FD">
            <w:pPr>
              <w:pStyle w:val="TableText"/>
              <w:jc w:val="right"/>
            </w:pPr>
            <w:r w:rsidRPr="0047058F">
              <w:rPr>
                <w:rFonts w:eastAsia="Times New Roman" w:cs="Arial"/>
              </w:rPr>
              <w:t>15.2</w:t>
            </w:r>
          </w:p>
        </w:tc>
        <w:tc>
          <w:tcPr>
            <w:tcW w:w="557" w:type="dxa"/>
          </w:tcPr>
          <w:p w14:paraId="331496E8" w14:textId="77777777" w:rsidR="00B93A94" w:rsidRPr="0047058F" w:rsidRDefault="00B93A94" w:rsidP="001340FD">
            <w:pPr>
              <w:pStyle w:val="TableText"/>
              <w:jc w:val="right"/>
            </w:pPr>
            <w:r w:rsidRPr="0047058F">
              <w:rPr>
                <w:rFonts w:eastAsia="Times New Roman" w:cs="Arial"/>
              </w:rPr>
              <w:t>32</w:t>
            </w:r>
          </w:p>
        </w:tc>
        <w:tc>
          <w:tcPr>
            <w:tcW w:w="558" w:type="dxa"/>
          </w:tcPr>
          <w:p w14:paraId="37EE02CC" w14:textId="77777777" w:rsidR="00B93A94" w:rsidRPr="0047058F" w:rsidRDefault="00B93A94" w:rsidP="001340FD">
            <w:pPr>
              <w:pStyle w:val="TableText"/>
              <w:jc w:val="right"/>
            </w:pPr>
            <w:r w:rsidRPr="0047058F">
              <w:rPr>
                <w:rFonts w:eastAsia="Times New Roman" w:cs="Arial"/>
              </w:rPr>
              <w:t>2.1</w:t>
            </w:r>
          </w:p>
        </w:tc>
      </w:tr>
      <w:tr w:rsidR="00B93A94" w:rsidRPr="0047058F" w14:paraId="2A3D6399" w14:textId="77777777" w:rsidTr="001340FD">
        <w:trPr>
          <w:cantSplit/>
        </w:trPr>
        <w:tc>
          <w:tcPr>
            <w:tcW w:w="2808" w:type="dxa"/>
          </w:tcPr>
          <w:p w14:paraId="07B4B52C" w14:textId="77777777" w:rsidR="00B93A94" w:rsidRPr="0047058F" w:rsidRDefault="00B93A94" w:rsidP="001340FD">
            <w:pPr>
              <w:pStyle w:val="TableText"/>
              <w:rPr>
                <w:rFonts w:cs="Calibri"/>
                <w:szCs w:val="14"/>
              </w:rPr>
            </w:pPr>
            <w:r w:rsidRPr="0047058F">
              <w:rPr>
                <w:rFonts w:cs="Calibri"/>
                <w:szCs w:val="14"/>
              </w:rPr>
              <w:t>Subsyndromal disorder: Above screening cut-off but below epidemiological cut-off</w:t>
            </w:r>
          </w:p>
        </w:tc>
        <w:tc>
          <w:tcPr>
            <w:tcW w:w="581" w:type="dxa"/>
          </w:tcPr>
          <w:p w14:paraId="3A971BAC" w14:textId="77777777" w:rsidR="00B93A94" w:rsidRPr="0047058F" w:rsidRDefault="00B93A94" w:rsidP="001340FD">
            <w:pPr>
              <w:pStyle w:val="TableText"/>
              <w:jc w:val="right"/>
            </w:pPr>
            <w:r w:rsidRPr="0047058F">
              <w:rPr>
                <w:rFonts w:eastAsia="Times New Roman" w:cs="Arial"/>
              </w:rPr>
              <w:t>487</w:t>
            </w:r>
          </w:p>
        </w:tc>
        <w:tc>
          <w:tcPr>
            <w:tcW w:w="582" w:type="dxa"/>
          </w:tcPr>
          <w:p w14:paraId="520D6249" w14:textId="77777777" w:rsidR="00B93A94" w:rsidRPr="0047058F" w:rsidRDefault="00B93A94" w:rsidP="001340FD">
            <w:pPr>
              <w:pStyle w:val="TableText"/>
              <w:jc w:val="right"/>
              <w:rPr>
                <w:rFonts w:eastAsia="Times New Roman" w:cs="Arial"/>
              </w:rPr>
            </w:pPr>
            <w:r w:rsidRPr="0047058F">
              <w:rPr>
                <w:rFonts w:eastAsia="Times New Roman" w:cs="Arial"/>
              </w:rPr>
              <w:t>23.8</w:t>
            </w:r>
          </w:p>
        </w:tc>
        <w:tc>
          <w:tcPr>
            <w:tcW w:w="557" w:type="dxa"/>
          </w:tcPr>
          <w:p w14:paraId="66806B53" w14:textId="77777777" w:rsidR="00B93A94" w:rsidRPr="0047058F" w:rsidRDefault="00B93A94" w:rsidP="001340FD">
            <w:pPr>
              <w:pStyle w:val="TableText"/>
              <w:jc w:val="right"/>
            </w:pPr>
            <w:r w:rsidRPr="0047058F">
              <w:rPr>
                <w:rFonts w:eastAsia="Times New Roman" w:cs="Arial"/>
              </w:rPr>
              <w:t>157</w:t>
            </w:r>
          </w:p>
        </w:tc>
        <w:tc>
          <w:tcPr>
            <w:tcW w:w="557" w:type="dxa"/>
          </w:tcPr>
          <w:p w14:paraId="67A24310" w14:textId="77777777" w:rsidR="00B93A94" w:rsidRPr="0047058F" w:rsidRDefault="00B93A94" w:rsidP="001340FD">
            <w:pPr>
              <w:pStyle w:val="TableText"/>
              <w:jc w:val="right"/>
            </w:pPr>
            <w:r w:rsidRPr="0047058F">
              <w:rPr>
                <w:rFonts w:eastAsia="Times New Roman" w:cs="Arial"/>
              </w:rPr>
              <w:t>32.2</w:t>
            </w:r>
          </w:p>
        </w:tc>
        <w:tc>
          <w:tcPr>
            <w:tcW w:w="558" w:type="dxa"/>
          </w:tcPr>
          <w:p w14:paraId="56F3BCF0" w14:textId="77777777" w:rsidR="00B93A94" w:rsidRPr="0047058F" w:rsidRDefault="00B93A94" w:rsidP="001340FD">
            <w:pPr>
              <w:pStyle w:val="TableText"/>
              <w:jc w:val="right"/>
            </w:pPr>
            <w:r w:rsidRPr="0047058F">
              <w:rPr>
                <w:rFonts w:eastAsia="Times New Roman" w:cs="Arial"/>
              </w:rPr>
              <w:t>272</w:t>
            </w:r>
          </w:p>
        </w:tc>
        <w:tc>
          <w:tcPr>
            <w:tcW w:w="557" w:type="dxa"/>
          </w:tcPr>
          <w:p w14:paraId="5FA43441" w14:textId="77777777" w:rsidR="00B93A94" w:rsidRPr="0047058F" w:rsidRDefault="00B93A94" w:rsidP="001340FD">
            <w:pPr>
              <w:pStyle w:val="TableText"/>
              <w:jc w:val="right"/>
            </w:pPr>
            <w:r w:rsidRPr="0047058F">
              <w:rPr>
                <w:rFonts w:eastAsia="Times New Roman" w:cs="Arial"/>
              </w:rPr>
              <w:t>55.9</w:t>
            </w:r>
          </w:p>
        </w:tc>
        <w:tc>
          <w:tcPr>
            <w:tcW w:w="557" w:type="dxa"/>
          </w:tcPr>
          <w:p w14:paraId="39757F20" w14:textId="77777777" w:rsidR="00B93A94" w:rsidRPr="0047058F" w:rsidRDefault="00B93A94" w:rsidP="001340FD">
            <w:pPr>
              <w:pStyle w:val="TableText"/>
              <w:jc w:val="right"/>
            </w:pPr>
            <w:r w:rsidRPr="0047058F">
              <w:rPr>
                <w:rFonts w:eastAsia="Times New Roman" w:cs="Arial"/>
              </w:rPr>
              <w:t>58</w:t>
            </w:r>
          </w:p>
        </w:tc>
        <w:tc>
          <w:tcPr>
            <w:tcW w:w="558" w:type="dxa"/>
          </w:tcPr>
          <w:p w14:paraId="6B9ABC79" w14:textId="77777777" w:rsidR="00B93A94" w:rsidRPr="0047058F" w:rsidRDefault="00B93A94" w:rsidP="001340FD">
            <w:pPr>
              <w:pStyle w:val="TableText"/>
              <w:jc w:val="right"/>
            </w:pPr>
            <w:r w:rsidRPr="0047058F">
              <w:rPr>
                <w:rFonts w:eastAsia="Times New Roman" w:cs="Arial"/>
              </w:rPr>
              <w:t>11.9</w:t>
            </w:r>
          </w:p>
        </w:tc>
      </w:tr>
      <w:tr w:rsidR="00B93A94" w:rsidRPr="0047058F" w14:paraId="672DF7BC"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10229EF4" w14:textId="77777777" w:rsidR="00B93A94" w:rsidRPr="0047058F" w:rsidRDefault="00B93A94" w:rsidP="001340FD">
            <w:pPr>
              <w:pStyle w:val="TableText"/>
              <w:rPr>
                <w:rFonts w:cs="Calibri"/>
                <w:szCs w:val="14"/>
              </w:rPr>
            </w:pPr>
            <w:r w:rsidRPr="0047058F">
              <w:rPr>
                <w:rFonts w:cs="Calibri"/>
                <w:szCs w:val="14"/>
              </w:rPr>
              <w:t>Probable disorder: Above both screening and epidemiological cut-offs</w:t>
            </w:r>
          </w:p>
        </w:tc>
        <w:tc>
          <w:tcPr>
            <w:tcW w:w="581" w:type="dxa"/>
          </w:tcPr>
          <w:p w14:paraId="1B38BD3A" w14:textId="77777777" w:rsidR="00B93A94" w:rsidRPr="0047058F" w:rsidRDefault="00B93A94" w:rsidP="001340FD">
            <w:pPr>
              <w:pStyle w:val="TableText"/>
              <w:jc w:val="right"/>
            </w:pPr>
            <w:r w:rsidRPr="0047058F">
              <w:rPr>
                <w:rFonts w:eastAsia="Times New Roman" w:cs="Arial"/>
              </w:rPr>
              <w:t>41</w:t>
            </w:r>
          </w:p>
        </w:tc>
        <w:tc>
          <w:tcPr>
            <w:tcW w:w="582" w:type="dxa"/>
          </w:tcPr>
          <w:p w14:paraId="6AC01197" w14:textId="4F7935CB" w:rsidR="00B93A94" w:rsidRPr="0047058F" w:rsidRDefault="00B93A94" w:rsidP="001340FD">
            <w:pPr>
              <w:pStyle w:val="TableText"/>
              <w:jc w:val="right"/>
              <w:rPr>
                <w:rFonts w:eastAsia="Times New Roman" w:cs="Arial"/>
              </w:rPr>
            </w:pPr>
            <w:r w:rsidRPr="0047058F">
              <w:rPr>
                <w:rFonts w:eastAsia="Times New Roman" w:cs="Arial"/>
              </w:rPr>
              <w:t>2</w:t>
            </w:r>
            <w:r w:rsidR="00FF13EA">
              <w:rPr>
                <w:rFonts w:eastAsia="Times New Roman" w:cs="Arial"/>
              </w:rPr>
              <w:t>.0</w:t>
            </w:r>
          </w:p>
        </w:tc>
        <w:tc>
          <w:tcPr>
            <w:tcW w:w="557" w:type="dxa"/>
          </w:tcPr>
          <w:p w14:paraId="656FBE8C" w14:textId="77777777" w:rsidR="00B93A94" w:rsidRPr="0047058F" w:rsidRDefault="00B93A94" w:rsidP="001340FD">
            <w:pPr>
              <w:pStyle w:val="TableText"/>
              <w:jc w:val="right"/>
            </w:pPr>
            <w:r w:rsidRPr="0047058F">
              <w:rPr>
                <w:rFonts w:cs="Calibri"/>
                <w:szCs w:val="14"/>
              </w:rPr>
              <w:t>–</w:t>
            </w:r>
            <w:r w:rsidRPr="0047058F">
              <w:rPr>
                <w:rFonts w:cs="Calibri"/>
                <w:szCs w:val="14"/>
                <w:vertAlign w:val="superscript"/>
              </w:rPr>
              <w:t>#</w:t>
            </w:r>
          </w:p>
        </w:tc>
        <w:tc>
          <w:tcPr>
            <w:tcW w:w="557" w:type="dxa"/>
          </w:tcPr>
          <w:p w14:paraId="0AEDE1E5" w14:textId="77777777" w:rsidR="00B93A94" w:rsidRPr="0047058F" w:rsidRDefault="00B93A94" w:rsidP="001340FD">
            <w:pPr>
              <w:pStyle w:val="TableText"/>
              <w:jc w:val="right"/>
            </w:pPr>
            <w:r w:rsidRPr="0047058F">
              <w:rPr>
                <w:rFonts w:cs="Calibri"/>
                <w:szCs w:val="14"/>
              </w:rPr>
              <w:t>–</w:t>
            </w:r>
          </w:p>
        </w:tc>
        <w:tc>
          <w:tcPr>
            <w:tcW w:w="558" w:type="dxa"/>
          </w:tcPr>
          <w:p w14:paraId="62FFCA48" w14:textId="77777777" w:rsidR="00B93A94" w:rsidRPr="0047058F" w:rsidRDefault="00B93A94" w:rsidP="001340FD">
            <w:pPr>
              <w:pStyle w:val="TableText"/>
              <w:jc w:val="right"/>
            </w:pPr>
            <w:r w:rsidRPr="0047058F">
              <w:rPr>
                <w:rFonts w:eastAsia="Times New Roman" w:cs="Arial"/>
              </w:rPr>
              <w:t>18</w:t>
            </w:r>
          </w:p>
        </w:tc>
        <w:tc>
          <w:tcPr>
            <w:tcW w:w="557" w:type="dxa"/>
          </w:tcPr>
          <w:p w14:paraId="0A001FED" w14:textId="77777777" w:rsidR="00B93A94" w:rsidRPr="0047058F" w:rsidRDefault="00B93A94" w:rsidP="001340FD">
            <w:pPr>
              <w:pStyle w:val="TableText"/>
              <w:jc w:val="right"/>
            </w:pPr>
            <w:r w:rsidRPr="0047058F">
              <w:rPr>
                <w:rFonts w:eastAsia="Times New Roman" w:cs="Arial"/>
              </w:rPr>
              <w:t>43.9</w:t>
            </w:r>
          </w:p>
        </w:tc>
        <w:tc>
          <w:tcPr>
            <w:tcW w:w="557" w:type="dxa"/>
          </w:tcPr>
          <w:p w14:paraId="41D56C90" w14:textId="77777777" w:rsidR="00B93A94" w:rsidRPr="0047058F" w:rsidRDefault="00B93A94" w:rsidP="001340FD">
            <w:pPr>
              <w:pStyle w:val="TableText"/>
              <w:jc w:val="right"/>
            </w:pPr>
            <w:r w:rsidRPr="0047058F">
              <w:rPr>
                <w:rFonts w:eastAsia="Times New Roman" w:cs="Arial"/>
              </w:rPr>
              <w:t>20</w:t>
            </w:r>
          </w:p>
        </w:tc>
        <w:tc>
          <w:tcPr>
            <w:tcW w:w="558" w:type="dxa"/>
          </w:tcPr>
          <w:p w14:paraId="33B2A342" w14:textId="77777777" w:rsidR="00B93A94" w:rsidRPr="0047058F" w:rsidRDefault="00B93A94" w:rsidP="001340FD">
            <w:pPr>
              <w:pStyle w:val="TableText"/>
              <w:jc w:val="right"/>
            </w:pPr>
            <w:r w:rsidRPr="0047058F">
              <w:rPr>
                <w:rFonts w:eastAsia="Times New Roman" w:cs="Arial"/>
              </w:rPr>
              <w:t>48.8</w:t>
            </w:r>
          </w:p>
        </w:tc>
      </w:tr>
      <w:tr w:rsidR="00B93A94" w:rsidRPr="0047058F" w14:paraId="106A7E2C" w14:textId="77777777" w:rsidTr="001340FD">
        <w:trPr>
          <w:cantSplit/>
        </w:trPr>
        <w:tc>
          <w:tcPr>
            <w:tcW w:w="2808" w:type="dxa"/>
          </w:tcPr>
          <w:p w14:paraId="6985E28D" w14:textId="77777777" w:rsidR="00B93A94" w:rsidRPr="0047058F" w:rsidRDefault="00B93A94" w:rsidP="001340FD">
            <w:pPr>
              <w:pStyle w:val="TableText"/>
              <w:rPr>
                <w:rFonts w:cs="Arial"/>
                <w:b/>
              </w:rPr>
            </w:pPr>
            <w:r w:rsidRPr="0047058F">
              <w:rPr>
                <w:rFonts w:cs="Arial"/>
                <w:b/>
              </w:rPr>
              <w:t>Total</w:t>
            </w:r>
          </w:p>
        </w:tc>
        <w:tc>
          <w:tcPr>
            <w:tcW w:w="581" w:type="dxa"/>
          </w:tcPr>
          <w:p w14:paraId="505133B5" w14:textId="77777777" w:rsidR="00B93A94" w:rsidRPr="0047058F" w:rsidRDefault="00B93A94" w:rsidP="001340FD">
            <w:pPr>
              <w:pStyle w:val="TableText"/>
              <w:jc w:val="right"/>
              <w:rPr>
                <w:rFonts w:cs="Arial"/>
                <w:b/>
              </w:rPr>
            </w:pPr>
            <w:r w:rsidRPr="0047058F">
              <w:rPr>
                <w:rFonts w:cs="Arial"/>
                <w:b/>
              </w:rPr>
              <w:t>2050</w:t>
            </w:r>
          </w:p>
        </w:tc>
        <w:tc>
          <w:tcPr>
            <w:tcW w:w="582" w:type="dxa"/>
          </w:tcPr>
          <w:p w14:paraId="56398397" w14:textId="77777777" w:rsidR="00B93A94" w:rsidRPr="0047058F" w:rsidRDefault="00B93A94" w:rsidP="001340FD">
            <w:pPr>
              <w:pStyle w:val="TableText"/>
              <w:jc w:val="right"/>
              <w:rPr>
                <w:rFonts w:eastAsia="Times New Roman" w:cs="Arial"/>
                <w:b/>
              </w:rPr>
            </w:pPr>
            <w:r w:rsidRPr="0047058F">
              <w:rPr>
                <w:rFonts w:eastAsia="Times New Roman" w:cs="Arial"/>
                <w:b/>
              </w:rPr>
              <w:t>100.0</w:t>
            </w:r>
          </w:p>
        </w:tc>
        <w:tc>
          <w:tcPr>
            <w:tcW w:w="557" w:type="dxa"/>
          </w:tcPr>
          <w:p w14:paraId="777A13B7" w14:textId="77777777" w:rsidR="00B93A94" w:rsidRPr="0047058F" w:rsidRDefault="00B93A94" w:rsidP="001340FD">
            <w:pPr>
              <w:pStyle w:val="TableText"/>
              <w:jc w:val="right"/>
              <w:rPr>
                <w:rFonts w:cs="Arial"/>
                <w:b/>
              </w:rPr>
            </w:pPr>
            <w:r w:rsidRPr="0047058F">
              <w:rPr>
                <w:rFonts w:eastAsia="Times New Roman" w:cs="Arial"/>
                <w:b/>
              </w:rPr>
              <w:t>1419</w:t>
            </w:r>
          </w:p>
        </w:tc>
        <w:tc>
          <w:tcPr>
            <w:tcW w:w="557" w:type="dxa"/>
          </w:tcPr>
          <w:p w14:paraId="215347D9" w14:textId="77777777" w:rsidR="00B93A94" w:rsidRPr="0047058F" w:rsidRDefault="00B93A94" w:rsidP="001340FD">
            <w:pPr>
              <w:pStyle w:val="TableText"/>
              <w:jc w:val="right"/>
              <w:rPr>
                <w:rFonts w:cs="Arial"/>
                <w:b/>
              </w:rPr>
            </w:pPr>
            <w:r w:rsidRPr="0047058F">
              <w:rPr>
                <w:rFonts w:eastAsia="Times New Roman" w:cs="Arial"/>
                <w:b/>
              </w:rPr>
              <w:t>69.2</w:t>
            </w:r>
          </w:p>
        </w:tc>
        <w:tc>
          <w:tcPr>
            <w:tcW w:w="558" w:type="dxa"/>
          </w:tcPr>
          <w:p w14:paraId="12F806C2" w14:textId="77777777" w:rsidR="00B93A94" w:rsidRPr="0047058F" w:rsidRDefault="00B93A94" w:rsidP="001340FD">
            <w:pPr>
              <w:pStyle w:val="TableText"/>
              <w:jc w:val="right"/>
              <w:rPr>
                <w:rFonts w:cs="Arial"/>
                <w:b/>
              </w:rPr>
            </w:pPr>
            <w:r w:rsidRPr="0047058F">
              <w:rPr>
                <w:rFonts w:eastAsia="Times New Roman" w:cs="Arial"/>
                <w:b/>
              </w:rPr>
              <w:t>521</w:t>
            </w:r>
          </w:p>
        </w:tc>
        <w:tc>
          <w:tcPr>
            <w:tcW w:w="557" w:type="dxa"/>
          </w:tcPr>
          <w:p w14:paraId="5027F96C" w14:textId="77777777" w:rsidR="00B93A94" w:rsidRPr="0047058F" w:rsidRDefault="00B93A94" w:rsidP="001340FD">
            <w:pPr>
              <w:pStyle w:val="TableText"/>
              <w:jc w:val="right"/>
              <w:rPr>
                <w:rFonts w:cs="Arial"/>
                <w:b/>
              </w:rPr>
            </w:pPr>
            <w:r w:rsidRPr="0047058F">
              <w:rPr>
                <w:rFonts w:eastAsia="Times New Roman" w:cs="Arial"/>
                <w:b/>
              </w:rPr>
              <w:t>25.4</w:t>
            </w:r>
          </w:p>
        </w:tc>
        <w:tc>
          <w:tcPr>
            <w:tcW w:w="557" w:type="dxa"/>
          </w:tcPr>
          <w:p w14:paraId="28987FE0" w14:textId="77777777" w:rsidR="00B93A94" w:rsidRPr="0047058F" w:rsidRDefault="00B93A94" w:rsidP="001340FD">
            <w:pPr>
              <w:pStyle w:val="TableText"/>
              <w:jc w:val="right"/>
              <w:rPr>
                <w:rFonts w:cs="Arial"/>
                <w:b/>
              </w:rPr>
            </w:pPr>
            <w:r w:rsidRPr="0047058F">
              <w:rPr>
                <w:rFonts w:eastAsia="Times New Roman" w:cs="Arial"/>
                <w:b/>
              </w:rPr>
              <w:t>110</w:t>
            </w:r>
          </w:p>
        </w:tc>
        <w:tc>
          <w:tcPr>
            <w:tcW w:w="558" w:type="dxa"/>
          </w:tcPr>
          <w:p w14:paraId="7D6E6D78" w14:textId="77777777" w:rsidR="00B93A94" w:rsidRPr="0047058F" w:rsidRDefault="00B93A94" w:rsidP="001340FD">
            <w:pPr>
              <w:pStyle w:val="TableText"/>
              <w:jc w:val="right"/>
              <w:rPr>
                <w:rFonts w:cs="Arial"/>
                <w:b/>
              </w:rPr>
            </w:pPr>
            <w:r w:rsidRPr="0047058F">
              <w:rPr>
                <w:rFonts w:eastAsia="Times New Roman" w:cs="Arial"/>
                <w:b/>
              </w:rPr>
              <w:t>5.4</w:t>
            </w:r>
          </w:p>
        </w:tc>
      </w:tr>
    </w:tbl>
    <w:p w14:paraId="60770EE9" w14:textId="77777777" w:rsidR="00B93A94" w:rsidRPr="0047058F" w:rsidRDefault="00B93A94" w:rsidP="00B93A94">
      <w:pPr>
        <w:pStyle w:val="TableNotes"/>
      </w:pPr>
      <w:r w:rsidRPr="0047058F">
        <w:t># Cell size too small to be reported.</w:t>
      </w:r>
    </w:p>
    <w:p w14:paraId="5283F1EF" w14:textId="77777777" w:rsidR="00B93A94" w:rsidRPr="0047058F" w:rsidRDefault="00B93A94" w:rsidP="00B93A94">
      <w:pPr>
        <w:pStyle w:val="TableNotes"/>
      </w:pPr>
      <w:r w:rsidRPr="0047058F">
        <w:t>Note: Unweighted data.</w:t>
      </w:r>
    </w:p>
    <w:p w14:paraId="2F49634A" w14:textId="41F688AC" w:rsidR="00140BA1" w:rsidRPr="0047058F" w:rsidRDefault="00140BA1" w:rsidP="00140BA1">
      <w:pPr>
        <w:pStyle w:val="FigureName"/>
      </w:pPr>
      <w:bookmarkStart w:id="306" w:name="_Ref387053346"/>
      <w:bookmarkStart w:id="307" w:name="_Toc529117575"/>
      <w:bookmarkStart w:id="308" w:name="_Toc532473648"/>
      <w:r w:rsidRPr="0047058F">
        <w:t>Figure 5.11</w:t>
      </w:r>
      <w:bookmarkEnd w:id="306"/>
      <w:r w:rsidRPr="0047058F">
        <w:tab/>
        <w:t xml:space="preserve">Proportion of </w:t>
      </w:r>
      <w:r w:rsidRPr="0047058F">
        <w:rPr>
          <w:u w:val="single"/>
        </w:rPr>
        <w:t>Transitioned ADF in the longitudinal cohort</w:t>
      </w:r>
      <w:r w:rsidRPr="0047058F">
        <w:t xml:space="preserve"> with no disorder, subsyndromal disorder and probable disorder on AUDIT in 2010 and 2015 based on self-reported measures</w:t>
      </w:r>
      <w:bookmarkEnd w:id="307"/>
      <w:bookmarkEnd w:id="308"/>
    </w:p>
    <w:p w14:paraId="2D72E64D" w14:textId="77777777" w:rsidR="00140BA1" w:rsidRPr="0047058F" w:rsidRDefault="00140BA1" w:rsidP="00140BA1">
      <w:pPr>
        <w:spacing w:after="360"/>
      </w:pPr>
      <w:r w:rsidRPr="0047058F">
        <w:rPr>
          <w:noProof/>
          <w:lang w:eastAsia="en-AU"/>
        </w:rPr>
        <w:drawing>
          <wp:inline distT="0" distB="0" distL="0" distR="0" wp14:anchorId="2BF9D856" wp14:editId="08F073DD">
            <wp:extent cx="4572000" cy="2743200"/>
            <wp:effectExtent l="0" t="0" r="0" b="0"/>
            <wp:docPr id="471" name="Chart 471" descr="Figure 5.11 Proportion of Transitioned ADF in the longitudinal cohort with no disorder, subsyndromal disorder and probable disorder on AUDIT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F36F7C" w14:textId="77777777" w:rsidR="00B93A94" w:rsidRPr="0047058F" w:rsidRDefault="00B93A94" w:rsidP="00B93A94">
      <w:pPr>
        <w:pStyle w:val="TableName"/>
      </w:pPr>
      <w:bookmarkStart w:id="309" w:name="_Ref384557566"/>
      <w:bookmarkStart w:id="310" w:name="_Toc529117524"/>
      <w:bookmarkStart w:id="311" w:name="_Toc532473594"/>
      <w:r w:rsidRPr="0047058F">
        <w:t>Table 5.12</w:t>
      </w:r>
      <w:bookmarkEnd w:id="309"/>
      <w:r w:rsidRPr="0047058F">
        <w:tab/>
        <w:t xml:space="preserve">Proportion of </w:t>
      </w:r>
      <w:r w:rsidRPr="0047058F">
        <w:rPr>
          <w:u w:val="single"/>
        </w:rPr>
        <w:t>2015 Regular ADF in the longitudinal cohort</w:t>
      </w:r>
      <w:r w:rsidRPr="0047058F">
        <w:t xml:space="preserve"> with no disorder, subsyndromal disorder and probable disorder on AUDIT in 2010 and 2015 based on self-reported measures</w:t>
      </w:r>
      <w:bookmarkEnd w:id="310"/>
      <w:bookmarkEnd w:id="311"/>
    </w:p>
    <w:tbl>
      <w:tblPr>
        <w:tblStyle w:val="TWRPTable"/>
        <w:tblW w:w="5000" w:type="pct"/>
        <w:tblLayout w:type="fixed"/>
        <w:tblLook w:val="04A0" w:firstRow="1" w:lastRow="0" w:firstColumn="1" w:lastColumn="0" w:noHBand="0" w:noVBand="1"/>
        <w:tblDescription w:val="Table 5.12 Proportion of 2015 Regular ADF in the longitudinal cohort with no disorder, subsyndromal disorder and probable disorder on AUDIT in 2010 and 2015 based on self-reported measures"/>
      </w:tblPr>
      <w:tblGrid>
        <w:gridCol w:w="2808"/>
        <w:gridCol w:w="591"/>
        <w:gridCol w:w="591"/>
        <w:gridCol w:w="554"/>
        <w:gridCol w:w="554"/>
        <w:gridCol w:w="554"/>
        <w:gridCol w:w="554"/>
        <w:gridCol w:w="554"/>
        <w:gridCol w:w="555"/>
      </w:tblGrid>
      <w:tr w:rsidR="00B93A94" w:rsidRPr="0047058F" w14:paraId="2B030EB4"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90" w:type="dxa"/>
            <w:gridSpan w:val="3"/>
            <w:vMerge w:val="restart"/>
          </w:tcPr>
          <w:p w14:paraId="5308E46D" w14:textId="77777777" w:rsidR="00B93A94" w:rsidRPr="0047058F" w:rsidRDefault="00B93A94" w:rsidP="001340FD">
            <w:pPr>
              <w:pStyle w:val="TableText"/>
            </w:pPr>
            <w:r w:rsidRPr="0047058F">
              <w:t>2010 ADF Mental Health Prevalence and Wellbeing Study</w:t>
            </w:r>
          </w:p>
        </w:tc>
        <w:tc>
          <w:tcPr>
            <w:tcW w:w="3325" w:type="dxa"/>
            <w:gridSpan w:val="6"/>
          </w:tcPr>
          <w:p w14:paraId="17301785" w14:textId="77777777" w:rsidR="00B93A94" w:rsidRPr="0047058F" w:rsidRDefault="00B93A94" w:rsidP="001340FD">
            <w:pPr>
              <w:pStyle w:val="TableText"/>
              <w:jc w:val="center"/>
            </w:pPr>
            <w:r w:rsidRPr="0047058F">
              <w:t>2015 Transition and Wellbeing Research Programme</w:t>
            </w:r>
          </w:p>
        </w:tc>
      </w:tr>
      <w:tr w:rsidR="00B93A94" w:rsidRPr="0047058F" w14:paraId="553787BA"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90" w:type="dxa"/>
            <w:gridSpan w:val="3"/>
            <w:vMerge/>
          </w:tcPr>
          <w:p w14:paraId="2F57CA83" w14:textId="77777777" w:rsidR="00B93A94" w:rsidRPr="0047058F" w:rsidRDefault="00B93A94" w:rsidP="001340FD">
            <w:pPr>
              <w:pStyle w:val="TableText"/>
            </w:pPr>
          </w:p>
        </w:tc>
        <w:tc>
          <w:tcPr>
            <w:tcW w:w="1108" w:type="dxa"/>
            <w:gridSpan w:val="2"/>
            <w:hideMark/>
          </w:tcPr>
          <w:p w14:paraId="5600C321" w14:textId="77777777" w:rsidR="00B93A94" w:rsidRPr="0047058F" w:rsidRDefault="00B93A94" w:rsidP="001340FD">
            <w:pPr>
              <w:pStyle w:val="TableText"/>
              <w:jc w:val="center"/>
            </w:pPr>
            <w:r w:rsidRPr="0047058F">
              <w:t>No disorder</w:t>
            </w:r>
          </w:p>
        </w:tc>
        <w:tc>
          <w:tcPr>
            <w:tcW w:w="1108" w:type="dxa"/>
            <w:gridSpan w:val="2"/>
          </w:tcPr>
          <w:p w14:paraId="764AA406" w14:textId="77777777" w:rsidR="00B93A94" w:rsidRPr="0047058F" w:rsidRDefault="00B93A94" w:rsidP="001340FD">
            <w:pPr>
              <w:pStyle w:val="TableText"/>
              <w:jc w:val="center"/>
            </w:pPr>
            <w:r w:rsidRPr="0047058F">
              <w:t>Subsyndromal disorder</w:t>
            </w:r>
          </w:p>
        </w:tc>
        <w:tc>
          <w:tcPr>
            <w:tcW w:w="1109" w:type="dxa"/>
            <w:gridSpan w:val="2"/>
          </w:tcPr>
          <w:p w14:paraId="28836E9F" w14:textId="77777777" w:rsidR="00B93A94" w:rsidRPr="0047058F" w:rsidRDefault="00B93A94" w:rsidP="001340FD">
            <w:pPr>
              <w:pStyle w:val="TableText"/>
              <w:jc w:val="center"/>
            </w:pPr>
            <w:r w:rsidRPr="0047058F">
              <w:t>Probable disorder</w:t>
            </w:r>
          </w:p>
        </w:tc>
      </w:tr>
      <w:tr w:rsidR="00B93A94" w:rsidRPr="0047058F" w14:paraId="63933CB7"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4E5ECCBA" w14:textId="77777777" w:rsidR="00B93A94" w:rsidRPr="0047058F" w:rsidRDefault="00B93A94" w:rsidP="001340FD">
            <w:pPr>
              <w:pStyle w:val="TableText"/>
            </w:pPr>
            <w:r w:rsidRPr="0047058F">
              <w:rPr>
                <w:rFonts w:cs="Arial"/>
              </w:rPr>
              <w:t>AUDIT</w:t>
            </w:r>
          </w:p>
        </w:tc>
        <w:tc>
          <w:tcPr>
            <w:tcW w:w="591" w:type="dxa"/>
          </w:tcPr>
          <w:p w14:paraId="25E0D377" w14:textId="77777777" w:rsidR="00B93A94" w:rsidRPr="0047058F" w:rsidRDefault="00B93A94" w:rsidP="001340FD">
            <w:pPr>
              <w:pStyle w:val="TableText"/>
              <w:jc w:val="right"/>
              <w:rPr>
                <w:rFonts w:cs="Arial"/>
              </w:rPr>
            </w:pPr>
            <w:r w:rsidRPr="0047058F">
              <w:rPr>
                <w:rFonts w:cs="Arial"/>
              </w:rPr>
              <w:t>n</w:t>
            </w:r>
          </w:p>
        </w:tc>
        <w:tc>
          <w:tcPr>
            <w:tcW w:w="591" w:type="dxa"/>
          </w:tcPr>
          <w:p w14:paraId="3D1D322E" w14:textId="77777777" w:rsidR="00B93A94" w:rsidRPr="0047058F" w:rsidRDefault="00B93A94" w:rsidP="001340FD">
            <w:pPr>
              <w:pStyle w:val="TableText"/>
              <w:jc w:val="right"/>
              <w:rPr>
                <w:rFonts w:cs="Arial"/>
              </w:rPr>
            </w:pPr>
            <w:r w:rsidRPr="0047058F">
              <w:rPr>
                <w:rFonts w:cs="Arial"/>
              </w:rPr>
              <w:t>%</w:t>
            </w:r>
          </w:p>
        </w:tc>
        <w:tc>
          <w:tcPr>
            <w:tcW w:w="554" w:type="dxa"/>
          </w:tcPr>
          <w:p w14:paraId="241AE029" w14:textId="77777777" w:rsidR="00B93A94" w:rsidRPr="0047058F" w:rsidRDefault="00B93A94" w:rsidP="001340FD">
            <w:pPr>
              <w:pStyle w:val="TableText"/>
              <w:jc w:val="right"/>
              <w:rPr>
                <w:rFonts w:cs="Arial"/>
              </w:rPr>
            </w:pPr>
            <w:r w:rsidRPr="0047058F">
              <w:rPr>
                <w:rFonts w:cs="Arial"/>
              </w:rPr>
              <w:t>n</w:t>
            </w:r>
          </w:p>
        </w:tc>
        <w:tc>
          <w:tcPr>
            <w:tcW w:w="554" w:type="dxa"/>
          </w:tcPr>
          <w:p w14:paraId="36164961" w14:textId="77777777" w:rsidR="00B93A94" w:rsidRPr="0047058F" w:rsidRDefault="00B93A94" w:rsidP="001340FD">
            <w:pPr>
              <w:pStyle w:val="TableText"/>
              <w:jc w:val="right"/>
              <w:rPr>
                <w:rFonts w:cs="Arial"/>
              </w:rPr>
            </w:pPr>
            <w:r w:rsidRPr="0047058F">
              <w:rPr>
                <w:rFonts w:cs="Arial"/>
              </w:rPr>
              <w:t>%</w:t>
            </w:r>
          </w:p>
        </w:tc>
        <w:tc>
          <w:tcPr>
            <w:tcW w:w="554" w:type="dxa"/>
          </w:tcPr>
          <w:p w14:paraId="1009E8D4" w14:textId="77777777" w:rsidR="00B93A94" w:rsidRPr="0047058F" w:rsidRDefault="00B93A94" w:rsidP="001340FD">
            <w:pPr>
              <w:pStyle w:val="TableText"/>
              <w:jc w:val="right"/>
              <w:rPr>
                <w:rFonts w:cs="Arial"/>
              </w:rPr>
            </w:pPr>
            <w:r w:rsidRPr="0047058F">
              <w:rPr>
                <w:rFonts w:cs="Arial"/>
              </w:rPr>
              <w:t>n</w:t>
            </w:r>
          </w:p>
        </w:tc>
        <w:tc>
          <w:tcPr>
            <w:tcW w:w="554" w:type="dxa"/>
          </w:tcPr>
          <w:p w14:paraId="6735D7A4" w14:textId="77777777" w:rsidR="00B93A94" w:rsidRPr="0047058F" w:rsidRDefault="00B93A94" w:rsidP="001340FD">
            <w:pPr>
              <w:pStyle w:val="TableText"/>
              <w:jc w:val="right"/>
              <w:rPr>
                <w:rFonts w:cs="Arial"/>
              </w:rPr>
            </w:pPr>
            <w:r w:rsidRPr="0047058F">
              <w:rPr>
                <w:rFonts w:cs="Arial"/>
              </w:rPr>
              <w:t>%</w:t>
            </w:r>
          </w:p>
        </w:tc>
        <w:tc>
          <w:tcPr>
            <w:tcW w:w="554" w:type="dxa"/>
          </w:tcPr>
          <w:p w14:paraId="179EAB7D" w14:textId="77777777" w:rsidR="00B93A94" w:rsidRPr="0047058F" w:rsidRDefault="00B93A94" w:rsidP="001340FD">
            <w:pPr>
              <w:pStyle w:val="TableText"/>
              <w:jc w:val="right"/>
              <w:rPr>
                <w:rFonts w:cs="Arial"/>
              </w:rPr>
            </w:pPr>
            <w:r w:rsidRPr="0047058F">
              <w:rPr>
                <w:rFonts w:cs="Arial"/>
              </w:rPr>
              <w:t>n</w:t>
            </w:r>
          </w:p>
        </w:tc>
        <w:tc>
          <w:tcPr>
            <w:tcW w:w="555" w:type="dxa"/>
          </w:tcPr>
          <w:p w14:paraId="3D258605" w14:textId="77777777" w:rsidR="00B93A94" w:rsidRPr="0047058F" w:rsidRDefault="00B93A94" w:rsidP="001340FD">
            <w:pPr>
              <w:pStyle w:val="TableText"/>
              <w:jc w:val="right"/>
              <w:rPr>
                <w:rFonts w:cs="Arial"/>
              </w:rPr>
            </w:pPr>
            <w:r w:rsidRPr="0047058F">
              <w:rPr>
                <w:rFonts w:cs="Arial"/>
              </w:rPr>
              <w:t>%</w:t>
            </w:r>
          </w:p>
        </w:tc>
      </w:tr>
      <w:tr w:rsidR="00B93A94" w:rsidRPr="0047058F" w14:paraId="261437A1"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228D1C96" w14:textId="77777777" w:rsidR="00B93A94" w:rsidRPr="0047058F" w:rsidRDefault="00B93A94" w:rsidP="001340FD">
            <w:pPr>
              <w:pStyle w:val="TableText"/>
              <w:rPr>
                <w:rFonts w:cs="Calibri"/>
                <w:szCs w:val="14"/>
              </w:rPr>
            </w:pPr>
            <w:r w:rsidRPr="0047058F">
              <w:rPr>
                <w:rFonts w:cs="Calibri"/>
                <w:szCs w:val="14"/>
              </w:rPr>
              <w:t>No disorder: Below both screening and epidemiological cut-offs</w:t>
            </w:r>
          </w:p>
        </w:tc>
        <w:tc>
          <w:tcPr>
            <w:tcW w:w="591" w:type="dxa"/>
          </w:tcPr>
          <w:p w14:paraId="1A8E73BF" w14:textId="77777777" w:rsidR="00B93A94" w:rsidRPr="0047058F" w:rsidRDefault="00B93A94" w:rsidP="001340FD">
            <w:pPr>
              <w:pStyle w:val="TableText"/>
              <w:jc w:val="right"/>
            </w:pPr>
            <w:r w:rsidRPr="0047058F">
              <w:rPr>
                <w:rFonts w:eastAsia="Times New Roman" w:cs="Arial"/>
              </w:rPr>
              <w:t>4306</w:t>
            </w:r>
          </w:p>
        </w:tc>
        <w:tc>
          <w:tcPr>
            <w:tcW w:w="591" w:type="dxa"/>
          </w:tcPr>
          <w:p w14:paraId="65FB2447" w14:textId="77777777" w:rsidR="00B93A94" w:rsidRPr="0047058F" w:rsidRDefault="00B93A94" w:rsidP="001340FD">
            <w:pPr>
              <w:pStyle w:val="TableText"/>
              <w:jc w:val="right"/>
              <w:rPr>
                <w:rFonts w:eastAsia="Times New Roman" w:cs="Arial"/>
              </w:rPr>
            </w:pPr>
            <w:r w:rsidRPr="0047058F">
              <w:rPr>
                <w:rFonts w:eastAsia="Times New Roman" w:cs="Arial"/>
              </w:rPr>
              <w:t>77.5</w:t>
            </w:r>
          </w:p>
        </w:tc>
        <w:tc>
          <w:tcPr>
            <w:tcW w:w="554" w:type="dxa"/>
          </w:tcPr>
          <w:p w14:paraId="6EAB92FA" w14:textId="77777777" w:rsidR="00B93A94" w:rsidRPr="0047058F" w:rsidRDefault="00B93A94" w:rsidP="001340FD">
            <w:pPr>
              <w:pStyle w:val="TableText"/>
              <w:jc w:val="right"/>
            </w:pPr>
            <w:r w:rsidRPr="0047058F">
              <w:rPr>
                <w:rFonts w:eastAsia="Times New Roman" w:cs="Arial"/>
              </w:rPr>
              <w:t>3902</w:t>
            </w:r>
          </w:p>
        </w:tc>
        <w:tc>
          <w:tcPr>
            <w:tcW w:w="554" w:type="dxa"/>
          </w:tcPr>
          <w:p w14:paraId="47328332" w14:textId="77777777" w:rsidR="00B93A94" w:rsidRPr="0047058F" w:rsidRDefault="00B93A94" w:rsidP="001340FD">
            <w:pPr>
              <w:pStyle w:val="TableText"/>
              <w:jc w:val="right"/>
            </w:pPr>
            <w:r w:rsidRPr="0047058F">
              <w:rPr>
                <w:rFonts w:eastAsia="Times New Roman" w:cs="Arial"/>
              </w:rPr>
              <w:t>90.6</w:t>
            </w:r>
          </w:p>
        </w:tc>
        <w:tc>
          <w:tcPr>
            <w:tcW w:w="554" w:type="dxa"/>
          </w:tcPr>
          <w:p w14:paraId="77DFF119" w14:textId="77777777" w:rsidR="00B93A94" w:rsidRPr="0047058F" w:rsidRDefault="00B93A94" w:rsidP="001340FD">
            <w:pPr>
              <w:pStyle w:val="TableText"/>
              <w:jc w:val="right"/>
            </w:pPr>
            <w:r w:rsidRPr="0047058F">
              <w:rPr>
                <w:rFonts w:eastAsia="Times New Roman" w:cs="Arial"/>
              </w:rPr>
              <w:t>394</w:t>
            </w:r>
          </w:p>
        </w:tc>
        <w:tc>
          <w:tcPr>
            <w:tcW w:w="554" w:type="dxa"/>
          </w:tcPr>
          <w:p w14:paraId="65314769" w14:textId="77777777" w:rsidR="00B93A94" w:rsidRPr="0047058F" w:rsidRDefault="00B93A94" w:rsidP="001340FD">
            <w:pPr>
              <w:pStyle w:val="TableText"/>
              <w:jc w:val="right"/>
            </w:pPr>
            <w:r w:rsidRPr="0047058F">
              <w:rPr>
                <w:rFonts w:eastAsia="Times New Roman" w:cs="Arial"/>
              </w:rPr>
              <w:t>9.2</w:t>
            </w:r>
          </w:p>
        </w:tc>
        <w:tc>
          <w:tcPr>
            <w:tcW w:w="554" w:type="dxa"/>
          </w:tcPr>
          <w:p w14:paraId="2E8D86C0" w14:textId="77777777" w:rsidR="00B93A94" w:rsidRPr="0047058F" w:rsidRDefault="00B93A94" w:rsidP="001340FD">
            <w:pPr>
              <w:pStyle w:val="TableText"/>
              <w:jc w:val="right"/>
            </w:pPr>
            <w:r w:rsidRPr="0047058F">
              <w:rPr>
                <w:rFonts w:eastAsia="Times New Roman" w:cs="Arial"/>
              </w:rPr>
              <w:t>10</w:t>
            </w:r>
          </w:p>
        </w:tc>
        <w:tc>
          <w:tcPr>
            <w:tcW w:w="555" w:type="dxa"/>
          </w:tcPr>
          <w:p w14:paraId="0677340B" w14:textId="77777777" w:rsidR="00B93A94" w:rsidRPr="0047058F" w:rsidRDefault="00B93A94" w:rsidP="001340FD">
            <w:pPr>
              <w:pStyle w:val="TableText"/>
              <w:jc w:val="right"/>
            </w:pPr>
            <w:r w:rsidRPr="0047058F">
              <w:rPr>
                <w:rFonts w:eastAsia="Times New Roman" w:cs="Arial"/>
              </w:rPr>
              <w:t>0.2</w:t>
            </w:r>
          </w:p>
        </w:tc>
      </w:tr>
      <w:tr w:rsidR="00B93A94" w:rsidRPr="0047058F" w14:paraId="0992AAA8" w14:textId="77777777" w:rsidTr="001340FD">
        <w:trPr>
          <w:cantSplit/>
        </w:trPr>
        <w:tc>
          <w:tcPr>
            <w:tcW w:w="2808" w:type="dxa"/>
          </w:tcPr>
          <w:p w14:paraId="70A6E6B7" w14:textId="77777777" w:rsidR="00B93A94" w:rsidRPr="0047058F" w:rsidRDefault="00B93A94" w:rsidP="001340FD">
            <w:pPr>
              <w:pStyle w:val="TableText"/>
              <w:rPr>
                <w:rFonts w:cs="Calibri"/>
                <w:szCs w:val="14"/>
              </w:rPr>
            </w:pPr>
            <w:r w:rsidRPr="0047058F">
              <w:rPr>
                <w:rFonts w:cs="Calibri"/>
                <w:szCs w:val="14"/>
              </w:rPr>
              <w:t>Subsyndromal disorder: Above screening cut-off but below epidemiological cut-off</w:t>
            </w:r>
          </w:p>
        </w:tc>
        <w:tc>
          <w:tcPr>
            <w:tcW w:w="591" w:type="dxa"/>
          </w:tcPr>
          <w:p w14:paraId="4DEDE268" w14:textId="77777777" w:rsidR="00B93A94" w:rsidRPr="0047058F" w:rsidRDefault="00B93A94" w:rsidP="001340FD">
            <w:pPr>
              <w:pStyle w:val="TableText"/>
              <w:jc w:val="right"/>
            </w:pPr>
            <w:r w:rsidRPr="0047058F">
              <w:rPr>
                <w:rFonts w:eastAsia="Times New Roman" w:cs="Arial"/>
              </w:rPr>
              <w:t>1210</w:t>
            </w:r>
          </w:p>
        </w:tc>
        <w:tc>
          <w:tcPr>
            <w:tcW w:w="591" w:type="dxa"/>
          </w:tcPr>
          <w:p w14:paraId="3A138739" w14:textId="77777777" w:rsidR="00B93A94" w:rsidRPr="0047058F" w:rsidRDefault="00B93A94" w:rsidP="001340FD">
            <w:pPr>
              <w:pStyle w:val="TableText"/>
              <w:jc w:val="right"/>
              <w:rPr>
                <w:rFonts w:eastAsia="Times New Roman" w:cs="Arial"/>
              </w:rPr>
            </w:pPr>
            <w:r w:rsidRPr="0047058F">
              <w:rPr>
                <w:rFonts w:eastAsia="Times New Roman" w:cs="Arial"/>
              </w:rPr>
              <w:t>21.8</w:t>
            </w:r>
          </w:p>
        </w:tc>
        <w:tc>
          <w:tcPr>
            <w:tcW w:w="554" w:type="dxa"/>
          </w:tcPr>
          <w:p w14:paraId="1A376E93" w14:textId="77777777" w:rsidR="00B93A94" w:rsidRPr="0047058F" w:rsidRDefault="00B93A94" w:rsidP="001340FD">
            <w:pPr>
              <w:pStyle w:val="TableText"/>
              <w:jc w:val="right"/>
            </w:pPr>
            <w:r w:rsidRPr="0047058F">
              <w:rPr>
                <w:rFonts w:eastAsia="Times New Roman" w:cs="Arial"/>
              </w:rPr>
              <w:t>554</w:t>
            </w:r>
          </w:p>
        </w:tc>
        <w:tc>
          <w:tcPr>
            <w:tcW w:w="554" w:type="dxa"/>
          </w:tcPr>
          <w:p w14:paraId="5B99C136" w14:textId="77777777" w:rsidR="00B93A94" w:rsidRPr="0047058F" w:rsidRDefault="00B93A94" w:rsidP="001340FD">
            <w:pPr>
              <w:pStyle w:val="TableText"/>
              <w:jc w:val="right"/>
            </w:pPr>
            <w:r w:rsidRPr="0047058F">
              <w:rPr>
                <w:rFonts w:eastAsia="Times New Roman" w:cs="Arial"/>
              </w:rPr>
              <w:t>45.8</w:t>
            </w:r>
          </w:p>
        </w:tc>
        <w:tc>
          <w:tcPr>
            <w:tcW w:w="554" w:type="dxa"/>
          </w:tcPr>
          <w:p w14:paraId="34961D38" w14:textId="77777777" w:rsidR="00B93A94" w:rsidRPr="0047058F" w:rsidRDefault="00B93A94" w:rsidP="001340FD">
            <w:pPr>
              <w:pStyle w:val="TableText"/>
              <w:jc w:val="right"/>
            </w:pPr>
            <w:r w:rsidRPr="0047058F">
              <w:rPr>
                <w:rFonts w:eastAsia="Times New Roman" w:cs="Arial"/>
              </w:rPr>
              <w:t>605</w:t>
            </w:r>
          </w:p>
        </w:tc>
        <w:tc>
          <w:tcPr>
            <w:tcW w:w="554" w:type="dxa"/>
          </w:tcPr>
          <w:p w14:paraId="7DEBB6B2" w14:textId="1128D08B" w:rsidR="00B93A94" w:rsidRPr="0047058F" w:rsidRDefault="00B93A94" w:rsidP="001340FD">
            <w:pPr>
              <w:pStyle w:val="TableText"/>
              <w:jc w:val="right"/>
            </w:pPr>
            <w:r w:rsidRPr="0047058F">
              <w:rPr>
                <w:rFonts w:eastAsia="Times New Roman" w:cs="Arial"/>
              </w:rPr>
              <w:t>50</w:t>
            </w:r>
            <w:r w:rsidR="00A40469">
              <w:rPr>
                <w:rFonts w:eastAsia="Times New Roman" w:cs="Arial"/>
              </w:rPr>
              <w:t>.0</w:t>
            </w:r>
          </w:p>
        </w:tc>
        <w:tc>
          <w:tcPr>
            <w:tcW w:w="554" w:type="dxa"/>
          </w:tcPr>
          <w:p w14:paraId="56CCC432" w14:textId="77777777" w:rsidR="00B93A94" w:rsidRPr="0047058F" w:rsidRDefault="00B93A94" w:rsidP="001340FD">
            <w:pPr>
              <w:pStyle w:val="TableText"/>
              <w:jc w:val="right"/>
            </w:pPr>
            <w:r w:rsidRPr="0047058F">
              <w:rPr>
                <w:rFonts w:eastAsia="Times New Roman" w:cs="Arial"/>
              </w:rPr>
              <w:t>51</w:t>
            </w:r>
          </w:p>
        </w:tc>
        <w:tc>
          <w:tcPr>
            <w:tcW w:w="555" w:type="dxa"/>
          </w:tcPr>
          <w:p w14:paraId="088FA3FC" w14:textId="77777777" w:rsidR="00B93A94" w:rsidRPr="0047058F" w:rsidRDefault="00B93A94" w:rsidP="001340FD">
            <w:pPr>
              <w:pStyle w:val="TableText"/>
              <w:jc w:val="right"/>
            </w:pPr>
            <w:r w:rsidRPr="0047058F">
              <w:rPr>
                <w:rFonts w:eastAsia="Times New Roman" w:cs="Arial"/>
              </w:rPr>
              <w:t>4.2</w:t>
            </w:r>
          </w:p>
        </w:tc>
      </w:tr>
      <w:tr w:rsidR="00B93A94" w:rsidRPr="0047058F" w14:paraId="3E85B806"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5AA993AB" w14:textId="77777777" w:rsidR="00B93A94" w:rsidRPr="0047058F" w:rsidRDefault="00B93A94" w:rsidP="001340FD">
            <w:pPr>
              <w:pStyle w:val="TableText"/>
              <w:rPr>
                <w:rFonts w:cs="Calibri"/>
                <w:szCs w:val="14"/>
              </w:rPr>
            </w:pPr>
            <w:r w:rsidRPr="0047058F">
              <w:rPr>
                <w:rFonts w:cs="Calibri"/>
                <w:szCs w:val="14"/>
              </w:rPr>
              <w:t>Probable disorder: Above both screening and epidemiological cut-offs</w:t>
            </w:r>
          </w:p>
        </w:tc>
        <w:tc>
          <w:tcPr>
            <w:tcW w:w="591" w:type="dxa"/>
          </w:tcPr>
          <w:p w14:paraId="36930081" w14:textId="77777777" w:rsidR="00B93A94" w:rsidRPr="0047058F" w:rsidRDefault="00B93A94" w:rsidP="001340FD">
            <w:pPr>
              <w:pStyle w:val="TableText"/>
              <w:jc w:val="right"/>
            </w:pPr>
            <w:r w:rsidRPr="0047058F">
              <w:rPr>
                <w:rFonts w:eastAsia="Times New Roman" w:cs="Arial"/>
              </w:rPr>
              <w:t>37</w:t>
            </w:r>
          </w:p>
        </w:tc>
        <w:tc>
          <w:tcPr>
            <w:tcW w:w="591" w:type="dxa"/>
          </w:tcPr>
          <w:p w14:paraId="40873898" w14:textId="77777777" w:rsidR="00B93A94" w:rsidRPr="0047058F" w:rsidRDefault="00B93A94" w:rsidP="001340FD">
            <w:pPr>
              <w:pStyle w:val="TableText"/>
              <w:jc w:val="right"/>
              <w:rPr>
                <w:rFonts w:eastAsia="Times New Roman" w:cs="Arial"/>
              </w:rPr>
            </w:pPr>
            <w:r w:rsidRPr="0047058F">
              <w:rPr>
                <w:rFonts w:eastAsia="Times New Roman" w:cs="Arial"/>
              </w:rPr>
              <w:t>0.7</w:t>
            </w:r>
          </w:p>
        </w:tc>
        <w:tc>
          <w:tcPr>
            <w:tcW w:w="554" w:type="dxa"/>
          </w:tcPr>
          <w:p w14:paraId="1E92EFFE" w14:textId="77777777" w:rsidR="00B93A94" w:rsidRPr="0047058F" w:rsidRDefault="00B93A94" w:rsidP="001340FD">
            <w:pPr>
              <w:pStyle w:val="TableText"/>
              <w:jc w:val="right"/>
            </w:pPr>
            <w:r w:rsidRPr="0047058F">
              <w:rPr>
                <w:rFonts w:eastAsia="Times New Roman" w:cs="Arial"/>
              </w:rPr>
              <w:t>9</w:t>
            </w:r>
          </w:p>
        </w:tc>
        <w:tc>
          <w:tcPr>
            <w:tcW w:w="554" w:type="dxa"/>
          </w:tcPr>
          <w:p w14:paraId="060DB5C6" w14:textId="77777777" w:rsidR="00B93A94" w:rsidRPr="0047058F" w:rsidRDefault="00B93A94" w:rsidP="001340FD">
            <w:pPr>
              <w:pStyle w:val="TableText"/>
              <w:jc w:val="right"/>
            </w:pPr>
            <w:r w:rsidRPr="0047058F">
              <w:rPr>
                <w:rFonts w:eastAsia="Times New Roman" w:cs="Arial"/>
              </w:rPr>
              <w:t>24.3</w:t>
            </w:r>
          </w:p>
        </w:tc>
        <w:tc>
          <w:tcPr>
            <w:tcW w:w="554" w:type="dxa"/>
          </w:tcPr>
          <w:p w14:paraId="57031FE1" w14:textId="77777777" w:rsidR="00B93A94" w:rsidRPr="0047058F" w:rsidRDefault="00B93A94" w:rsidP="001340FD">
            <w:pPr>
              <w:pStyle w:val="TableText"/>
              <w:jc w:val="right"/>
            </w:pPr>
            <w:r w:rsidRPr="0047058F">
              <w:rPr>
                <w:rFonts w:eastAsia="Times New Roman" w:cs="Arial"/>
              </w:rPr>
              <w:t>20</w:t>
            </w:r>
          </w:p>
        </w:tc>
        <w:tc>
          <w:tcPr>
            <w:tcW w:w="554" w:type="dxa"/>
          </w:tcPr>
          <w:p w14:paraId="2DEAE85C" w14:textId="77777777" w:rsidR="00B93A94" w:rsidRPr="0047058F" w:rsidRDefault="00B93A94" w:rsidP="001340FD">
            <w:pPr>
              <w:pStyle w:val="TableText"/>
              <w:jc w:val="right"/>
            </w:pPr>
            <w:r w:rsidRPr="0047058F">
              <w:rPr>
                <w:rFonts w:eastAsia="Times New Roman" w:cs="Arial"/>
              </w:rPr>
              <w:t>54.1</w:t>
            </w:r>
          </w:p>
        </w:tc>
        <w:tc>
          <w:tcPr>
            <w:tcW w:w="554" w:type="dxa"/>
          </w:tcPr>
          <w:p w14:paraId="27E0E14C" w14:textId="77777777" w:rsidR="00B93A94" w:rsidRPr="0047058F" w:rsidRDefault="00B93A94" w:rsidP="001340FD">
            <w:pPr>
              <w:pStyle w:val="TableText"/>
              <w:jc w:val="right"/>
            </w:pPr>
            <w:r w:rsidRPr="0047058F">
              <w:rPr>
                <w:rFonts w:eastAsia="Times New Roman" w:cs="Arial"/>
              </w:rPr>
              <w:t>8</w:t>
            </w:r>
          </w:p>
        </w:tc>
        <w:tc>
          <w:tcPr>
            <w:tcW w:w="555" w:type="dxa"/>
          </w:tcPr>
          <w:p w14:paraId="792FEC35" w14:textId="77777777" w:rsidR="00B93A94" w:rsidRPr="0047058F" w:rsidRDefault="00B93A94" w:rsidP="001340FD">
            <w:pPr>
              <w:pStyle w:val="TableText"/>
              <w:jc w:val="right"/>
            </w:pPr>
            <w:r w:rsidRPr="0047058F">
              <w:rPr>
                <w:rFonts w:eastAsia="Times New Roman" w:cs="Arial"/>
              </w:rPr>
              <w:t>21.6</w:t>
            </w:r>
          </w:p>
        </w:tc>
      </w:tr>
      <w:tr w:rsidR="00B93A94" w:rsidRPr="0047058F" w14:paraId="237E5C10" w14:textId="77777777" w:rsidTr="001340FD">
        <w:trPr>
          <w:cantSplit/>
        </w:trPr>
        <w:tc>
          <w:tcPr>
            <w:tcW w:w="2808" w:type="dxa"/>
          </w:tcPr>
          <w:p w14:paraId="2AF180F1" w14:textId="77777777" w:rsidR="00B93A94" w:rsidRPr="0047058F" w:rsidRDefault="00B93A94" w:rsidP="001340FD">
            <w:pPr>
              <w:pStyle w:val="TableText"/>
              <w:rPr>
                <w:rFonts w:cs="Arial"/>
                <w:b/>
              </w:rPr>
            </w:pPr>
            <w:r w:rsidRPr="0047058F">
              <w:rPr>
                <w:rFonts w:cs="Arial"/>
                <w:b/>
              </w:rPr>
              <w:t>Total</w:t>
            </w:r>
          </w:p>
        </w:tc>
        <w:tc>
          <w:tcPr>
            <w:tcW w:w="591" w:type="dxa"/>
          </w:tcPr>
          <w:p w14:paraId="0DEC7153" w14:textId="77777777" w:rsidR="00B93A94" w:rsidRPr="0047058F" w:rsidRDefault="00B93A94" w:rsidP="001340FD">
            <w:pPr>
              <w:pStyle w:val="TableText"/>
              <w:jc w:val="right"/>
              <w:rPr>
                <w:rFonts w:cs="Arial"/>
                <w:b/>
              </w:rPr>
            </w:pPr>
            <w:r w:rsidRPr="0047058F">
              <w:rPr>
                <w:rFonts w:cs="Arial"/>
                <w:b/>
              </w:rPr>
              <w:t>5553</w:t>
            </w:r>
          </w:p>
        </w:tc>
        <w:tc>
          <w:tcPr>
            <w:tcW w:w="591" w:type="dxa"/>
          </w:tcPr>
          <w:p w14:paraId="42C4337A" w14:textId="77777777" w:rsidR="00B93A94" w:rsidRPr="0047058F" w:rsidRDefault="00B93A94" w:rsidP="001340FD">
            <w:pPr>
              <w:pStyle w:val="TableText"/>
              <w:jc w:val="right"/>
              <w:rPr>
                <w:rFonts w:eastAsia="Times New Roman" w:cs="Arial"/>
                <w:b/>
              </w:rPr>
            </w:pPr>
            <w:r w:rsidRPr="0047058F">
              <w:rPr>
                <w:rFonts w:eastAsia="Times New Roman" w:cs="Arial"/>
                <w:b/>
              </w:rPr>
              <w:t>100.0</w:t>
            </w:r>
          </w:p>
        </w:tc>
        <w:tc>
          <w:tcPr>
            <w:tcW w:w="554" w:type="dxa"/>
          </w:tcPr>
          <w:p w14:paraId="7BF79D3E" w14:textId="77777777" w:rsidR="00B93A94" w:rsidRPr="0047058F" w:rsidRDefault="00B93A94" w:rsidP="001340FD">
            <w:pPr>
              <w:pStyle w:val="TableText"/>
              <w:jc w:val="right"/>
              <w:rPr>
                <w:rFonts w:cs="Arial"/>
                <w:b/>
              </w:rPr>
            </w:pPr>
            <w:r w:rsidRPr="0047058F">
              <w:rPr>
                <w:rFonts w:eastAsia="Times New Roman" w:cs="Arial"/>
                <w:b/>
              </w:rPr>
              <w:t>4465</w:t>
            </w:r>
          </w:p>
        </w:tc>
        <w:tc>
          <w:tcPr>
            <w:tcW w:w="554" w:type="dxa"/>
          </w:tcPr>
          <w:p w14:paraId="65585021" w14:textId="77777777" w:rsidR="00B93A94" w:rsidRPr="0047058F" w:rsidRDefault="00B93A94" w:rsidP="001340FD">
            <w:pPr>
              <w:pStyle w:val="TableText"/>
              <w:jc w:val="right"/>
              <w:rPr>
                <w:rFonts w:cs="Arial"/>
                <w:b/>
              </w:rPr>
            </w:pPr>
            <w:r w:rsidRPr="0047058F">
              <w:rPr>
                <w:rFonts w:eastAsia="Times New Roman" w:cs="Arial"/>
                <w:b/>
              </w:rPr>
              <w:t>80.4</w:t>
            </w:r>
          </w:p>
        </w:tc>
        <w:tc>
          <w:tcPr>
            <w:tcW w:w="554" w:type="dxa"/>
          </w:tcPr>
          <w:p w14:paraId="0806DE87" w14:textId="77777777" w:rsidR="00B93A94" w:rsidRPr="0047058F" w:rsidRDefault="00B93A94" w:rsidP="001340FD">
            <w:pPr>
              <w:pStyle w:val="TableText"/>
              <w:jc w:val="right"/>
              <w:rPr>
                <w:rFonts w:cs="Arial"/>
                <w:b/>
              </w:rPr>
            </w:pPr>
            <w:r w:rsidRPr="0047058F">
              <w:rPr>
                <w:rFonts w:eastAsia="Times New Roman" w:cs="Arial"/>
                <w:b/>
              </w:rPr>
              <w:t>1019</w:t>
            </w:r>
          </w:p>
        </w:tc>
        <w:tc>
          <w:tcPr>
            <w:tcW w:w="554" w:type="dxa"/>
          </w:tcPr>
          <w:p w14:paraId="0A93A109" w14:textId="77777777" w:rsidR="00B93A94" w:rsidRPr="0047058F" w:rsidRDefault="00B93A94" w:rsidP="001340FD">
            <w:pPr>
              <w:pStyle w:val="TableText"/>
              <w:jc w:val="right"/>
              <w:rPr>
                <w:rFonts w:cs="Arial"/>
                <w:b/>
              </w:rPr>
            </w:pPr>
            <w:r w:rsidRPr="0047058F">
              <w:rPr>
                <w:rFonts w:eastAsia="Times New Roman" w:cs="Arial"/>
                <w:b/>
              </w:rPr>
              <w:t>18.4</w:t>
            </w:r>
          </w:p>
        </w:tc>
        <w:tc>
          <w:tcPr>
            <w:tcW w:w="554" w:type="dxa"/>
          </w:tcPr>
          <w:p w14:paraId="5C958E64" w14:textId="77777777" w:rsidR="00B93A94" w:rsidRPr="0047058F" w:rsidRDefault="00B93A94" w:rsidP="001340FD">
            <w:pPr>
              <w:pStyle w:val="TableText"/>
              <w:jc w:val="right"/>
              <w:rPr>
                <w:rFonts w:cs="Arial"/>
                <w:b/>
              </w:rPr>
            </w:pPr>
            <w:r w:rsidRPr="0047058F">
              <w:rPr>
                <w:rFonts w:eastAsia="Times New Roman" w:cs="Arial"/>
                <w:b/>
              </w:rPr>
              <w:t>69</w:t>
            </w:r>
          </w:p>
        </w:tc>
        <w:tc>
          <w:tcPr>
            <w:tcW w:w="555" w:type="dxa"/>
          </w:tcPr>
          <w:p w14:paraId="70846E0A" w14:textId="77777777" w:rsidR="00B93A94" w:rsidRPr="0047058F" w:rsidRDefault="00B93A94" w:rsidP="001340FD">
            <w:pPr>
              <w:pStyle w:val="TableText"/>
              <w:jc w:val="right"/>
              <w:rPr>
                <w:rFonts w:cs="Arial"/>
                <w:b/>
              </w:rPr>
            </w:pPr>
            <w:r w:rsidRPr="0047058F">
              <w:rPr>
                <w:rFonts w:eastAsia="Times New Roman" w:cs="Arial"/>
                <w:b/>
              </w:rPr>
              <w:t>1.2</w:t>
            </w:r>
          </w:p>
        </w:tc>
      </w:tr>
    </w:tbl>
    <w:p w14:paraId="419E90FA" w14:textId="77777777" w:rsidR="00B93A94" w:rsidRPr="0047058F" w:rsidRDefault="00B93A94" w:rsidP="00B93A94">
      <w:pPr>
        <w:pStyle w:val="TableNotes"/>
      </w:pPr>
      <w:r w:rsidRPr="0047058F">
        <w:t>Note: Unweighted data.</w:t>
      </w:r>
    </w:p>
    <w:p w14:paraId="4CE685C0" w14:textId="77777777" w:rsidR="00B93A94" w:rsidRPr="0047058F" w:rsidRDefault="00B93A94" w:rsidP="00B93A94">
      <w:pPr>
        <w:pStyle w:val="FigureName"/>
      </w:pPr>
      <w:bookmarkStart w:id="312" w:name="_Ref387053359"/>
      <w:bookmarkStart w:id="313" w:name="_Toc529117576"/>
      <w:bookmarkStart w:id="314" w:name="_Toc532473649"/>
      <w:r w:rsidRPr="0047058F">
        <w:t>Figure 5.12</w:t>
      </w:r>
      <w:bookmarkEnd w:id="312"/>
      <w:r w:rsidRPr="0047058F">
        <w:tab/>
        <w:t xml:space="preserve">Proportion of </w:t>
      </w:r>
      <w:r w:rsidRPr="0047058F">
        <w:rPr>
          <w:u w:val="single"/>
        </w:rPr>
        <w:t xml:space="preserve">2015 Regular ADF in the longitudinal cohort </w:t>
      </w:r>
      <w:r w:rsidRPr="0047058F">
        <w:t>with no disorder, subsyndromal disorder and probable disorder on AUDIT in 2010 and 2015 based on self-reported measures</w:t>
      </w:r>
      <w:bookmarkEnd w:id="313"/>
      <w:bookmarkEnd w:id="314"/>
    </w:p>
    <w:p w14:paraId="42A6039F" w14:textId="77777777" w:rsidR="003427E0" w:rsidRPr="0047058F" w:rsidRDefault="00B93A94" w:rsidP="003427E0">
      <w:pPr>
        <w:spacing w:after="360"/>
      </w:pPr>
      <w:r w:rsidRPr="0047058F">
        <w:rPr>
          <w:noProof/>
          <w:lang w:eastAsia="en-AU"/>
        </w:rPr>
        <w:drawing>
          <wp:inline distT="0" distB="0" distL="0" distR="0" wp14:anchorId="7B1F573D" wp14:editId="4F141B58">
            <wp:extent cx="4572000" cy="2743200"/>
            <wp:effectExtent l="0" t="0" r="0" b="0"/>
            <wp:docPr id="472" name="Chart 472" descr="Figure 5.12 Proportion of 2015 Regular ADF in the longitudinal cohort with no disorder, subsyndromal disorder and probable disorder on AUDIT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E5C1AD" w14:textId="77777777" w:rsidR="00B93A94" w:rsidRPr="0047058F" w:rsidRDefault="00B93A94" w:rsidP="00860F45">
      <w:pPr>
        <w:pStyle w:val="Heading2"/>
      </w:pPr>
      <w:bookmarkStart w:id="315" w:name="_Toc482021377"/>
      <w:bookmarkStart w:id="316" w:name="_Toc482024468"/>
      <w:bookmarkStart w:id="317" w:name="_Toc487011226"/>
      <w:bookmarkStart w:id="318" w:name="_Toc381263156"/>
      <w:bookmarkStart w:id="319" w:name="_Toc529117476"/>
      <w:bookmarkStart w:id="320" w:name="_Toc532474376"/>
      <w:r w:rsidRPr="0047058F">
        <w:t>Depressive symptoms (PHQ-9)</w:t>
      </w:r>
      <w:bookmarkStart w:id="321" w:name="_Toc482011765"/>
      <w:bookmarkEnd w:id="315"/>
      <w:bookmarkEnd w:id="316"/>
      <w:bookmarkEnd w:id="317"/>
      <w:bookmarkEnd w:id="318"/>
      <w:bookmarkEnd w:id="321"/>
      <w:r w:rsidRPr="0047058F">
        <w:t xml:space="preserve"> in the longitudinal cohort</w:t>
      </w:r>
      <w:bookmarkEnd w:id="319"/>
      <w:bookmarkEnd w:id="320"/>
    </w:p>
    <w:p w14:paraId="0A43FEAA" w14:textId="77777777" w:rsidR="00B93A94" w:rsidRPr="0047058F" w:rsidRDefault="00B93A94" w:rsidP="00AA7A7D">
      <w:pPr>
        <w:keepNext/>
        <w:rPr>
          <w:rFonts w:cs="Calibri"/>
        </w:rPr>
      </w:pPr>
      <w:r w:rsidRPr="0047058F">
        <w:rPr>
          <w:rFonts w:cs="Calibri"/>
        </w:rPr>
        <w:t>This section looks at self-reported depressive symptomatology reported by the longitudinal cohort across two time points: the 2010 MHPWS assessment, and the 2015 Transition and Wellbeing Research Programme assessment.</w:t>
      </w:r>
    </w:p>
    <w:p w14:paraId="6D8D7A20" w14:textId="4BCBE718" w:rsidR="00B93A94" w:rsidRPr="0047058F" w:rsidRDefault="00B93A94" w:rsidP="00AA7A7D">
      <w:pPr>
        <w:keepNext/>
        <w:keepLines/>
        <w:rPr>
          <w:rFonts w:cs="Calibri"/>
        </w:rPr>
      </w:pPr>
      <w:r w:rsidRPr="0047058F">
        <w:rPr>
          <w:rFonts w:cs="Calibri"/>
        </w:rPr>
        <w:t>The nine items forming the depression module of the Patient Health Questionnaire 9</w:t>
      </w:r>
      <w:r w:rsidRPr="0047058F">
        <w:rPr>
          <w:rFonts w:cs="Calibri"/>
        </w:rPr>
        <w:noBreakHyphen/>
        <w:t xml:space="preserve">item scale (PHQ-9) were designed to correspond with the nine criteria used to form a diagnosis of </w:t>
      </w:r>
      <w:r w:rsidRPr="0047058F">
        <w:rPr>
          <w:i/>
        </w:rPr>
        <w:t>Diagnostic and Statistical Manual of Mental Disorders, Fourth Edition</w:t>
      </w:r>
      <w:r w:rsidRPr="0047058F">
        <w:rPr>
          <w:rFonts w:cs="Calibri"/>
        </w:rPr>
        <w:t xml:space="preserve"> (DSM-IV) depressive disorder (Kroenke et al., 2001). Participants rated the severity of each symptom item over the past two weeks on a 4-point (i.e. 0 to 3) Likert scale. Items were then summed to generate a continuous measure of depressive symptoms (with possible scores ranging from 0 to 27). The PHQ-9 is widely used and has shown strong psychometric properties, including high diagnostic validity, internal consistency, and test</w:t>
      </w:r>
      <w:r w:rsidR="00D308EE">
        <w:rPr>
          <w:rFonts w:cs="Calibri"/>
        </w:rPr>
        <w:t>–</w:t>
      </w:r>
      <w:r w:rsidRPr="0047058F">
        <w:rPr>
          <w:rFonts w:cs="Calibri"/>
        </w:rPr>
        <w:t>retest reliability (Gilbody, Richards, Brealey &amp; Hewitt, 2007; Kroenke et al., 2001; Manea, Gilbody &amp; McMillan, 2012; Wittkampf, Naeije, Schene, Huyser &amp; van Weert, 2007).</w:t>
      </w:r>
    </w:p>
    <w:p w14:paraId="67930A92" w14:textId="77777777" w:rsidR="00B93A94" w:rsidRPr="0047058F" w:rsidRDefault="00B93A94" w:rsidP="00B93A94">
      <w:pPr>
        <w:rPr>
          <w:rFonts w:cs="Calibri"/>
        </w:rPr>
      </w:pPr>
      <w:r w:rsidRPr="0047058F">
        <w:rPr>
          <w:rFonts w:cs="Calibri"/>
        </w:rPr>
        <w:t>In addition to mean PHQ-9 scores, two sets of cut-off values derived from the 2010 ADF Mental Health Prevalence and Wellbeing Study were used in this section of the report: an optimal epidemiological cut-off of 18 and an optimal screening cut-off of 6.</w:t>
      </w:r>
    </w:p>
    <w:p w14:paraId="0F096114" w14:textId="77777777" w:rsidR="00B93A94" w:rsidRPr="0047058F" w:rsidRDefault="00B93A94" w:rsidP="00B93A94">
      <w:pPr>
        <w:rPr>
          <w:rFonts w:cs="Calibri"/>
        </w:rPr>
      </w:pPr>
      <w:r w:rsidRPr="0047058F">
        <w:rPr>
          <w:rFonts w:cs="Calibri"/>
        </w:rPr>
        <w:t>The optimal screening cut-off is the value that maximises the sum of the sensitivity and specificity (the proportion of those with and without an affective disorder who are correctly classified) and can be used to identify individuals who might need care, while the epidemiological cut-off is much more stringent and is therefore used as an indicator of probable disorder.</w:t>
      </w:r>
    </w:p>
    <w:p w14:paraId="75DDEE2A" w14:textId="77777777" w:rsidR="00B93A94" w:rsidRPr="0047058F" w:rsidRDefault="00B93A94" w:rsidP="00B93A94">
      <w:r w:rsidRPr="0047058F">
        <w:rPr>
          <w:color w:val="000000" w:themeColor="text1"/>
        </w:rPr>
        <w:t>Table 5.13</w:t>
      </w:r>
      <w:r w:rsidRPr="0047058F">
        <w:t xml:space="preserve"> and Figure 5.13 show mean PHQ-9 scores in 2010 and 2015 for the longitudinal cohort according to whether they had transitioned or remained in the Regular ADF in 2015.</w:t>
      </w:r>
    </w:p>
    <w:p w14:paraId="5E06C069" w14:textId="77777777" w:rsidR="00B93A94" w:rsidRPr="0047058F" w:rsidRDefault="00B93A94" w:rsidP="00B93A94">
      <w:r w:rsidRPr="0047058F">
        <w:t>Mean PHQ-9 scores were 3.1 (SE 0.0) in 2010, and increased to 5.3 (SE 0.1) in 2015. Those who had transitioned reported higher mean scores than those who remained in the Regular ADF at both time points, but this difference was greater in 2015 (2010: 3.9 (SE 0.1) vs 2.8 (SE 0.0), 2015: 6.9 (SE 0.2) vs 4.7 (SE 0.1)). Scores increased slightly more between 2010 and 2015 for those who transitioned compared to those who remained in the Regular ADF.</w:t>
      </w:r>
    </w:p>
    <w:p w14:paraId="44105F6D" w14:textId="77777777" w:rsidR="00B93A94" w:rsidRPr="0047058F" w:rsidRDefault="00B93A94" w:rsidP="00577DF5">
      <w:pPr>
        <w:pStyle w:val="TableName"/>
      </w:pPr>
      <w:bookmarkStart w:id="322" w:name="_Ref384557832"/>
      <w:bookmarkStart w:id="323" w:name="_Toc529117525"/>
      <w:bookmarkStart w:id="324" w:name="_Toc532473595"/>
      <w:r w:rsidRPr="0047058F">
        <w:t>Table 5.13</w:t>
      </w:r>
      <w:bookmarkEnd w:id="322"/>
      <w:r w:rsidRPr="0047058F">
        <w:tab/>
        <w:t>Mean PHQ-9 scores in Transitioned ADF and 2015 Regular ADF in the longitudinal cohort</w:t>
      </w:r>
      <w:bookmarkEnd w:id="323"/>
      <w:bookmarkEnd w:id="324"/>
    </w:p>
    <w:tbl>
      <w:tblPr>
        <w:tblStyle w:val="TWRPTable"/>
        <w:tblW w:w="5000" w:type="pct"/>
        <w:tblLayout w:type="fixed"/>
        <w:tblLook w:val="04A0" w:firstRow="1" w:lastRow="0" w:firstColumn="1" w:lastColumn="0" w:noHBand="0" w:noVBand="1"/>
        <w:tblDescription w:val="Table 5.13 Mean PHQ-9 scores in Transitioned ADF and 2015 Regular ADF in the longitudinal cohort"/>
      </w:tblPr>
      <w:tblGrid>
        <w:gridCol w:w="3528"/>
        <w:gridCol w:w="631"/>
        <w:gridCol w:w="631"/>
        <w:gridCol w:w="631"/>
        <w:gridCol w:w="631"/>
        <w:gridCol w:w="631"/>
        <w:gridCol w:w="632"/>
      </w:tblGrid>
      <w:tr w:rsidR="00B93A94" w:rsidRPr="0047058F" w14:paraId="6F3D8D83"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528" w:type="dxa"/>
            <w:tcBorders>
              <w:top w:val="single" w:sz="4" w:space="0" w:color="000000"/>
              <w:bottom w:val="nil"/>
            </w:tcBorders>
          </w:tcPr>
          <w:p w14:paraId="4329A5EC" w14:textId="77777777" w:rsidR="00B93A94" w:rsidRPr="0047058F" w:rsidRDefault="00B93A94" w:rsidP="001340FD">
            <w:pPr>
              <w:pStyle w:val="TableText"/>
            </w:pPr>
          </w:p>
        </w:tc>
        <w:tc>
          <w:tcPr>
            <w:tcW w:w="1262" w:type="dxa"/>
            <w:gridSpan w:val="2"/>
            <w:hideMark/>
          </w:tcPr>
          <w:p w14:paraId="2FCF39F5" w14:textId="77777777" w:rsidR="00B93A94" w:rsidRPr="0047058F" w:rsidRDefault="00B93A94" w:rsidP="001340FD">
            <w:pPr>
              <w:pStyle w:val="TableText"/>
              <w:jc w:val="center"/>
            </w:pPr>
            <w:r w:rsidRPr="0047058F">
              <w:t>Transitioned ADF</w:t>
            </w:r>
            <w:r w:rsidRPr="0047058F">
              <w:br/>
              <w:t>n = 5607</w:t>
            </w:r>
          </w:p>
        </w:tc>
        <w:tc>
          <w:tcPr>
            <w:tcW w:w="1262" w:type="dxa"/>
            <w:gridSpan w:val="2"/>
            <w:hideMark/>
          </w:tcPr>
          <w:p w14:paraId="3BEF4312" w14:textId="77777777" w:rsidR="00B93A94" w:rsidRPr="0047058F" w:rsidRDefault="00B93A94" w:rsidP="001340FD">
            <w:pPr>
              <w:pStyle w:val="TableText"/>
              <w:jc w:val="center"/>
            </w:pPr>
            <w:r w:rsidRPr="0047058F">
              <w:rPr>
                <w:bCs/>
              </w:rPr>
              <w:t>2015 Regular ADF</w:t>
            </w:r>
            <w:r w:rsidRPr="0047058F">
              <w:rPr>
                <w:bCs/>
              </w:rPr>
              <w:br/>
            </w:r>
            <w:r w:rsidRPr="0047058F">
              <w:t>n = 2105</w:t>
            </w:r>
          </w:p>
        </w:tc>
        <w:tc>
          <w:tcPr>
            <w:tcW w:w="1263" w:type="dxa"/>
            <w:gridSpan w:val="2"/>
          </w:tcPr>
          <w:p w14:paraId="64ECE5EC" w14:textId="77777777" w:rsidR="00B93A94" w:rsidRPr="0047058F" w:rsidRDefault="00B93A94" w:rsidP="001340FD">
            <w:pPr>
              <w:pStyle w:val="TableText"/>
              <w:jc w:val="center"/>
              <w:rPr>
                <w:bCs/>
              </w:rPr>
            </w:pPr>
            <w:r w:rsidRPr="0047058F">
              <w:rPr>
                <w:bCs/>
              </w:rPr>
              <w:t>Total</w:t>
            </w:r>
            <w:r w:rsidRPr="0047058F">
              <w:rPr>
                <w:bCs/>
              </w:rPr>
              <w:br/>
              <w:t>n = 7712</w:t>
            </w:r>
          </w:p>
        </w:tc>
      </w:tr>
      <w:tr w:rsidR="00B93A94" w:rsidRPr="0047058F" w14:paraId="338E9574"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528" w:type="dxa"/>
            <w:tcBorders>
              <w:top w:val="nil"/>
            </w:tcBorders>
          </w:tcPr>
          <w:p w14:paraId="276AC152" w14:textId="77777777" w:rsidR="00B93A94" w:rsidRPr="0047058F" w:rsidRDefault="00B93A94" w:rsidP="001340FD">
            <w:pPr>
              <w:pStyle w:val="TableText"/>
            </w:pPr>
            <w:r w:rsidRPr="0047058F">
              <w:rPr>
                <w:rFonts w:cs="Arial"/>
              </w:rPr>
              <w:t>PHQ-9</w:t>
            </w:r>
          </w:p>
        </w:tc>
        <w:tc>
          <w:tcPr>
            <w:tcW w:w="631" w:type="dxa"/>
          </w:tcPr>
          <w:p w14:paraId="45871B77" w14:textId="77777777" w:rsidR="00B93A94" w:rsidRPr="0047058F" w:rsidRDefault="00B93A94" w:rsidP="001340FD">
            <w:pPr>
              <w:pStyle w:val="TableText"/>
              <w:jc w:val="right"/>
              <w:rPr>
                <w:rFonts w:cs="Arial"/>
                <w:bCs/>
              </w:rPr>
            </w:pPr>
            <w:r w:rsidRPr="0047058F">
              <w:rPr>
                <w:rFonts w:cs="Arial"/>
                <w:bCs/>
              </w:rPr>
              <w:t>Mean</w:t>
            </w:r>
          </w:p>
        </w:tc>
        <w:tc>
          <w:tcPr>
            <w:tcW w:w="631" w:type="dxa"/>
          </w:tcPr>
          <w:p w14:paraId="6B35724E" w14:textId="77777777" w:rsidR="00B93A94" w:rsidRPr="0047058F" w:rsidRDefault="00B93A94" w:rsidP="001340FD">
            <w:pPr>
              <w:pStyle w:val="TableText"/>
              <w:jc w:val="right"/>
              <w:rPr>
                <w:rFonts w:cs="Arial"/>
                <w:bCs/>
              </w:rPr>
            </w:pPr>
            <w:r w:rsidRPr="0047058F">
              <w:rPr>
                <w:rFonts w:cs="Arial"/>
                <w:bCs/>
              </w:rPr>
              <w:t>SE</w:t>
            </w:r>
          </w:p>
        </w:tc>
        <w:tc>
          <w:tcPr>
            <w:tcW w:w="631" w:type="dxa"/>
          </w:tcPr>
          <w:p w14:paraId="7C6EFE83" w14:textId="77777777" w:rsidR="00B93A94" w:rsidRPr="0047058F" w:rsidRDefault="00B93A94" w:rsidP="001340FD">
            <w:pPr>
              <w:pStyle w:val="TableText"/>
              <w:jc w:val="right"/>
              <w:rPr>
                <w:rFonts w:cs="Arial"/>
                <w:bCs/>
              </w:rPr>
            </w:pPr>
            <w:r w:rsidRPr="0047058F">
              <w:rPr>
                <w:rFonts w:cs="Arial"/>
                <w:bCs/>
              </w:rPr>
              <w:t>Mean</w:t>
            </w:r>
          </w:p>
        </w:tc>
        <w:tc>
          <w:tcPr>
            <w:tcW w:w="631" w:type="dxa"/>
          </w:tcPr>
          <w:p w14:paraId="4926E23F" w14:textId="77777777" w:rsidR="00B93A94" w:rsidRPr="0047058F" w:rsidRDefault="00B93A94" w:rsidP="001340FD">
            <w:pPr>
              <w:pStyle w:val="TableText"/>
              <w:jc w:val="right"/>
              <w:rPr>
                <w:rFonts w:cs="Arial"/>
                <w:bCs/>
              </w:rPr>
            </w:pPr>
            <w:r w:rsidRPr="0047058F">
              <w:rPr>
                <w:rFonts w:cs="Arial"/>
                <w:bCs/>
              </w:rPr>
              <w:t>SE</w:t>
            </w:r>
          </w:p>
        </w:tc>
        <w:tc>
          <w:tcPr>
            <w:tcW w:w="631" w:type="dxa"/>
          </w:tcPr>
          <w:p w14:paraId="73C2720F" w14:textId="77777777" w:rsidR="00B93A94" w:rsidRPr="0047058F" w:rsidRDefault="00B93A94" w:rsidP="001340FD">
            <w:pPr>
              <w:pStyle w:val="TableText"/>
              <w:jc w:val="right"/>
              <w:rPr>
                <w:rFonts w:cs="Arial"/>
                <w:bCs/>
              </w:rPr>
            </w:pPr>
            <w:r w:rsidRPr="0047058F">
              <w:rPr>
                <w:rFonts w:cs="Arial"/>
                <w:bCs/>
              </w:rPr>
              <w:t>Mean</w:t>
            </w:r>
          </w:p>
        </w:tc>
        <w:tc>
          <w:tcPr>
            <w:tcW w:w="632" w:type="dxa"/>
          </w:tcPr>
          <w:p w14:paraId="059EAE3A" w14:textId="77777777" w:rsidR="00B93A94" w:rsidRPr="0047058F" w:rsidRDefault="00B93A94" w:rsidP="001340FD">
            <w:pPr>
              <w:pStyle w:val="TableText"/>
              <w:jc w:val="right"/>
              <w:rPr>
                <w:rFonts w:cs="Arial"/>
                <w:bCs/>
              </w:rPr>
            </w:pPr>
            <w:r w:rsidRPr="0047058F">
              <w:rPr>
                <w:rFonts w:cs="Arial"/>
                <w:bCs/>
              </w:rPr>
              <w:t>SE</w:t>
            </w:r>
          </w:p>
        </w:tc>
      </w:tr>
      <w:tr w:rsidR="00B93A94" w:rsidRPr="0047058F" w14:paraId="19782961"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3528" w:type="dxa"/>
          </w:tcPr>
          <w:p w14:paraId="00084754" w14:textId="77777777" w:rsidR="00B93A94" w:rsidRPr="0047058F" w:rsidRDefault="00B93A94" w:rsidP="001340FD">
            <w:pPr>
              <w:pStyle w:val="TableText"/>
              <w:rPr>
                <w:rFonts w:cs="Calibri"/>
                <w:szCs w:val="14"/>
              </w:rPr>
            </w:pPr>
            <w:r w:rsidRPr="0047058F">
              <w:rPr>
                <w:rFonts w:cs="Calibri"/>
                <w:szCs w:val="14"/>
              </w:rPr>
              <w:t>2010 ADF Mental Health Prevalence and Wellbeing Study</w:t>
            </w:r>
          </w:p>
        </w:tc>
        <w:tc>
          <w:tcPr>
            <w:tcW w:w="631" w:type="dxa"/>
          </w:tcPr>
          <w:p w14:paraId="58A5203B" w14:textId="77777777" w:rsidR="00B93A94" w:rsidRPr="0047058F" w:rsidRDefault="00B93A94" w:rsidP="001340FD">
            <w:pPr>
              <w:pStyle w:val="TableText"/>
              <w:jc w:val="right"/>
            </w:pPr>
            <w:r w:rsidRPr="0047058F">
              <w:rPr>
                <w:rFonts w:eastAsia="Times New Roman" w:cs="Arial"/>
              </w:rPr>
              <w:t>3.9</w:t>
            </w:r>
          </w:p>
        </w:tc>
        <w:tc>
          <w:tcPr>
            <w:tcW w:w="631" w:type="dxa"/>
          </w:tcPr>
          <w:p w14:paraId="51D2528C" w14:textId="77777777" w:rsidR="00B93A94" w:rsidRPr="0047058F" w:rsidRDefault="00B93A94" w:rsidP="001340FD">
            <w:pPr>
              <w:pStyle w:val="TableText"/>
              <w:jc w:val="right"/>
            </w:pPr>
            <w:r w:rsidRPr="0047058F">
              <w:rPr>
                <w:rFonts w:eastAsia="Times New Roman" w:cs="Arial"/>
              </w:rPr>
              <w:t>0.1</w:t>
            </w:r>
          </w:p>
        </w:tc>
        <w:tc>
          <w:tcPr>
            <w:tcW w:w="631" w:type="dxa"/>
          </w:tcPr>
          <w:p w14:paraId="0CB5A78B" w14:textId="77777777" w:rsidR="00B93A94" w:rsidRPr="0047058F" w:rsidRDefault="00B93A94" w:rsidP="001340FD">
            <w:pPr>
              <w:pStyle w:val="TableText"/>
              <w:jc w:val="right"/>
            </w:pPr>
            <w:r w:rsidRPr="0047058F">
              <w:rPr>
                <w:rFonts w:eastAsia="Times New Roman" w:cs="Arial"/>
              </w:rPr>
              <w:t>2.8</w:t>
            </w:r>
          </w:p>
        </w:tc>
        <w:tc>
          <w:tcPr>
            <w:tcW w:w="631" w:type="dxa"/>
          </w:tcPr>
          <w:p w14:paraId="2FE93B71" w14:textId="77777777" w:rsidR="00B93A94" w:rsidRPr="0047058F" w:rsidRDefault="00B93A94" w:rsidP="001340FD">
            <w:pPr>
              <w:pStyle w:val="TableText"/>
              <w:jc w:val="right"/>
            </w:pPr>
            <w:r w:rsidRPr="0047058F">
              <w:rPr>
                <w:rFonts w:eastAsia="Times New Roman" w:cs="Arial"/>
              </w:rPr>
              <w:t>0.0</w:t>
            </w:r>
          </w:p>
        </w:tc>
        <w:tc>
          <w:tcPr>
            <w:tcW w:w="631" w:type="dxa"/>
          </w:tcPr>
          <w:p w14:paraId="219A1D84" w14:textId="77777777" w:rsidR="00B93A94" w:rsidRPr="0047058F" w:rsidRDefault="00B93A94" w:rsidP="001340FD">
            <w:pPr>
              <w:pStyle w:val="TableText"/>
              <w:jc w:val="right"/>
            </w:pPr>
            <w:r w:rsidRPr="0047058F">
              <w:rPr>
                <w:rFonts w:eastAsia="Times New Roman" w:cs="Arial"/>
              </w:rPr>
              <w:t>3.1</w:t>
            </w:r>
          </w:p>
        </w:tc>
        <w:tc>
          <w:tcPr>
            <w:tcW w:w="632" w:type="dxa"/>
          </w:tcPr>
          <w:p w14:paraId="306B2506" w14:textId="77777777" w:rsidR="00B93A94" w:rsidRPr="0047058F" w:rsidRDefault="00B93A94" w:rsidP="001340FD">
            <w:pPr>
              <w:pStyle w:val="TableText"/>
              <w:jc w:val="right"/>
            </w:pPr>
            <w:r w:rsidRPr="0047058F">
              <w:rPr>
                <w:rFonts w:eastAsia="Times New Roman" w:cs="Arial"/>
              </w:rPr>
              <w:t>0.0</w:t>
            </w:r>
          </w:p>
        </w:tc>
      </w:tr>
      <w:tr w:rsidR="00B93A94" w:rsidRPr="0047058F" w14:paraId="4CBA210F" w14:textId="77777777" w:rsidTr="001340FD">
        <w:trPr>
          <w:cantSplit/>
        </w:trPr>
        <w:tc>
          <w:tcPr>
            <w:tcW w:w="3528" w:type="dxa"/>
          </w:tcPr>
          <w:p w14:paraId="31D82BAE" w14:textId="77777777" w:rsidR="00B93A94" w:rsidRPr="0047058F" w:rsidRDefault="00B93A94" w:rsidP="001340FD">
            <w:pPr>
              <w:pStyle w:val="TableText"/>
              <w:rPr>
                <w:rFonts w:cs="Calibri"/>
                <w:szCs w:val="14"/>
              </w:rPr>
            </w:pPr>
            <w:r w:rsidRPr="0047058F">
              <w:rPr>
                <w:rFonts w:cs="Calibri"/>
                <w:szCs w:val="14"/>
              </w:rPr>
              <w:t>2015 Transition and Wellbeing Research Programme</w:t>
            </w:r>
          </w:p>
        </w:tc>
        <w:tc>
          <w:tcPr>
            <w:tcW w:w="631" w:type="dxa"/>
          </w:tcPr>
          <w:p w14:paraId="4D1089F4" w14:textId="77777777" w:rsidR="00B93A94" w:rsidRPr="0047058F" w:rsidRDefault="00B93A94" w:rsidP="001340FD">
            <w:pPr>
              <w:pStyle w:val="TableText"/>
              <w:jc w:val="right"/>
            </w:pPr>
            <w:r w:rsidRPr="0047058F">
              <w:rPr>
                <w:rFonts w:eastAsia="Times New Roman" w:cs="Arial"/>
              </w:rPr>
              <w:t>6.9</w:t>
            </w:r>
          </w:p>
        </w:tc>
        <w:tc>
          <w:tcPr>
            <w:tcW w:w="631" w:type="dxa"/>
          </w:tcPr>
          <w:p w14:paraId="0E892405" w14:textId="77777777" w:rsidR="00B93A94" w:rsidRPr="0047058F" w:rsidRDefault="00B93A94" w:rsidP="001340FD">
            <w:pPr>
              <w:pStyle w:val="TableText"/>
              <w:jc w:val="right"/>
            </w:pPr>
            <w:r w:rsidRPr="0047058F">
              <w:rPr>
                <w:rFonts w:eastAsia="Times New Roman" w:cs="Arial"/>
              </w:rPr>
              <w:t>0.2</w:t>
            </w:r>
          </w:p>
        </w:tc>
        <w:tc>
          <w:tcPr>
            <w:tcW w:w="631" w:type="dxa"/>
          </w:tcPr>
          <w:p w14:paraId="3E378725" w14:textId="77777777" w:rsidR="00B93A94" w:rsidRPr="0047058F" w:rsidRDefault="00B93A94" w:rsidP="001340FD">
            <w:pPr>
              <w:pStyle w:val="TableText"/>
              <w:jc w:val="right"/>
            </w:pPr>
            <w:r w:rsidRPr="0047058F">
              <w:rPr>
                <w:rFonts w:eastAsia="Times New Roman" w:cs="Arial"/>
              </w:rPr>
              <w:t>4.7</w:t>
            </w:r>
          </w:p>
        </w:tc>
        <w:tc>
          <w:tcPr>
            <w:tcW w:w="631" w:type="dxa"/>
          </w:tcPr>
          <w:p w14:paraId="73485A2C" w14:textId="77777777" w:rsidR="00B93A94" w:rsidRPr="0047058F" w:rsidRDefault="00B93A94" w:rsidP="001340FD">
            <w:pPr>
              <w:pStyle w:val="TableText"/>
              <w:jc w:val="right"/>
            </w:pPr>
            <w:r w:rsidRPr="0047058F">
              <w:rPr>
                <w:rFonts w:eastAsia="Times New Roman" w:cs="Arial"/>
              </w:rPr>
              <w:t>0.1</w:t>
            </w:r>
          </w:p>
        </w:tc>
        <w:tc>
          <w:tcPr>
            <w:tcW w:w="631" w:type="dxa"/>
          </w:tcPr>
          <w:p w14:paraId="39B851FB" w14:textId="77777777" w:rsidR="00B93A94" w:rsidRPr="0047058F" w:rsidRDefault="00B93A94" w:rsidP="001340FD">
            <w:pPr>
              <w:pStyle w:val="TableText"/>
              <w:jc w:val="right"/>
            </w:pPr>
            <w:r w:rsidRPr="0047058F">
              <w:rPr>
                <w:rFonts w:eastAsia="Times New Roman" w:cs="Arial"/>
              </w:rPr>
              <w:t>5.3</w:t>
            </w:r>
          </w:p>
        </w:tc>
        <w:tc>
          <w:tcPr>
            <w:tcW w:w="632" w:type="dxa"/>
          </w:tcPr>
          <w:p w14:paraId="6F2DD7BB" w14:textId="77777777" w:rsidR="00B93A94" w:rsidRPr="0047058F" w:rsidRDefault="00B93A94" w:rsidP="001340FD">
            <w:pPr>
              <w:pStyle w:val="TableText"/>
              <w:jc w:val="right"/>
            </w:pPr>
            <w:r w:rsidRPr="0047058F">
              <w:rPr>
                <w:rFonts w:eastAsia="Times New Roman" w:cs="Arial"/>
              </w:rPr>
              <w:t>0.1</w:t>
            </w:r>
          </w:p>
        </w:tc>
      </w:tr>
    </w:tbl>
    <w:p w14:paraId="1B932DAB" w14:textId="77777777" w:rsidR="00B93A94" w:rsidRPr="00AA7A7D" w:rsidRDefault="00B93A94" w:rsidP="00AA7A7D">
      <w:pPr>
        <w:pStyle w:val="TableNotes"/>
      </w:pPr>
      <w:r w:rsidRPr="0047058F">
        <w:t>Note: Unweighted data.</w:t>
      </w:r>
    </w:p>
    <w:p w14:paraId="784BBE34" w14:textId="77777777" w:rsidR="00B93A94" w:rsidRPr="00AA7A7D" w:rsidRDefault="00B93A94" w:rsidP="00AA7A7D">
      <w:pPr>
        <w:pStyle w:val="FigureName"/>
      </w:pPr>
      <w:bookmarkStart w:id="325" w:name="_Ref387053767"/>
      <w:bookmarkStart w:id="326" w:name="_Toc529117577"/>
      <w:bookmarkStart w:id="327" w:name="_Toc532473650"/>
      <w:r w:rsidRPr="0047058F">
        <w:t>Figure 5.13</w:t>
      </w:r>
      <w:bookmarkEnd w:id="325"/>
      <w:r w:rsidRPr="0047058F">
        <w:tab/>
        <w:t>Mean PHQ-9 scores in Transitioned ADF and Regular ADF in the longitudinal cohort</w:t>
      </w:r>
      <w:bookmarkEnd w:id="326"/>
      <w:bookmarkEnd w:id="327"/>
    </w:p>
    <w:p w14:paraId="0CCCBCDE" w14:textId="77777777" w:rsidR="002D6AF4" w:rsidRPr="0047058F" w:rsidRDefault="00B93A94" w:rsidP="00AA7A7D">
      <w:pPr>
        <w:spacing w:after="360"/>
      </w:pPr>
      <w:r w:rsidRPr="0047058F">
        <w:rPr>
          <w:noProof/>
          <w:lang w:eastAsia="en-AU"/>
        </w:rPr>
        <w:drawing>
          <wp:inline distT="0" distB="0" distL="0" distR="0" wp14:anchorId="70FE3F6E" wp14:editId="6F934B37">
            <wp:extent cx="4572000" cy="2743200"/>
            <wp:effectExtent l="0" t="0" r="0" b="0"/>
            <wp:docPr id="27" name="Chart 27" descr="Figure 5.13 Mean PHQ-9 scores in Transitioned ADF and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763A63" w14:textId="77777777" w:rsidR="00B93A94" w:rsidRPr="0047058F" w:rsidRDefault="00B93A94" w:rsidP="00AA7A7D">
      <w:pPr>
        <w:spacing w:after="180" w:line="268" w:lineRule="atLeast"/>
      </w:pPr>
      <w:r w:rsidRPr="0047058F">
        <w:t>Table 5.14 and Figure 5.14, Table 5.15 and Figure 5.15, and Table 5.16 and Figure 5.16 show the p</w:t>
      </w:r>
      <w:r w:rsidRPr="0047058F">
        <w:rPr>
          <w:bCs/>
        </w:rPr>
        <w:t>roportion of those with no disorder, subsyndromal disorder and probable disorder on the PHQ-9 in 2010 cross-tabulated by the same grouping of PHQ-9 scores in 2015 among the entire longitudinal cohort, and according to whether they had transitioned or remained in the Regular ADF in 2015.</w:t>
      </w:r>
    </w:p>
    <w:p w14:paraId="43AAA21C" w14:textId="77777777" w:rsidR="00B93A94" w:rsidRPr="0047058F" w:rsidRDefault="00B93A94" w:rsidP="00AA7A7D">
      <w:pPr>
        <w:spacing w:line="268" w:lineRule="atLeast"/>
      </w:pPr>
      <w:r w:rsidRPr="0047058F">
        <w:t>In 2010, 80.4% of the sample did not have a disorder on the PHQ-9, 18.1% had a subsyndromal disorder and 1.5% had a probable disorder. In 2015, only 63.8% did not have a disorder, with subsyndromal disorder increasing to 30.7% and probable disorder to 5.5%. Of those with no disorder in 2010, 72.3% remained this way in 2015, while 24.8% became new cases of subsyndromal disorder and 3.0% became new cases of probable disorder. Over half of those who had subsyndromal disorder in 2010 also did in 2015 (55.4%), while 30.5% no longer met criteria for disorder on the PHQ-9, and 14.2% were new cases of probable disorder. Of those meeting probable disorder in 2010, 39.5% still had a probable disorder in 2015, 48.2% were subsyndromal and 12.3% had no disorder.</w:t>
      </w:r>
    </w:p>
    <w:p w14:paraId="66AA3A2C" w14:textId="77777777" w:rsidR="00AA7A7D" w:rsidRPr="0047058F" w:rsidRDefault="00AA7A7D" w:rsidP="00B93A94">
      <w:bookmarkStart w:id="328" w:name="_Ref384557883"/>
      <w:bookmarkStart w:id="329" w:name="_Toc529117526"/>
      <w:r w:rsidRPr="0047058F">
        <w:t>Among those who had transitioned, 73.7% had no disorder on the PHQ-9 in 2010, 23.6% had subsyndromal disorder and 2.7% had probable disorder. In 2015, those with no disorder reduced substantially to 54.9%, and those with subsyndromal disorder increased to 33.6% and probable disorder to 11.5%. Of those with no disorder on the PHQ-9 in 2010, 66.1% also had no disorder in 2015, 27.4% had subsyndromal disorder and 6.4% had probable disorder. There were 51.9% who had subsyndromal disorder at both time points, with 24.9% of subsyndromal in 2010 having no disorder in 2015, and 23.1% having probable disorder. Of those with probable disorder in 2010, 48.2% also met criteria for probable disorder in 2015, 41.1% met criteria for subsyndromal disorder and 10.7% no longer met criteria for disorder.</w:t>
      </w:r>
    </w:p>
    <w:p w14:paraId="24F685EF" w14:textId="77777777" w:rsidR="00AA7A7D" w:rsidRPr="0047058F" w:rsidRDefault="00AA7A7D" w:rsidP="00B93A94">
      <w:r w:rsidRPr="0047058F">
        <w:t>Those who remained in the Regular ADF reported lower levels of disorder on the PHQ</w:t>
      </w:r>
      <w:r w:rsidRPr="0047058F">
        <w:noBreakHyphen/>
        <w:t>9 in 2010 and 2015 compared to those who had transitioned. In 2010, 82.9% of those remaining in the Regular ADF had no disorder on the PHQ-9, 16.1% had subsyndromal disorder and 1.0% had probable disorder. In 2015, 67.1% had no disorder on the PHQ-9, and subsyndromal disorder increased to 29.6% and probable disorder to 3.3%. Of those who had no disorder in 2010, 74.3% still had no disorder in 2015, 23.9% were cases of subsyndromal disorder and 1.8% were new cases of probable disorder. Of those who were subsyndromal in 2010, 57.3% remained subsyndromal, 33.5% no longer had a disorder on the PHQ-9, and 9.2% developed a probable disorder. Of those with probable disorder in 2010, 31.0% remained in this group at 2015, 55.2% had subsyndromal disorder and 13.8% no longer had a disorder.</w:t>
      </w:r>
    </w:p>
    <w:p w14:paraId="207CF90B" w14:textId="77777777" w:rsidR="00AA7A7D" w:rsidRPr="0047058F" w:rsidRDefault="00AA7A7D" w:rsidP="00B93A94">
      <w:r w:rsidRPr="0047058F">
        <w:t>When comparing Transitioned ADF and 2015 Regular ADF, more 2015 Regular ADF who had no disorder on the PHQ-9 in 2010 remained disorder free in 2015 (74.3% vs 66.1%). Conversely, more Transitioned ADF who had probable disorder in 2010 remained cases of probable disorder in 2015 (48.2% vs 31.0%).</w:t>
      </w:r>
    </w:p>
    <w:p w14:paraId="0419E437" w14:textId="77777777" w:rsidR="00B93A94" w:rsidRPr="0047058F" w:rsidRDefault="00B93A94" w:rsidP="00B93A94">
      <w:pPr>
        <w:pStyle w:val="TableName"/>
      </w:pPr>
      <w:bookmarkStart w:id="330" w:name="_Toc532473596"/>
      <w:r w:rsidRPr="0047058F">
        <w:t>Table 5.14</w:t>
      </w:r>
      <w:bookmarkEnd w:id="328"/>
      <w:r w:rsidRPr="0047058F">
        <w:tab/>
        <w:t xml:space="preserve">Proportion of </w:t>
      </w:r>
      <w:r w:rsidRPr="0047058F">
        <w:rPr>
          <w:u w:val="single"/>
        </w:rPr>
        <w:t>entire longitudinal cohort</w:t>
      </w:r>
      <w:r w:rsidRPr="0047058F">
        <w:t xml:space="preserve"> with no disorder, subsyndromal disorder and probable disorder on PHQ-9 in 2010 and 2015 based on self-reported measures</w:t>
      </w:r>
      <w:bookmarkEnd w:id="329"/>
      <w:bookmarkEnd w:id="330"/>
    </w:p>
    <w:tbl>
      <w:tblPr>
        <w:tblStyle w:val="TWRPTable"/>
        <w:tblW w:w="0" w:type="auto"/>
        <w:tblLook w:val="04A0" w:firstRow="1" w:lastRow="0" w:firstColumn="1" w:lastColumn="0" w:noHBand="0" w:noVBand="1"/>
        <w:tblDescription w:val="Table 5.14 Proportion of entire longitudinal cohort with no disorder, subsyndromal disorder and probable disorder on PHQ-9 in 2010 and 2015 based on self-reported measures"/>
      </w:tblPr>
      <w:tblGrid>
        <w:gridCol w:w="2808"/>
        <w:gridCol w:w="576"/>
        <w:gridCol w:w="577"/>
        <w:gridCol w:w="559"/>
        <w:gridCol w:w="559"/>
        <w:gridCol w:w="559"/>
        <w:gridCol w:w="559"/>
        <w:gridCol w:w="559"/>
        <w:gridCol w:w="559"/>
      </w:tblGrid>
      <w:tr w:rsidR="00B93A94" w:rsidRPr="0047058F" w14:paraId="0FB28CDF"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val="restart"/>
          </w:tcPr>
          <w:p w14:paraId="7054D5DD" w14:textId="77777777" w:rsidR="00B93A94" w:rsidRPr="0047058F" w:rsidRDefault="00B93A94" w:rsidP="001340FD">
            <w:pPr>
              <w:pStyle w:val="TableText"/>
            </w:pPr>
            <w:r w:rsidRPr="0047058F">
              <w:t>2010 ADF Mental Health Prevalence and Wellbeing Study</w:t>
            </w:r>
          </w:p>
        </w:tc>
        <w:tc>
          <w:tcPr>
            <w:tcW w:w="0" w:type="auto"/>
            <w:gridSpan w:val="6"/>
          </w:tcPr>
          <w:p w14:paraId="019D6EDC" w14:textId="77777777" w:rsidR="00B93A94" w:rsidRPr="0047058F" w:rsidRDefault="00B93A94" w:rsidP="001340FD">
            <w:pPr>
              <w:pStyle w:val="TableText"/>
              <w:jc w:val="center"/>
            </w:pPr>
            <w:r w:rsidRPr="0047058F">
              <w:t>2015 Transition and Wellbeing Research Programme</w:t>
            </w:r>
          </w:p>
        </w:tc>
      </w:tr>
      <w:tr w:rsidR="00B93A94" w:rsidRPr="0047058F" w14:paraId="218DB7F5"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vMerge/>
          </w:tcPr>
          <w:p w14:paraId="4FD2FB2A" w14:textId="77777777" w:rsidR="00B93A94" w:rsidRPr="0047058F" w:rsidRDefault="00B93A94" w:rsidP="001340FD">
            <w:pPr>
              <w:pStyle w:val="TableText"/>
            </w:pPr>
          </w:p>
        </w:tc>
        <w:tc>
          <w:tcPr>
            <w:tcW w:w="1118" w:type="dxa"/>
            <w:gridSpan w:val="2"/>
            <w:hideMark/>
          </w:tcPr>
          <w:p w14:paraId="6BFA496B" w14:textId="77777777" w:rsidR="00B93A94" w:rsidRPr="0047058F" w:rsidRDefault="00B93A94" w:rsidP="001340FD">
            <w:pPr>
              <w:pStyle w:val="TableText"/>
              <w:jc w:val="center"/>
            </w:pPr>
            <w:r w:rsidRPr="0047058F">
              <w:t>No disorder</w:t>
            </w:r>
          </w:p>
        </w:tc>
        <w:tc>
          <w:tcPr>
            <w:tcW w:w="1118" w:type="dxa"/>
            <w:gridSpan w:val="2"/>
          </w:tcPr>
          <w:p w14:paraId="7BDF7738" w14:textId="77777777" w:rsidR="00B93A94" w:rsidRPr="0047058F" w:rsidRDefault="00B93A94" w:rsidP="001340FD">
            <w:pPr>
              <w:pStyle w:val="TableText"/>
              <w:jc w:val="center"/>
            </w:pPr>
            <w:r w:rsidRPr="0047058F">
              <w:t>Subsyndromal disorder</w:t>
            </w:r>
          </w:p>
        </w:tc>
        <w:tc>
          <w:tcPr>
            <w:tcW w:w="1118" w:type="dxa"/>
            <w:gridSpan w:val="2"/>
          </w:tcPr>
          <w:p w14:paraId="46ED882B" w14:textId="77777777" w:rsidR="00B93A94" w:rsidRPr="0047058F" w:rsidRDefault="00B93A94" w:rsidP="001340FD">
            <w:pPr>
              <w:pStyle w:val="TableText"/>
              <w:jc w:val="center"/>
            </w:pPr>
            <w:r w:rsidRPr="0047058F">
              <w:t>Probable disorder</w:t>
            </w:r>
          </w:p>
        </w:tc>
      </w:tr>
      <w:tr w:rsidR="00B93A94" w:rsidRPr="0047058F" w14:paraId="3933C4C1"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54D6FFC7" w14:textId="77777777" w:rsidR="00B93A94" w:rsidRPr="0047058F" w:rsidRDefault="00B93A94" w:rsidP="001340FD">
            <w:pPr>
              <w:pStyle w:val="TableText"/>
            </w:pPr>
            <w:r w:rsidRPr="0047058F">
              <w:rPr>
                <w:rFonts w:cs="Arial"/>
              </w:rPr>
              <w:t>PHQ-9</w:t>
            </w:r>
          </w:p>
        </w:tc>
        <w:tc>
          <w:tcPr>
            <w:tcW w:w="576" w:type="dxa"/>
          </w:tcPr>
          <w:p w14:paraId="571F63F6" w14:textId="77777777" w:rsidR="00B93A94" w:rsidRPr="0047058F" w:rsidRDefault="00B93A94" w:rsidP="001340FD">
            <w:pPr>
              <w:pStyle w:val="TableText"/>
              <w:jc w:val="right"/>
              <w:rPr>
                <w:rFonts w:cs="Arial"/>
              </w:rPr>
            </w:pPr>
            <w:r w:rsidRPr="0047058F">
              <w:rPr>
                <w:rFonts w:cs="Arial"/>
              </w:rPr>
              <w:t>n</w:t>
            </w:r>
          </w:p>
        </w:tc>
        <w:tc>
          <w:tcPr>
            <w:tcW w:w="577" w:type="dxa"/>
          </w:tcPr>
          <w:p w14:paraId="6A4AB912" w14:textId="77777777" w:rsidR="00B93A94" w:rsidRPr="0047058F" w:rsidRDefault="00B93A94" w:rsidP="001340FD">
            <w:pPr>
              <w:pStyle w:val="TableText"/>
              <w:jc w:val="right"/>
              <w:rPr>
                <w:rFonts w:cs="Arial"/>
              </w:rPr>
            </w:pPr>
            <w:r w:rsidRPr="0047058F">
              <w:rPr>
                <w:rFonts w:cs="Arial"/>
              </w:rPr>
              <w:t>%</w:t>
            </w:r>
          </w:p>
        </w:tc>
        <w:tc>
          <w:tcPr>
            <w:tcW w:w="559" w:type="dxa"/>
          </w:tcPr>
          <w:p w14:paraId="4FAAC62C" w14:textId="77777777" w:rsidR="00B93A94" w:rsidRPr="0047058F" w:rsidRDefault="00B93A94" w:rsidP="001340FD">
            <w:pPr>
              <w:pStyle w:val="TableText"/>
              <w:jc w:val="right"/>
              <w:rPr>
                <w:rFonts w:cs="Arial"/>
              </w:rPr>
            </w:pPr>
            <w:r w:rsidRPr="0047058F">
              <w:rPr>
                <w:rFonts w:cs="Arial"/>
              </w:rPr>
              <w:t>n</w:t>
            </w:r>
          </w:p>
        </w:tc>
        <w:tc>
          <w:tcPr>
            <w:tcW w:w="559" w:type="dxa"/>
          </w:tcPr>
          <w:p w14:paraId="65816FA2" w14:textId="77777777" w:rsidR="00B93A94" w:rsidRPr="0047058F" w:rsidRDefault="00B93A94" w:rsidP="001340FD">
            <w:pPr>
              <w:pStyle w:val="TableText"/>
              <w:jc w:val="right"/>
              <w:rPr>
                <w:rFonts w:cs="Arial"/>
              </w:rPr>
            </w:pPr>
            <w:r w:rsidRPr="0047058F">
              <w:rPr>
                <w:rFonts w:cs="Arial"/>
              </w:rPr>
              <w:t>%</w:t>
            </w:r>
          </w:p>
        </w:tc>
        <w:tc>
          <w:tcPr>
            <w:tcW w:w="559" w:type="dxa"/>
          </w:tcPr>
          <w:p w14:paraId="31A4780A" w14:textId="77777777" w:rsidR="00B93A94" w:rsidRPr="0047058F" w:rsidRDefault="00B93A94" w:rsidP="001340FD">
            <w:pPr>
              <w:pStyle w:val="TableText"/>
              <w:jc w:val="right"/>
              <w:rPr>
                <w:rFonts w:cs="Arial"/>
              </w:rPr>
            </w:pPr>
            <w:r w:rsidRPr="0047058F">
              <w:rPr>
                <w:rFonts w:cs="Arial"/>
              </w:rPr>
              <w:t>n</w:t>
            </w:r>
          </w:p>
        </w:tc>
        <w:tc>
          <w:tcPr>
            <w:tcW w:w="559" w:type="dxa"/>
          </w:tcPr>
          <w:p w14:paraId="0D9DD77A" w14:textId="77777777" w:rsidR="00B93A94" w:rsidRPr="0047058F" w:rsidRDefault="00B93A94" w:rsidP="001340FD">
            <w:pPr>
              <w:pStyle w:val="TableText"/>
              <w:jc w:val="right"/>
              <w:rPr>
                <w:rFonts w:cs="Arial"/>
              </w:rPr>
            </w:pPr>
            <w:r w:rsidRPr="0047058F">
              <w:rPr>
                <w:rFonts w:cs="Arial"/>
              </w:rPr>
              <w:t>%</w:t>
            </w:r>
          </w:p>
        </w:tc>
        <w:tc>
          <w:tcPr>
            <w:tcW w:w="559" w:type="dxa"/>
          </w:tcPr>
          <w:p w14:paraId="7B600D80" w14:textId="77777777" w:rsidR="00B93A94" w:rsidRPr="0047058F" w:rsidRDefault="00B93A94" w:rsidP="001340FD">
            <w:pPr>
              <w:pStyle w:val="TableText"/>
              <w:jc w:val="right"/>
              <w:rPr>
                <w:rFonts w:cs="Arial"/>
              </w:rPr>
            </w:pPr>
            <w:r w:rsidRPr="0047058F">
              <w:rPr>
                <w:rFonts w:cs="Arial"/>
              </w:rPr>
              <w:t>n</w:t>
            </w:r>
          </w:p>
        </w:tc>
        <w:tc>
          <w:tcPr>
            <w:tcW w:w="559" w:type="dxa"/>
          </w:tcPr>
          <w:p w14:paraId="2EF2F1D2" w14:textId="77777777" w:rsidR="00B93A94" w:rsidRPr="0047058F" w:rsidRDefault="00B93A94" w:rsidP="001340FD">
            <w:pPr>
              <w:pStyle w:val="TableText"/>
              <w:jc w:val="right"/>
              <w:rPr>
                <w:rFonts w:cs="Arial"/>
              </w:rPr>
            </w:pPr>
            <w:r w:rsidRPr="0047058F">
              <w:rPr>
                <w:rFonts w:cs="Arial"/>
              </w:rPr>
              <w:t>%</w:t>
            </w:r>
          </w:p>
        </w:tc>
      </w:tr>
      <w:tr w:rsidR="00B93A94" w:rsidRPr="0047058F" w14:paraId="3BB3C036"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120FF430" w14:textId="77777777" w:rsidR="00B93A94" w:rsidRPr="0047058F" w:rsidRDefault="00B93A94" w:rsidP="001340FD">
            <w:pPr>
              <w:pStyle w:val="TableText"/>
              <w:rPr>
                <w:rFonts w:cs="Calibri"/>
                <w:szCs w:val="14"/>
              </w:rPr>
            </w:pPr>
            <w:r w:rsidRPr="0047058F">
              <w:rPr>
                <w:rFonts w:cs="Calibri"/>
                <w:szCs w:val="14"/>
              </w:rPr>
              <w:t>No disorder: Below both screening and epidemiological cut-offs</w:t>
            </w:r>
          </w:p>
        </w:tc>
        <w:tc>
          <w:tcPr>
            <w:tcW w:w="576" w:type="dxa"/>
          </w:tcPr>
          <w:p w14:paraId="09178146" w14:textId="77777777" w:rsidR="00B93A94" w:rsidRPr="0047058F" w:rsidRDefault="00B93A94" w:rsidP="001340FD">
            <w:pPr>
              <w:pStyle w:val="TableText"/>
              <w:jc w:val="right"/>
            </w:pPr>
            <w:r w:rsidRPr="0047058F">
              <w:rPr>
                <w:rFonts w:eastAsia="Times New Roman" w:cs="Arial"/>
              </w:rPr>
              <w:t>6200</w:t>
            </w:r>
          </w:p>
        </w:tc>
        <w:tc>
          <w:tcPr>
            <w:tcW w:w="577" w:type="dxa"/>
          </w:tcPr>
          <w:p w14:paraId="65C717DE" w14:textId="77777777" w:rsidR="00B93A94" w:rsidRPr="0047058F" w:rsidRDefault="00B93A94" w:rsidP="001340FD">
            <w:pPr>
              <w:pStyle w:val="TableText"/>
              <w:jc w:val="right"/>
              <w:rPr>
                <w:rFonts w:eastAsia="Times New Roman" w:cs="Arial"/>
              </w:rPr>
            </w:pPr>
            <w:r w:rsidRPr="0047058F">
              <w:rPr>
                <w:rFonts w:eastAsia="Times New Roman" w:cs="Arial"/>
              </w:rPr>
              <w:t>80.4</w:t>
            </w:r>
          </w:p>
        </w:tc>
        <w:tc>
          <w:tcPr>
            <w:tcW w:w="559" w:type="dxa"/>
          </w:tcPr>
          <w:p w14:paraId="21EB9DC1" w14:textId="77777777" w:rsidR="00B93A94" w:rsidRPr="0047058F" w:rsidRDefault="00B93A94" w:rsidP="001340FD">
            <w:pPr>
              <w:pStyle w:val="TableText"/>
              <w:jc w:val="right"/>
            </w:pPr>
            <w:r w:rsidRPr="0047058F">
              <w:rPr>
                <w:rFonts w:eastAsia="Times New Roman" w:cs="Arial"/>
              </w:rPr>
              <w:t>4481</w:t>
            </w:r>
          </w:p>
        </w:tc>
        <w:tc>
          <w:tcPr>
            <w:tcW w:w="559" w:type="dxa"/>
          </w:tcPr>
          <w:p w14:paraId="670FC37C" w14:textId="77777777" w:rsidR="00B93A94" w:rsidRPr="0047058F" w:rsidRDefault="00B93A94" w:rsidP="001340FD">
            <w:pPr>
              <w:pStyle w:val="TableText"/>
              <w:jc w:val="right"/>
            </w:pPr>
            <w:r w:rsidRPr="0047058F">
              <w:rPr>
                <w:rFonts w:eastAsia="Times New Roman" w:cs="Arial"/>
              </w:rPr>
              <w:t>72.3</w:t>
            </w:r>
          </w:p>
        </w:tc>
        <w:tc>
          <w:tcPr>
            <w:tcW w:w="559" w:type="dxa"/>
          </w:tcPr>
          <w:p w14:paraId="62CB6C19" w14:textId="77777777" w:rsidR="00B93A94" w:rsidRPr="0047058F" w:rsidRDefault="00B93A94" w:rsidP="001340FD">
            <w:pPr>
              <w:pStyle w:val="TableText"/>
              <w:jc w:val="right"/>
            </w:pPr>
            <w:r w:rsidRPr="0047058F">
              <w:rPr>
                <w:rFonts w:eastAsia="Times New Roman" w:cs="Arial"/>
              </w:rPr>
              <w:t>1536</w:t>
            </w:r>
          </w:p>
        </w:tc>
        <w:tc>
          <w:tcPr>
            <w:tcW w:w="559" w:type="dxa"/>
          </w:tcPr>
          <w:p w14:paraId="30FEE52F" w14:textId="77777777" w:rsidR="00B93A94" w:rsidRPr="0047058F" w:rsidRDefault="00B93A94" w:rsidP="001340FD">
            <w:pPr>
              <w:pStyle w:val="TableText"/>
              <w:jc w:val="right"/>
            </w:pPr>
            <w:r w:rsidRPr="0047058F">
              <w:rPr>
                <w:rFonts w:eastAsia="Times New Roman" w:cs="Arial"/>
              </w:rPr>
              <w:t>24.8</w:t>
            </w:r>
          </w:p>
        </w:tc>
        <w:tc>
          <w:tcPr>
            <w:tcW w:w="559" w:type="dxa"/>
          </w:tcPr>
          <w:p w14:paraId="3DAAF758" w14:textId="77777777" w:rsidR="00B93A94" w:rsidRPr="0047058F" w:rsidRDefault="00B93A94" w:rsidP="001340FD">
            <w:pPr>
              <w:pStyle w:val="TableText"/>
              <w:jc w:val="right"/>
            </w:pPr>
            <w:r w:rsidRPr="0047058F">
              <w:rPr>
                <w:rFonts w:eastAsia="Times New Roman" w:cs="Arial"/>
              </w:rPr>
              <w:t>183</w:t>
            </w:r>
          </w:p>
        </w:tc>
        <w:tc>
          <w:tcPr>
            <w:tcW w:w="559" w:type="dxa"/>
          </w:tcPr>
          <w:p w14:paraId="62DFB871" w14:textId="77777777" w:rsidR="00B93A94" w:rsidRPr="0047058F" w:rsidRDefault="00B93A94" w:rsidP="001340FD">
            <w:pPr>
              <w:pStyle w:val="TableText"/>
              <w:jc w:val="right"/>
            </w:pPr>
            <w:r w:rsidRPr="0047058F">
              <w:rPr>
                <w:rFonts w:eastAsia="Times New Roman" w:cs="Arial"/>
              </w:rPr>
              <w:t>3.0</w:t>
            </w:r>
          </w:p>
        </w:tc>
      </w:tr>
      <w:tr w:rsidR="00B93A94" w:rsidRPr="0047058F" w14:paraId="2B4FB5D8" w14:textId="77777777" w:rsidTr="001340FD">
        <w:trPr>
          <w:cantSplit/>
        </w:trPr>
        <w:tc>
          <w:tcPr>
            <w:tcW w:w="2808" w:type="dxa"/>
          </w:tcPr>
          <w:p w14:paraId="79E1A670" w14:textId="77777777" w:rsidR="00B93A94" w:rsidRPr="0047058F" w:rsidRDefault="00B93A94" w:rsidP="001340FD">
            <w:pPr>
              <w:pStyle w:val="TableText"/>
              <w:rPr>
                <w:rFonts w:cs="Calibri"/>
                <w:szCs w:val="14"/>
              </w:rPr>
            </w:pPr>
            <w:r w:rsidRPr="0047058F">
              <w:rPr>
                <w:rFonts w:cs="Calibri"/>
                <w:szCs w:val="14"/>
              </w:rPr>
              <w:t>Subsyndromal disorder: Above screening cut-off but below epidemiological cut-off</w:t>
            </w:r>
          </w:p>
        </w:tc>
        <w:tc>
          <w:tcPr>
            <w:tcW w:w="576" w:type="dxa"/>
          </w:tcPr>
          <w:p w14:paraId="60BB1A2F" w14:textId="77777777" w:rsidR="00B93A94" w:rsidRPr="0047058F" w:rsidRDefault="00B93A94" w:rsidP="001340FD">
            <w:pPr>
              <w:pStyle w:val="TableText"/>
              <w:jc w:val="right"/>
            </w:pPr>
            <w:r w:rsidRPr="0047058F">
              <w:rPr>
                <w:rFonts w:eastAsia="Times New Roman" w:cs="Arial"/>
              </w:rPr>
              <w:t>1398</w:t>
            </w:r>
          </w:p>
        </w:tc>
        <w:tc>
          <w:tcPr>
            <w:tcW w:w="577" w:type="dxa"/>
          </w:tcPr>
          <w:p w14:paraId="04E874E3" w14:textId="77777777" w:rsidR="00B93A94" w:rsidRPr="0047058F" w:rsidRDefault="00B93A94" w:rsidP="001340FD">
            <w:pPr>
              <w:pStyle w:val="TableText"/>
              <w:jc w:val="right"/>
              <w:rPr>
                <w:rFonts w:eastAsia="Times New Roman" w:cs="Arial"/>
              </w:rPr>
            </w:pPr>
            <w:r w:rsidRPr="0047058F">
              <w:rPr>
                <w:rFonts w:eastAsia="Times New Roman" w:cs="Arial"/>
              </w:rPr>
              <w:t>18.1</w:t>
            </w:r>
          </w:p>
        </w:tc>
        <w:tc>
          <w:tcPr>
            <w:tcW w:w="559" w:type="dxa"/>
          </w:tcPr>
          <w:p w14:paraId="64D8ECF3" w14:textId="77777777" w:rsidR="00B93A94" w:rsidRPr="0047058F" w:rsidRDefault="00B93A94" w:rsidP="001340FD">
            <w:pPr>
              <w:pStyle w:val="TableText"/>
              <w:jc w:val="right"/>
            </w:pPr>
            <w:r w:rsidRPr="0047058F">
              <w:rPr>
                <w:rFonts w:eastAsia="Times New Roman" w:cs="Arial"/>
              </w:rPr>
              <w:t>426</w:t>
            </w:r>
          </w:p>
        </w:tc>
        <w:tc>
          <w:tcPr>
            <w:tcW w:w="559" w:type="dxa"/>
          </w:tcPr>
          <w:p w14:paraId="710700DD" w14:textId="77777777" w:rsidR="00B93A94" w:rsidRPr="0047058F" w:rsidRDefault="00B93A94" w:rsidP="001340FD">
            <w:pPr>
              <w:pStyle w:val="TableText"/>
              <w:jc w:val="right"/>
            </w:pPr>
            <w:r w:rsidRPr="0047058F">
              <w:rPr>
                <w:rFonts w:eastAsia="Times New Roman" w:cs="Arial"/>
              </w:rPr>
              <w:t>30.5</w:t>
            </w:r>
          </w:p>
        </w:tc>
        <w:tc>
          <w:tcPr>
            <w:tcW w:w="559" w:type="dxa"/>
          </w:tcPr>
          <w:p w14:paraId="34B90F47" w14:textId="77777777" w:rsidR="00B93A94" w:rsidRPr="0047058F" w:rsidRDefault="00B93A94" w:rsidP="001340FD">
            <w:pPr>
              <w:pStyle w:val="TableText"/>
              <w:jc w:val="right"/>
            </w:pPr>
            <w:r w:rsidRPr="0047058F">
              <w:rPr>
                <w:rFonts w:eastAsia="Times New Roman" w:cs="Arial"/>
              </w:rPr>
              <w:t>774</w:t>
            </w:r>
          </w:p>
        </w:tc>
        <w:tc>
          <w:tcPr>
            <w:tcW w:w="559" w:type="dxa"/>
          </w:tcPr>
          <w:p w14:paraId="3A8BED56" w14:textId="77777777" w:rsidR="00B93A94" w:rsidRPr="0047058F" w:rsidRDefault="00B93A94" w:rsidP="001340FD">
            <w:pPr>
              <w:pStyle w:val="TableText"/>
              <w:jc w:val="right"/>
            </w:pPr>
            <w:r w:rsidRPr="0047058F">
              <w:rPr>
                <w:rFonts w:eastAsia="Times New Roman" w:cs="Arial"/>
              </w:rPr>
              <w:t>55.4</w:t>
            </w:r>
          </w:p>
        </w:tc>
        <w:tc>
          <w:tcPr>
            <w:tcW w:w="559" w:type="dxa"/>
          </w:tcPr>
          <w:p w14:paraId="251CCE37" w14:textId="77777777" w:rsidR="00B93A94" w:rsidRPr="0047058F" w:rsidRDefault="00B93A94" w:rsidP="001340FD">
            <w:pPr>
              <w:pStyle w:val="TableText"/>
              <w:jc w:val="right"/>
            </w:pPr>
            <w:r w:rsidRPr="0047058F">
              <w:rPr>
                <w:rFonts w:eastAsia="Times New Roman" w:cs="Arial"/>
              </w:rPr>
              <w:t>198</w:t>
            </w:r>
          </w:p>
        </w:tc>
        <w:tc>
          <w:tcPr>
            <w:tcW w:w="559" w:type="dxa"/>
          </w:tcPr>
          <w:p w14:paraId="5D1FE2E1" w14:textId="77777777" w:rsidR="00B93A94" w:rsidRPr="0047058F" w:rsidRDefault="00B93A94" w:rsidP="001340FD">
            <w:pPr>
              <w:pStyle w:val="TableText"/>
              <w:jc w:val="right"/>
            </w:pPr>
            <w:r w:rsidRPr="0047058F">
              <w:rPr>
                <w:rFonts w:eastAsia="Times New Roman" w:cs="Arial"/>
              </w:rPr>
              <w:t>14.2</w:t>
            </w:r>
          </w:p>
        </w:tc>
      </w:tr>
      <w:tr w:rsidR="00B93A94" w:rsidRPr="0047058F" w14:paraId="6688C861"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2BFFECB9" w14:textId="77777777" w:rsidR="00B93A94" w:rsidRPr="0047058F" w:rsidRDefault="00B93A94" w:rsidP="001340FD">
            <w:pPr>
              <w:pStyle w:val="TableText"/>
              <w:rPr>
                <w:rFonts w:cs="Calibri"/>
                <w:szCs w:val="14"/>
              </w:rPr>
            </w:pPr>
            <w:r w:rsidRPr="0047058F">
              <w:rPr>
                <w:rFonts w:cs="Calibri"/>
                <w:szCs w:val="14"/>
              </w:rPr>
              <w:t>Probable disorder: Above both screening and epidemiological cut-offs</w:t>
            </w:r>
          </w:p>
        </w:tc>
        <w:tc>
          <w:tcPr>
            <w:tcW w:w="576" w:type="dxa"/>
          </w:tcPr>
          <w:p w14:paraId="1429331A" w14:textId="77777777" w:rsidR="00B93A94" w:rsidRPr="0047058F" w:rsidRDefault="00B93A94" w:rsidP="001340FD">
            <w:pPr>
              <w:pStyle w:val="TableText"/>
              <w:jc w:val="right"/>
            </w:pPr>
            <w:r w:rsidRPr="0047058F">
              <w:rPr>
                <w:rFonts w:eastAsia="Times New Roman" w:cs="Arial"/>
              </w:rPr>
              <w:t>114</w:t>
            </w:r>
          </w:p>
        </w:tc>
        <w:tc>
          <w:tcPr>
            <w:tcW w:w="577" w:type="dxa"/>
          </w:tcPr>
          <w:p w14:paraId="0B9A2146" w14:textId="77777777" w:rsidR="00B93A94" w:rsidRPr="0047058F" w:rsidRDefault="00B93A94" w:rsidP="001340FD">
            <w:pPr>
              <w:pStyle w:val="TableText"/>
              <w:jc w:val="right"/>
              <w:rPr>
                <w:rFonts w:eastAsia="Times New Roman" w:cs="Arial"/>
              </w:rPr>
            </w:pPr>
            <w:r w:rsidRPr="0047058F">
              <w:rPr>
                <w:rFonts w:eastAsia="Times New Roman" w:cs="Arial"/>
              </w:rPr>
              <w:t>1.5</w:t>
            </w:r>
          </w:p>
        </w:tc>
        <w:tc>
          <w:tcPr>
            <w:tcW w:w="559" w:type="dxa"/>
          </w:tcPr>
          <w:p w14:paraId="32FB3014" w14:textId="77777777" w:rsidR="00B93A94" w:rsidRPr="0047058F" w:rsidRDefault="00B93A94" w:rsidP="001340FD">
            <w:pPr>
              <w:pStyle w:val="TableText"/>
              <w:jc w:val="right"/>
            </w:pPr>
            <w:r w:rsidRPr="0047058F">
              <w:rPr>
                <w:rFonts w:eastAsia="Times New Roman" w:cs="Arial"/>
              </w:rPr>
              <w:t>14</w:t>
            </w:r>
          </w:p>
        </w:tc>
        <w:tc>
          <w:tcPr>
            <w:tcW w:w="559" w:type="dxa"/>
          </w:tcPr>
          <w:p w14:paraId="69704B33" w14:textId="77777777" w:rsidR="00B93A94" w:rsidRPr="0047058F" w:rsidRDefault="00B93A94" w:rsidP="001340FD">
            <w:pPr>
              <w:pStyle w:val="TableText"/>
              <w:jc w:val="right"/>
            </w:pPr>
            <w:r w:rsidRPr="0047058F">
              <w:rPr>
                <w:rFonts w:eastAsia="Times New Roman" w:cs="Arial"/>
              </w:rPr>
              <w:t>12.3</w:t>
            </w:r>
          </w:p>
        </w:tc>
        <w:tc>
          <w:tcPr>
            <w:tcW w:w="559" w:type="dxa"/>
          </w:tcPr>
          <w:p w14:paraId="1401DEDD" w14:textId="77777777" w:rsidR="00B93A94" w:rsidRPr="0047058F" w:rsidRDefault="00B93A94" w:rsidP="001340FD">
            <w:pPr>
              <w:pStyle w:val="TableText"/>
              <w:jc w:val="right"/>
            </w:pPr>
            <w:r w:rsidRPr="0047058F">
              <w:rPr>
                <w:rFonts w:eastAsia="Times New Roman" w:cs="Arial"/>
              </w:rPr>
              <w:t>55</w:t>
            </w:r>
          </w:p>
        </w:tc>
        <w:tc>
          <w:tcPr>
            <w:tcW w:w="559" w:type="dxa"/>
          </w:tcPr>
          <w:p w14:paraId="26CF7703" w14:textId="77777777" w:rsidR="00B93A94" w:rsidRPr="0047058F" w:rsidRDefault="00B93A94" w:rsidP="001340FD">
            <w:pPr>
              <w:pStyle w:val="TableText"/>
              <w:jc w:val="right"/>
            </w:pPr>
            <w:r w:rsidRPr="0047058F">
              <w:rPr>
                <w:rFonts w:eastAsia="Times New Roman" w:cs="Arial"/>
              </w:rPr>
              <w:t>48.2</w:t>
            </w:r>
          </w:p>
        </w:tc>
        <w:tc>
          <w:tcPr>
            <w:tcW w:w="559" w:type="dxa"/>
          </w:tcPr>
          <w:p w14:paraId="001586CF" w14:textId="77777777" w:rsidR="00B93A94" w:rsidRPr="0047058F" w:rsidRDefault="00B93A94" w:rsidP="001340FD">
            <w:pPr>
              <w:pStyle w:val="TableText"/>
              <w:jc w:val="right"/>
            </w:pPr>
            <w:r w:rsidRPr="0047058F">
              <w:rPr>
                <w:rFonts w:eastAsia="Times New Roman" w:cs="Arial"/>
              </w:rPr>
              <w:t>45</w:t>
            </w:r>
          </w:p>
        </w:tc>
        <w:tc>
          <w:tcPr>
            <w:tcW w:w="559" w:type="dxa"/>
          </w:tcPr>
          <w:p w14:paraId="54E16912" w14:textId="77777777" w:rsidR="00B93A94" w:rsidRPr="0047058F" w:rsidRDefault="00B93A94" w:rsidP="001340FD">
            <w:pPr>
              <w:pStyle w:val="TableText"/>
              <w:jc w:val="right"/>
            </w:pPr>
            <w:r w:rsidRPr="0047058F">
              <w:rPr>
                <w:rFonts w:eastAsia="Times New Roman" w:cs="Arial"/>
              </w:rPr>
              <w:t>39.5</w:t>
            </w:r>
          </w:p>
        </w:tc>
      </w:tr>
      <w:tr w:rsidR="00B93A94" w:rsidRPr="0047058F" w14:paraId="54823A08" w14:textId="77777777" w:rsidTr="001340FD">
        <w:trPr>
          <w:cantSplit/>
        </w:trPr>
        <w:tc>
          <w:tcPr>
            <w:tcW w:w="2808" w:type="dxa"/>
          </w:tcPr>
          <w:p w14:paraId="287C2DD9" w14:textId="77777777" w:rsidR="00B93A94" w:rsidRPr="0047058F" w:rsidRDefault="00B93A94" w:rsidP="001340FD">
            <w:pPr>
              <w:pStyle w:val="TableText"/>
              <w:rPr>
                <w:rFonts w:cs="Arial"/>
                <w:b/>
              </w:rPr>
            </w:pPr>
            <w:r w:rsidRPr="0047058F">
              <w:rPr>
                <w:rFonts w:cs="Arial"/>
                <w:b/>
              </w:rPr>
              <w:t>Total</w:t>
            </w:r>
          </w:p>
        </w:tc>
        <w:tc>
          <w:tcPr>
            <w:tcW w:w="576" w:type="dxa"/>
          </w:tcPr>
          <w:p w14:paraId="3EF793EE" w14:textId="77777777" w:rsidR="00B93A94" w:rsidRPr="0047058F" w:rsidRDefault="00B93A94" w:rsidP="001340FD">
            <w:pPr>
              <w:pStyle w:val="TableText"/>
              <w:jc w:val="right"/>
              <w:rPr>
                <w:rFonts w:cs="Arial"/>
                <w:b/>
              </w:rPr>
            </w:pPr>
            <w:r w:rsidRPr="0047058F">
              <w:rPr>
                <w:rFonts w:cs="Arial"/>
                <w:b/>
              </w:rPr>
              <w:t>7712</w:t>
            </w:r>
          </w:p>
        </w:tc>
        <w:tc>
          <w:tcPr>
            <w:tcW w:w="577" w:type="dxa"/>
          </w:tcPr>
          <w:p w14:paraId="3AF2F0D8" w14:textId="77777777" w:rsidR="00B93A94" w:rsidRPr="0047058F" w:rsidRDefault="00B93A94" w:rsidP="001340FD">
            <w:pPr>
              <w:pStyle w:val="TableText"/>
              <w:jc w:val="right"/>
              <w:rPr>
                <w:rFonts w:eastAsia="Times New Roman" w:cs="Arial"/>
                <w:b/>
              </w:rPr>
            </w:pPr>
            <w:r w:rsidRPr="0047058F">
              <w:rPr>
                <w:rFonts w:eastAsia="Times New Roman" w:cs="Arial"/>
                <w:b/>
              </w:rPr>
              <w:t>100.0</w:t>
            </w:r>
          </w:p>
        </w:tc>
        <w:tc>
          <w:tcPr>
            <w:tcW w:w="559" w:type="dxa"/>
          </w:tcPr>
          <w:p w14:paraId="150E7114" w14:textId="77777777" w:rsidR="00B93A94" w:rsidRPr="0047058F" w:rsidRDefault="00B93A94" w:rsidP="001340FD">
            <w:pPr>
              <w:pStyle w:val="TableText"/>
              <w:jc w:val="right"/>
              <w:rPr>
                <w:rFonts w:cs="Arial"/>
                <w:b/>
              </w:rPr>
            </w:pPr>
            <w:r w:rsidRPr="0047058F">
              <w:rPr>
                <w:rFonts w:eastAsia="Times New Roman" w:cs="Arial"/>
                <w:b/>
              </w:rPr>
              <w:t>4921</w:t>
            </w:r>
          </w:p>
        </w:tc>
        <w:tc>
          <w:tcPr>
            <w:tcW w:w="559" w:type="dxa"/>
          </w:tcPr>
          <w:p w14:paraId="6614C13D" w14:textId="77777777" w:rsidR="00B93A94" w:rsidRPr="0047058F" w:rsidRDefault="00B93A94" w:rsidP="001340FD">
            <w:pPr>
              <w:pStyle w:val="TableText"/>
              <w:jc w:val="right"/>
              <w:rPr>
                <w:rFonts w:cs="Arial"/>
                <w:b/>
              </w:rPr>
            </w:pPr>
            <w:r w:rsidRPr="0047058F">
              <w:rPr>
                <w:rFonts w:eastAsia="Times New Roman" w:cs="Arial"/>
                <w:b/>
              </w:rPr>
              <w:t>63.8</w:t>
            </w:r>
          </w:p>
        </w:tc>
        <w:tc>
          <w:tcPr>
            <w:tcW w:w="559" w:type="dxa"/>
          </w:tcPr>
          <w:p w14:paraId="45462B1C" w14:textId="77777777" w:rsidR="00B93A94" w:rsidRPr="0047058F" w:rsidRDefault="00B93A94" w:rsidP="001340FD">
            <w:pPr>
              <w:pStyle w:val="TableText"/>
              <w:jc w:val="right"/>
              <w:rPr>
                <w:rFonts w:cs="Arial"/>
                <w:b/>
              </w:rPr>
            </w:pPr>
            <w:r w:rsidRPr="0047058F">
              <w:rPr>
                <w:rFonts w:eastAsia="Times New Roman" w:cs="Arial"/>
                <w:b/>
              </w:rPr>
              <w:t>2365</w:t>
            </w:r>
          </w:p>
        </w:tc>
        <w:tc>
          <w:tcPr>
            <w:tcW w:w="559" w:type="dxa"/>
          </w:tcPr>
          <w:p w14:paraId="2FF0A4DE" w14:textId="77777777" w:rsidR="00B93A94" w:rsidRPr="0047058F" w:rsidRDefault="00B93A94" w:rsidP="001340FD">
            <w:pPr>
              <w:pStyle w:val="TableText"/>
              <w:jc w:val="right"/>
              <w:rPr>
                <w:rFonts w:cs="Arial"/>
                <w:b/>
              </w:rPr>
            </w:pPr>
            <w:r w:rsidRPr="0047058F">
              <w:rPr>
                <w:rFonts w:eastAsia="Times New Roman" w:cs="Arial"/>
                <w:b/>
              </w:rPr>
              <w:t>30.7</w:t>
            </w:r>
          </w:p>
        </w:tc>
        <w:tc>
          <w:tcPr>
            <w:tcW w:w="559" w:type="dxa"/>
          </w:tcPr>
          <w:p w14:paraId="3DF1AE5E" w14:textId="77777777" w:rsidR="00B93A94" w:rsidRPr="0047058F" w:rsidRDefault="00B93A94" w:rsidP="001340FD">
            <w:pPr>
              <w:pStyle w:val="TableText"/>
              <w:jc w:val="right"/>
              <w:rPr>
                <w:rFonts w:cs="Arial"/>
                <w:b/>
              </w:rPr>
            </w:pPr>
            <w:r w:rsidRPr="0047058F">
              <w:rPr>
                <w:rFonts w:eastAsia="Times New Roman" w:cs="Arial"/>
                <w:b/>
              </w:rPr>
              <w:t>426</w:t>
            </w:r>
          </w:p>
        </w:tc>
        <w:tc>
          <w:tcPr>
            <w:tcW w:w="559" w:type="dxa"/>
          </w:tcPr>
          <w:p w14:paraId="7BBB1E31" w14:textId="77777777" w:rsidR="00B93A94" w:rsidRPr="0047058F" w:rsidRDefault="00B93A94" w:rsidP="001340FD">
            <w:pPr>
              <w:pStyle w:val="TableText"/>
              <w:jc w:val="right"/>
              <w:rPr>
                <w:rFonts w:cs="Arial"/>
                <w:b/>
              </w:rPr>
            </w:pPr>
            <w:r w:rsidRPr="0047058F">
              <w:rPr>
                <w:rFonts w:eastAsia="Times New Roman" w:cs="Arial"/>
                <w:b/>
              </w:rPr>
              <w:t>5.5</w:t>
            </w:r>
          </w:p>
        </w:tc>
      </w:tr>
    </w:tbl>
    <w:p w14:paraId="22F9250B" w14:textId="77777777" w:rsidR="00B93A94" w:rsidRPr="0047058F" w:rsidRDefault="00B93A94" w:rsidP="00B93A94">
      <w:pPr>
        <w:pStyle w:val="TableNotes"/>
      </w:pPr>
      <w:r w:rsidRPr="0047058F">
        <w:t>Note: Unweighted data.</w:t>
      </w:r>
    </w:p>
    <w:p w14:paraId="4B0ECC32" w14:textId="77777777" w:rsidR="00B93A94" w:rsidRPr="0047058F" w:rsidRDefault="00B93A94" w:rsidP="00B93A94">
      <w:pPr>
        <w:pStyle w:val="FigureName"/>
      </w:pPr>
      <w:bookmarkStart w:id="331" w:name="_Ref387053910"/>
      <w:bookmarkStart w:id="332" w:name="_Toc529117578"/>
      <w:bookmarkStart w:id="333" w:name="_Toc532473651"/>
      <w:r w:rsidRPr="0047058F">
        <w:t>Figure 5.14</w:t>
      </w:r>
      <w:bookmarkEnd w:id="331"/>
      <w:r w:rsidRPr="0047058F">
        <w:tab/>
        <w:t xml:space="preserve">Proportion of </w:t>
      </w:r>
      <w:r w:rsidRPr="0047058F">
        <w:rPr>
          <w:u w:val="single"/>
        </w:rPr>
        <w:t>entire longitudinal cohort</w:t>
      </w:r>
      <w:r w:rsidRPr="0047058F">
        <w:t xml:space="preserve"> with no disorder, subsyndromal disorder and probable disorder on PHQ-9 in 2010 and 2015 based on self-reported measures</w:t>
      </w:r>
      <w:bookmarkEnd w:id="332"/>
      <w:bookmarkEnd w:id="333"/>
    </w:p>
    <w:p w14:paraId="11BC72A8" w14:textId="77777777" w:rsidR="00EB2A31" w:rsidRPr="0047058F" w:rsidRDefault="00B93A94" w:rsidP="00EB2A31">
      <w:pPr>
        <w:spacing w:after="360"/>
      </w:pPr>
      <w:r w:rsidRPr="0047058F">
        <w:rPr>
          <w:noProof/>
          <w:lang w:eastAsia="en-AU"/>
        </w:rPr>
        <w:drawing>
          <wp:inline distT="0" distB="0" distL="0" distR="0" wp14:anchorId="3F8AC014" wp14:editId="611E9D05">
            <wp:extent cx="4572000" cy="2743200"/>
            <wp:effectExtent l="0" t="0" r="0" b="0"/>
            <wp:docPr id="28" name="Chart 28" descr="Figure 5.14 Proportion of entire longitudinal cohort with no disorder, subsyndromal disorder and probable disorder on PHQ-9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3BECA1" w14:textId="77777777" w:rsidR="00B93A94" w:rsidRPr="0047058F" w:rsidRDefault="00B93A94" w:rsidP="00B93A94">
      <w:pPr>
        <w:pStyle w:val="TableName"/>
      </w:pPr>
      <w:bookmarkStart w:id="334" w:name="_Ref384557886"/>
      <w:bookmarkStart w:id="335" w:name="_Toc529117527"/>
      <w:bookmarkStart w:id="336" w:name="_Toc532473597"/>
      <w:r w:rsidRPr="0047058F">
        <w:t>Table 5.15</w:t>
      </w:r>
      <w:bookmarkEnd w:id="334"/>
      <w:r w:rsidRPr="0047058F">
        <w:tab/>
        <w:t xml:space="preserve">Proportion of </w:t>
      </w:r>
      <w:r w:rsidRPr="0047058F">
        <w:rPr>
          <w:u w:val="single"/>
        </w:rPr>
        <w:t>Transitioned ADF in the longitudinal cohort</w:t>
      </w:r>
      <w:r w:rsidRPr="0047058F">
        <w:t xml:space="preserve"> with no disorder, subsyndromal disorder and probable disorder on PHQ-9 in 2010 and 2015 based on self-reported measures</w:t>
      </w:r>
      <w:bookmarkEnd w:id="335"/>
      <w:bookmarkEnd w:id="336"/>
    </w:p>
    <w:tbl>
      <w:tblPr>
        <w:tblStyle w:val="TWRPTable"/>
        <w:tblW w:w="5000" w:type="pct"/>
        <w:tblLayout w:type="fixed"/>
        <w:tblLook w:val="04A0" w:firstRow="1" w:lastRow="0" w:firstColumn="1" w:lastColumn="0" w:noHBand="0" w:noVBand="1"/>
        <w:tblDescription w:val="Table 5.15 Proportion of Transitioned ADF in the longitudinal cohort with no disorder, subsyndromal disorder and probable disorder on PHQ-9 in 2010 and 2015 based on self-reported measures"/>
      </w:tblPr>
      <w:tblGrid>
        <w:gridCol w:w="2808"/>
        <w:gridCol w:w="581"/>
        <w:gridCol w:w="581"/>
        <w:gridCol w:w="557"/>
        <w:gridCol w:w="558"/>
        <w:gridCol w:w="557"/>
        <w:gridCol w:w="558"/>
        <w:gridCol w:w="557"/>
        <w:gridCol w:w="558"/>
      </w:tblGrid>
      <w:tr w:rsidR="00B93A94" w:rsidRPr="0047058F" w14:paraId="3081619E"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70" w:type="dxa"/>
            <w:gridSpan w:val="3"/>
            <w:vMerge w:val="restart"/>
          </w:tcPr>
          <w:p w14:paraId="56F1A3F8" w14:textId="77777777" w:rsidR="00B93A94" w:rsidRPr="0047058F" w:rsidRDefault="00B93A94" w:rsidP="001340FD">
            <w:pPr>
              <w:pStyle w:val="TableText"/>
            </w:pPr>
            <w:r w:rsidRPr="0047058F">
              <w:t>2010 ADF Mental Health Prevalence and Wellbeing Study</w:t>
            </w:r>
          </w:p>
        </w:tc>
        <w:tc>
          <w:tcPr>
            <w:tcW w:w="3345" w:type="dxa"/>
            <w:gridSpan w:val="6"/>
          </w:tcPr>
          <w:p w14:paraId="0F2C45E0" w14:textId="77777777" w:rsidR="00B93A94" w:rsidRPr="0047058F" w:rsidRDefault="00B93A94" w:rsidP="001340FD">
            <w:pPr>
              <w:pStyle w:val="TableText"/>
              <w:jc w:val="center"/>
            </w:pPr>
            <w:r w:rsidRPr="0047058F">
              <w:t>2015 Transition and Wellbeing Research Programme</w:t>
            </w:r>
          </w:p>
        </w:tc>
      </w:tr>
      <w:tr w:rsidR="00B93A94" w:rsidRPr="0047058F" w14:paraId="379463EB"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3970" w:type="dxa"/>
            <w:gridSpan w:val="3"/>
            <w:vMerge/>
          </w:tcPr>
          <w:p w14:paraId="6E8AA98F" w14:textId="77777777" w:rsidR="00B93A94" w:rsidRPr="0047058F" w:rsidRDefault="00B93A94" w:rsidP="001340FD">
            <w:pPr>
              <w:pStyle w:val="TableText"/>
            </w:pPr>
          </w:p>
        </w:tc>
        <w:tc>
          <w:tcPr>
            <w:tcW w:w="1115" w:type="dxa"/>
            <w:gridSpan w:val="2"/>
            <w:hideMark/>
          </w:tcPr>
          <w:p w14:paraId="5897D7DF" w14:textId="77777777" w:rsidR="00B93A94" w:rsidRPr="0047058F" w:rsidRDefault="00B93A94" w:rsidP="001340FD">
            <w:pPr>
              <w:pStyle w:val="TableText"/>
              <w:jc w:val="center"/>
            </w:pPr>
            <w:r w:rsidRPr="0047058F">
              <w:t>No disorder</w:t>
            </w:r>
          </w:p>
        </w:tc>
        <w:tc>
          <w:tcPr>
            <w:tcW w:w="1115" w:type="dxa"/>
            <w:gridSpan w:val="2"/>
          </w:tcPr>
          <w:p w14:paraId="544168D7" w14:textId="77777777" w:rsidR="00B93A94" w:rsidRPr="0047058F" w:rsidRDefault="00B93A94" w:rsidP="001340FD">
            <w:pPr>
              <w:pStyle w:val="TableText"/>
              <w:jc w:val="center"/>
            </w:pPr>
            <w:r w:rsidRPr="0047058F">
              <w:t>Subsyndromal disorder</w:t>
            </w:r>
          </w:p>
        </w:tc>
        <w:tc>
          <w:tcPr>
            <w:tcW w:w="1115" w:type="dxa"/>
            <w:gridSpan w:val="2"/>
          </w:tcPr>
          <w:p w14:paraId="6C5FF058" w14:textId="77777777" w:rsidR="00B93A94" w:rsidRPr="0047058F" w:rsidRDefault="00B93A94" w:rsidP="001340FD">
            <w:pPr>
              <w:pStyle w:val="TableText"/>
              <w:jc w:val="center"/>
            </w:pPr>
            <w:r w:rsidRPr="0047058F">
              <w:t>Probable disorder</w:t>
            </w:r>
          </w:p>
        </w:tc>
      </w:tr>
      <w:tr w:rsidR="00B93A94" w:rsidRPr="0047058F" w14:paraId="5B865BC0" w14:textId="77777777" w:rsidTr="001340FD">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52CA0344" w14:textId="77777777" w:rsidR="00B93A94" w:rsidRPr="0047058F" w:rsidRDefault="00B93A94" w:rsidP="001340FD">
            <w:pPr>
              <w:pStyle w:val="TableText"/>
            </w:pPr>
            <w:r w:rsidRPr="0047058F">
              <w:rPr>
                <w:rFonts w:cs="Arial"/>
              </w:rPr>
              <w:t>PHQ-9</w:t>
            </w:r>
          </w:p>
        </w:tc>
        <w:tc>
          <w:tcPr>
            <w:tcW w:w="581" w:type="dxa"/>
          </w:tcPr>
          <w:p w14:paraId="2AEC19D3" w14:textId="77777777" w:rsidR="00B93A94" w:rsidRPr="0047058F" w:rsidRDefault="00B93A94" w:rsidP="001340FD">
            <w:pPr>
              <w:pStyle w:val="TableText"/>
              <w:jc w:val="right"/>
              <w:rPr>
                <w:rFonts w:cs="Arial"/>
              </w:rPr>
            </w:pPr>
            <w:r w:rsidRPr="0047058F">
              <w:rPr>
                <w:rFonts w:cs="Arial"/>
              </w:rPr>
              <w:t>n</w:t>
            </w:r>
          </w:p>
        </w:tc>
        <w:tc>
          <w:tcPr>
            <w:tcW w:w="581" w:type="dxa"/>
          </w:tcPr>
          <w:p w14:paraId="3EA7907D" w14:textId="77777777" w:rsidR="00B93A94" w:rsidRPr="0047058F" w:rsidRDefault="00B93A94" w:rsidP="001340FD">
            <w:pPr>
              <w:pStyle w:val="TableText"/>
              <w:jc w:val="right"/>
              <w:rPr>
                <w:rFonts w:cs="Arial"/>
              </w:rPr>
            </w:pPr>
            <w:r w:rsidRPr="0047058F">
              <w:rPr>
                <w:rFonts w:cs="Arial"/>
              </w:rPr>
              <w:t>%</w:t>
            </w:r>
          </w:p>
        </w:tc>
        <w:tc>
          <w:tcPr>
            <w:tcW w:w="557" w:type="dxa"/>
          </w:tcPr>
          <w:p w14:paraId="3D5EE746" w14:textId="77777777" w:rsidR="00B93A94" w:rsidRPr="0047058F" w:rsidRDefault="00B93A94" w:rsidP="001340FD">
            <w:pPr>
              <w:pStyle w:val="TableText"/>
              <w:jc w:val="right"/>
              <w:rPr>
                <w:rFonts w:cs="Arial"/>
              </w:rPr>
            </w:pPr>
            <w:r w:rsidRPr="0047058F">
              <w:rPr>
                <w:rFonts w:cs="Arial"/>
              </w:rPr>
              <w:t>n</w:t>
            </w:r>
          </w:p>
        </w:tc>
        <w:tc>
          <w:tcPr>
            <w:tcW w:w="558" w:type="dxa"/>
          </w:tcPr>
          <w:p w14:paraId="7CDB366D" w14:textId="77777777" w:rsidR="00B93A94" w:rsidRPr="0047058F" w:rsidRDefault="00B93A94" w:rsidP="001340FD">
            <w:pPr>
              <w:pStyle w:val="TableText"/>
              <w:jc w:val="right"/>
              <w:rPr>
                <w:rFonts w:cs="Arial"/>
              </w:rPr>
            </w:pPr>
            <w:r w:rsidRPr="0047058F">
              <w:rPr>
                <w:rFonts w:cs="Arial"/>
              </w:rPr>
              <w:t>%</w:t>
            </w:r>
          </w:p>
        </w:tc>
        <w:tc>
          <w:tcPr>
            <w:tcW w:w="557" w:type="dxa"/>
          </w:tcPr>
          <w:p w14:paraId="00C3F72D" w14:textId="77777777" w:rsidR="00B93A94" w:rsidRPr="0047058F" w:rsidRDefault="00B93A94" w:rsidP="001340FD">
            <w:pPr>
              <w:pStyle w:val="TableText"/>
              <w:jc w:val="right"/>
              <w:rPr>
                <w:rFonts w:cs="Arial"/>
              </w:rPr>
            </w:pPr>
            <w:r w:rsidRPr="0047058F">
              <w:rPr>
                <w:rFonts w:cs="Arial"/>
              </w:rPr>
              <w:t>n</w:t>
            </w:r>
          </w:p>
        </w:tc>
        <w:tc>
          <w:tcPr>
            <w:tcW w:w="558" w:type="dxa"/>
          </w:tcPr>
          <w:p w14:paraId="78EE2B52" w14:textId="77777777" w:rsidR="00B93A94" w:rsidRPr="0047058F" w:rsidRDefault="00B93A94" w:rsidP="001340FD">
            <w:pPr>
              <w:pStyle w:val="TableText"/>
              <w:jc w:val="right"/>
              <w:rPr>
                <w:rFonts w:cs="Arial"/>
              </w:rPr>
            </w:pPr>
            <w:r w:rsidRPr="0047058F">
              <w:rPr>
                <w:rFonts w:cs="Arial"/>
              </w:rPr>
              <w:t>%</w:t>
            </w:r>
          </w:p>
        </w:tc>
        <w:tc>
          <w:tcPr>
            <w:tcW w:w="557" w:type="dxa"/>
          </w:tcPr>
          <w:p w14:paraId="6400EEE9" w14:textId="77777777" w:rsidR="00B93A94" w:rsidRPr="0047058F" w:rsidRDefault="00B93A94" w:rsidP="001340FD">
            <w:pPr>
              <w:pStyle w:val="TableText"/>
              <w:jc w:val="right"/>
              <w:rPr>
                <w:rFonts w:cs="Arial"/>
              </w:rPr>
            </w:pPr>
            <w:r w:rsidRPr="0047058F">
              <w:rPr>
                <w:rFonts w:cs="Arial"/>
              </w:rPr>
              <w:t>n</w:t>
            </w:r>
          </w:p>
        </w:tc>
        <w:tc>
          <w:tcPr>
            <w:tcW w:w="558" w:type="dxa"/>
          </w:tcPr>
          <w:p w14:paraId="12DA4B45" w14:textId="77777777" w:rsidR="00B93A94" w:rsidRPr="0047058F" w:rsidRDefault="00B93A94" w:rsidP="001340FD">
            <w:pPr>
              <w:pStyle w:val="TableText"/>
              <w:jc w:val="right"/>
              <w:rPr>
                <w:rFonts w:cs="Arial"/>
              </w:rPr>
            </w:pPr>
            <w:r w:rsidRPr="0047058F">
              <w:rPr>
                <w:rFonts w:cs="Arial"/>
              </w:rPr>
              <w:t>%</w:t>
            </w:r>
          </w:p>
        </w:tc>
      </w:tr>
      <w:tr w:rsidR="00B93A94" w:rsidRPr="0047058F" w14:paraId="1BCBE258"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4C7AABBE" w14:textId="77777777" w:rsidR="00B93A94" w:rsidRPr="0047058F" w:rsidRDefault="00B93A94" w:rsidP="001340FD">
            <w:pPr>
              <w:pStyle w:val="TableText"/>
              <w:rPr>
                <w:rFonts w:cs="Calibri"/>
                <w:szCs w:val="14"/>
              </w:rPr>
            </w:pPr>
            <w:r w:rsidRPr="0047058F">
              <w:rPr>
                <w:rFonts w:cs="Calibri"/>
                <w:szCs w:val="14"/>
              </w:rPr>
              <w:t>No disorder: Below both screening and epidemiological cut-offs</w:t>
            </w:r>
          </w:p>
        </w:tc>
        <w:tc>
          <w:tcPr>
            <w:tcW w:w="581" w:type="dxa"/>
          </w:tcPr>
          <w:p w14:paraId="191B6D72" w14:textId="77777777" w:rsidR="00B93A94" w:rsidRPr="0047058F" w:rsidRDefault="00B93A94" w:rsidP="001340FD">
            <w:pPr>
              <w:pStyle w:val="TableText"/>
              <w:jc w:val="right"/>
            </w:pPr>
            <w:r w:rsidRPr="0047058F">
              <w:rPr>
                <w:rFonts w:eastAsia="Times New Roman" w:cs="Arial"/>
              </w:rPr>
              <w:t>1552</w:t>
            </w:r>
          </w:p>
        </w:tc>
        <w:tc>
          <w:tcPr>
            <w:tcW w:w="581" w:type="dxa"/>
          </w:tcPr>
          <w:p w14:paraId="4C426496" w14:textId="77777777" w:rsidR="00B93A94" w:rsidRPr="0047058F" w:rsidRDefault="00B93A94" w:rsidP="001340FD">
            <w:pPr>
              <w:pStyle w:val="TableText"/>
              <w:jc w:val="right"/>
              <w:rPr>
                <w:rFonts w:eastAsia="Times New Roman" w:cs="Arial"/>
              </w:rPr>
            </w:pPr>
            <w:r w:rsidRPr="0047058F">
              <w:rPr>
                <w:rFonts w:eastAsia="Times New Roman" w:cs="Arial"/>
              </w:rPr>
              <w:t>73.7</w:t>
            </w:r>
          </w:p>
        </w:tc>
        <w:tc>
          <w:tcPr>
            <w:tcW w:w="557" w:type="dxa"/>
          </w:tcPr>
          <w:p w14:paraId="2A19B4D9" w14:textId="77777777" w:rsidR="00B93A94" w:rsidRPr="0047058F" w:rsidRDefault="00B93A94" w:rsidP="001340FD">
            <w:pPr>
              <w:pStyle w:val="TableText"/>
              <w:jc w:val="right"/>
            </w:pPr>
            <w:r w:rsidRPr="0047058F">
              <w:rPr>
                <w:rFonts w:eastAsia="Times New Roman" w:cs="Arial"/>
              </w:rPr>
              <w:t>1026</w:t>
            </w:r>
          </w:p>
        </w:tc>
        <w:tc>
          <w:tcPr>
            <w:tcW w:w="558" w:type="dxa"/>
          </w:tcPr>
          <w:p w14:paraId="373BA0F4" w14:textId="77777777" w:rsidR="00B93A94" w:rsidRPr="0047058F" w:rsidRDefault="00B93A94" w:rsidP="001340FD">
            <w:pPr>
              <w:pStyle w:val="TableText"/>
              <w:jc w:val="right"/>
            </w:pPr>
            <w:r w:rsidRPr="0047058F">
              <w:rPr>
                <w:rFonts w:eastAsia="Times New Roman" w:cs="Arial"/>
              </w:rPr>
              <w:t>66.1</w:t>
            </w:r>
          </w:p>
        </w:tc>
        <w:tc>
          <w:tcPr>
            <w:tcW w:w="557" w:type="dxa"/>
          </w:tcPr>
          <w:p w14:paraId="059A8C5B" w14:textId="77777777" w:rsidR="00B93A94" w:rsidRPr="0047058F" w:rsidRDefault="00B93A94" w:rsidP="001340FD">
            <w:pPr>
              <w:pStyle w:val="TableText"/>
              <w:jc w:val="right"/>
            </w:pPr>
            <w:r w:rsidRPr="0047058F">
              <w:rPr>
                <w:rFonts w:eastAsia="Times New Roman" w:cs="Arial"/>
              </w:rPr>
              <w:t>426</w:t>
            </w:r>
          </w:p>
        </w:tc>
        <w:tc>
          <w:tcPr>
            <w:tcW w:w="558" w:type="dxa"/>
          </w:tcPr>
          <w:p w14:paraId="15073F20" w14:textId="77777777" w:rsidR="00B93A94" w:rsidRPr="0047058F" w:rsidRDefault="00B93A94" w:rsidP="001340FD">
            <w:pPr>
              <w:pStyle w:val="TableText"/>
              <w:jc w:val="right"/>
            </w:pPr>
            <w:r w:rsidRPr="0047058F">
              <w:rPr>
                <w:rFonts w:eastAsia="Times New Roman" w:cs="Arial"/>
              </w:rPr>
              <w:t>27.4</w:t>
            </w:r>
          </w:p>
        </w:tc>
        <w:tc>
          <w:tcPr>
            <w:tcW w:w="557" w:type="dxa"/>
          </w:tcPr>
          <w:p w14:paraId="520D6DB7" w14:textId="77777777" w:rsidR="00B93A94" w:rsidRPr="0047058F" w:rsidRDefault="00B93A94" w:rsidP="001340FD">
            <w:pPr>
              <w:pStyle w:val="TableText"/>
              <w:jc w:val="right"/>
            </w:pPr>
            <w:r w:rsidRPr="0047058F">
              <w:rPr>
                <w:rFonts w:eastAsia="Times New Roman" w:cs="Arial"/>
              </w:rPr>
              <w:t>100</w:t>
            </w:r>
          </w:p>
        </w:tc>
        <w:tc>
          <w:tcPr>
            <w:tcW w:w="558" w:type="dxa"/>
          </w:tcPr>
          <w:p w14:paraId="6836DD12" w14:textId="77777777" w:rsidR="00B93A94" w:rsidRPr="0047058F" w:rsidRDefault="00B93A94" w:rsidP="001340FD">
            <w:pPr>
              <w:pStyle w:val="TableText"/>
              <w:jc w:val="right"/>
            </w:pPr>
            <w:r w:rsidRPr="0047058F">
              <w:rPr>
                <w:rFonts w:eastAsia="Times New Roman" w:cs="Arial"/>
              </w:rPr>
              <w:t>6.4</w:t>
            </w:r>
          </w:p>
        </w:tc>
      </w:tr>
      <w:tr w:rsidR="00B93A94" w:rsidRPr="0047058F" w14:paraId="5B336287" w14:textId="77777777" w:rsidTr="001340FD">
        <w:trPr>
          <w:cantSplit/>
        </w:trPr>
        <w:tc>
          <w:tcPr>
            <w:tcW w:w="2808" w:type="dxa"/>
          </w:tcPr>
          <w:p w14:paraId="77B70589" w14:textId="77777777" w:rsidR="00B93A94" w:rsidRPr="0047058F" w:rsidRDefault="00B93A94" w:rsidP="001340FD">
            <w:pPr>
              <w:pStyle w:val="TableText"/>
              <w:rPr>
                <w:rFonts w:cs="Calibri"/>
                <w:szCs w:val="14"/>
              </w:rPr>
            </w:pPr>
            <w:r w:rsidRPr="0047058F">
              <w:rPr>
                <w:rFonts w:cs="Calibri"/>
                <w:szCs w:val="14"/>
              </w:rPr>
              <w:t>Subsyndromal disorder: Above screening cut-off but below epidemiological cut-off</w:t>
            </w:r>
          </w:p>
        </w:tc>
        <w:tc>
          <w:tcPr>
            <w:tcW w:w="581" w:type="dxa"/>
          </w:tcPr>
          <w:p w14:paraId="435C421E" w14:textId="77777777" w:rsidR="00B93A94" w:rsidRPr="0047058F" w:rsidRDefault="00B93A94" w:rsidP="001340FD">
            <w:pPr>
              <w:pStyle w:val="TableText"/>
              <w:jc w:val="right"/>
            </w:pPr>
            <w:r w:rsidRPr="0047058F">
              <w:rPr>
                <w:rFonts w:eastAsia="Times New Roman" w:cs="Arial"/>
              </w:rPr>
              <w:t>497</w:t>
            </w:r>
          </w:p>
        </w:tc>
        <w:tc>
          <w:tcPr>
            <w:tcW w:w="581" w:type="dxa"/>
          </w:tcPr>
          <w:p w14:paraId="456161B9" w14:textId="77777777" w:rsidR="00B93A94" w:rsidRPr="0047058F" w:rsidRDefault="00B93A94" w:rsidP="001340FD">
            <w:pPr>
              <w:pStyle w:val="TableText"/>
              <w:jc w:val="right"/>
              <w:rPr>
                <w:rFonts w:eastAsia="Times New Roman" w:cs="Arial"/>
              </w:rPr>
            </w:pPr>
            <w:r w:rsidRPr="0047058F">
              <w:rPr>
                <w:rFonts w:eastAsia="Times New Roman" w:cs="Arial"/>
              </w:rPr>
              <w:t>23.6</w:t>
            </w:r>
          </w:p>
        </w:tc>
        <w:tc>
          <w:tcPr>
            <w:tcW w:w="557" w:type="dxa"/>
          </w:tcPr>
          <w:p w14:paraId="43EED478" w14:textId="77777777" w:rsidR="00B93A94" w:rsidRPr="0047058F" w:rsidRDefault="00B93A94" w:rsidP="001340FD">
            <w:pPr>
              <w:pStyle w:val="TableText"/>
              <w:jc w:val="right"/>
            </w:pPr>
            <w:r w:rsidRPr="0047058F">
              <w:rPr>
                <w:rFonts w:eastAsia="Times New Roman" w:cs="Arial"/>
              </w:rPr>
              <w:t>124</w:t>
            </w:r>
          </w:p>
        </w:tc>
        <w:tc>
          <w:tcPr>
            <w:tcW w:w="558" w:type="dxa"/>
          </w:tcPr>
          <w:p w14:paraId="3C59C667" w14:textId="77777777" w:rsidR="00B93A94" w:rsidRPr="0047058F" w:rsidRDefault="00B93A94" w:rsidP="001340FD">
            <w:pPr>
              <w:pStyle w:val="TableText"/>
              <w:jc w:val="right"/>
            </w:pPr>
            <w:r w:rsidRPr="0047058F">
              <w:rPr>
                <w:rFonts w:eastAsia="Times New Roman" w:cs="Arial"/>
              </w:rPr>
              <w:t>24.9</w:t>
            </w:r>
          </w:p>
        </w:tc>
        <w:tc>
          <w:tcPr>
            <w:tcW w:w="557" w:type="dxa"/>
          </w:tcPr>
          <w:p w14:paraId="5B1D29D8" w14:textId="77777777" w:rsidR="00B93A94" w:rsidRPr="0047058F" w:rsidRDefault="00B93A94" w:rsidP="001340FD">
            <w:pPr>
              <w:pStyle w:val="TableText"/>
              <w:jc w:val="right"/>
            </w:pPr>
            <w:r w:rsidRPr="0047058F">
              <w:rPr>
                <w:rFonts w:eastAsia="Times New Roman" w:cs="Arial"/>
              </w:rPr>
              <w:t>258</w:t>
            </w:r>
          </w:p>
        </w:tc>
        <w:tc>
          <w:tcPr>
            <w:tcW w:w="558" w:type="dxa"/>
          </w:tcPr>
          <w:p w14:paraId="08DB27CD" w14:textId="77777777" w:rsidR="00B93A94" w:rsidRPr="0047058F" w:rsidRDefault="00B93A94" w:rsidP="001340FD">
            <w:pPr>
              <w:pStyle w:val="TableText"/>
              <w:jc w:val="right"/>
            </w:pPr>
            <w:r w:rsidRPr="0047058F">
              <w:rPr>
                <w:rFonts w:eastAsia="Times New Roman" w:cs="Arial"/>
              </w:rPr>
              <w:t>51.9</w:t>
            </w:r>
          </w:p>
        </w:tc>
        <w:tc>
          <w:tcPr>
            <w:tcW w:w="557" w:type="dxa"/>
          </w:tcPr>
          <w:p w14:paraId="5A929F44" w14:textId="77777777" w:rsidR="00B93A94" w:rsidRPr="0047058F" w:rsidRDefault="00B93A94" w:rsidP="001340FD">
            <w:pPr>
              <w:pStyle w:val="TableText"/>
              <w:jc w:val="right"/>
            </w:pPr>
            <w:r w:rsidRPr="0047058F">
              <w:rPr>
                <w:rFonts w:eastAsia="Times New Roman" w:cs="Arial"/>
              </w:rPr>
              <w:t>115</w:t>
            </w:r>
          </w:p>
        </w:tc>
        <w:tc>
          <w:tcPr>
            <w:tcW w:w="558" w:type="dxa"/>
          </w:tcPr>
          <w:p w14:paraId="45F4CB98" w14:textId="77777777" w:rsidR="00B93A94" w:rsidRPr="0047058F" w:rsidRDefault="00B93A94" w:rsidP="001340FD">
            <w:pPr>
              <w:pStyle w:val="TableText"/>
              <w:jc w:val="right"/>
            </w:pPr>
            <w:r w:rsidRPr="0047058F">
              <w:rPr>
                <w:rFonts w:eastAsia="Times New Roman" w:cs="Arial"/>
              </w:rPr>
              <w:t>23.1</w:t>
            </w:r>
          </w:p>
        </w:tc>
      </w:tr>
      <w:tr w:rsidR="00B93A94" w:rsidRPr="0047058F" w14:paraId="5F0307AC" w14:textId="77777777" w:rsidTr="001340FD">
        <w:trPr>
          <w:cnfStyle w:val="000000100000" w:firstRow="0" w:lastRow="0" w:firstColumn="0" w:lastColumn="0" w:oddVBand="0" w:evenVBand="0" w:oddHBand="1" w:evenHBand="0" w:firstRowFirstColumn="0" w:firstRowLastColumn="0" w:lastRowFirstColumn="0" w:lastRowLastColumn="0"/>
          <w:cantSplit/>
        </w:trPr>
        <w:tc>
          <w:tcPr>
            <w:tcW w:w="2808" w:type="dxa"/>
          </w:tcPr>
          <w:p w14:paraId="5D57CCDA" w14:textId="77777777" w:rsidR="00B93A94" w:rsidRPr="0047058F" w:rsidRDefault="00B93A94" w:rsidP="001340FD">
            <w:pPr>
              <w:pStyle w:val="TableText"/>
              <w:rPr>
                <w:rFonts w:cs="Calibri"/>
                <w:szCs w:val="14"/>
              </w:rPr>
            </w:pPr>
            <w:r w:rsidRPr="0047058F">
              <w:rPr>
                <w:rFonts w:cs="Calibri"/>
                <w:szCs w:val="14"/>
              </w:rPr>
              <w:t>Probable disorder: Above both screening and epidemiological cut-offs</w:t>
            </w:r>
          </w:p>
        </w:tc>
        <w:tc>
          <w:tcPr>
            <w:tcW w:w="581" w:type="dxa"/>
          </w:tcPr>
          <w:p w14:paraId="0C5AB20C" w14:textId="77777777" w:rsidR="00B93A94" w:rsidRPr="0047058F" w:rsidRDefault="00B93A94" w:rsidP="001340FD">
            <w:pPr>
              <w:pStyle w:val="TableText"/>
              <w:jc w:val="right"/>
            </w:pPr>
            <w:r w:rsidRPr="0047058F">
              <w:rPr>
                <w:rFonts w:eastAsia="Times New Roman" w:cs="Arial"/>
              </w:rPr>
              <w:t>56</w:t>
            </w:r>
          </w:p>
        </w:tc>
        <w:tc>
          <w:tcPr>
            <w:tcW w:w="581" w:type="dxa"/>
          </w:tcPr>
          <w:p w14:paraId="0E6D2A96" w14:textId="77777777" w:rsidR="00B93A94" w:rsidRPr="0047058F" w:rsidRDefault="00B93A94" w:rsidP="001340FD">
            <w:pPr>
              <w:pStyle w:val="TableText"/>
              <w:jc w:val="right"/>
              <w:rPr>
                <w:rFonts w:eastAsia="Times New Roman" w:cs="Arial"/>
              </w:rPr>
            </w:pPr>
            <w:r w:rsidRPr="0047058F">
              <w:rPr>
                <w:rFonts w:eastAsia="Times New Roman" w:cs="Arial"/>
              </w:rPr>
              <w:t>2.7</w:t>
            </w:r>
          </w:p>
        </w:tc>
        <w:tc>
          <w:tcPr>
            <w:tcW w:w="557" w:type="dxa"/>
          </w:tcPr>
          <w:p w14:paraId="0D078720" w14:textId="77777777" w:rsidR="00B93A94" w:rsidRPr="0047058F" w:rsidRDefault="00B93A94" w:rsidP="001340FD">
            <w:pPr>
              <w:pStyle w:val="TableText"/>
              <w:jc w:val="right"/>
            </w:pPr>
            <w:r w:rsidRPr="0047058F">
              <w:rPr>
                <w:rFonts w:eastAsia="Times New Roman" w:cs="Arial"/>
              </w:rPr>
              <w:t>6</w:t>
            </w:r>
          </w:p>
        </w:tc>
        <w:tc>
          <w:tcPr>
            <w:tcW w:w="558" w:type="dxa"/>
          </w:tcPr>
          <w:p w14:paraId="74D786CD" w14:textId="77777777" w:rsidR="00B93A94" w:rsidRPr="0047058F" w:rsidRDefault="00B93A94" w:rsidP="001340FD">
            <w:pPr>
              <w:pStyle w:val="TableText"/>
              <w:jc w:val="right"/>
            </w:pPr>
            <w:r w:rsidRPr="0047058F">
              <w:rPr>
                <w:rFonts w:eastAsia="Times New Roman" w:cs="Arial"/>
              </w:rPr>
              <w:t>10.7</w:t>
            </w:r>
          </w:p>
        </w:tc>
        <w:tc>
          <w:tcPr>
            <w:tcW w:w="557" w:type="dxa"/>
          </w:tcPr>
          <w:p w14:paraId="0B5B5ED0" w14:textId="77777777" w:rsidR="00B93A94" w:rsidRPr="0047058F" w:rsidRDefault="00B93A94" w:rsidP="001340FD">
            <w:pPr>
              <w:pStyle w:val="TableText"/>
              <w:jc w:val="right"/>
            </w:pPr>
            <w:r w:rsidRPr="0047058F">
              <w:rPr>
                <w:rFonts w:eastAsia="Times New Roman" w:cs="Arial"/>
              </w:rPr>
              <w:t>23</w:t>
            </w:r>
          </w:p>
        </w:tc>
        <w:tc>
          <w:tcPr>
            <w:tcW w:w="558" w:type="dxa"/>
          </w:tcPr>
          <w:p w14:paraId="4B50FA40" w14:textId="77777777" w:rsidR="00B93A94" w:rsidRPr="0047058F" w:rsidRDefault="00B93A94" w:rsidP="001340FD">
            <w:pPr>
              <w:pStyle w:val="TableText"/>
              <w:jc w:val="right"/>
            </w:pPr>
            <w:r w:rsidRPr="0047058F">
              <w:rPr>
                <w:rFonts w:eastAsia="Times New Roman" w:cs="Arial"/>
              </w:rPr>
              <w:t>41.1</w:t>
            </w:r>
          </w:p>
        </w:tc>
        <w:tc>
          <w:tcPr>
            <w:tcW w:w="557" w:type="dxa"/>
          </w:tcPr>
          <w:p w14:paraId="7C9D34ED" w14:textId="77777777" w:rsidR="00B93A94" w:rsidRPr="0047058F" w:rsidRDefault="00B93A94" w:rsidP="001340FD">
            <w:pPr>
              <w:pStyle w:val="TableText"/>
              <w:jc w:val="right"/>
            </w:pPr>
            <w:r w:rsidRPr="0047058F">
              <w:rPr>
                <w:rFonts w:eastAsia="Times New Roman" w:cs="Arial"/>
              </w:rPr>
              <w:t>27</w:t>
            </w:r>
          </w:p>
        </w:tc>
        <w:tc>
          <w:tcPr>
            <w:tcW w:w="558" w:type="dxa"/>
          </w:tcPr>
          <w:p w14:paraId="36045379" w14:textId="77777777" w:rsidR="00B93A94" w:rsidRPr="0047058F" w:rsidRDefault="00B93A94" w:rsidP="001340FD">
            <w:pPr>
              <w:pStyle w:val="TableText"/>
              <w:jc w:val="right"/>
            </w:pPr>
            <w:r w:rsidRPr="0047058F">
              <w:rPr>
                <w:rFonts w:eastAsia="Times New Roman" w:cs="Arial"/>
              </w:rPr>
              <w:t>48.2</w:t>
            </w:r>
          </w:p>
        </w:tc>
      </w:tr>
      <w:tr w:rsidR="00B93A94" w:rsidRPr="0047058F" w14:paraId="5D785849" w14:textId="77777777" w:rsidTr="001340FD">
        <w:trPr>
          <w:cantSplit/>
        </w:trPr>
        <w:tc>
          <w:tcPr>
            <w:tcW w:w="2808" w:type="dxa"/>
          </w:tcPr>
          <w:p w14:paraId="124A2C9A" w14:textId="77777777" w:rsidR="00B93A94" w:rsidRPr="0047058F" w:rsidRDefault="00B93A94" w:rsidP="001340FD">
            <w:pPr>
              <w:pStyle w:val="TableText"/>
              <w:rPr>
                <w:rFonts w:cs="Arial"/>
                <w:b/>
              </w:rPr>
            </w:pPr>
            <w:r w:rsidRPr="0047058F">
              <w:rPr>
                <w:rFonts w:cs="Arial"/>
                <w:b/>
              </w:rPr>
              <w:t>Total</w:t>
            </w:r>
          </w:p>
        </w:tc>
        <w:tc>
          <w:tcPr>
            <w:tcW w:w="581" w:type="dxa"/>
          </w:tcPr>
          <w:p w14:paraId="429DBEA0" w14:textId="77777777" w:rsidR="00B93A94" w:rsidRPr="0047058F" w:rsidRDefault="00B93A94" w:rsidP="001340FD">
            <w:pPr>
              <w:pStyle w:val="TableText"/>
              <w:jc w:val="right"/>
              <w:rPr>
                <w:rFonts w:cs="Arial"/>
                <w:b/>
              </w:rPr>
            </w:pPr>
            <w:r w:rsidRPr="0047058F">
              <w:rPr>
                <w:rFonts w:cs="Arial"/>
                <w:b/>
              </w:rPr>
              <w:t>2105</w:t>
            </w:r>
          </w:p>
        </w:tc>
        <w:tc>
          <w:tcPr>
            <w:tcW w:w="581" w:type="dxa"/>
          </w:tcPr>
          <w:p w14:paraId="38A6E02F" w14:textId="77777777" w:rsidR="00B93A94" w:rsidRPr="0047058F" w:rsidRDefault="00B93A94" w:rsidP="001340FD">
            <w:pPr>
              <w:pStyle w:val="TableText"/>
              <w:jc w:val="right"/>
              <w:rPr>
                <w:rFonts w:eastAsia="Times New Roman" w:cs="Arial"/>
                <w:b/>
              </w:rPr>
            </w:pPr>
            <w:r w:rsidRPr="0047058F">
              <w:rPr>
                <w:rFonts w:eastAsia="Times New Roman" w:cs="Arial"/>
                <w:b/>
              </w:rPr>
              <w:t>100.0</w:t>
            </w:r>
          </w:p>
        </w:tc>
        <w:tc>
          <w:tcPr>
            <w:tcW w:w="557" w:type="dxa"/>
          </w:tcPr>
          <w:p w14:paraId="74F33FAA" w14:textId="77777777" w:rsidR="00B93A94" w:rsidRPr="0047058F" w:rsidRDefault="00B93A94" w:rsidP="001340FD">
            <w:pPr>
              <w:pStyle w:val="TableText"/>
              <w:jc w:val="right"/>
              <w:rPr>
                <w:rFonts w:cs="Arial"/>
                <w:b/>
              </w:rPr>
            </w:pPr>
            <w:r w:rsidRPr="0047058F">
              <w:rPr>
                <w:rFonts w:eastAsia="Times New Roman" w:cs="Arial"/>
                <w:b/>
              </w:rPr>
              <w:t>1156</w:t>
            </w:r>
          </w:p>
        </w:tc>
        <w:tc>
          <w:tcPr>
            <w:tcW w:w="558" w:type="dxa"/>
          </w:tcPr>
          <w:p w14:paraId="32DE5FBC" w14:textId="77777777" w:rsidR="00B93A94" w:rsidRPr="0047058F" w:rsidRDefault="00B93A94" w:rsidP="001340FD">
            <w:pPr>
              <w:pStyle w:val="TableText"/>
              <w:jc w:val="right"/>
              <w:rPr>
                <w:rFonts w:cs="Arial"/>
                <w:b/>
              </w:rPr>
            </w:pPr>
            <w:r w:rsidRPr="0047058F">
              <w:rPr>
                <w:rFonts w:eastAsia="Times New Roman" w:cs="Arial"/>
                <w:b/>
              </w:rPr>
              <w:t>54.9</w:t>
            </w:r>
          </w:p>
        </w:tc>
        <w:tc>
          <w:tcPr>
            <w:tcW w:w="557" w:type="dxa"/>
          </w:tcPr>
          <w:p w14:paraId="180B7642" w14:textId="77777777" w:rsidR="00B93A94" w:rsidRPr="0047058F" w:rsidRDefault="00B93A94" w:rsidP="001340FD">
            <w:pPr>
              <w:pStyle w:val="TableText"/>
              <w:jc w:val="right"/>
              <w:rPr>
                <w:rFonts w:cs="Arial"/>
                <w:b/>
              </w:rPr>
            </w:pPr>
            <w:r w:rsidRPr="0047058F">
              <w:rPr>
                <w:rFonts w:eastAsia="Times New Roman" w:cs="Arial"/>
                <w:b/>
              </w:rPr>
              <w:t>707</w:t>
            </w:r>
          </w:p>
        </w:tc>
        <w:tc>
          <w:tcPr>
            <w:tcW w:w="558" w:type="dxa"/>
          </w:tcPr>
          <w:p w14:paraId="0AC475FB" w14:textId="77777777" w:rsidR="00B93A94" w:rsidRPr="0047058F" w:rsidRDefault="00B93A94" w:rsidP="001340FD">
            <w:pPr>
              <w:pStyle w:val="TableText"/>
              <w:jc w:val="right"/>
              <w:rPr>
                <w:rFonts w:cs="Arial"/>
                <w:b/>
              </w:rPr>
            </w:pPr>
            <w:r w:rsidRPr="0047058F">
              <w:rPr>
                <w:rFonts w:eastAsia="Times New Roman" w:cs="Arial"/>
                <w:b/>
              </w:rPr>
              <w:t>33.6</w:t>
            </w:r>
          </w:p>
        </w:tc>
        <w:tc>
          <w:tcPr>
            <w:tcW w:w="557" w:type="dxa"/>
          </w:tcPr>
          <w:p w14:paraId="2DEED3E9" w14:textId="77777777" w:rsidR="00B93A94" w:rsidRPr="0047058F" w:rsidRDefault="00B93A94" w:rsidP="001340FD">
            <w:pPr>
              <w:pStyle w:val="TableText"/>
              <w:jc w:val="right"/>
              <w:rPr>
                <w:rFonts w:cs="Arial"/>
                <w:b/>
              </w:rPr>
            </w:pPr>
            <w:r w:rsidRPr="0047058F">
              <w:rPr>
                <w:rFonts w:eastAsia="Times New Roman" w:cs="Arial"/>
                <w:b/>
              </w:rPr>
              <w:t>242</w:t>
            </w:r>
          </w:p>
        </w:tc>
        <w:tc>
          <w:tcPr>
            <w:tcW w:w="558" w:type="dxa"/>
          </w:tcPr>
          <w:p w14:paraId="3E444E30" w14:textId="77777777" w:rsidR="00B93A94" w:rsidRPr="0047058F" w:rsidRDefault="00B93A94" w:rsidP="001340FD">
            <w:pPr>
              <w:pStyle w:val="TableText"/>
              <w:jc w:val="right"/>
              <w:rPr>
                <w:rFonts w:cs="Arial"/>
                <w:b/>
              </w:rPr>
            </w:pPr>
            <w:r w:rsidRPr="0047058F">
              <w:rPr>
                <w:rFonts w:eastAsia="Times New Roman" w:cs="Arial"/>
                <w:b/>
              </w:rPr>
              <w:t>11.5</w:t>
            </w:r>
          </w:p>
        </w:tc>
      </w:tr>
    </w:tbl>
    <w:p w14:paraId="6CDFC1FB" w14:textId="77777777" w:rsidR="00B93A94" w:rsidRPr="0047058F" w:rsidRDefault="00B93A94" w:rsidP="00B93A94">
      <w:pPr>
        <w:pStyle w:val="TableNotes"/>
      </w:pPr>
      <w:r w:rsidRPr="0047058F">
        <w:t>Note: Unweighted data.</w:t>
      </w:r>
    </w:p>
    <w:p w14:paraId="38F46629" w14:textId="7C9E3738" w:rsidR="009C6431" w:rsidRPr="0047058F" w:rsidRDefault="009C6431" w:rsidP="009C6431">
      <w:pPr>
        <w:pStyle w:val="FigureName"/>
      </w:pPr>
      <w:bookmarkStart w:id="337" w:name="_Ref387053921"/>
      <w:bookmarkStart w:id="338" w:name="_Toc529117579"/>
      <w:bookmarkStart w:id="339" w:name="_Toc532473652"/>
      <w:r w:rsidRPr="0047058F">
        <w:t>Figure 5.15</w:t>
      </w:r>
      <w:bookmarkEnd w:id="337"/>
      <w:r w:rsidRPr="0047058F">
        <w:tab/>
        <w:t xml:space="preserve">Proportion of </w:t>
      </w:r>
      <w:r w:rsidRPr="0047058F">
        <w:rPr>
          <w:u w:val="single"/>
        </w:rPr>
        <w:t>Transitioned ADF in the longitudinal cohort</w:t>
      </w:r>
      <w:r w:rsidRPr="0047058F">
        <w:t xml:space="preserve"> with no disorder, subsyndromal disorder and probable disorder on PHQ-9 in 2010 and 2015 based on self-reported measures</w:t>
      </w:r>
      <w:bookmarkEnd w:id="338"/>
      <w:bookmarkEnd w:id="339"/>
    </w:p>
    <w:p w14:paraId="1300143B" w14:textId="77777777" w:rsidR="009C6431" w:rsidRPr="0047058F" w:rsidRDefault="009C6431" w:rsidP="009C6431">
      <w:pPr>
        <w:spacing w:after="360"/>
      </w:pPr>
      <w:r w:rsidRPr="0047058F">
        <w:rPr>
          <w:noProof/>
          <w:lang w:eastAsia="en-AU"/>
        </w:rPr>
        <w:drawing>
          <wp:inline distT="0" distB="0" distL="0" distR="0" wp14:anchorId="0514CD0A" wp14:editId="39954E7F">
            <wp:extent cx="4572000" cy="2743200"/>
            <wp:effectExtent l="0" t="0" r="0" b="0"/>
            <wp:docPr id="56" name="Chart 56" descr="Figure 5.15 Proportion of Transitioned ADF in the longitudinal cohort with no disorder, subsyndromal disorder and probable disorder on PHQ-9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BD3641" w14:textId="77777777" w:rsidR="00B93A94" w:rsidRPr="0047058F" w:rsidRDefault="00B93A94" w:rsidP="00B93A94">
      <w:pPr>
        <w:pStyle w:val="TableName"/>
      </w:pPr>
      <w:bookmarkStart w:id="340" w:name="_Ref384557887"/>
      <w:bookmarkStart w:id="341" w:name="_Toc529117528"/>
      <w:bookmarkStart w:id="342" w:name="_Toc532473598"/>
      <w:r w:rsidRPr="0047058F">
        <w:t>Table 5.16</w:t>
      </w:r>
      <w:bookmarkEnd w:id="340"/>
      <w:r w:rsidRPr="0047058F">
        <w:tab/>
        <w:t xml:space="preserve">Proportion of </w:t>
      </w:r>
      <w:r w:rsidRPr="0047058F">
        <w:rPr>
          <w:u w:val="single"/>
        </w:rPr>
        <w:t>2015 Regular ADF in the longitudinal cohort</w:t>
      </w:r>
      <w:r w:rsidRPr="0047058F">
        <w:t xml:space="preserve"> with no disorder, subsyndromal disorder and probable disorder on PHQ-9 in 2010 and 2015 based on self-reported measures</w:t>
      </w:r>
      <w:bookmarkEnd w:id="341"/>
      <w:bookmarkEnd w:id="342"/>
    </w:p>
    <w:tbl>
      <w:tblPr>
        <w:tblStyle w:val="TWRPTable"/>
        <w:tblW w:w="5000" w:type="pct"/>
        <w:tblLayout w:type="fixed"/>
        <w:tblLook w:val="04A0" w:firstRow="1" w:lastRow="0" w:firstColumn="1" w:lastColumn="0" w:noHBand="0" w:noVBand="1"/>
        <w:tblDescription w:val="Table 5.16 Proportion of 2015 Regular ADF in the longitudinal cohort with no disorder, subsyndromal disorder and probable disorder on PHQ-9 in 2010 and 2015 based on self-reported measures"/>
      </w:tblPr>
      <w:tblGrid>
        <w:gridCol w:w="2808"/>
        <w:gridCol w:w="587"/>
        <w:gridCol w:w="587"/>
        <w:gridCol w:w="555"/>
        <w:gridCol w:w="556"/>
        <w:gridCol w:w="555"/>
        <w:gridCol w:w="556"/>
        <w:gridCol w:w="555"/>
        <w:gridCol w:w="556"/>
      </w:tblGrid>
      <w:tr w:rsidR="00B93A94" w:rsidRPr="0047058F" w14:paraId="049CD9FB"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3982" w:type="dxa"/>
            <w:gridSpan w:val="3"/>
            <w:vMerge w:val="restart"/>
          </w:tcPr>
          <w:p w14:paraId="70D734DA" w14:textId="77777777" w:rsidR="00B93A94" w:rsidRPr="0047058F" w:rsidRDefault="00B93A94" w:rsidP="00DB3A52">
            <w:pPr>
              <w:pStyle w:val="TableText"/>
            </w:pPr>
            <w:r w:rsidRPr="0047058F">
              <w:t>2010 ADF Mental Health Prevalence and Wellbeing Study</w:t>
            </w:r>
          </w:p>
        </w:tc>
        <w:tc>
          <w:tcPr>
            <w:tcW w:w="3333" w:type="dxa"/>
            <w:gridSpan w:val="6"/>
          </w:tcPr>
          <w:p w14:paraId="0B1375DA" w14:textId="77777777" w:rsidR="00B93A94" w:rsidRPr="0047058F" w:rsidRDefault="00B93A94" w:rsidP="00DB3A52">
            <w:pPr>
              <w:pStyle w:val="TableText"/>
              <w:jc w:val="center"/>
            </w:pPr>
            <w:r w:rsidRPr="0047058F">
              <w:t>2015 Transition and Wellbeing Research Programme</w:t>
            </w:r>
          </w:p>
        </w:tc>
      </w:tr>
      <w:tr w:rsidR="00B93A94" w:rsidRPr="0047058F" w14:paraId="0B657A6E"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3982" w:type="dxa"/>
            <w:gridSpan w:val="3"/>
            <w:vMerge/>
          </w:tcPr>
          <w:p w14:paraId="106324FD" w14:textId="77777777" w:rsidR="00B93A94" w:rsidRPr="0047058F" w:rsidRDefault="00B93A94" w:rsidP="00DB3A52">
            <w:pPr>
              <w:pStyle w:val="TableText"/>
            </w:pPr>
          </w:p>
        </w:tc>
        <w:tc>
          <w:tcPr>
            <w:tcW w:w="1111" w:type="dxa"/>
            <w:gridSpan w:val="2"/>
            <w:hideMark/>
          </w:tcPr>
          <w:p w14:paraId="468EB73B" w14:textId="77777777" w:rsidR="00B93A94" w:rsidRPr="0047058F" w:rsidRDefault="00B93A94" w:rsidP="00DB3A52">
            <w:pPr>
              <w:pStyle w:val="TableText"/>
              <w:jc w:val="center"/>
            </w:pPr>
            <w:r w:rsidRPr="0047058F">
              <w:t>No disorder</w:t>
            </w:r>
          </w:p>
        </w:tc>
        <w:tc>
          <w:tcPr>
            <w:tcW w:w="1111" w:type="dxa"/>
            <w:gridSpan w:val="2"/>
          </w:tcPr>
          <w:p w14:paraId="6C182A8C" w14:textId="77777777" w:rsidR="00B93A94" w:rsidRPr="0047058F" w:rsidRDefault="00B93A94" w:rsidP="00DB3A52">
            <w:pPr>
              <w:pStyle w:val="TableText"/>
              <w:jc w:val="center"/>
            </w:pPr>
            <w:r w:rsidRPr="0047058F">
              <w:t>Subsyndromal disorder</w:t>
            </w:r>
          </w:p>
        </w:tc>
        <w:tc>
          <w:tcPr>
            <w:tcW w:w="1111" w:type="dxa"/>
            <w:gridSpan w:val="2"/>
          </w:tcPr>
          <w:p w14:paraId="76252E13" w14:textId="77777777" w:rsidR="00B93A94" w:rsidRPr="0047058F" w:rsidRDefault="00B93A94" w:rsidP="00DB3A52">
            <w:pPr>
              <w:pStyle w:val="TableText"/>
              <w:jc w:val="center"/>
            </w:pPr>
            <w:r w:rsidRPr="0047058F">
              <w:t>Probable disorder</w:t>
            </w:r>
          </w:p>
        </w:tc>
      </w:tr>
      <w:tr w:rsidR="00B93A94" w:rsidRPr="0047058F" w14:paraId="15A974B2"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2808" w:type="dxa"/>
          </w:tcPr>
          <w:p w14:paraId="4F167440" w14:textId="77777777" w:rsidR="00B93A94" w:rsidRPr="0047058F" w:rsidRDefault="00B93A94" w:rsidP="00DB3A52">
            <w:pPr>
              <w:pStyle w:val="TableText"/>
            </w:pPr>
            <w:r w:rsidRPr="0047058F">
              <w:rPr>
                <w:rFonts w:cs="Arial"/>
              </w:rPr>
              <w:t>PHQ-9</w:t>
            </w:r>
          </w:p>
        </w:tc>
        <w:tc>
          <w:tcPr>
            <w:tcW w:w="587" w:type="dxa"/>
          </w:tcPr>
          <w:p w14:paraId="2B768E1F" w14:textId="77777777" w:rsidR="00B93A94" w:rsidRPr="0047058F" w:rsidRDefault="00B93A94" w:rsidP="00DB3A52">
            <w:pPr>
              <w:pStyle w:val="TableText"/>
              <w:jc w:val="right"/>
              <w:rPr>
                <w:rFonts w:cs="Arial"/>
              </w:rPr>
            </w:pPr>
            <w:r w:rsidRPr="0047058F">
              <w:rPr>
                <w:rFonts w:cs="Arial"/>
              </w:rPr>
              <w:t>n</w:t>
            </w:r>
          </w:p>
        </w:tc>
        <w:tc>
          <w:tcPr>
            <w:tcW w:w="587" w:type="dxa"/>
          </w:tcPr>
          <w:p w14:paraId="7E37110D" w14:textId="77777777" w:rsidR="00B93A94" w:rsidRPr="0047058F" w:rsidRDefault="00B93A94" w:rsidP="00DB3A52">
            <w:pPr>
              <w:pStyle w:val="TableText"/>
              <w:jc w:val="right"/>
              <w:rPr>
                <w:rFonts w:cs="Arial"/>
              </w:rPr>
            </w:pPr>
            <w:r w:rsidRPr="0047058F">
              <w:rPr>
                <w:rFonts w:cs="Arial"/>
              </w:rPr>
              <w:t>%</w:t>
            </w:r>
          </w:p>
        </w:tc>
        <w:tc>
          <w:tcPr>
            <w:tcW w:w="555" w:type="dxa"/>
          </w:tcPr>
          <w:p w14:paraId="21961F1A" w14:textId="77777777" w:rsidR="00B93A94" w:rsidRPr="0047058F" w:rsidRDefault="00B93A94" w:rsidP="00DB3A52">
            <w:pPr>
              <w:pStyle w:val="TableText"/>
              <w:jc w:val="right"/>
              <w:rPr>
                <w:rFonts w:cs="Arial"/>
              </w:rPr>
            </w:pPr>
            <w:r w:rsidRPr="0047058F">
              <w:rPr>
                <w:rFonts w:cs="Arial"/>
              </w:rPr>
              <w:t>n</w:t>
            </w:r>
          </w:p>
        </w:tc>
        <w:tc>
          <w:tcPr>
            <w:tcW w:w="556" w:type="dxa"/>
          </w:tcPr>
          <w:p w14:paraId="1733FA32" w14:textId="77777777" w:rsidR="00B93A94" w:rsidRPr="0047058F" w:rsidRDefault="00B93A94" w:rsidP="00DB3A52">
            <w:pPr>
              <w:pStyle w:val="TableText"/>
              <w:jc w:val="right"/>
              <w:rPr>
                <w:rFonts w:cs="Arial"/>
              </w:rPr>
            </w:pPr>
            <w:r w:rsidRPr="0047058F">
              <w:rPr>
                <w:rFonts w:cs="Arial"/>
              </w:rPr>
              <w:t>%</w:t>
            </w:r>
          </w:p>
        </w:tc>
        <w:tc>
          <w:tcPr>
            <w:tcW w:w="555" w:type="dxa"/>
          </w:tcPr>
          <w:p w14:paraId="40120A29" w14:textId="77777777" w:rsidR="00B93A94" w:rsidRPr="0047058F" w:rsidRDefault="00B93A94" w:rsidP="00DB3A52">
            <w:pPr>
              <w:pStyle w:val="TableText"/>
              <w:jc w:val="right"/>
              <w:rPr>
                <w:rFonts w:cs="Arial"/>
              </w:rPr>
            </w:pPr>
            <w:r w:rsidRPr="0047058F">
              <w:rPr>
                <w:rFonts w:cs="Arial"/>
              </w:rPr>
              <w:t>n</w:t>
            </w:r>
          </w:p>
        </w:tc>
        <w:tc>
          <w:tcPr>
            <w:tcW w:w="556" w:type="dxa"/>
          </w:tcPr>
          <w:p w14:paraId="0F1C9100" w14:textId="77777777" w:rsidR="00B93A94" w:rsidRPr="0047058F" w:rsidRDefault="00B93A94" w:rsidP="00DB3A52">
            <w:pPr>
              <w:pStyle w:val="TableText"/>
              <w:jc w:val="right"/>
              <w:rPr>
                <w:rFonts w:cs="Arial"/>
              </w:rPr>
            </w:pPr>
            <w:r w:rsidRPr="0047058F">
              <w:rPr>
                <w:rFonts w:cs="Arial"/>
              </w:rPr>
              <w:t>%</w:t>
            </w:r>
          </w:p>
        </w:tc>
        <w:tc>
          <w:tcPr>
            <w:tcW w:w="555" w:type="dxa"/>
          </w:tcPr>
          <w:p w14:paraId="55F37920" w14:textId="77777777" w:rsidR="00B93A94" w:rsidRPr="0047058F" w:rsidRDefault="00B93A94" w:rsidP="00DB3A52">
            <w:pPr>
              <w:pStyle w:val="TableText"/>
              <w:jc w:val="right"/>
              <w:rPr>
                <w:rFonts w:cs="Arial"/>
              </w:rPr>
            </w:pPr>
            <w:r w:rsidRPr="0047058F">
              <w:rPr>
                <w:rFonts w:cs="Arial"/>
              </w:rPr>
              <w:t>n</w:t>
            </w:r>
          </w:p>
        </w:tc>
        <w:tc>
          <w:tcPr>
            <w:tcW w:w="556" w:type="dxa"/>
          </w:tcPr>
          <w:p w14:paraId="787AAF71" w14:textId="77777777" w:rsidR="00B93A94" w:rsidRPr="0047058F" w:rsidRDefault="00B93A94" w:rsidP="00DB3A52">
            <w:pPr>
              <w:pStyle w:val="TableText"/>
              <w:jc w:val="right"/>
              <w:rPr>
                <w:rFonts w:cs="Arial"/>
              </w:rPr>
            </w:pPr>
            <w:r w:rsidRPr="0047058F">
              <w:rPr>
                <w:rFonts w:cs="Arial"/>
              </w:rPr>
              <w:t>%</w:t>
            </w:r>
          </w:p>
        </w:tc>
      </w:tr>
      <w:tr w:rsidR="00B93A94" w:rsidRPr="0047058F" w14:paraId="5B70A945" w14:textId="77777777" w:rsidTr="00DB3A52">
        <w:trPr>
          <w:cnfStyle w:val="000000100000" w:firstRow="0" w:lastRow="0" w:firstColumn="0" w:lastColumn="0" w:oddVBand="0" w:evenVBand="0" w:oddHBand="1" w:evenHBand="0" w:firstRowFirstColumn="0" w:firstRowLastColumn="0" w:lastRowFirstColumn="0" w:lastRowLastColumn="0"/>
          <w:cantSplit/>
        </w:trPr>
        <w:tc>
          <w:tcPr>
            <w:tcW w:w="2808" w:type="dxa"/>
          </w:tcPr>
          <w:p w14:paraId="20EE80D8" w14:textId="77777777" w:rsidR="00B93A94" w:rsidRPr="0047058F" w:rsidRDefault="00B93A94" w:rsidP="00DB3A52">
            <w:pPr>
              <w:pStyle w:val="TableText"/>
              <w:rPr>
                <w:rFonts w:cs="Calibri"/>
                <w:szCs w:val="14"/>
              </w:rPr>
            </w:pPr>
            <w:r w:rsidRPr="0047058F">
              <w:rPr>
                <w:rFonts w:cs="Calibri"/>
                <w:szCs w:val="14"/>
              </w:rPr>
              <w:t>No disorder: Below both screening and epidemiological cut-offs</w:t>
            </w:r>
          </w:p>
        </w:tc>
        <w:tc>
          <w:tcPr>
            <w:tcW w:w="587" w:type="dxa"/>
          </w:tcPr>
          <w:p w14:paraId="78D1B070" w14:textId="77777777" w:rsidR="00B93A94" w:rsidRPr="0047058F" w:rsidRDefault="00B93A94" w:rsidP="00DB3A52">
            <w:pPr>
              <w:pStyle w:val="TableText"/>
              <w:jc w:val="right"/>
            </w:pPr>
            <w:r w:rsidRPr="0047058F">
              <w:rPr>
                <w:rFonts w:eastAsia="Times New Roman" w:cs="Arial"/>
              </w:rPr>
              <w:t>4648</w:t>
            </w:r>
          </w:p>
        </w:tc>
        <w:tc>
          <w:tcPr>
            <w:tcW w:w="587" w:type="dxa"/>
          </w:tcPr>
          <w:p w14:paraId="1F6AADF4" w14:textId="77777777" w:rsidR="00B93A94" w:rsidRPr="0047058F" w:rsidRDefault="00B93A94" w:rsidP="00DB3A52">
            <w:pPr>
              <w:pStyle w:val="TableText"/>
              <w:jc w:val="right"/>
              <w:rPr>
                <w:rFonts w:eastAsia="Times New Roman" w:cs="Arial"/>
              </w:rPr>
            </w:pPr>
            <w:r w:rsidRPr="0047058F">
              <w:rPr>
                <w:rFonts w:eastAsia="Times New Roman" w:cs="Arial"/>
              </w:rPr>
              <w:t>82.9</w:t>
            </w:r>
          </w:p>
        </w:tc>
        <w:tc>
          <w:tcPr>
            <w:tcW w:w="555" w:type="dxa"/>
          </w:tcPr>
          <w:p w14:paraId="5AA02775" w14:textId="77777777" w:rsidR="00B93A94" w:rsidRPr="0047058F" w:rsidRDefault="00B93A94" w:rsidP="00DB3A52">
            <w:pPr>
              <w:pStyle w:val="TableText"/>
              <w:jc w:val="right"/>
            </w:pPr>
            <w:r w:rsidRPr="0047058F">
              <w:rPr>
                <w:rFonts w:eastAsia="Times New Roman" w:cs="Arial"/>
              </w:rPr>
              <w:t>3455</w:t>
            </w:r>
          </w:p>
        </w:tc>
        <w:tc>
          <w:tcPr>
            <w:tcW w:w="556" w:type="dxa"/>
          </w:tcPr>
          <w:p w14:paraId="4D1687B9" w14:textId="77777777" w:rsidR="00B93A94" w:rsidRPr="0047058F" w:rsidRDefault="00B93A94" w:rsidP="00DB3A52">
            <w:pPr>
              <w:pStyle w:val="TableText"/>
              <w:jc w:val="right"/>
            </w:pPr>
            <w:r w:rsidRPr="0047058F">
              <w:rPr>
                <w:rFonts w:eastAsia="Times New Roman" w:cs="Arial"/>
              </w:rPr>
              <w:t>74.3</w:t>
            </w:r>
          </w:p>
        </w:tc>
        <w:tc>
          <w:tcPr>
            <w:tcW w:w="555" w:type="dxa"/>
          </w:tcPr>
          <w:p w14:paraId="7461A456" w14:textId="77777777" w:rsidR="00B93A94" w:rsidRPr="0047058F" w:rsidRDefault="00B93A94" w:rsidP="00DB3A52">
            <w:pPr>
              <w:pStyle w:val="TableText"/>
              <w:jc w:val="right"/>
            </w:pPr>
            <w:r w:rsidRPr="0047058F">
              <w:rPr>
                <w:rFonts w:eastAsia="Times New Roman" w:cs="Arial"/>
              </w:rPr>
              <w:t>1110</w:t>
            </w:r>
          </w:p>
        </w:tc>
        <w:tc>
          <w:tcPr>
            <w:tcW w:w="556" w:type="dxa"/>
          </w:tcPr>
          <w:p w14:paraId="60EA792B" w14:textId="77777777" w:rsidR="00B93A94" w:rsidRPr="0047058F" w:rsidRDefault="00B93A94" w:rsidP="00DB3A52">
            <w:pPr>
              <w:pStyle w:val="TableText"/>
              <w:jc w:val="right"/>
            </w:pPr>
            <w:r w:rsidRPr="0047058F">
              <w:rPr>
                <w:rFonts w:eastAsia="Times New Roman" w:cs="Arial"/>
              </w:rPr>
              <w:t>23.9</w:t>
            </w:r>
          </w:p>
        </w:tc>
        <w:tc>
          <w:tcPr>
            <w:tcW w:w="555" w:type="dxa"/>
          </w:tcPr>
          <w:p w14:paraId="1E373F43" w14:textId="77777777" w:rsidR="00B93A94" w:rsidRPr="0047058F" w:rsidRDefault="00B93A94" w:rsidP="00DB3A52">
            <w:pPr>
              <w:pStyle w:val="TableText"/>
              <w:jc w:val="right"/>
            </w:pPr>
            <w:r w:rsidRPr="0047058F">
              <w:rPr>
                <w:rFonts w:eastAsia="Times New Roman" w:cs="Arial"/>
              </w:rPr>
              <w:t>83</w:t>
            </w:r>
          </w:p>
        </w:tc>
        <w:tc>
          <w:tcPr>
            <w:tcW w:w="556" w:type="dxa"/>
          </w:tcPr>
          <w:p w14:paraId="4882C29C" w14:textId="77777777" w:rsidR="00B93A94" w:rsidRPr="0047058F" w:rsidRDefault="00B93A94" w:rsidP="00DB3A52">
            <w:pPr>
              <w:pStyle w:val="TableText"/>
              <w:jc w:val="right"/>
            </w:pPr>
            <w:r w:rsidRPr="0047058F">
              <w:rPr>
                <w:rFonts w:eastAsia="Times New Roman" w:cs="Arial"/>
              </w:rPr>
              <w:t>1.8</w:t>
            </w:r>
          </w:p>
        </w:tc>
      </w:tr>
      <w:tr w:rsidR="00B93A94" w:rsidRPr="0047058F" w14:paraId="2A11071B" w14:textId="77777777" w:rsidTr="00DB3A52">
        <w:trPr>
          <w:cantSplit/>
        </w:trPr>
        <w:tc>
          <w:tcPr>
            <w:tcW w:w="2808" w:type="dxa"/>
          </w:tcPr>
          <w:p w14:paraId="0C1AAAAA" w14:textId="77777777" w:rsidR="00B93A94" w:rsidRPr="0047058F" w:rsidRDefault="00B93A94" w:rsidP="00DB3A52">
            <w:pPr>
              <w:pStyle w:val="TableText"/>
              <w:rPr>
                <w:rFonts w:cs="Calibri"/>
                <w:szCs w:val="14"/>
              </w:rPr>
            </w:pPr>
            <w:r w:rsidRPr="0047058F">
              <w:rPr>
                <w:rFonts w:cs="Calibri"/>
                <w:szCs w:val="14"/>
              </w:rPr>
              <w:t>Subsyndromal disorder: Above screening cut-off but below epidemiological cut-off</w:t>
            </w:r>
          </w:p>
        </w:tc>
        <w:tc>
          <w:tcPr>
            <w:tcW w:w="587" w:type="dxa"/>
          </w:tcPr>
          <w:p w14:paraId="7611F320" w14:textId="77777777" w:rsidR="00B93A94" w:rsidRPr="0047058F" w:rsidRDefault="00B93A94" w:rsidP="00DB3A52">
            <w:pPr>
              <w:pStyle w:val="TableText"/>
              <w:jc w:val="right"/>
            </w:pPr>
            <w:r w:rsidRPr="0047058F">
              <w:rPr>
                <w:rFonts w:eastAsia="Times New Roman" w:cs="Arial"/>
              </w:rPr>
              <w:t>901</w:t>
            </w:r>
          </w:p>
        </w:tc>
        <w:tc>
          <w:tcPr>
            <w:tcW w:w="587" w:type="dxa"/>
          </w:tcPr>
          <w:p w14:paraId="29A91BBF" w14:textId="77777777" w:rsidR="00B93A94" w:rsidRPr="0047058F" w:rsidRDefault="00B93A94" w:rsidP="00DB3A52">
            <w:pPr>
              <w:pStyle w:val="TableText"/>
              <w:jc w:val="right"/>
              <w:rPr>
                <w:rFonts w:eastAsia="Times New Roman" w:cs="Arial"/>
              </w:rPr>
            </w:pPr>
            <w:r w:rsidRPr="0047058F">
              <w:rPr>
                <w:rFonts w:eastAsia="Times New Roman" w:cs="Arial"/>
              </w:rPr>
              <w:t>16.1</w:t>
            </w:r>
          </w:p>
        </w:tc>
        <w:tc>
          <w:tcPr>
            <w:tcW w:w="555" w:type="dxa"/>
          </w:tcPr>
          <w:p w14:paraId="579A3172" w14:textId="77777777" w:rsidR="00B93A94" w:rsidRPr="0047058F" w:rsidRDefault="00B93A94" w:rsidP="00DB3A52">
            <w:pPr>
              <w:pStyle w:val="TableText"/>
              <w:jc w:val="right"/>
            </w:pPr>
            <w:r w:rsidRPr="0047058F">
              <w:rPr>
                <w:rFonts w:eastAsia="Times New Roman" w:cs="Arial"/>
              </w:rPr>
              <w:t>302</w:t>
            </w:r>
          </w:p>
        </w:tc>
        <w:tc>
          <w:tcPr>
            <w:tcW w:w="556" w:type="dxa"/>
          </w:tcPr>
          <w:p w14:paraId="5167D20E" w14:textId="77777777" w:rsidR="00B93A94" w:rsidRPr="0047058F" w:rsidRDefault="00B93A94" w:rsidP="00DB3A52">
            <w:pPr>
              <w:pStyle w:val="TableText"/>
              <w:jc w:val="right"/>
            </w:pPr>
            <w:r w:rsidRPr="0047058F">
              <w:rPr>
                <w:rFonts w:eastAsia="Times New Roman" w:cs="Arial"/>
              </w:rPr>
              <w:t>33.5</w:t>
            </w:r>
          </w:p>
        </w:tc>
        <w:tc>
          <w:tcPr>
            <w:tcW w:w="555" w:type="dxa"/>
          </w:tcPr>
          <w:p w14:paraId="16F255A7" w14:textId="77777777" w:rsidR="00B93A94" w:rsidRPr="0047058F" w:rsidRDefault="00B93A94" w:rsidP="00DB3A52">
            <w:pPr>
              <w:pStyle w:val="TableText"/>
              <w:jc w:val="right"/>
            </w:pPr>
            <w:r w:rsidRPr="0047058F">
              <w:rPr>
                <w:rFonts w:eastAsia="Times New Roman" w:cs="Arial"/>
              </w:rPr>
              <w:t>516</w:t>
            </w:r>
          </w:p>
        </w:tc>
        <w:tc>
          <w:tcPr>
            <w:tcW w:w="556" w:type="dxa"/>
          </w:tcPr>
          <w:p w14:paraId="69CCB717" w14:textId="77777777" w:rsidR="00B93A94" w:rsidRPr="0047058F" w:rsidRDefault="00B93A94" w:rsidP="00DB3A52">
            <w:pPr>
              <w:pStyle w:val="TableText"/>
              <w:jc w:val="right"/>
            </w:pPr>
            <w:r w:rsidRPr="0047058F">
              <w:rPr>
                <w:rFonts w:eastAsia="Times New Roman" w:cs="Arial"/>
              </w:rPr>
              <w:t>57.3</w:t>
            </w:r>
          </w:p>
        </w:tc>
        <w:tc>
          <w:tcPr>
            <w:tcW w:w="555" w:type="dxa"/>
          </w:tcPr>
          <w:p w14:paraId="6D98DBDF" w14:textId="77777777" w:rsidR="00B93A94" w:rsidRPr="0047058F" w:rsidRDefault="00B93A94" w:rsidP="00DB3A52">
            <w:pPr>
              <w:pStyle w:val="TableText"/>
              <w:jc w:val="right"/>
            </w:pPr>
            <w:r w:rsidRPr="0047058F">
              <w:rPr>
                <w:rFonts w:eastAsia="Times New Roman" w:cs="Arial"/>
              </w:rPr>
              <w:t>83</w:t>
            </w:r>
          </w:p>
        </w:tc>
        <w:tc>
          <w:tcPr>
            <w:tcW w:w="556" w:type="dxa"/>
          </w:tcPr>
          <w:p w14:paraId="1C37F725" w14:textId="77777777" w:rsidR="00B93A94" w:rsidRPr="0047058F" w:rsidRDefault="00B93A94" w:rsidP="00DB3A52">
            <w:pPr>
              <w:pStyle w:val="TableText"/>
              <w:jc w:val="right"/>
            </w:pPr>
            <w:r w:rsidRPr="0047058F">
              <w:rPr>
                <w:rFonts w:eastAsia="Times New Roman" w:cs="Arial"/>
              </w:rPr>
              <w:t>9.2</w:t>
            </w:r>
          </w:p>
        </w:tc>
      </w:tr>
      <w:tr w:rsidR="00B93A94" w:rsidRPr="0047058F" w14:paraId="0EA90E4F" w14:textId="77777777" w:rsidTr="00DB3A52">
        <w:trPr>
          <w:cnfStyle w:val="000000100000" w:firstRow="0" w:lastRow="0" w:firstColumn="0" w:lastColumn="0" w:oddVBand="0" w:evenVBand="0" w:oddHBand="1" w:evenHBand="0" w:firstRowFirstColumn="0" w:firstRowLastColumn="0" w:lastRowFirstColumn="0" w:lastRowLastColumn="0"/>
          <w:cantSplit/>
        </w:trPr>
        <w:tc>
          <w:tcPr>
            <w:tcW w:w="2808" w:type="dxa"/>
          </w:tcPr>
          <w:p w14:paraId="6A4A6748" w14:textId="77777777" w:rsidR="00B93A94" w:rsidRPr="0047058F" w:rsidRDefault="00B93A94" w:rsidP="00DB3A52">
            <w:pPr>
              <w:pStyle w:val="TableText"/>
              <w:rPr>
                <w:rFonts w:cs="Calibri"/>
                <w:szCs w:val="14"/>
              </w:rPr>
            </w:pPr>
            <w:r w:rsidRPr="0047058F">
              <w:rPr>
                <w:rFonts w:cs="Calibri"/>
                <w:szCs w:val="14"/>
              </w:rPr>
              <w:t>Probable disorder: Above both screening and epidemiological cut-offs</w:t>
            </w:r>
          </w:p>
        </w:tc>
        <w:tc>
          <w:tcPr>
            <w:tcW w:w="587" w:type="dxa"/>
          </w:tcPr>
          <w:p w14:paraId="43691224" w14:textId="77777777" w:rsidR="00B93A94" w:rsidRPr="0047058F" w:rsidRDefault="00B93A94" w:rsidP="00DB3A52">
            <w:pPr>
              <w:pStyle w:val="TableText"/>
              <w:jc w:val="right"/>
            </w:pPr>
            <w:r w:rsidRPr="0047058F">
              <w:rPr>
                <w:rFonts w:eastAsia="Times New Roman" w:cs="Arial"/>
              </w:rPr>
              <w:t>58</w:t>
            </w:r>
          </w:p>
        </w:tc>
        <w:tc>
          <w:tcPr>
            <w:tcW w:w="587" w:type="dxa"/>
          </w:tcPr>
          <w:p w14:paraId="30E9D8E1" w14:textId="77777777" w:rsidR="00B93A94" w:rsidRPr="0047058F" w:rsidRDefault="00B93A94" w:rsidP="00DB3A52">
            <w:pPr>
              <w:pStyle w:val="TableText"/>
              <w:jc w:val="right"/>
              <w:rPr>
                <w:rFonts w:eastAsia="Times New Roman" w:cs="Arial"/>
              </w:rPr>
            </w:pPr>
            <w:r w:rsidRPr="0047058F">
              <w:rPr>
                <w:rFonts w:eastAsia="Times New Roman" w:cs="Arial"/>
              </w:rPr>
              <w:t>1.0</w:t>
            </w:r>
          </w:p>
        </w:tc>
        <w:tc>
          <w:tcPr>
            <w:tcW w:w="555" w:type="dxa"/>
          </w:tcPr>
          <w:p w14:paraId="1631F580" w14:textId="77777777" w:rsidR="00B93A94" w:rsidRPr="0047058F" w:rsidRDefault="00B93A94" w:rsidP="00DB3A52">
            <w:pPr>
              <w:pStyle w:val="TableText"/>
              <w:jc w:val="right"/>
            </w:pPr>
            <w:r w:rsidRPr="0047058F">
              <w:rPr>
                <w:rFonts w:eastAsia="Times New Roman" w:cs="Arial"/>
              </w:rPr>
              <w:t>8</w:t>
            </w:r>
          </w:p>
        </w:tc>
        <w:tc>
          <w:tcPr>
            <w:tcW w:w="556" w:type="dxa"/>
          </w:tcPr>
          <w:p w14:paraId="15A3E71A" w14:textId="77777777" w:rsidR="00B93A94" w:rsidRPr="0047058F" w:rsidRDefault="00B93A94" w:rsidP="00DB3A52">
            <w:pPr>
              <w:pStyle w:val="TableText"/>
              <w:jc w:val="right"/>
            </w:pPr>
            <w:r w:rsidRPr="0047058F">
              <w:rPr>
                <w:rFonts w:eastAsia="Times New Roman" w:cs="Arial"/>
              </w:rPr>
              <w:t>13.8</w:t>
            </w:r>
          </w:p>
        </w:tc>
        <w:tc>
          <w:tcPr>
            <w:tcW w:w="555" w:type="dxa"/>
          </w:tcPr>
          <w:p w14:paraId="4BE57B61" w14:textId="77777777" w:rsidR="00B93A94" w:rsidRPr="0047058F" w:rsidRDefault="00B93A94" w:rsidP="00DB3A52">
            <w:pPr>
              <w:pStyle w:val="TableText"/>
              <w:jc w:val="right"/>
            </w:pPr>
            <w:r w:rsidRPr="0047058F">
              <w:rPr>
                <w:rFonts w:eastAsia="Times New Roman" w:cs="Arial"/>
              </w:rPr>
              <w:t>32</w:t>
            </w:r>
          </w:p>
        </w:tc>
        <w:tc>
          <w:tcPr>
            <w:tcW w:w="556" w:type="dxa"/>
          </w:tcPr>
          <w:p w14:paraId="3DBB1526" w14:textId="77777777" w:rsidR="00B93A94" w:rsidRPr="0047058F" w:rsidRDefault="00B93A94" w:rsidP="00DB3A52">
            <w:pPr>
              <w:pStyle w:val="TableText"/>
              <w:jc w:val="right"/>
            </w:pPr>
            <w:r w:rsidRPr="0047058F">
              <w:rPr>
                <w:rFonts w:eastAsia="Times New Roman" w:cs="Arial"/>
              </w:rPr>
              <w:t>55.2</w:t>
            </w:r>
          </w:p>
        </w:tc>
        <w:tc>
          <w:tcPr>
            <w:tcW w:w="555" w:type="dxa"/>
          </w:tcPr>
          <w:p w14:paraId="4D2735A2" w14:textId="77777777" w:rsidR="00B93A94" w:rsidRPr="0047058F" w:rsidRDefault="00B93A94" w:rsidP="00DB3A52">
            <w:pPr>
              <w:pStyle w:val="TableText"/>
              <w:jc w:val="right"/>
            </w:pPr>
            <w:r w:rsidRPr="0047058F">
              <w:rPr>
                <w:rFonts w:eastAsia="Times New Roman" w:cs="Arial"/>
              </w:rPr>
              <w:t>18</w:t>
            </w:r>
          </w:p>
        </w:tc>
        <w:tc>
          <w:tcPr>
            <w:tcW w:w="556" w:type="dxa"/>
          </w:tcPr>
          <w:p w14:paraId="74417817" w14:textId="77777777" w:rsidR="00B93A94" w:rsidRPr="0047058F" w:rsidRDefault="00B93A94" w:rsidP="00DB3A52">
            <w:pPr>
              <w:pStyle w:val="TableText"/>
              <w:jc w:val="right"/>
            </w:pPr>
            <w:r w:rsidRPr="0047058F">
              <w:rPr>
                <w:rFonts w:eastAsia="Times New Roman" w:cs="Arial"/>
              </w:rPr>
              <w:t>31.0</w:t>
            </w:r>
          </w:p>
        </w:tc>
      </w:tr>
      <w:tr w:rsidR="00B93A94" w:rsidRPr="0047058F" w14:paraId="256A62A4" w14:textId="77777777" w:rsidTr="00DB3A52">
        <w:trPr>
          <w:cantSplit/>
        </w:trPr>
        <w:tc>
          <w:tcPr>
            <w:tcW w:w="2808" w:type="dxa"/>
          </w:tcPr>
          <w:p w14:paraId="06969B3C" w14:textId="77777777" w:rsidR="00B93A94" w:rsidRPr="0047058F" w:rsidRDefault="00B93A94" w:rsidP="00DB3A52">
            <w:pPr>
              <w:pStyle w:val="TableText"/>
              <w:rPr>
                <w:rFonts w:cs="Arial"/>
                <w:b/>
              </w:rPr>
            </w:pPr>
            <w:r w:rsidRPr="0047058F">
              <w:rPr>
                <w:rFonts w:cs="Arial"/>
                <w:b/>
              </w:rPr>
              <w:t>Total</w:t>
            </w:r>
          </w:p>
        </w:tc>
        <w:tc>
          <w:tcPr>
            <w:tcW w:w="587" w:type="dxa"/>
          </w:tcPr>
          <w:p w14:paraId="5ACDF88E" w14:textId="77777777" w:rsidR="00B93A94" w:rsidRPr="0047058F" w:rsidRDefault="00B93A94" w:rsidP="00DB3A52">
            <w:pPr>
              <w:pStyle w:val="TableText"/>
              <w:jc w:val="right"/>
              <w:rPr>
                <w:rFonts w:cs="Arial"/>
                <w:b/>
              </w:rPr>
            </w:pPr>
            <w:r w:rsidRPr="0047058F">
              <w:rPr>
                <w:rFonts w:cs="Arial"/>
                <w:b/>
              </w:rPr>
              <w:t>5607</w:t>
            </w:r>
          </w:p>
        </w:tc>
        <w:tc>
          <w:tcPr>
            <w:tcW w:w="587" w:type="dxa"/>
          </w:tcPr>
          <w:p w14:paraId="2AC53C6C" w14:textId="77777777" w:rsidR="00B93A94" w:rsidRPr="0047058F" w:rsidRDefault="00B93A94" w:rsidP="00DB3A52">
            <w:pPr>
              <w:pStyle w:val="TableText"/>
              <w:jc w:val="right"/>
              <w:rPr>
                <w:rFonts w:eastAsia="Times New Roman" w:cs="Arial"/>
                <w:b/>
              </w:rPr>
            </w:pPr>
            <w:r w:rsidRPr="0047058F">
              <w:rPr>
                <w:rFonts w:eastAsia="Times New Roman" w:cs="Arial"/>
                <w:b/>
              </w:rPr>
              <w:t>100.0</w:t>
            </w:r>
          </w:p>
        </w:tc>
        <w:tc>
          <w:tcPr>
            <w:tcW w:w="555" w:type="dxa"/>
          </w:tcPr>
          <w:p w14:paraId="6BABD718" w14:textId="77777777" w:rsidR="00B93A94" w:rsidRPr="0047058F" w:rsidRDefault="00B93A94" w:rsidP="00DB3A52">
            <w:pPr>
              <w:pStyle w:val="TableText"/>
              <w:jc w:val="right"/>
              <w:rPr>
                <w:rFonts w:cs="Arial"/>
                <w:b/>
              </w:rPr>
            </w:pPr>
            <w:r w:rsidRPr="0047058F">
              <w:rPr>
                <w:rFonts w:eastAsia="Times New Roman" w:cs="Arial"/>
                <w:b/>
              </w:rPr>
              <w:t>3765</w:t>
            </w:r>
          </w:p>
        </w:tc>
        <w:tc>
          <w:tcPr>
            <w:tcW w:w="556" w:type="dxa"/>
          </w:tcPr>
          <w:p w14:paraId="3A67A815" w14:textId="77777777" w:rsidR="00B93A94" w:rsidRPr="0047058F" w:rsidRDefault="00B93A94" w:rsidP="00DB3A52">
            <w:pPr>
              <w:pStyle w:val="TableText"/>
              <w:jc w:val="right"/>
              <w:rPr>
                <w:rFonts w:cs="Arial"/>
                <w:b/>
              </w:rPr>
            </w:pPr>
            <w:r w:rsidRPr="0047058F">
              <w:rPr>
                <w:rFonts w:eastAsia="Times New Roman" w:cs="Arial"/>
                <w:b/>
              </w:rPr>
              <w:t>67.1</w:t>
            </w:r>
          </w:p>
        </w:tc>
        <w:tc>
          <w:tcPr>
            <w:tcW w:w="555" w:type="dxa"/>
          </w:tcPr>
          <w:p w14:paraId="35A80AEA" w14:textId="77777777" w:rsidR="00B93A94" w:rsidRPr="0047058F" w:rsidRDefault="00B93A94" w:rsidP="00DB3A52">
            <w:pPr>
              <w:pStyle w:val="TableText"/>
              <w:jc w:val="right"/>
              <w:rPr>
                <w:rFonts w:cs="Arial"/>
                <w:b/>
              </w:rPr>
            </w:pPr>
            <w:r w:rsidRPr="0047058F">
              <w:rPr>
                <w:rFonts w:eastAsia="Times New Roman" w:cs="Arial"/>
                <w:b/>
              </w:rPr>
              <w:t>1658</w:t>
            </w:r>
          </w:p>
        </w:tc>
        <w:tc>
          <w:tcPr>
            <w:tcW w:w="556" w:type="dxa"/>
          </w:tcPr>
          <w:p w14:paraId="0AB79252" w14:textId="77777777" w:rsidR="00B93A94" w:rsidRPr="0047058F" w:rsidRDefault="00B93A94" w:rsidP="00DB3A52">
            <w:pPr>
              <w:pStyle w:val="TableText"/>
              <w:jc w:val="right"/>
              <w:rPr>
                <w:rFonts w:cs="Arial"/>
                <w:b/>
              </w:rPr>
            </w:pPr>
            <w:r w:rsidRPr="0047058F">
              <w:rPr>
                <w:rFonts w:eastAsia="Times New Roman" w:cs="Arial"/>
                <w:b/>
              </w:rPr>
              <w:t>29.6</w:t>
            </w:r>
          </w:p>
        </w:tc>
        <w:tc>
          <w:tcPr>
            <w:tcW w:w="555" w:type="dxa"/>
          </w:tcPr>
          <w:p w14:paraId="3F750910" w14:textId="77777777" w:rsidR="00B93A94" w:rsidRPr="0047058F" w:rsidRDefault="00B93A94" w:rsidP="00DB3A52">
            <w:pPr>
              <w:pStyle w:val="TableText"/>
              <w:jc w:val="right"/>
              <w:rPr>
                <w:rFonts w:cs="Arial"/>
                <w:b/>
              </w:rPr>
            </w:pPr>
            <w:r w:rsidRPr="0047058F">
              <w:rPr>
                <w:rFonts w:eastAsia="Times New Roman" w:cs="Arial"/>
                <w:b/>
              </w:rPr>
              <w:t>184</w:t>
            </w:r>
          </w:p>
        </w:tc>
        <w:tc>
          <w:tcPr>
            <w:tcW w:w="556" w:type="dxa"/>
          </w:tcPr>
          <w:p w14:paraId="07E98A46" w14:textId="77777777" w:rsidR="00B93A94" w:rsidRPr="0047058F" w:rsidRDefault="00B93A94" w:rsidP="00DB3A52">
            <w:pPr>
              <w:pStyle w:val="TableText"/>
              <w:jc w:val="right"/>
              <w:rPr>
                <w:rFonts w:cs="Arial"/>
                <w:b/>
              </w:rPr>
            </w:pPr>
            <w:r w:rsidRPr="0047058F">
              <w:rPr>
                <w:rFonts w:eastAsia="Times New Roman" w:cs="Arial"/>
                <w:b/>
              </w:rPr>
              <w:t>3.3</w:t>
            </w:r>
          </w:p>
        </w:tc>
      </w:tr>
    </w:tbl>
    <w:p w14:paraId="7D5704CB" w14:textId="77777777" w:rsidR="00B93A94" w:rsidRPr="0047058F" w:rsidRDefault="00B93A94" w:rsidP="00B93A94">
      <w:pPr>
        <w:pStyle w:val="TableNotes"/>
      </w:pPr>
      <w:r w:rsidRPr="0047058F">
        <w:t>Note: Unweighted data.</w:t>
      </w:r>
    </w:p>
    <w:p w14:paraId="7470E176" w14:textId="77777777" w:rsidR="00B93A94" w:rsidRPr="0047058F" w:rsidRDefault="00B93A94" w:rsidP="00B93A94">
      <w:pPr>
        <w:pStyle w:val="FigureName"/>
      </w:pPr>
      <w:bookmarkStart w:id="343" w:name="_Ref387053938"/>
      <w:bookmarkStart w:id="344" w:name="_Toc529117580"/>
      <w:bookmarkStart w:id="345" w:name="_Toc532473653"/>
      <w:bookmarkStart w:id="346" w:name="_Toc482021384"/>
      <w:bookmarkStart w:id="347" w:name="_Toc482024475"/>
      <w:bookmarkStart w:id="348" w:name="_Toc487011231"/>
      <w:r w:rsidRPr="0047058F">
        <w:t>Figure 5.16</w:t>
      </w:r>
      <w:bookmarkEnd w:id="343"/>
      <w:r w:rsidRPr="0047058F">
        <w:tab/>
        <w:t xml:space="preserve">Proportion of </w:t>
      </w:r>
      <w:r w:rsidRPr="0047058F">
        <w:rPr>
          <w:u w:val="single"/>
        </w:rPr>
        <w:t>2015 Regular ADF in the longitudinal cohort</w:t>
      </w:r>
      <w:r w:rsidRPr="0047058F">
        <w:t xml:space="preserve"> with no disorder, subsyndromal disorder and probable disorder on PHQ-9 in 2010 and 2015 based on self-reported measures</w:t>
      </w:r>
      <w:bookmarkEnd w:id="344"/>
      <w:bookmarkEnd w:id="345"/>
    </w:p>
    <w:p w14:paraId="29866208" w14:textId="77777777" w:rsidR="00EB2A31" w:rsidRPr="0047058F" w:rsidRDefault="00B93A94" w:rsidP="00EB2A31">
      <w:pPr>
        <w:spacing w:after="360"/>
      </w:pPr>
      <w:r w:rsidRPr="0047058F">
        <w:rPr>
          <w:noProof/>
          <w:lang w:eastAsia="en-AU"/>
        </w:rPr>
        <w:drawing>
          <wp:inline distT="0" distB="0" distL="0" distR="0" wp14:anchorId="67F6ED75" wp14:editId="44A30AC1">
            <wp:extent cx="4572000" cy="2743200"/>
            <wp:effectExtent l="0" t="0" r="0" b="0"/>
            <wp:docPr id="473" name="Chart 473" descr="Figure 5.16 Proportion of 2015 Regular ADF in the longitudinal cohort with no disorder, subsyndromal disorder and probable disorder on PHQ-9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6B919E" w14:textId="77777777" w:rsidR="00B93A94" w:rsidRPr="0047058F" w:rsidRDefault="00B93A94" w:rsidP="00860F45">
      <w:pPr>
        <w:pStyle w:val="Heading2"/>
      </w:pPr>
      <w:bookmarkStart w:id="349" w:name="_Toc381263157"/>
      <w:bookmarkStart w:id="350" w:name="_Toc529117477"/>
      <w:bookmarkStart w:id="351" w:name="_Toc532474377"/>
      <w:r w:rsidRPr="0047058F">
        <w:t>Suicid</w:t>
      </w:r>
      <w:bookmarkStart w:id="352" w:name="_Toc482011772"/>
      <w:bookmarkEnd w:id="346"/>
      <w:bookmarkEnd w:id="347"/>
      <w:bookmarkEnd w:id="352"/>
      <w:r w:rsidRPr="0047058F">
        <w:t>al ideation, plans and attempts</w:t>
      </w:r>
      <w:bookmarkEnd w:id="348"/>
      <w:bookmarkEnd w:id="349"/>
      <w:r w:rsidRPr="0047058F">
        <w:t xml:space="preserve"> in the longitudinal cohort</w:t>
      </w:r>
      <w:bookmarkEnd w:id="350"/>
      <w:bookmarkEnd w:id="351"/>
    </w:p>
    <w:p w14:paraId="70BE2387" w14:textId="77777777" w:rsidR="00B93A94" w:rsidRPr="0047058F" w:rsidRDefault="00B93A94" w:rsidP="00B93A94">
      <w:pPr>
        <w:keepNext/>
      </w:pPr>
      <w:r w:rsidRPr="0047058F">
        <w:t>Participants were asked four questions about suicidal ideation, plans and attempts:</w:t>
      </w:r>
    </w:p>
    <w:p w14:paraId="4965D6AC" w14:textId="77777777" w:rsidR="00B93A94" w:rsidRPr="0047058F" w:rsidRDefault="00B93A94" w:rsidP="00AA7A7D">
      <w:pPr>
        <w:pStyle w:val="Bullet"/>
        <w:keepNext/>
        <w:numPr>
          <w:ilvl w:val="0"/>
          <w:numId w:val="1"/>
        </w:numPr>
        <w:ind w:left="360"/>
      </w:pPr>
      <w:r w:rsidRPr="0047058F">
        <w:rPr>
          <w:b/>
        </w:rPr>
        <w:t>Suicidal ideation Q1:</w:t>
      </w:r>
      <w:r w:rsidRPr="0047058F">
        <w:t xml:space="preserve"> In the last 12 months, have you ever felt that your life was not worth living?</w:t>
      </w:r>
    </w:p>
    <w:p w14:paraId="62E95C39" w14:textId="77777777" w:rsidR="00B93A94" w:rsidRPr="0047058F" w:rsidRDefault="00B93A94" w:rsidP="00AA7A7D">
      <w:pPr>
        <w:pStyle w:val="Bullet"/>
        <w:keepNext/>
        <w:numPr>
          <w:ilvl w:val="0"/>
          <w:numId w:val="1"/>
        </w:numPr>
        <w:ind w:left="360"/>
      </w:pPr>
      <w:r w:rsidRPr="0047058F">
        <w:rPr>
          <w:b/>
        </w:rPr>
        <w:t>Suicidal ideation Q2:</w:t>
      </w:r>
      <w:r w:rsidRPr="0047058F">
        <w:t xml:space="preserve"> In the last 12 months, have you ever felt so low that you thought about committing suicide?</w:t>
      </w:r>
    </w:p>
    <w:p w14:paraId="2D83EB72" w14:textId="77777777" w:rsidR="00B93A94" w:rsidRPr="0047058F" w:rsidRDefault="00B93A94" w:rsidP="00031ACA">
      <w:pPr>
        <w:pStyle w:val="Bullet"/>
        <w:numPr>
          <w:ilvl w:val="0"/>
          <w:numId w:val="1"/>
        </w:numPr>
        <w:ind w:left="360"/>
      </w:pPr>
      <w:r w:rsidRPr="0047058F">
        <w:rPr>
          <w:b/>
        </w:rPr>
        <w:t>Suicide plan:</w:t>
      </w:r>
      <w:r w:rsidRPr="0047058F">
        <w:t xml:space="preserve"> In the last 12 months, have you made a suicide plan?</w:t>
      </w:r>
    </w:p>
    <w:p w14:paraId="38EC4E1B" w14:textId="77777777" w:rsidR="00B93A94" w:rsidRPr="0047058F" w:rsidRDefault="00B93A94" w:rsidP="00031ACA">
      <w:pPr>
        <w:pStyle w:val="Bullet"/>
        <w:numPr>
          <w:ilvl w:val="0"/>
          <w:numId w:val="1"/>
        </w:numPr>
        <w:ind w:left="360"/>
      </w:pPr>
      <w:r w:rsidRPr="0047058F">
        <w:rPr>
          <w:b/>
        </w:rPr>
        <w:t>Suicide attempt:</w:t>
      </w:r>
      <w:r w:rsidRPr="0047058F">
        <w:t xml:space="preserve"> In the last 12 months, have you attempted suicide?</w:t>
      </w:r>
    </w:p>
    <w:p w14:paraId="5C7D258B" w14:textId="4E331BD6" w:rsidR="00B93A94" w:rsidRPr="0047058F" w:rsidRDefault="00B93A94" w:rsidP="00B93A94">
      <w:r w:rsidRPr="0047058F">
        <w:t xml:space="preserve">Participants indicated whether they had experienced any of these items in the last 12 months. Proportions of responses to these items are presented below. Additionally, a dichotomous variable was created indicating whether the participant reported any suicidality item or </w:t>
      </w:r>
      <w:r w:rsidR="0088742B">
        <w:t xml:space="preserve">whether </w:t>
      </w:r>
      <w:r w:rsidRPr="0047058F">
        <w:t>they reported no suicidality items.</w:t>
      </w:r>
    </w:p>
    <w:p w14:paraId="48162721" w14:textId="77777777" w:rsidR="00B93A94" w:rsidRPr="0047058F" w:rsidRDefault="00B93A94" w:rsidP="00B93A94">
      <w:r w:rsidRPr="0047058F">
        <w:t>Table 5.17 and Figure 5.17 show the frequency of scores on the four suicide items in 2010 and 2015 for the longitudinal cohort according to whether they had transitioned or remained in the Regular ADF in 2015.</w:t>
      </w:r>
    </w:p>
    <w:p w14:paraId="14E7EA78" w14:textId="77777777" w:rsidR="00B93A94" w:rsidRPr="0047058F" w:rsidRDefault="00B93A94" w:rsidP="00DB3A52">
      <w:r w:rsidRPr="0047058F">
        <w:t>There were 8.2% of respondents who reported they felt their life was not worth living in 2010, and this almost doubled to 15.8% in 2015. This was the most reported suicidality item. This was reported in higher levels by those who had transitioned compared to those who remained in the Regular ADF at both time points, and those who had transitioned showed a much greater increase between time points (2010: 11.3% vs 7.0%, 2015: 26.2% vs 11.9%).</w:t>
      </w:r>
    </w:p>
    <w:p w14:paraId="201AAA07" w14:textId="686D565D" w:rsidR="00B93A94" w:rsidRPr="0047058F" w:rsidRDefault="00B93A94" w:rsidP="00DB3A52">
      <w:r w:rsidRPr="0047058F">
        <w:t>The next highest reported suicidality item was feeling so low that the</w:t>
      </w:r>
      <w:r w:rsidR="0088742B">
        <w:t xml:space="preserve"> respondent</w:t>
      </w:r>
      <w:r w:rsidRPr="0047058F">
        <w:t xml:space="preserve"> thought about committing suicide. This was reported by 4.7% of participants in 2010, which increased to 10.6% in 2015. Again, those who had transitioned reported higher levels than those who remained in the Regular ADF, with this difference larger in 2015 as the increase was greater among those who had transitioned (2010: 6.9% vs 3.9%, 2015: 18.6% vs 7.6%).</w:t>
      </w:r>
    </w:p>
    <w:p w14:paraId="39F99D5E" w14:textId="77777777" w:rsidR="00B93A94" w:rsidRPr="0047058F" w:rsidRDefault="00B93A94" w:rsidP="00DB3A52">
      <w:r w:rsidRPr="0047058F">
        <w:t>A substantially smaller proportion of participants overall reported making a suicide plan. In 2010, this was 1.1%, which increased to 3.4% in 2015. Those who had transitioned reported higher rates than those who remained in the Regular ADF at both time points, and their rates increased much more between 2010 and 2015 than those who remained in the Regular ADF (2010: 1.9% vs 0.8%, 2015: 7.2% vs 2.0%).</w:t>
      </w:r>
    </w:p>
    <w:p w14:paraId="3816FC49" w14:textId="77777777" w:rsidR="00B93A94" w:rsidRPr="0047058F" w:rsidRDefault="00B93A94" w:rsidP="00B93A94">
      <w:r w:rsidRPr="0047058F">
        <w:t>The least reported suicidality item was attempting suicide. This was reported by only 0.4% of the cohort in 2010 and 0.7% in 2015. Those who had transitioned and those who remained in the Regular ADF showed similar rates in 2010; however, those who had transitioned had much higher rates in 2015 (2010: 0.5% vs 0.4%, 2015: 1.3% vs 0.5%). This resulted from the reported rates of attempting suicide staying relatively stable for those who remained in the Regular ADF but more than doubling for those who transitioned.</w:t>
      </w:r>
    </w:p>
    <w:p w14:paraId="64D94DE4" w14:textId="77777777" w:rsidR="00B93A94" w:rsidRPr="0047058F" w:rsidRDefault="00B93A94" w:rsidP="00B93A94">
      <w:pPr>
        <w:pStyle w:val="TableName"/>
      </w:pPr>
      <w:bookmarkStart w:id="353" w:name="_Ref384558241"/>
      <w:bookmarkStart w:id="354" w:name="_Toc529117529"/>
      <w:bookmarkStart w:id="355" w:name="_Toc532473599"/>
      <w:r w:rsidRPr="0047058F">
        <w:t>Table 5.17</w:t>
      </w:r>
      <w:bookmarkEnd w:id="353"/>
      <w:r w:rsidRPr="0047058F">
        <w:tab/>
        <w:t>Suicidal ideation, plans and attempts in Transitioned ADF and 2015 Regular ADF in the longitudinal cohort</w:t>
      </w:r>
      <w:bookmarkEnd w:id="354"/>
      <w:bookmarkEnd w:id="355"/>
    </w:p>
    <w:tbl>
      <w:tblPr>
        <w:tblStyle w:val="TWRPTable"/>
        <w:tblW w:w="5000" w:type="pct"/>
        <w:tblLayout w:type="fixed"/>
        <w:tblLook w:val="04A0" w:firstRow="1" w:lastRow="0" w:firstColumn="1" w:lastColumn="0" w:noHBand="0" w:noVBand="1"/>
        <w:tblDescription w:val="Table 5.17 Suicidal ideation, plans and attempts in Transitioned ADF and 2015 Regular ADF in the longitudinal cohort"/>
      </w:tblPr>
      <w:tblGrid>
        <w:gridCol w:w="1638"/>
        <w:gridCol w:w="472"/>
        <w:gridCol w:w="473"/>
        <w:gridCol w:w="473"/>
        <w:gridCol w:w="474"/>
        <w:gridCol w:w="473"/>
        <w:gridCol w:w="474"/>
        <w:gridCol w:w="473"/>
        <w:gridCol w:w="474"/>
        <w:gridCol w:w="473"/>
        <w:gridCol w:w="474"/>
        <w:gridCol w:w="473"/>
        <w:gridCol w:w="471"/>
      </w:tblGrid>
      <w:tr w:rsidR="00DB3A52" w:rsidRPr="0047058F" w14:paraId="1403C31D"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1120" w:type="pct"/>
            <w:vMerge w:val="restart"/>
            <w:tcBorders>
              <w:top w:val="single" w:sz="4" w:space="0" w:color="000000"/>
            </w:tcBorders>
          </w:tcPr>
          <w:p w14:paraId="7F8E07B4" w14:textId="77777777" w:rsidR="00DB3A52" w:rsidRPr="0047058F" w:rsidRDefault="00DB3A52" w:rsidP="00DB3A52">
            <w:pPr>
              <w:pStyle w:val="TableText"/>
            </w:pPr>
            <w:r w:rsidRPr="0047058F">
              <w:rPr>
                <w:rFonts w:cs="Arial"/>
              </w:rPr>
              <w:t>Suicidal ideation, plans and attempts</w:t>
            </w:r>
          </w:p>
        </w:tc>
        <w:tc>
          <w:tcPr>
            <w:tcW w:w="1940" w:type="pct"/>
            <w:gridSpan w:val="6"/>
          </w:tcPr>
          <w:p w14:paraId="06CA8978" w14:textId="77777777" w:rsidR="00DB3A52" w:rsidRPr="0047058F" w:rsidRDefault="00DB3A52" w:rsidP="00DB3A52">
            <w:pPr>
              <w:pStyle w:val="TableText"/>
              <w:jc w:val="center"/>
            </w:pPr>
            <w:r w:rsidRPr="0047058F">
              <w:rPr>
                <w:rFonts w:eastAsia="MS Mincho"/>
              </w:rPr>
              <w:t>2010 ADF Mental Health Prevalence and Wellbeing Study</w:t>
            </w:r>
          </w:p>
        </w:tc>
        <w:tc>
          <w:tcPr>
            <w:tcW w:w="1940" w:type="pct"/>
            <w:gridSpan w:val="6"/>
          </w:tcPr>
          <w:p w14:paraId="2308647D" w14:textId="77777777" w:rsidR="00DB3A52" w:rsidRPr="0047058F" w:rsidRDefault="00DB3A52" w:rsidP="00DB3A52">
            <w:pPr>
              <w:pStyle w:val="TableText"/>
              <w:jc w:val="center"/>
            </w:pPr>
            <w:r w:rsidRPr="0047058F">
              <w:rPr>
                <w:rFonts w:eastAsia="MS Mincho"/>
              </w:rPr>
              <w:t>2015 Transition and Wellbeing Research Programme</w:t>
            </w:r>
          </w:p>
        </w:tc>
      </w:tr>
      <w:tr w:rsidR="00DB3A52" w:rsidRPr="0047058F" w14:paraId="41C6B627"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1120" w:type="pct"/>
            <w:vMerge/>
          </w:tcPr>
          <w:p w14:paraId="6F60EFBF" w14:textId="77777777" w:rsidR="00DB3A52" w:rsidRPr="0047058F" w:rsidRDefault="00DB3A52" w:rsidP="00DB3A52">
            <w:pPr>
              <w:pStyle w:val="TableText"/>
            </w:pPr>
          </w:p>
        </w:tc>
        <w:tc>
          <w:tcPr>
            <w:tcW w:w="647" w:type="pct"/>
            <w:gridSpan w:val="2"/>
          </w:tcPr>
          <w:p w14:paraId="74DA65C6" w14:textId="77777777" w:rsidR="00DB3A52" w:rsidRPr="0047058F" w:rsidRDefault="00DB3A52" w:rsidP="00DB3A52">
            <w:pPr>
              <w:pStyle w:val="TableText"/>
              <w:jc w:val="center"/>
            </w:pPr>
            <w:r w:rsidRPr="0047058F">
              <w:t>Transitioned ADF</w:t>
            </w:r>
            <w:r w:rsidRPr="0047058F">
              <w:br/>
              <w:t>n = 2138</w:t>
            </w:r>
          </w:p>
        </w:tc>
        <w:tc>
          <w:tcPr>
            <w:tcW w:w="647" w:type="pct"/>
            <w:gridSpan w:val="2"/>
          </w:tcPr>
          <w:p w14:paraId="797F52A4" w14:textId="77777777" w:rsidR="00DB3A52" w:rsidRPr="0047058F" w:rsidRDefault="00DB3A52" w:rsidP="00DB3A52">
            <w:pPr>
              <w:pStyle w:val="TableText"/>
              <w:jc w:val="center"/>
            </w:pPr>
            <w:r w:rsidRPr="0047058F">
              <w:t>2015 Regular ADF</w:t>
            </w:r>
            <w:r w:rsidRPr="0047058F">
              <w:br/>
              <w:t>n = 5681</w:t>
            </w:r>
          </w:p>
        </w:tc>
        <w:tc>
          <w:tcPr>
            <w:tcW w:w="647" w:type="pct"/>
            <w:gridSpan w:val="2"/>
            <w:hideMark/>
          </w:tcPr>
          <w:p w14:paraId="24924535" w14:textId="77777777" w:rsidR="00DB3A52" w:rsidRPr="0047058F" w:rsidRDefault="00DB3A52" w:rsidP="00DB3A52">
            <w:pPr>
              <w:pStyle w:val="TableText"/>
              <w:jc w:val="center"/>
            </w:pPr>
            <w:r w:rsidRPr="0047058F">
              <w:t>Total</w:t>
            </w:r>
            <w:r w:rsidRPr="0047058F">
              <w:br/>
              <w:t>n = 7819</w:t>
            </w:r>
          </w:p>
        </w:tc>
        <w:tc>
          <w:tcPr>
            <w:tcW w:w="647" w:type="pct"/>
            <w:gridSpan w:val="2"/>
            <w:hideMark/>
          </w:tcPr>
          <w:p w14:paraId="1A75BDD3" w14:textId="77777777" w:rsidR="00DB3A52" w:rsidRPr="0047058F" w:rsidRDefault="00DB3A52" w:rsidP="00DB3A52">
            <w:pPr>
              <w:pStyle w:val="TableText"/>
              <w:jc w:val="center"/>
            </w:pPr>
            <w:r w:rsidRPr="0047058F">
              <w:t>Transitioned ADF</w:t>
            </w:r>
            <w:r w:rsidRPr="0047058F">
              <w:br/>
              <w:t>n = 2138</w:t>
            </w:r>
          </w:p>
        </w:tc>
        <w:tc>
          <w:tcPr>
            <w:tcW w:w="647" w:type="pct"/>
            <w:gridSpan w:val="2"/>
          </w:tcPr>
          <w:p w14:paraId="32000AA4" w14:textId="77777777" w:rsidR="00DB3A52" w:rsidRPr="0047058F" w:rsidRDefault="00DB3A52" w:rsidP="00DB3A52">
            <w:pPr>
              <w:pStyle w:val="TableText"/>
              <w:jc w:val="center"/>
            </w:pPr>
            <w:r w:rsidRPr="0047058F">
              <w:t>2015 Regular ADF</w:t>
            </w:r>
            <w:r w:rsidRPr="0047058F">
              <w:br/>
              <w:t>n = 5681</w:t>
            </w:r>
          </w:p>
        </w:tc>
        <w:tc>
          <w:tcPr>
            <w:tcW w:w="647" w:type="pct"/>
            <w:gridSpan w:val="2"/>
          </w:tcPr>
          <w:p w14:paraId="46A4F7E4" w14:textId="77777777" w:rsidR="00DB3A52" w:rsidRPr="0047058F" w:rsidRDefault="00DB3A52" w:rsidP="00DB3A52">
            <w:pPr>
              <w:pStyle w:val="TableText"/>
              <w:jc w:val="center"/>
            </w:pPr>
            <w:r w:rsidRPr="0047058F">
              <w:t>Total</w:t>
            </w:r>
            <w:r w:rsidRPr="0047058F">
              <w:br/>
              <w:t>n = 7819</w:t>
            </w:r>
          </w:p>
        </w:tc>
      </w:tr>
      <w:tr w:rsidR="00DB3A52" w:rsidRPr="0047058F" w14:paraId="6D502881" w14:textId="77777777" w:rsidTr="00DB3A52">
        <w:trPr>
          <w:cnfStyle w:val="100000000000" w:firstRow="1" w:lastRow="0" w:firstColumn="0" w:lastColumn="0" w:oddVBand="0" w:evenVBand="0" w:oddHBand="0" w:evenHBand="0" w:firstRowFirstColumn="0" w:firstRowLastColumn="0" w:lastRowFirstColumn="0" w:lastRowLastColumn="0"/>
          <w:cantSplit/>
          <w:tblHeader/>
        </w:trPr>
        <w:tc>
          <w:tcPr>
            <w:tcW w:w="1120" w:type="pct"/>
            <w:vMerge/>
          </w:tcPr>
          <w:p w14:paraId="7F46C537" w14:textId="77777777" w:rsidR="00DB3A52" w:rsidRPr="0047058F" w:rsidRDefault="00DB3A52" w:rsidP="00DB3A52">
            <w:pPr>
              <w:pStyle w:val="TableText"/>
              <w:rPr>
                <w:rFonts w:cs="Arial"/>
              </w:rPr>
            </w:pPr>
          </w:p>
        </w:tc>
        <w:tc>
          <w:tcPr>
            <w:tcW w:w="323" w:type="pct"/>
          </w:tcPr>
          <w:p w14:paraId="5908C105" w14:textId="77777777" w:rsidR="00DB3A52" w:rsidRPr="0047058F" w:rsidRDefault="00DB3A52" w:rsidP="00DB3A52">
            <w:pPr>
              <w:pStyle w:val="TableText"/>
              <w:jc w:val="right"/>
            </w:pPr>
            <w:r w:rsidRPr="0047058F">
              <w:rPr>
                <w:rFonts w:cs="Arial"/>
              </w:rPr>
              <w:t>n</w:t>
            </w:r>
          </w:p>
        </w:tc>
        <w:tc>
          <w:tcPr>
            <w:tcW w:w="323" w:type="pct"/>
          </w:tcPr>
          <w:p w14:paraId="3FE1C857" w14:textId="77777777" w:rsidR="00DB3A52" w:rsidRPr="0047058F" w:rsidRDefault="00DB3A52" w:rsidP="00DB3A52">
            <w:pPr>
              <w:pStyle w:val="TableText"/>
              <w:jc w:val="right"/>
              <w:rPr>
                <w:rFonts w:cs="Arial"/>
              </w:rPr>
            </w:pPr>
            <w:r w:rsidRPr="0047058F">
              <w:rPr>
                <w:rFonts w:cs="Arial"/>
              </w:rPr>
              <w:t>%</w:t>
            </w:r>
          </w:p>
        </w:tc>
        <w:tc>
          <w:tcPr>
            <w:tcW w:w="323" w:type="pct"/>
          </w:tcPr>
          <w:p w14:paraId="53CF7E2E" w14:textId="77777777" w:rsidR="00DB3A52" w:rsidRPr="0047058F" w:rsidRDefault="00DB3A52" w:rsidP="00DB3A52">
            <w:pPr>
              <w:pStyle w:val="TableText"/>
              <w:jc w:val="right"/>
              <w:rPr>
                <w:rFonts w:cs="Arial"/>
              </w:rPr>
            </w:pPr>
            <w:r w:rsidRPr="0047058F">
              <w:rPr>
                <w:rFonts w:cs="Arial"/>
              </w:rPr>
              <w:t>n</w:t>
            </w:r>
          </w:p>
        </w:tc>
        <w:tc>
          <w:tcPr>
            <w:tcW w:w="323" w:type="pct"/>
          </w:tcPr>
          <w:p w14:paraId="5A289CFA" w14:textId="77777777" w:rsidR="00DB3A52" w:rsidRPr="0047058F" w:rsidRDefault="00DB3A52" w:rsidP="00DB3A52">
            <w:pPr>
              <w:pStyle w:val="TableText"/>
              <w:jc w:val="right"/>
              <w:rPr>
                <w:rFonts w:cs="Arial"/>
              </w:rPr>
            </w:pPr>
            <w:r w:rsidRPr="0047058F">
              <w:rPr>
                <w:rFonts w:cs="Arial"/>
              </w:rPr>
              <w:t>%</w:t>
            </w:r>
          </w:p>
        </w:tc>
        <w:tc>
          <w:tcPr>
            <w:tcW w:w="323" w:type="pct"/>
          </w:tcPr>
          <w:p w14:paraId="631AFCBC" w14:textId="77777777" w:rsidR="00DB3A52" w:rsidRPr="0047058F" w:rsidRDefault="00DB3A52" w:rsidP="00DB3A52">
            <w:pPr>
              <w:pStyle w:val="TableText"/>
              <w:jc w:val="right"/>
              <w:rPr>
                <w:rFonts w:cs="Arial"/>
              </w:rPr>
            </w:pPr>
            <w:r w:rsidRPr="0047058F">
              <w:rPr>
                <w:rFonts w:cs="Arial"/>
              </w:rPr>
              <w:t>n</w:t>
            </w:r>
          </w:p>
        </w:tc>
        <w:tc>
          <w:tcPr>
            <w:tcW w:w="323" w:type="pct"/>
          </w:tcPr>
          <w:p w14:paraId="1D5E90F1" w14:textId="77777777" w:rsidR="00DB3A52" w:rsidRPr="0047058F" w:rsidRDefault="00DB3A52" w:rsidP="00DB3A52">
            <w:pPr>
              <w:pStyle w:val="TableText"/>
              <w:jc w:val="right"/>
              <w:rPr>
                <w:rFonts w:cs="Arial"/>
              </w:rPr>
            </w:pPr>
            <w:r w:rsidRPr="0047058F">
              <w:rPr>
                <w:rFonts w:cs="Arial"/>
              </w:rPr>
              <w:t>%</w:t>
            </w:r>
          </w:p>
        </w:tc>
        <w:tc>
          <w:tcPr>
            <w:tcW w:w="323" w:type="pct"/>
          </w:tcPr>
          <w:p w14:paraId="4FEB1C75" w14:textId="77777777" w:rsidR="00DB3A52" w:rsidRPr="0047058F" w:rsidRDefault="00DB3A52" w:rsidP="00DB3A52">
            <w:pPr>
              <w:pStyle w:val="TableText"/>
              <w:jc w:val="right"/>
              <w:rPr>
                <w:rFonts w:cs="Arial"/>
              </w:rPr>
            </w:pPr>
            <w:r w:rsidRPr="0047058F">
              <w:rPr>
                <w:rFonts w:cs="Arial"/>
              </w:rPr>
              <w:t>n</w:t>
            </w:r>
          </w:p>
        </w:tc>
        <w:tc>
          <w:tcPr>
            <w:tcW w:w="323" w:type="pct"/>
          </w:tcPr>
          <w:p w14:paraId="09AF831B" w14:textId="77777777" w:rsidR="00DB3A52" w:rsidRPr="0047058F" w:rsidRDefault="00DB3A52" w:rsidP="00DB3A52">
            <w:pPr>
              <w:pStyle w:val="TableText"/>
              <w:jc w:val="right"/>
              <w:rPr>
                <w:rFonts w:cs="Arial"/>
              </w:rPr>
            </w:pPr>
            <w:r w:rsidRPr="0047058F">
              <w:rPr>
                <w:rFonts w:cs="Arial"/>
              </w:rPr>
              <w:t>%</w:t>
            </w:r>
          </w:p>
        </w:tc>
        <w:tc>
          <w:tcPr>
            <w:tcW w:w="323" w:type="pct"/>
          </w:tcPr>
          <w:p w14:paraId="2D456B0A" w14:textId="77777777" w:rsidR="00DB3A52" w:rsidRPr="0047058F" w:rsidRDefault="00DB3A52" w:rsidP="00DB3A52">
            <w:pPr>
              <w:pStyle w:val="TableText"/>
              <w:jc w:val="right"/>
              <w:rPr>
                <w:rFonts w:cs="Arial"/>
              </w:rPr>
            </w:pPr>
            <w:r w:rsidRPr="0047058F">
              <w:rPr>
                <w:rFonts w:cs="Arial"/>
              </w:rPr>
              <w:t>n</w:t>
            </w:r>
          </w:p>
        </w:tc>
        <w:tc>
          <w:tcPr>
            <w:tcW w:w="323" w:type="pct"/>
          </w:tcPr>
          <w:p w14:paraId="5B283C5E" w14:textId="77777777" w:rsidR="00DB3A52" w:rsidRPr="0047058F" w:rsidRDefault="00DB3A52" w:rsidP="00DB3A52">
            <w:pPr>
              <w:pStyle w:val="TableText"/>
              <w:jc w:val="right"/>
              <w:rPr>
                <w:rFonts w:cs="Arial"/>
              </w:rPr>
            </w:pPr>
            <w:r w:rsidRPr="0047058F">
              <w:rPr>
                <w:rFonts w:cs="Arial"/>
              </w:rPr>
              <w:t>%</w:t>
            </w:r>
          </w:p>
        </w:tc>
        <w:tc>
          <w:tcPr>
            <w:tcW w:w="323" w:type="pct"/>
          </w:tcPr>
          <w:p w14:paraId="31A0C4E8" w14:textId="77777777" w:rsidR="00DB3A52" w:rsidRPr="0047058F" w:rsidRDefault="00DB3A52" w:rsidP="00DB3A52">
            <w:pPr>
              <w:pStyle w:val="TableText"/>
              <w:jc w:val="right"/>
              <w:rPr>
                <w:rFonts w:cs="Arial"/>
              </w:rPr>
            </w:pPr>
            <w:r w:rsidRPr="0047058F">
              <w:rPr>
                <w:rFonts w:cs="Arial"/>
              </w:rPr>
              <w:t>n</w:t>
            </w:r>
          </w:p>
        </w:tc>
        <w:tc>
          <w:tcPr>
            <w:tcW w:w="323" w:type="pct"/>
          </w:tcPr>
          <w:p w14:paraId="7FAEBB30" w14:textId="77777777" w:rsidR="00DB3A52" w:rsidRPr="0047058F" w:rsidRDefault="00DB3A52" w:rsidP="00DB3A52">
            <w:pPr>
              <w:pStyle w:val="TableText"/>
              <w:jc w:val="right"/>
              <w:rPr>
                <w:rFonts w:cs="Arial"/>
              </w:rPr>
            </w:pPr>
            <w:r w:rsidRPr="0047058F">
              <w:rPr>
                <w:rFonts w:cs="Arial"/>
              </w:rPr>
              <w:t>%</w:t>
            </w:r>
          </w:p>
        </w:tc>
      </w:tr>
      <w:tr w:rsidR="00B93A94" w:rsidRPr="0047058F" w14:paraId="06959ADD" w14:textId="77777777" w:rsidTr="00DB3A52">
        <w:trPr>
          <w:cnfStyle w:val="000000100000" w:firstRow="0" w:lastRow="0" w:firstColumn="0" w:lastColumn="0" w:oddVBand="0" w:evenVBand="0" w:oddHBand="1" w:evenHBand="0" w:firstRowFirstColumn="0" w:firstRowLastColumn="0" w:lastRowFirstColumn="0" w:lastRowLastColumn="0"/>
          <w:cantSplit/>
        </w:trPr>
        <w:tc>
          <w:tcPr>
            <w:tcW w:w="1120" w:type="pct"/>
          </w:tcPr>
          <w:p w14:paraId="372ED7AC" w14:textId="77777777" w:rsidR="00B93A94" w:rsidRPr="0047058F" w:rsidRDefault="00B93A94" w:rsidP="00DB3A52">
            <w:pPr>
              <w:pStyle w:val="TableText"/>
              <w:rPr>
                <w:rFonts w:cs="Calibri"/>
                <w:szCs w:val="14"/>
              </w:rPr>
            </w:pPr>
            <w:r w:rsidRPr="0047058F">
              <w:rPr>
                <w:rFonts w:cs="Calibri"/>
                <w:szCs w:val="14"/>
              </w:rPr>
              <w:t>Felt life not worth living</w:t>
            </w:r>
          </w:p>
        </w:tc>
        <w:tc>
          <w:tcPr>
            <w:tcW w:w="323" w:type="pct"/>
          </w:tcPr>
          <w:p w14:paraId="1B14B03D" w14:textId="77777777" w:rsidR="00B93A94" w:rsidRPr="0047058F" w:rsidRDefault="00B93A94" w:rsidP="00DB3A52">
            <w:pPr>
              <w:pStyle w:val="TableText"/>
              <w:jc w:val="right"/>
            </w:pPr>
            <w:r w:rsidRPr="0047058F">
              <w:rPr>
                <w:rFonts w:eastAsia="Times New Roman" w:cs="Arial"/>
              </w:rPr>
              <w:t>241</w:t>
            </w:r>
          </w:p>
        </w:tc>
        <w:tc>
          <w:tcPr>
            <w:tcW w:w="323" w:type="pct"/>
          </w:tcPr>
          <w:p w14:paraId="03B9C3F8" w14:textId="77777777" w:rsidR="00B93A94" w:rsidRPr="0047058F" w:rsidRDefault="00B93A94" w:rsidP="00DB3A52">
            <w:pPr>
              <w:pStyle w:val="TableText"/>
              <w:jc w:val="right"/>
            </w:pPr>
            <w:r w:rsidRPr="0047058F">
              <w:rPr>
                <w:rFonts w:eastAsia="Times New Roman" w:cs="Arial"/>
              </w:rPr>
              <w:t>11.3</w:t>
            </w:r>
          </w:p>
        </w:tc>
        <w:tc>
          <w:tcPr>
            <w:tcW w:w="323" w:type="pct"/>
          </w:tcPr>
          <w:p w14:paraId="089FB03A" w14:textId="77777777" w:rsidR="00B93A94" w:rsidRPr="0047058F" w:rsidRDefault="00B93A94" w:rsidP="00DB3A52">
            <w:pPr>
              <w:pStyle w:val="TableText"/>
              <w:jc w:val="right"/>
            </w:pPr>
            <w:r w:rsidRPr="0047058F">
              <w:rPr>
                <w:rFonts w:eastAsia="Times New Roman" w:cs="Arial"/>
              </w:rPr>
              <w:t>397</w:t>
            </w:r>
          </w:p>
        </w:tc>
        <w:tc>
          <w:tcPr>
            <w:tcW w:w="323" w:type="pct"/>
          </w:tcPr>
          <w:p w14:paraId="71385E36" w14:textId="77777777" w:rsidR="00B93A94" w:rsidRPr="0047058F" w:rsidRDefault="00B93A94" w:rsidP="00DB3A52">
            <w:pPr>
              <w:pStyle w:val="TableText"/>
              <w:jc w:val="right"/>
            </w:pPr>
            <w:r w:rsidRPr="0047058F">
              <w:rPr>
                <w:rFonts w:eastAsia="Times New Roman" w:cs="Arial"/>
              </w:rPr>
              <w:t>7.0</w:t>
            </w:r>
          </w:p>
        </w:tc>
        <w:tc>
          <w:tcPr>
            <w:tcW w:w="323" w:type="pct"/>
          </w:tcPr>
          <w:p w14:paraId="1A831FDA" w14:textId="77777777" w:rsidR="00B93A94" w:rsidRPr="0047058F" w:rsidRDefault="00B93A94" w:rsidP="00DB3A52">
            <w:pPr>
              <w:pStyle w:val="TableText"/>
              <w:jc w:val="right"/>
            </w:pPr>
            <w:r w:rsidRPr="0047058F">
              <w:rPr>
                <w:rFonts w:eastAsia="Times New Roman" w:cs="Arial"/>
              </w:rPr>
              <w:t>638</w:t>
            </w:r>
          </w:p>
        </w:tc>
        <w:tc>
          <w:tcPr>
            <w:tcW w:w="323" w:type="pct"/>
          </w:tcPr>
          <w:p w14:paraId="3369A6C4" w14:textId="77777777" w:rsidR="00B93A94" w:rsidRPr="0047058F" w:rsidRDefault="00B93A94" w:rsidP="00DB3A52">
            <w:pPr>
              <w:pStyle w:val="TableText"/>
              <w:jc w:val="right"/>
              <w:rPr>
                <w:rFonts w:eastAsia="Times New Roman" w:cs="Arial"/>
              </w:rPr>
            </w:pPr>
            <w:r w:rsidRPr="0047058F">
              <w:rPr>
                <w:rFonts w:eastAsia="Times New Roman" w:cs="Arial"/>
              </w:rPr>
              <w:t>8.2</w:t>
            </w:r>
          </w:p>
        </w:tc>
        <w:tc>
          <w:tcPr>
            <w:tcW w:w="323" w:type="pct"/>
          </w:tcPr>
          <w:p w14:paraId="772F8C5C" w14:textId="77777777" w:rsidR="00B93A94" w:rsidRPr="0047058F" w:rsidRDefault="00B93A94" w:rsidP="00DB3A52">
            <w:pPr>
              <w:pStyle w:val="TableText"/>
              <w:jc w:val="right"/>
            </w:pPr>
            <w:r w:rsidRPr="0047058F">
              <w:rPr>
                <w:rFonts w:eastAsia="Times New Roman" w:cs="Arial"/>
              </w:rPr>
              <w:t>561</w:t>
            </w:r>
          </w:p>
        </w:tc>
        <w:tc>
          <w:tcPr>
            <w:tcW w:w="323" w:type="pct"/>
          </w:tcPr>
          <w:p w14:paraId="7628997C" w14:textId="77777777" w:rsidR="00B93A94" w:rsidRPr="0047058F" w:rsidRDefault="00B93A94" w:rsidP="00DB3A52">
            <w:pPr>
              <w:pStyle w:val="TableText"/>
              <w:jc w:val="right"/>
            </w:pPr>
            <w:r w:rsidRPr="0047058F">
              <w:rPr>
                <w:rFonts w:eastAsia="Times New Roman" w:cs="Arial"/>
              </w:rPr>
              <w:t>26.2</w:t>
            </w:r>
          </w:p>
        </w:tc>
        <w:tc>
          <w:tcPr>
            <w:tcW w:w="323" w:type="pct"/>
          </w:tcPr>
          <w:p w14:paraId="0E9511D3" w14:textId="77777777" w:rsidR="00B93A94" w:rsidRPr="0047058F" w:rsidRDefault="00B93A94" w:rsidP="00DB3A52">
            <w:pPr>
              <w:pStyle w:val="TableText"/>
              <w:jc w:val="right"/>
            </w:pPr>
            <w:r w:rsidRPr="0047058F">
              <w:rPr>
                <w:rFonts w:eastAsia="Times New Roman" w:cs="Arial"/>
              </w:rPr>
              <w:t>674</w:t>
            </w:r>
          </w:p>
        </w:tc>
        <w:tc>
          <w:tcPr>
            <w:tcW w:w="323" w:type="pct"/>
          </w:tcPr>
          <w:p w14:paraId="07D99529" w14:textId="77777777" w:rsidR="00B93A94" w:rsidRPr="0047058F" w:rsidRDefault="00B93A94" w:rsidP="00DB3A52">
            <w:pPr>
              <w:pStyle w:val="TableText"/>
              <w:jc w:val="right"/>
            </w:pPr>
            <w:r w:rsidRPr="0047058F">
              <w:rPr>
                <w:rFonts w:eastAsia="Times New Roman" w:cs="Arial"/>
              </w:rPr>
              <w:t>11.9</w:t>
            </w:r>
          </w:p>
        </w:tc>
        <w:tc>
          <w:tcPr>
            <w:tcW w:w="323" w:type="pct"/>
          </w:tcPr>
          <w:p w14:paraId="413C00A3" w14:textId="26469647" w:rsidR="00B93A94" w:rsidRPr="0047058F" w:rsidRDefault="00B93A94" w:rsidP="003876A3">
            <w:pPr>
              <w:pStyle w:val="TableText"/>
              <w:jc w:val="right"/>
            </w:pPr>
            <w:r w:rsidRPr="0047058F">
              <w:rPr>
                <w:rFonts w:eastAsia="Times New Roman" w:cs="Arial"/>
              </w:rPr>
              <w:t>1235</w:t>
            </w:r>
          </w:p>
        </w:tc>
        <w:tc>
          <w:tcPr>
            <w:tcW w:w="323" w:type="pct"/>
          </w:tcPr>
          <w:p w14:paraId="35F156A4" w14:textId="77777777" w:rsidR="00B93A94" w:rsidRPr="0047058F" w:rsidRDefault="00B93A94" w:rsidP="00DB3A52">
            <w:pPr>
              <w:pStyle w:val="TableText"/>
              <w:jc w:val="right"/>
            </w:pPr>
            <w:r w:rsidRPr="0047058F">
              <w:rPr>
                <w:rFonts w:eastAsia="Times New Roman" w:cs="Arial"/>
              </w:rPr>
              <w:t>15.8</w:t>
            </w:r>
          </w:p>
        </w:tc>
      </w:tr>
      <w:tr w:rsidR="00B93A94" w:rsidRPr="0047058F" w14:paraId="3CBB8671" w14:textId="77777777" w:rsidTr="00DB3A52">
        <w:trPr>
          <w:cantSplit/>
        </w:trPr>
        <w:tc>
          <w:tcPr>
            <w:tcW w:w="1120" w:type="pct"/>
          </w:tcPr>
          <w:p w14:paraId="3462B620" w14:textId="77777777" w:rsidR="00B93A94" w:rsidRPr="0047058F" w:rsidRDefault="00B93A94" w:rsidP="00DB3A52">
            <w:pPr>
              <w:pStyle w:val="TableText"/>
              <w:rPr>
                <w:rFonts w:cs="Calibri"/>
                <w:szCs w:val="14"/>
              </w:rPr>
            </w:pPr>
            <w:r w:rsidRPr="0047058F">
              <w:rPr>
                <w:rFonts w:cs="Calibri"/>
                <w:szCs w:val="14"/>
              </w:rPr>
              <w:t>Felt so low thought about committing suicide</w:t>
            </w:r>
          </w:p>
        </w:tc>
        <w:tc>
          <w:tcPr>
            <w:tcW w:w="323" w:type="pct"/>
          </w:tcPr>
          <w:p w14:paraId="49F1B90C" w14:textId="77777777" w:rsidR="00B93A94" w:rsidRPr="0047058F" w:rsidRDefault="00B93A94" w:rsidP="00DB3A52">
            <w:pPr>
              <w:pStyle w:val="TableText"/>
              <w:jc w:val="right"/>
            </w:pPr>
            <w:r w:rsidRPr="0047058F">
              <w:rPr>
                <w:rFonts w:eastAsia="Times New Roman" w:cs="Arial"/>
              </w:rPr>
              <w:t>148</w:t>
            </w:r>
          </w:p>
        </w:tc>
        <w:tc>
          <w:tcPr>
            <w:tcW w:w="323" w:type="pct"/>
          </w:tcPr>
          <w:p w14:paraId="5954EFE1" w14:textId="77777777" w:rsidR="00B93A94" w:rsidRPr="0047058F" w:rsidRDefault="00B93A94" w:rsidP="00DB3A52">
            <w:pPr>
              <w:pStyle w:val="TableText"/>
              <w:jc w:val="right"/>
            </w:pPr>
            <w:r w:rsidRPr="0047058F">
              <w:rPr>
                <w:rFonts w:eastAsia="Times New Roman" w:cs="Arial"/>
              </w:rPr>
              <w:t>6.9</w:t>
            </w:r>
          </w:p>
        </w:tc>
        <w:tc>
          <w:tcPr>
            <w:tcW w:w="323" w:type="pct"/>
          </w:tcPr>
          <w:p w14:paraId="2A836182" w14:textId="77777777" w:rsidR="00B93A94" w:rsidRPr="0047058F" w:rsidRDefault="00B93A94" w:rsidP="00DB3A52">
            <w:pPr>
              <w:pStyle w:val="TableText"/>
              <w:jc w:val="right"/>
            </w:pPr>
            <w:r w:rsidRPr="0047058F">
              <w:rPr>
                <w:rFonts w:eastAsia="Times New Roman" w:cs="Arial"/>
              </w:rPr>
              <w:t>223</w:t>
            </w:r>
          </w:p>
        </w:tc>
        <w:tc>
          <w:tcPr>
            <w:tcW w:w="323" w:type="pct"/>
          </w:tcPr>
          <w:p w14:paraId="0D4078BE" w14:textId="77777777" w:rsidR="00B93A94" w:rsidRPr="0047058F" w:rsidRDefault="00B93A94" w:rsidP="00DB3A52">
            <w:pPr>
              <w:pStyle w:val="TableText"/>
              <w:jc w:val="right"/>
            </w:pPr>
            <w:r w:rsidRPr="0047058F">
              <w:rPr>
                <w:rFonts w:eastAsia="Times New Roman" w:cs="Arial"/>
              </w:rPr>
              <w:t>3.9</w:t>
            </w:r>
          </w:p>
        </w:tc>
        <w:tc>
          <w:tcPr>
            <w:tcW w:w="323" w:type="pct"/>
          </w:tcPr>
          <w:p w14:paraId="7D64D38E" w14:textId="77777777" w:rsidR="00B93A94" w:rsidRPr="0047058F" w:rsidRDefault="00B93A94" w:rsidP="00DB3A52">
            <w:pPr>
              <w:pStyle w:val="TableText"/>
              <w:jc w:val="right"/>
            </w:pPr>
            <w:r w:rsidRPr="0047058F">
              <w:rPr>
                <w:rFonts w:eastAsia="Times New Roman" w:cs="Arial"/>
              </w:rPr>
              <w:t>371</w:t>
            </w:r>
          </w:p>
        </w:tc>
        <w:tc>
          <w:tcPr>
            <w:tcW w:w="323" w:type="pct"/>
          </w:tcPr>
          <w:p w14:paraId="2014FA2E" w14:textId="77777777" w:rsidR="00B93A94" w:rsidRPr="0047058F" w:rsidRDefault="00B93A94" w:rsidP="00DB3A52">
            <w:pPr>
              <w:pStyle w:val="TableText"/>
              <w:jc w:val="right"/>
              <w:rPr>
                <w:rFonts w:eastAsia="Times New Roman" w:cs="Arial"/>
              </w:rPr>
            </w:pPr>
            <w:r w:rsidRPr="0047058F">
              <w:rPr>
                <w:rFonts w:eastAsia="Times New Roman" w:cs="Arial"/>
              </w:rPr>
              <w:t>4.7</w:t>
            </w:r>
          </w:p>
        </w:tc>
        <w:tc>
          <w:tcPr>
            <w:tcW w:w="323" w:type="pct"/>
          </w:tcPr>
          <w:p w14:paraId="5FCE7978" w14:textId="77777777" w:rsidR="00B93A94" w:rsidRPr="0047058F" w:rsidRDefault="00B93A94" w:rsidP="00DB3A52">
            <w:pPr>
              <w:pStyle w:val="TableText"/>
              <w:jc w:val="right"/>
            </w:pPr>
            <w:r w:rsidRPr="0047058F">
              <w:rPr>
                <w:rFonts w:eastAsia="Times New Roman" w:cs="Arial"/>
              </w:rPr>
              <w:t>397</w:t>
            </w:r>
          </w:p>
        </w:tc>
        <w:tc>
          <w:tcPr>
            <w:tcW w:w="323" w:type="pct"/>
          </w:tcPr>
          <w:p w14:paraId="0F16EABB" w14:textId="77777777" w:rsidR="00B93A94" w:rsidRPr="0047058F" w:rsidRDefault="00B93A94" w:rsidP="00DB3A52">
            <w:pPr>
              <w:pStyle w:val="TableText"/>
              <w:jc w:val="right"/>
            </w:pPr>
            <w:r w:rsidRPr="0047058F">
              <w:rPr>
                <w:rFonts w:eastAsia="Times New Roman" w:cs="Arial"/>
              </w:rPr>
              <w:t>18.6</w:t>
            </w:r>
          </w:p>
        </w:tc>
        <w:tc>
          <w:tcPr>
            <w:tcW w:w="323" w:type="pct"/>
          </w:tcPr>
          <w:p w14:paraId="7D37BE41" w14:textId="77777777" w:rsidR="00B93A94" w:rsidRPr="0047058F" w:rsidRDefault="00B93A94" w:rsidP="00DB3A52">
            <w:pPr>
              <w:pStyle w:val="TableText"/>
              <w:jc w:val="right"/>
            </w:pPr>
            <w:r w:rsidRPr="0047058F">
              <w:rPr>
                <w:rFonts w:eastAsia="Times New Roman" w:cs="Arial"/>
              </w:rPr>
              <w:t>429</w:t>
            </w:r>
          </w:p>
        </w:tc>
        <w:tc>
          <w:tcPr>
            <w:tcW w:w="323" w:type="pct"/>
          </w:tcPr>
          <w:p w14:paraId="5E8AB7E7" w14:textId="77777777" w:rsidR="00B93A94" w:rsidRPr="0047058F" w:rsidRDefault="00B93A94" w:rsidP="00DB3A52">
            <w:pPr>
              <w:pStyle w:val="TableText"/>
              <w:jc w:val="right"/>
            </w:pPr>
            <w:r w:rsidRPr="0047058F">
              <w:rPr>
                <w:rFonts w:eastAsia="Times New Roman" w:cs="Arial"/>
              </w:rPr>
              <w:t>7.6</w:t>
            </w:r>
          </w:p>
        </w:tc>
        <w:tc>
          <w:tcPr>
            <w:tcW w:w="323" w:type="pct"/>
          </w:tcPr>
          <w:p w14:paraId="0ABDEF2A" w14:textId="77777777" w:rsidR="00B93A94" w:rsidRPr="0047058F" w:rsidRDefault="00B93A94" w:rsidP="00DB3A52">
            <w:pPr>
              <w:pStyle w:val="TableText"/>
              <w:jc w:val="right"/>
            </w:pPr>
            <w:r w:rsidRPr="0047058F">
              <w:rPr>
                <w:rFonts w:eastAsia="Times New Roman" w:cs="Arial"/>
              </w:rPr>
              <w:t>826</w:t>
            </w:r>
          </w:p>
        </w:tc>
        <w:tc>
          <w:tcPr>
            <w:tcW w:w="323" w:type="pct"/>
          </w:tcPr>
          <w:p w14:paraId="338CD45B" w14:textId="77777777" w:rsidR="00B93A94" w:rsidRPr="0047058F" w:rsidRDefault="00B93A94" w:rsidP="00DB3A52">
            <w:pPr>
              <w:pStyle w:val="TableText"/>
              <w:jc w:val="right"/>
            </w:pPr>
            <w:r w:rsidRPr="0047058F">
              <w:rPr>
                <w:rFonts w:eastAsia="Times New Roman" w:cs="Arial"/>
              </w:rPr>
              <w:t>10.6</w:t>
            </w:r>
          </w:p>
        </w:tc>
      </w:tr>
      <w:tr w:rsidR="00B93A94" w:rsidRPr="0047058F" w14:paraId="6531D7A0" w14:textId="77777777" w:rsidTr="00DB3A52">
        <w:trPr>
          <w:cnfStyle w:val="000000100000" w:firstRow="0" w:lastRow="0" w:firstColumn="0" w:lastColumn="0" w:oddVBand="0" w:evenVBand="0" w:oddHBand="1" w:evenHBand="0" w:firstRowFirstColumn="0" w:firstRowLastColumn="0" w:lastRowFirstColumn="0" w:lastRowLastColumn="0"/>
          <w:cantSplit/>
        </w:trPr>
        <w:tc>
          <w:tcPr>
            <w:tcW w:w="1120" w:type="pct"/>
          </w:tcPr>
          <w:p w14:paraId="01217FA9" w14:textId="77777777" w:rsidR="00B93A94" w:rsidRPr="0047058F" w:rsidRDefault="00B93A94" w:rsidP="00DB3A52">
            <w:pPr>
              <w:pStyle w:val="TableText"/>
              <w:rPr>
                <w:rFonts w:cs="Calibri"/>
                <w:szCs w:val="14"/>
              </w:rPr>
            </w:pPr>
            <w:r w:rsidRPr="0047058F">
              <w:rPr>
                <w:rFonts w:cs="Calibri"/>
                <w:szCs w:val="14"/>
              </w:rPr>
              <w:t>Made a suicide plan</w:t>
            </w:r>
          </w:p>
        </w:tc>
        <w:tc>
          <w:tcPr>
            <w:tcW w:w="323" w:type="pct"/>
          </w:tcPr>
          <w:p w14:paraId="7D2B2B5E" w14:textId="77777777" w:rsidR="00B93A94" w:rsidRPr="0047058F" w:rsidRDefault="00B93A94" w:rsidP="00DB3A52">
            <w:pPr>
              <w:pStyle w:val="TableText"/>
              <w:jc w:val="right"/>
            </w:pPr>
            <w:r w:rsidRPr="0047058F">
              <w:rPr>
                <w:rFonts w:eastAsia="Times New Roman" w:cs="Arial"/>
              </w:rPr>
              <w:t>40</w:t>
            </w:r>
          </w:p>
        </w:tc>
        <w:tc>
          <w:tcPr>
            <w:tcW w:w="323" w:type="pct"/>
          </w:tcPr>
          <w:p w14:paraId="7C2B9F18" w14:textId="77777777" w:rsidR="00B93A94" w:rsidRPr="0047058F" w:rsidRDefault="00B93A94" w:rsidP="00DB3A52">
            <w:pPr>
              <w:pStyle w:val="TableText"/>
              <w:jc w:val="right"/>
            </w:pPr>
            <w:r w:rsidRPr="0047058F">
              <w:rPr>
                <w:rFonts w:eastAsia="Times New Roman" w:cs="Arial"/>
              </w:rPr>
              <w:t>1.9</w:t>
            </w:r>
          </w:p>
        </w:tc>
        <w:tc>
          <w:tcPr>
            <w:tcW w:w="323" w:type="pct"/>
          </w:tcPr>
          <w:p w14:paraId="30836151" w14:textId="77777777" w:rsidR="00B93A94" w:rsidRPr="0047058F" w:rsidRDefault="00B93A94" w:rsidP="00DB3A52">
            <w:pPr>
              <w:pStyle w:val="TableText"/>
              <w:jc w:val="right"/>
            </w:pPr>
            <w:r w:rsidRPr="0047058F">
              <w:rPr>
                <w:rFonts w:eastAsia="Times New Roman" w:cs="Arial"/>
              </w:rPr>
              <w:t>48</w:t>
            </w:r>
          </w:p>
        </w:tc>
        <w:tc>
          <w:tcPr>
            <w:tcW w:w="323" w:type="pct"/>
          </w:tcPr>
          <w:p w14:paraId="3B39352C" w14:textId="77777777" w:rsidR="00B93A94" w:rsidRPr="0047058F" w:rsidRDefault="00B93A94" w:rsidP="00DB3A52">
            <w:pPr>
              <w:pStyle w:val="TableText"/>
              <w:jc w:val="right"/>
            </w:pPr>
            <w:r w:rsidRPr="0047058F">
              <w:rPr>
                <w:rFonts w:eastAsia="Times New Roman" w:cs="Arial"/>
              </w:rPr>
              <w:t>0.8</w:t>
            </w:r>
          </w:p>
        </w:tc>
        <w:tc>
          <w:tcPr>
            <w:tcW w:w="323" w:type="pct"/>
          </w:tcPr>
          <w:p w14:paraId="1CB99D2C" w14:textId="77777777" w:rsidR="00B93A94" w:rsidRPr="0047058F" w:rsidRDefault="00B93A94" w:rsidP="00DB3A52">
            <w:pPr>
              <w:pStyle w:val="TableText"/>
              <w:jc w:val="right"/>
            </w:pPr>
            <w:r w:rsidRPr="0047058F">
              <w:rPr>
                <w:rFonts w:eastAsia="Times New Roman" w:cs="Arial"/>
              </w:rPr>
              <w:t>88</w:t>
            </w:r>
          </w:p>
        </w:tc>
        <w:tc>
          <w:tcPr>
            <w:tcW w:w="323" w:type="pct"/>
          </w:tcPr>
          <w:p w14:paraId="17CF5FB4" w14:textId="77777777" w:rsidR="00B93A94" w:rsidRPr="0047058F" w:rsidRDefault="00B93A94" w:rsidP="00DB3A52">
            <w:pPr>
              <w:pStyle w:val="TableText"/>
              <w:jc w:val="right"/>
              <w:rPr>
                <w:rFonts w:eastAsia="Times New Roman" w:cs="Arial"/>
              </w:rPr>
            </w:pPr>
            <w:r w:rsidRPr="0047058F">
              <w:rPr>
                <w:rFonts w:eastAsia="Times New Roman" w:cs="Arial"/>
              </w:rPr>
              <w:t>1.1</w:t>
            </w:r>
          </w:p>
        </w:tc>
        <w:tc>
          <w:tcPr>
            <w:tcW w:w="323" w:type="pct"/>
          </w:tcPr>
          <w:p w14:paraId="09973125" w14:textId="77777777" w:rsidR="00B93A94" w:rsidRPr="0047058F" w:rsidRDefault="00B93A94" w:rsidP="00DB3A52">
            <w:pPr>
              <w:pStyle w:val="TableText"/>
              <w:jc w:val="right"/>
            </w:pPr>
            <w:r w:rsidRPr="0047058F">
              <w:rPr>
                <w:rFonts w:eastAsia="Times New Roman" w:cs="Arial"/>
              </w:rPr>
              <w:t>154</w:t>
            </w:r>
          </w:p>
        </w:tc>
        <w:tc>
          <w:tcPr>
            <w:tcW w:w="323" w:type="pct"/>
          </w:tcPr>
          <w:p w14:paraId="08450720" w14:textId="77777777" w:rsidR="00B93A94" w:rsidRPr="0047058F" w:rsidRDefault="00B93A94" w:rsidP="00DB3A52">
            <w:pPr>
              <w:pStyle w:val="TableText"/>
              <w:jc w:val="right"/>
            </w:pPr>
            <w:r w:rsidRPr="0047058F">
              <w:rPr>
                <w:rFonts w:eastAsia="Times New Roman" w:cs="Arial"/>
              </w:rPr>
              <w:t>7.2</w:t>
            </w:r>
          </w:p>
        </w:tc>
        <w:tc>
          <w:tcPr>
            <w:tcW w:w="323" w:type="pct"/>
          </w:tcPr>
          <w:p w14:paraId="5B2F1052" w14:textId="77777777" w:rsidR="00B93A94" w:rsidRPr="0047058F" w:rsidRDefault="00B93A94" w:rsidP="00DB3A52">
            <w:pPr>
              <w:pStyle w:val="TableText"/>
              <w:jc w:val="right"/>
            </w:pPr>
            <w:r w:rsidRPr="0047058F">
              <w:rPr>
                <w:rFonts w:eastAsia="Times New Roman" w:cs="Arial"/>
              </w:rPr>
              <w:t>114</w:t>
            </w:r>
          </w:p>
        </w:tc>
        <w:tc>
          <w:tcPr>
            <w:tcW w:w="323" w:type="pct"/>
          </w:tcPr>
          <w:p w14:paraId="3791EE62" w14:textId="77777777" w:rsidR="00B93A94" w:rsidRPr="0047058F" w:rsidRDefault="00B93A94" w:rsidP="00DB3A52">
            <w:pPr>
              <w:pStyle w:val="TableText"/>
              <w:jc w:val="right"/>
            </w:pPr>
            <w:r w:rsidRPr="0047058F">
              <w:rPr>
                <w:rFonts w:eastAsia="Times New Roman" w:cs="Arial"/>
              </w:rPr>
              <w:t>2.0</w:t>
            </w:r>
          </w:p>
        </w:tc>
        <w:tc>
          <w:tcPr>
            <w:tcW w:w="323" w:type="pct"/>
          </w:tcPr>
          <w:p w14:paraId="74730236" w14:textId="77777777" w:rsidR="00B93A94" w:rsidRPr="0047058F" w:rsidRDefault="00B93A94" w:rsidP="00DB3A52">
            <w:pPr>
              <w:pStyle w:val="TableText"/>
              <w:jc w:val="right"/>
            </w:pPr>
            <w:r w:rsidRPr="0047058F">
              <w:rPr>
                <w:rFonts w:eastAsia="Times New Roman" w:cs="Arial"/>
              </w:rPr>
              <w:t>268</w:t>
            </w:r>
          </w:p>
        </w:tc>
        <w:tc>
          <w:tcPr>
            <w:tcW w:w="323" w:type="pct"/>
          </w:tcPr>
          <w:p w14:paraId="7B28BEEF" w14:textId="77777777" w:rsidR="00B93A94" w:rsidRPr="0047058F" w:rsidRDefault="00B93A94" w:rsidP="00DB3A52">
            <w:pPr>
              <w:pStyle w:val="TableText"/>
              <w:jc w:val="right"/>
            </w:pPr>
            <w:r w:rsidRPr="0047058F">
              <w:rPr>
                <w:rFonts w:eastAsia="Times New Roman" w:cs="Arial"/>
              </w:rPr>
              <w:t>3.4</w:t>
            </w:r>
          </w:p>
        </w:tc>
      </w:tr>
      <w:tr w:rsidR="00B93A94" w:rsidRPr="0047058F" w14:paraId="4F6F9F0B" w14:textId="77777777" w:rsidTr="00DB3A52">
        <w:trPr>
          <w:cantSplit/>
        </w:trPr>
        <w:tc>
          <w:tcPr>
            <w:tcW w:w="1120" w:type="pct"/>
          </w:tcPr>
          <w:p w14:paraId="4429F841" w14:textId="77777777" w:rsidR="00B93A94" w:rsidRPr="0047058F" w:rsidRDefault="00B93A94" w:rsidP="00DB3A52">
            <w:pPr>
              <w:pStyle w:val="TableText"/>
              <w:rPr>
                <w:rFonts w:cs="Calibri"/>
                <w:szCs w:val="14"/>
              </w:rPr>
            </w:pPr>
            <w:r w:rsidRPr="0047058F">
              <w:rPr>
                <w:rFonts w:cs="Calibri"/>
                <w:szCs w:val="14"/>
              </w:rPr>
              <w:t>Attempted suicide</w:t>
            </w:r>
          </w:p>
        </w:tc>
        <w:tc>
          <w:tcPr>
            <w:tcW w:w="323" w:type="pct"/>
          </w:tcPr>
          <w:p w14:paraId="1925BB5E" w14:textId="77777777" w:rsidR="00B93A94" w:rsidRPr="0047058F" w:rsidRDefault="00B93A94" w:rsidP="00DB3A52">
            <w:pPr>
              <w:pStyle w:val="TableText"/>
              <w:jc w:val="right"/>
              <w:rPr>
                <w:rFonts w:cs="Arial"/>
              </w:rPr>
            </w:pPr>
            <w:r w:rsidRPr="0047058F">
              <w:rPr>
                <w:rFonts w:eastAsia="Times New Roman" w:cs="Arial"/>
              </w:rPr>
              <w:t>10</w:t>
            </w:r>
          </w:p>
        </w:tc>
        <w:tc>
          <w:tcPr>
            <w:tcW w:w="323" w:type="pct"/>
          </w:tcPr>
          <w:p w14:paraId="5791D240" w14:textId="77777777" w:rsidR="00B93A94" w:rsidRPr="0047058F" w:rsidRDefault="00B93A94" w:rsidP="00DB3A52">
            <w:pPr>
              <w:pStyle w:val="TableText"/>
              <w:jc w:val="right"/>
              <w:rPr>
                <w:rFonts w:eastAsia="Times New Roman" w:cs="Arial"/>
              </w:rPr>
            </w:pPr>
            <w:r w:rsidRPr="0047058F">
              <w:rPr>
                <w:rFonts w:eastAsia="Times New Roman" w:cs="Arial"/>
              </w:rPr>
              <w:t>0.5</w:t>
            </w:r>
          </w:p>
        </w:tc>
        <w:tc>
          <w:tcPr>
            <w:tcW w:w="323" w:type="pct"/>
          </w:tcPr>
          <w:p w14:paraId="103BB792" w14:textId="77777777" w:rsidR="00B93A94" w:rsidRPr="0047058F" w:rsidRDefault="00B93A94" w:rsidP="00DB3A52">
            <w:pPr>
              <w:pStyle w:val="TableText"/>
              <w:jc w:val="right"/>
              <w:rPr>
                <w:rFonts w:eastAsia="Times New Roman" w:cs="Arial"/>
              </w:rPr>
            </w:pPr>
            <w:r w:rsidRPr="0047058F">
              <w:rPr>
                <w:rFonts w:eastAsia="Times New Roman" w:cs="Arial"/>
              </w:rPr>
              <w:t>20</w:t>
            </w:r>
          </w:p>
        </w:tc>
        <w:tc>
          <w:tcPr>
            <w:tcW w:w="323" w:type="pct"/>
          </w:tcPr>
          <w:p w14:paraId="5DFE191B" w14:textId="77777777" w:rsidR="00B93A94" w:rsidRPr="0047058F" w:rsidRDefault="00B93A94" w:rsidP="00DB3A52">
            <w:pPr>
              <w:pStyle w:val="TableText"/>
              <w:jc w:val="right"/>
              <w:rPr>
                <w:rFonts w:eastAsia="Times New Roman" w:cs="Arial"/>
              </w:rPr>
            </w:pPr>
            <w:r w:rsidRPr="0047058F">
              <w:rPr>
                <w:rFonts w:eastAsia="Times New Roman" w:cs="Arial"/>
              </w:rPr>
              <w:t>0.4</w:t>
            </w:r>
          </w:p>
        </w:tc>
        <w:tc>
          <w:tcPr>
            <w:tcW w:w="323" w:type="pct"/>
          </w:tcPr>
          <w:p w14:paraId="7815FC11" w14:textId="77777777" w:rsidR="00B93A94" w:rsidRPr="0047058F" w:rsidRDefault="00B93A94" w:rsidP="00DB3A52">
            <w:pPr>
              <w:pStyle w:val="TableText"/>
              <w:jc w:val="right"/>
              <w:rPr>
                <w:rFonts w:eastAsia="Times New Roman" w:cs="Arial"/>
              </w:rPr>
            </w:pPr>
            <w:r w:rsidRPr="0047058F">
              <w:rPr>
                <w:rFonts w:eastAsia="Times New Roman" w:cs="Arial"/>
              </w:rPr>
              <w:t>30</w:t>
            </w:r>
          </w:p>
        </w:tc>
        <w:tc>
          <w:tcPr>
            <w:tcW w:w="323" w:type="pct"/>
          </w:tcPr>
          <w:p w14:paraId="7E742184" w14:textId="77777777" w:rsidR="00B93A94" w:rsidRPr="0047058F" w:rsidRDefault="00B93A94" w:rsidP="00DB3A52">
            <w:pPr>
              <w:pStyle w:val="TableText"/>
              <w:jc w:val="right"/>
              <w:rPr>
                <w:rFonts w:eastAsia="Times New Roman" w:cs="Arial"/>
              </w:rPr>
            </w:pPr>
            <w:r w:rsidRPr="0047058F">
              <w:rPr>
                <w:rFonts w:eastAsia="Times New Roman" w:cs="Arial"/>
              </w:rPr>
              <w:t>0.4</w:t>
            </w:r>
          </w:p>
        </w:tc>
        <w:tc>
          <w:tcPr>
            <w:tcW w:w="323" w:type="pct"/>
          </w:tcPr>
          <w:p w14:paraId="4836C335" w14:textId="77777777" w:rsidR="00B93A94" w:rsidRPr="0047058F" w:rsidRDefault="00B93A94" w:rsidP="00DB3A52">
            <w:pPr>
              <w:pStyle w:val="TableText"/>
              <w:jc w:val="right"/>
              <w:rPr>
                <w:rFonts w:eastAsia="Times New Roman" w:cs="Arial"/>
              </w:rPr>
            </w:pPr>
            <w:r w:rsidRPr="0047058F">
              <w:rPr>
                <w:rFonts w:eastAsia="Times New Roman" w:cs="Arial"/>
              </w:rPr>
              <w:t>28</w:t>
            </w:r>
          </w:p>
        </w:tc>
        <w:tc>
          <w:tcPr>
            <w:tcW w:w="323" w:type="pct"/>
          </w:tcPr>
          <w:p w14:paraId="77EBA4A3" w14:textId="77777777" w:rsidR="00B93A94" w:rsidRPr="0047058F" w:rsidRDefault="00B93A94" w:rsidP="00DB3A52">
            <w:pPr>
              <w:pStyle w:val="TableText"/>
              <w:jc w:val="right"/>
              <w:rPr>
                <w:rFonts w:eastAsia="Times New Roman" w:cs="Arial"/>
              </w:rPr>
            </w:pPr>
            <w:r w:rsidRPr="0047058F">
              <w:rPr>
                <w:rFonts w:eastAsia="Times New Roman" w:cs="Arial"/>
              </w:rPr>
              <w:t>1.3</w:t>
            </w:r>
          </w:p>
        </w:tc>
        <w:tc>
          <w:tcPr>
            <w:tcW w:w="323" w:type="pct"/>
          </w:tcPr>
          <w:p w14:paraId="2617FFFF" w14:textId="77777777" w:rsidR="00B93A94" w:rsidRPr="0047058F" w:rsidRDefault="00B93A94" w:rsidP="00DB3A52">
            <w:pPr>
              <w:pStyle w:val="TableText"/>
              <w:jc w:val="right"/>
              <w:rPr>
                <w:rFonts w:eastAsia="Times New Roman" w:cs="Arial"/>
              </w:rPr>
            </w:pPr>
            <w:r w:rsidRPr="0047058F">
              <w:rPr>
                <w:rFonts w:eastAsia="Times New Roman" w:cs="Arial"/>
              </w:rPr>
              <w:t>26</w:t>
            </w:r>
          </w:p>
        </w:tc>
        <w:tc>
          <w:tcPr>
            <w:tcW w:w="323" w:type="pct"/>
          </w:tcPr>
          <w:p w14:paraId="01C49A01" w14:textId="77777777" w:rsidR="00B93A94" w:rsidRPr="0047058F" w:rsidRDefault="00B93A94" w:rsidP="00DB3A52">
            <w:pPr>
              <w:pStyle w:val="TableText"/>
              <w:jc w:val="right"/>
              <w:rPr>
                <w:rFonts w:eastAsia="Times New Roman" w:cs="Arial"/>
              </w:rPr>
            </w:pPr>
            <w:r w:rsidRPr="0047058F">
              <w:rPr>
                <w:rFonts w:eastAsia="Times New Roman" w:cs="Arial"/>
              </w:rPr>
              <w:t>0.5</w:t>
            </w:r>
          </w:p>
        </w:tc>
        <w:tc>
          <w:tcPr>
            <w:tcW w:w="323" w:type="pct"/>
          </w:tcPr>
          <w:p w14:paraId="6E54CCF6" w14:textId="77777777" w:rsidR="00B93A94" w:rsidRPr="0047058F" w:rsidRDefault="00B93A94" w:rsidP="00DB3A52">
            <w:pPr>
              <w:pStyle w:val="TableText"/>
              <w:jc w:val="right"/>
              <w:rPr>
                <w:rFonts w:eastAsia="Times New Roman" w:cs="Arial"/>
              </w:rPr>
            </w:pPr>
            <w:r w:rsidRPr="0047058F">
              <w:rPr>
                <w:rFonts w:eastAsia="Times New Roman" w:cs="Arial"/>
              </w:rPr>
              <w:t>54</w:t>
            </w:r>
          </w:p>
        </w:tc>
        <w:tc>
          <w:tcPr>
            <w:tcW w:w="323" w:type="pct"/>
          </w:tcPr>
          <w:p w14:paraId="4647E6D7" w14:textId="77777777" w:rsidR="00B93A94" w:rsidRPr="0047058F" w:rsidRDefault="00B93A94" w:rsidP="00DB3A52">
            <w:pPr>
              <w:pStyle w:val="TableText"/>
              <w:jc w:val="right"/>
              <w:rPr>
                <w:rFonts w:eastAsia="Times New Roman" w:cs="Arial"/>
              </w:rPr>
            </w:pPr>
            <w:r w:rsidRPr="0047058F">
              <w:rPr>
                <w:rFonts w:eastAsia="Times New Roman" w:cs="Arial"/>
              </w:rPr>
              <w:t>0.7</w:t>
            </w:r>
          </w:p>
        </w:tc>
      </w:tr>
    </w:tbl>
    <w:p w14:paraId="08355A24" w14:textId="77777777" w:rsidR="00B93A94" w:rsidRPr="0047058F" w:rsidRDefault="00B93A94" w:rsidP="00B93A94">
      <w:pPr>
        <w:pStyle w:val="TableNotes"/>
      </w:pPr>
      <w:r w:rsidRPr="0047058F">
        <w:t>Note: Unweighted data.</w:t>
      </w:r>
    </w:p>
    <w:p w14:paraId="01CFD533" w14:textId="77777777" w:rsidR="0008078F" w:rsidRPr="0047058F" w:rsidRDefault="0008078F" w:rsidP="0033018C"/>
    <w:p w14:paraId="1D32A8E5" w14:textId="77777777" w:rsidR="0008078F" w:rsidRPr="0047058F" w:rsidRDefault="0008078F" w:rsidP="0033018C">
      <w:pPr>
        <w:sectPr w:rsidR="0008078F" w:rsidRPr="0047058F" w:rsidSect="003B5AB8">
          <w:type w:val="oddPage"/>
          <w:pgSz w:w="9979" w:h="14170" w:code="243"/>
          <w:pgMar w:top="1440" w:right="1152" w:bottom="1440" w:left="1728" w:header="576" w:footer="576" w:gutter="0"/>
          <w:cols w:space="708"/>
          <w:docGrid w:linePitch="360"/>
        </w:sectPr>
      </w:pPr>
    </w:p>
    <w:p w14:paraId="3B8628D8" w14:textId="77777777" w:rsidR="00B93A94" w:rsidRPr="0047058F" w:rsidRDefault="00B93A94" w:rsidP="00B93A94">
      <w:pPr>
        <w:pStyle w:val="FigureName"/>
      </w:pPr>
      <w:bookmarkStart w:id="356" w:name="_Ref387319047"/>
      <w:bookmarkStart w:id="357" w:name="_Toc529117581"/>
      <w:bookmarkStart w:id="358" w:name="_Toc532473654"/>
      <w:r w:rsidRPr="0047058F">
        <w:t>Figure 5.17</w:t>
      </w:r>
      <w:bookmarkEnd w:id="356"/>
      <w:r w:rsidRPr="0047058F">
        <w:tab/>
        <w:t>Suicidal ideation, plans and attempts in Transitioned ADF and 2015 Regular ADF in the longitudinal cohort</w:t>
      </w:r>
      <w:bookmarkEnd w:id="357"/>
      <w:bookmarkEnd w:id="358"/>
    </w:p>
    <w:p w14:paraId="24D9B42C" w14:textId="77777777" w:rsidR="00B93A94" w:rsidRPr="0047058F" w:rsidRDefault="00B93A94" w:rsidP="00B93A94">
      <w:r w:rsidRPr="0047058F">
        <w:rPr>
          <w:noProof/>
          <w:lang w:eastAsia="en-AU"/>
        </w:rPr>
        <w:drawing>
          <wp:inline distT="0" distB="0" distL="0" distR="0" wp14:anchorId="3B9F2D14" wp14:editId="458FFF70">
            <wp:extent cx="6949440" cy="3840480"/>
            <wp:effectExtent l="0" t="0" r="3810" b="7620"/>
            <wp:docPr id="15" name="Chart 15" descr="Figure 5.17 Suicidal ideation, plans and attempts in Transitioned ADF and 2015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EE1BD52" w14:textId="77777777" w:rsidR="00784201" w:rsidRPr="0047058F" w:rsidRDefault="00784201" w:rsidP="0033018C"/>
    <w:p w14:paraId="4528DB9D" w14:textId="77777777" w:rsidR="00FD3AB7" w:rsidRPr="0047058F" w:rsidRDefault="00FD3AB7" w:rsidP="00191932">
      <w:pPr>
        <w:sectPr w:rsidR="00FD3AB7" w:rsidRPr="0047058F" w:rsidSect="00147BFC">
          <w:footerReference w:type="even" r:id="rId57"/>
          <w:footerReference w:type="default" r:id="rId58"/>
          <w:pgSz w:w="14170" w:h="9979" w:orient="landscape" w:code="243"/>
          <w:pgMar w:top="1872" w:right="1440" w:bottom="1152" w:left="1440" w:header="576" w:footer="576" w:gutter="0"/>
          <w:cols w:space="708"/>
          <w:docGrid w:linePitch="360"/>
        </w:sectPr>
      </w:pPr>
    </w:p>
    <w:p w14:paraId="4B7DF44B" w14:textId="77777777" w:rsidR="00B93A94" w:rsidRPr="0047058F" w:rsidRDefault="00B93A94" w:rsidP="00B93A94">
      <w:r w:rsidRPr="0047058F">
        <w:t>Table 5.18 and Figure 5.18, Table 5.19 and Figure 5.19, and Table 5.20 and Figure 5.20 show the p</w:t>
      </w:r>
      <w:r w:rsidRPr="0047058F">
        <w:rPr>
          <w:bCs/>
        </w:rPr>
        <w:t>roportion of those reporting any suicidality in 2010 cross-tabulated by the same grouping of scores in 2015, among the entire longitudinal cohort, and according to whether they had transitioned or remained in the Regular ADF in 2015.</w:t>
      </w:r>
    </w:p>
    <w:p w14:paraId="3A11CE6B" w14:textId="77777777" w:rsidR="00B93A94" w:rsidRPr="0047058F" w:rsidRDefault="00B93A94" w:rsidP="00B93A94">
      <w:r w:rsidRPr="0047058F">
        <w:t>In 2010, 8.8% of the cohort reported any suicidality, and this increased to 16.7% in 2015. Of those who reported no suicidality in 2010, 13.0% were new cases of suicidality. Of those who reported any suicidality in 2010, 55.2% also reported this in 2015.</w:t>
      </w:r>
    </w:p>
    <w:p w14:paraId="7F570FBC" w14:textId="77777777" w:rsidR="00AA7A7D" w:rsidRPr="0047058F" w:rsidRDefault="00AA7A7D" w:rsidP="00EB2A31">
      <w:pPr>
        <w:keepLines/>
      </w:pPr>
      <w:bookmarkStart w:id="359" w:name="_Ref384558329"/>
      <w:bookmarkStart w:id="360" w:name="_Toc529117530"/>
      <w:r w:rsidRPr="0047058F">
        <w:t>Among those who had transitioned, 12.3% reported any suicidality in 2010, which more than doubled to 27.4% in 2015. There were 21.7% who reported suicidality in 2015, who did not in 2010. Of those reporting suicidality in 2010, 68.1% were still suicidal in 2015, and 31.9% no longer reported suicidality.</w:t>
      </w:r>
    </w:p>
    <w:p w14:paraId="5828AB4C" w14:textId="77777777" w:rsidR="00B93A94" w:rsidRPr="0047058F" w:rsidRDefault="00B93A94" w:rsidP="00B93A94">
      <w:pPr>
        <w:pStyle w:val="TableName"/>
      </w:pPr>
      <w:bookmarkStart w:id="361" w:name="_Toc532473600"/>
      <w:r w:rsidRPr="0047058F">
        <w:t>Table 5.18</w:t>
      </w:r>
      <w:bookmarkEnd w:id="359"/>
      <w:r w:rsidRPr="0047058F">
        <w:tab/>
        <w:t xml:space="preserve">Proportion of </w:t>
      </w:r>
      <w:r w:rsidRPr="0047058F">
        <w:rPr>
          <w:u w:val="single"/>
        </w:rPr>
        <w:t>entire longitudinal cohort</w:t>
      </w:r>
      <w:r w:rsidRPr="0047058F">
        <w:t xml:space="preserve"> with any suicidality in 2010 and 2015 based on self-reported measures</w:t>
      </w:r>
      <w:bookmarkEnd w:id="360"/>
      <w:bookmarkEnd w:id="361"/>
    </w:p>
    <w:tbl>
      <w:tblPr>
        <w:tblStyle w:val="TWRPTable"/>
        <w:tblW w:w="5000" w:type="pct"/>
        <w:tblLayout w:type="fixed"/>
        <w:tblLook w:val="04A0" w:firstRow="1" w:lastRow="0" w:firstColumn="1" w:lastColumn="0" w:noHBand="0" w:noVBand="1"/>
        <w:tblDescription w:val="Table 5.18 Proportion of entire longitudinal cohort with any suicidality in 2010 and 2015 based on self-reported measures"/>
      </w:tblPr>
      <w:tblGrid>
        <w:gridCol w:w="1958"/>
        <w:gridCol w:w="899"/>
        <w:gridCol w:w="900"/>
        <w:gridCol w:w="889"/>
        <w:gridCol w:w="890"/>
        <w:gridCol w:w="889"/>
        <w:gridCol w:w="890"/>
      </w:tblGrid>
      <w:tr w:rsidR="00B93A94" w:rsidRPr="0047058F" w14:paraId="56ECF2DC"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val="restart"/>
          </w:tcPr>
          <w:p w14:paraId="2B4066F1" w14:textId="77777777" w:rsidR="00B93A94" w:rsidRPr="0047058F" w:rsidRDefault="00B93A94" w:rsidP="00D009A2">
            <w:pPr>
              <w:pStyle w:val="TableText"/>
            </w:pPr>
            <w:r w:rsidRPr="0047058F">
              <w:t>2010 ADF Mental Health Prevalence and Wellbeing Study</w:t>
            </w:r>
          </w:p>
        </w:tc>
        <w:tc>
          <w:tcPr>
            <w:tcW w:w="3558" w:type="dxa"/>
            <w:gridSpan w:val="4"/>
          </w:tcPr>
          <w:p w14:paraId="60B9E758" w14:textId="77777777" w:rsidR="00B93A94" w:rsidRPr="0047058F" w:rsidRDefault="00B93A94" w:rsidP="00D009A2">
            <w:pPr>
              <w:pStyle w:val="TableText"/>
              <w:jc w:val="center"/>
            </w:pPr>
            <w:r w:rsidRPr="0047058F">
              <w:t>2015 Transition and Wellbeing Research Programme</w:t>
            </w:r>
          </w:p>
        </w:tc>
      </w:tr>
      <w:tr w:rsidR="00B93A94" w:rsidRPr="0047058F" w14:paraId="2B51951A"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tcPr>
          <w:p w14:paraId="5B2DBE3B" w14:textId="77777777" w:rsidR="00B93A94" w:rsidRPr="0047058F" w:rsidRDefault="00B93A94" w:rsidP="00D009A2">
            <w:pPr>
              <w:pStyle w:val="TableText"/>
            </w:pPr>
          </w:p>
        </w:tc>
        <w:tc>
          <w:tcPr>
            <w:tcW w:w="1779" w:type="dxa"/>
            <w:gridSpan w:val="2"/>
            <w:hideMark/>
          </w:tcPr>
          <w:p w14:paraId="04E7D53F" w14:textId="77777777" w:rsidR="00B93A94" w:rsidRPr="0047058F" w:rsidRDefault="00B93A94" w:rsidP="00D009A2">
            <w:pPr>
              <w:pStyle w:val="TableText"/>
              <w:jc w:val="center"/>
            </w:pPr>
            <w:r w:rsidRPr="0047058F">
              <w:t>No suicidality</w:t>
            </w:r>
          </w:p>
        </w:tc>
        <w:tc>
          <w:tcPr>
            <w:tcW w:w="1779" w:type="dxa"/>
            <w:gridSpan w:val="2"/>
          </w:tcPr>
          <w:p w14:paraId="4CEC965F" w14:textId="77777777" w:rsidR="00B93A94" w:rsidRPr="0047058F" w:rsidRDefault="00B93A94" w:rsidP="00D009A2">
            <w:pPr>
              <w:pStyle w:val="TableText"/>
              <w:jc w:val="center"/>
            </w:pPr>
            <w:r w:rsidRPr="0047058F">
              <w:t>Any suicidality</w:t>
            </w:r>
          </w:p>
        </w:tc>
      </w:tr>
      <w:tr w:rsidR="00B93A94" w:rsidRPr="0047058F" w14:paraId="36D63DE9"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1958" w:type="dxa"/>
          </w:tcPr>
          <w:p w14:paraId="73D1D112" w14:textId="77777777" w:rsidR="00B93A94" w:rsidRPr="0047058F" w:rsidRDefault="00B93A94" w:rsidP="00D009A2">
            <w:pPr>
              <w:pStyle w:val="TableText"/>
            </w:pPr>
            <w:r w:rsidRPr="0047058F">
              <w:rPr>
                <w:rFonts w:cs="Arial"/>
              </w:rPr>
              <w:t>Suicide</w:t>
            </w:r>
          </w:p>
        </w:tc>
        <w:tc>
          <w:tcPr>
            <w:tcW w:w="899" w:type="dxa"/>
          </w:tcPr>
          <w:p w14:paraId="534E9C72" w14:textId="77777777" w:rsidR="00B93A94" w:rsidRPr="0047058F" w:rsidRDefault="00B93A94" w:rsidP="00D009A2">
            <w:pPr>
              <w:pStyle w:val="TableText"/>
              <w:jc w:val="right"/>
              <w:rPr>
                <w:rFonts w:cs="Arial"/>
              </w:rPr>
            </w:pPr>
            <w:r w:rsidRPr="0047058F">
              <w:rPr>
                <w:rFonts w:cs="Arial"/>
              </w:rPr>
              <w:t>n</w:t>
            </w:r>
          </w:p>
        </w:tc>
        <w:tc>
          <w:tcPr>
            <w:tcW w:w="900" w:type="dxa"/>
          </w:tcPr>
          <w:p w14:paraId="09D49377" w14:textId="77777777" w:rsidR="00B93A94" w:rsidRPr="0047058F" w:rsidRDefault="00B93A94" w:rsidP="00D009A2">
            <w:pPr>
              <w:pStyle w:val="TableText"/>
              <w:jc w:val="right"/>
              <w:rPr>
                <w:rFonts w:cs="Arial"/>
              </w:rPr>
            </w:pPr>
            <w:r w:rsidRPr="0047058F">
              <w:rPr>
                <w:rFonts w:cs="Arial"/>
              </w:rPr>
              <w:t>%</w:t>
            </w:r>
          </w:p>
        </w:tc>
        <w:tc>
          <w:tcPr>
            <w:tcW w:w="889" w:type="dxa"/>
          </w:tcPr>
          <w:p w14:paraId="3B29EBBC" w14:textId="77777777" w:rsidR="00B93A94" w:rsidRPr="0047058F" w:rsidRDefault="00B93A94" w:rsidP="00D009A2">
            <w:pPr>
              <w:pStyle w:val="TableText"/>
              <w:jc w:val="right"/>
              <w:rPr>
                <w:rFonts w:cs="Arial"/>
              </w:rPr>
            </w:pPr>
            <w:r w:rsidRPr="0047058F">
              <w:rPr>
                <w:rFonts w:cs="Arial"/>
              </w:rPr>
              <w:t>n</w:t>
            </w:r>
          </w:p>
        </w:tc>
        <w:tc>
          <w:tcPr>
            <w:tcW w:w="890" w:type="dxa"/>
          </w:tcPr>
          <w:p w14:paraId="52456B47" w14:textId="77777777" w:rsidR="00B93A94" w:rsidRPr="0047058F" w:rsidRDefault="00B93A94" w:rsidP="00D009A2">
            <w:pPr>
              <w:pStyle w:val="TableText"/>
              <w:jc w:val="right"/>
              <w:rPr>
                <w:rFonts w:cs="Arial"/>
              </w:rPr>
            </w:pPr>
            <w:r w:rsidRPr="0047058F">
              <w:rPr>
                <w:rFonts w:cs="Arial"/>
              </w:rPr>
              <w:t>%</w:t>
            </w:r>
          </w:p>
        </w:tc>
        <w:tc>
          <w:tcPr>
            <w:tcW w:w="889" w:type="dxa"/>
          </w:tcPr>
          <w:p w14:paraId="4C3176C8" w14:textId="77777777" w:rsidR="00B93A94" w:rsidRPr="0047058F" w:rsidRDefault="00B93A94" w:rsidP="00D009A2">
            <w:pPr>
              <w:pStyle w:val="TableText"/>
              <w:jc w:val="right"/>
              <w:rPr>
                <w:rFonts w:cs="Arial"/>
              </w:rPr>
            </w:pPr>
            <w:r w:rsidRPr="0047058F">
              <w:rPr>
                <w:rFonts w:cs="Arial"/>
              </w:rPr>
              <w:t>n</w:t>
            </w:r>
          </w:p>
        </w:tc>
        <w:tc>
          <w:tcPr>
            <w:tcW w:w="890" w:type="dxa"/>
          </w:tcPr>
          <w:p w14:paraId="20A6B764" w14:textId="77777777" w:rsidR="00B93A94" w:rsidRPr="0047058F" w:rsidRDefault="00B93A94" w:rsidP="00D009A2">
            <w:pPr>
              <w:pStyle w:val="TableText"/>
              <w:jc w:val="right"/>
              <w:rPr>
                <w:rFonts w:cs="Arial"/>
              </w:rPr>
            </w:pPr>
            <w:r w:rsidRPr="0047058F">
              <w:rPr>
                <w:rFonts w:cs="Arial"/>
              </w:rPr>
              <w:t>%</w:t>
            </w:r>
          </w:p>
        </w:tc>
      </w:tr>
      <w:tr w:rsidR="00B93A94" w:rsidRPr="0047058F" w14:paraId="3D9EC693"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8" w:type="dxa"/>
          </w:tcPr>
          <w:p w14:paraId="5411F187" w14:textId="77777777" w:rsidR="00B93A94" w:rsidRPr="0047058F" w:rsidRDefault="00B93A94" w:rsidP="00D009A2">
            <w:pPr>
              <w:pStyle w:val="TableText"/>
              <w:rPr>
                <w:rFonts w:cs="Calibri"/>
                <w:szCs w:val="14"/>
              </w:rPr>
            </w:pPr>
            <w:r w:rsidRPr="0047058F">
              <w:rPr>
                <w:rFonts w:cs="Calibri"/>
                <w:szCs w:val="14"/>
              </w:rPr>
              <w:t>No suicidality</w:t>
            </w:r>
          </w:p>
        </w:tc>
        <w:tc>
          <w:tcPr>
            <w:tcW w:w="899" w:type="dxa"/>
          </w:tcPr>
          <w:p w14:paraId="4F6BB8BC" w14:textId="77777777" w:rsidR="00B93A94" w:rsidRPr="0047058F" w:rsidRDefault="00B93A94" w:rsidP="00D009A2">
            <w:pPr>
              <w:pStyle w:val="TableText"/>
              <w:jc w:val="right"/>
            </w:pPr>
            <w:r w:rsidRPr="0047058F">
              <w:rPr>
                <w:rFonts w:eastAsia="Times New Roman" w:cs="Arial"/>
              </w:rPr>
              <w:t>7132</w:t>
            </w:r>
          </w:p>
        </w:tc>
        <w:tc>
          <w:tcPr>
            <w:tcW w:w="900" w:type="dxa"/>
          </w:tcPr>
          <w:p w14:paraId="729AE554" w14:textId="77777777" w:rsidR="00B93A94" w:rsidRPr="0047058F" w:rsidRDefault="00B93A94" w:rsidP="00D009A2">
            <w:pPr>
              <w:pStyle w:val="TableText"/>
              <w:jc w:val="right"/>
              <w:rPr>
                <w:rFonts w:eastAsia="Times New Roman" w:cs="Arial"/>
              </w:rPr>
            </w:pPr>
            <w:r w:rsidRPr="0047058F">
              <w:rPr>
                <w:rFonts w:eastAsia="Times New Roman" w:cs="Arial"/>
              </w:rPr>
              <w:t>91.2</w:t>
            </w:r>
          </w:p>
        </w:tc>
        <w:tc>
          <w:tcPr>
            <w:tcW w:w="889" w:type="dxa"/>
          </w:tcPr>
          <w:p w14:paraId="3B5CA9F9" w14:textId="77777777" w:rsidR="00B93A94" w:rsidRPr="0047058F" w:rsidRDefault="00B93A94" w:rsidP="00D009A2">
            <w:pPr>
              <w:pStyle w:val="TableText"/>
              <w:jc w:val="right"/>
            </w:pPr>
            <w:r w:rsidRPr="0047058F">
              <w:rPr>
                <w:rFonts w:eastAsia="Times New Roman" w:cs="Arial"/>
              </w:rPr>
              <w:t>6203</w:t>
            </w:r>
          </w:p>
        </w:tc>
        <w:tc>
          <w:tcPr>
            <w:tcW w:w="890" w:type="dxa"/>
          </w:tcPr>
          <w:p w14:paraId="6CF18301" w14:textId="77777777" w:rsidR="00B93A94" w:rsidRPr="0047058F" w:rsidRDefault="00B93A94" w:rsidP="00D009A2">
            <w:pPr>
              <w:pStyle w:val="TableText"/>
              <w:jc w:val="right"/>
            </w:pPr>
            <w:r w:rsidRPr="0047058F">
              <w:rPr>
                <w:rFonts w:eastAsia="Times New Roman" w:cs="Arial"/>
              </w:rPr>
              <w:t>87.0</w:t>
            </w:r>
          </w:p>
        </w:tc>
        <w:tc>
          <w:tcPr>
            <w:tcW w:w="889" w:type="dxa"/>
          </w:tcPr>
          <w:p w14:paraId="083BBD7F" w14:textId="77777777" w:rsidR="00B93A94" w:rsidRPr="0047058F" w:rsidRDefault="00B93A94" w:rsidP="00D009A2">
            <w:pPr>
              <w:pStyle w:val="TableText"/>
              <w:jc w:val="right"/>
            </w:pPr>
            <w:r w:rsidRPr="0047058F">
              <w:rPr>
                <w:rFonts w:eastAsia="Times New Roman" w:cs="Arial"/>
              </w:rPr>
              <w:t>929</w:t>
            </w:r>
          </w:p>
        </w:tc>
        <w:tc>
          <w:tcPr>
            <w:tcW w:w="890" w:type="dxa"/>
          </w:tcPr>
          <w:p w14:paraId="76E155A0" w14:textId="77777777" w:rsidR="00B93A94" w:rsidRPr="0047058F" w:rsidRDefault="00B93A94" w:rsidP="00D009A2">
            <w:pPr>
              <w:pStyle w:val="TableText"/>
              <w:jc w:val="right"/>
            </w:pPr>
            <w:r w:rsidRPr="0047058F">
              <w:rPr>
                <w:rFonts w:eastAsia="Times New Roman" w:cs="Arial"/>
              </w:rPr>
              <w:t>13.0</w:t>
            </w:r>
          </w:p>
        </w:tc>
      </w:tr>
      <w:tr w:rsidR="00B93A94" w:rsidRPr="0047058F" w14:paraId="64711F9E" w14:textId="77777777" w:rsidTr="00D009A2">
        <w:trPr>
          <w:cantSplit/>
        </w:trPr>
        <w:tc>
          <w:tcPr>
            <w:tcW w:w="1958" w:type="dxa"/>
          </w:tcPr>
          <w:p w14:paraId="0F34BB2A" w14:textId="77777777" w:rsidR="00B93A94" w:rsidRPr="0047058F" w:rsidRDefault="00B93A94" w:rsidP="00D009A2">
            <w:pPr>
              <w:pStyle w:val="TableText"/>
              <w:rPr>
                <w:rFonts w:cs="Calibri"/>
                <w:szCs w:val="14"/>
              </w:rPr>
            </w:pPr>
            <w:r w:rsidRPr="0047058F">
              <w:rPr>
                <w:rFonts w:cs="Calibri"/>
                <w:szCs w:val="14"/>
              </w:rPr>
              <w:t>Any suicidality</w:t>
            </w:r>
          </w:p>
        </w:tc>
        <w:tc>
          <w:tcPr>
            <w:tcW w:w="899" w:type="dxa"/>
          </w:tcPr>
          <w:p w14:paraId="74FCF1DA" w14:textId="77777777" w:rsidR="00B93A94" w:rsidRPr="0047058F" w:rsidRDefault="00B93A94" w:rsidP="00D009A2">
            <w:pPr>
              <w:pStyle w:val="TableText"/>
              <w:jc w:val="right"/>
            </w:pPr>
            <w:r w:rsidRPr="0047058F">
              <w:rPr>
                <w:rFonts w:eastAsia="Times New Roman" w:cs="Arial"/>
              </w:rPr>
              <w:t>687</w:t>
            </w:r>
          </w:p>
        </w:tc>
        <w:tc>
          <w:tcPr>
            <w:tcW w:w="900" w:type="dxa"/>
          </w:tcPr>
          <w:p w14:paraId="26D72FDC" w14:textId="77777777" w:rsidR="00B93A94" w:rsidRPr="0047058F" w:rsidRDefault="00B93A94" w:rsidP="00D009A2">
            <w:pPr>
              <w:pStyle w:val="TableText"/>
              <w:jc w:val="right"/>
              <w:rPr>
                <w:rFonts w:eastAsia="Times New Roman" w:cs="Arial"/>
              </w:rPr>
            </w:pPr>
            <w:r w:rsidRPr="0047058F">
              <w:rPr>
                <w:rFonts w:eastAsia="Times New Roman" w:cs="Arial"/>
              </w:rPr>
              <w:t>8.8</w:t>
            </w:r>
          </w:p>
        </w:tc>
        <w:tc>
          <w:tcPr>
            <w:tcW w:w="889" w:type="dxa"/>
          </w:tcPr>
          <w:p w14:paraId="2853C18C" w14:textId="77777777" w:rsidR="00B93A94" w:rsidRPr="0047058F" w:rsidRDefault="00B93A94" w:rsidP="00D009A2">
            <w:pPr>
              <w:pStyle w:val="TableText"/>
              <w:jc w:val="right"/>
            </w:pPr>
            <w:r w:rsidRPr="0047058F">
              <w:rPr>
                <w:rFonts w:eastAsia="Times New Roman" w:cs="Arial"/>
              </w:rPr>
              <w:t>308</w:t>
            </w:r>
          </w:p>
        </w:tc>
        <w:tc>
          <w:tcPr>
            <w:tcW w:w="890" w:type="dxa"/>
          </w:tcPr>
          <w:p w14:paraId="3034DB4C" w14:textId="77777777" w:rsidR="00B93A94" w:rsidRPr="0047058F" w:rsidRDefault="00B93A94" w:rsidP="00D009A2">
            <w:pPr>
              <w:pStyle w:val="TableText"/>
              <w:jc w:val="right"/>
            </w:pPr>
            <w:r w:rsidRPr="0047058F">
              <w:rPr>
                <w:rFonts w:eastAsia="Times New Roman" w:cs="Arial"/>
              </w:rPr>
              <w:t>44.8</w:t>
            </w:r>
          </w:p>
        </w:tc>
        <w:tc>
          <w:tcPr>
            <w:tcW w:w="889" w:type="dxa"/>
          </w:tcPr>
          <w:p w14:paraId="76CDB85D" w14:textId="77777777" w:rsidR="00B93A94" w:rsidRPr="0047058F" w:rsidRDefault="00B93A94" w:rsidP="00D009A2">
            <w:pPr>
              <w:pStyle w:val="TableText"/>
              <w:jc w:val="right"/>
            </w:pPr>
            <w:r w:rsidRPr="0047058F">
              <w:rPr>
                <w:rFonts w:eastAsia="Times New Roman" w:cs="Arial"/>
              </w:rPr>
              <w:t>379</w:t>
            </w:r>
          </w:p>
        </w:tc>
        <w:tc>
          <w:tcPr>
            <w:tcW w:w="890" w:type="dxa"/>
          </w:tcPr>
          <w:p w14:paraId="4D26CC1C" w14:textId="77777777" w:rsidR="00B93A94" w:rsidRPr="0047058F" w:rsidRDefault="00B93A94" w:rsidP="00D009A2">
            <w:pPr>
              <w:pStyle w:val="TableText"/>
              <w:jc w:val="right"/>
            </w:pPr>
            <w:r w:rsidRPr="0047058F">
              <w:rPr>
                <w:rFonts w:eastAsia="Times New Roman" w:cs="Arial"/>
              </w:rPr>
              <w:t>55.2</w:t>
            </w:r>
          </w:p>
        </w:tc>
      </w:tr>
      <w:tr w:rsidR="00B93A94" w:rsidRPr="0047058F" w14:paraId="305DECF5"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8" w:type="dxa"/>
          </w:tcPr>
          <w:p w14:paraId="62D6DB3F" w14:textId="77777777" w:rsidR="00B93A94" w:rsidRPr="0047058F" w:rsidRDefault="00B93A94" w:rsidP="00D009A2">
            <w:pPr>
              <w:pStyle w:val="TableText"/>
              <w:rPr>
                <w:rFonts w:cs="Arial"/>
                <w:b/>
              </w:rPr>
            </w:pPr>
            <w:r w:rsidRPr="0047058F">
              <w:rPr>
                <w:rFonts w:cs="Arial"/>
                <w:b/>
              </w:rPr>
              <w:t>Total</w:t>
            </w:r>
          </w:p>
        </w:tc>
        <w:tc>
          <w:tcPr>
            <w:tcW w:w="899" w:type="dxa"/>
          </w:tcPr>
          <w:p w14:paraId="67A5DA79" w14:textId="77777777" w:rsidR="00B93A94" w:rsidRPr="0047058F" w:rsidRDefault="00B93A94" w:rsidP="00D009A2">
            <w:pPr>
              <w:pStyle w:val="TableText"/>
              <w:jc w:val="right"/>
              <w:rPr>
                <w:rFonts w:cs="Arial"/>
                <w:b/>
              </w:rPr>
            </w:pPr>
            <w:r w:rsidRPr="0047058F">
              <w:rPr>
                <w:rFonts w:cs="Arial"/>
                <w:b/>
              </w:rPr>
              <w:t>7819</w:t>
            </w:r>
          </w:p>
        </w:tc>
        <w:tc>
          <w:tcPr>
            <w:tcW w:w="900" w:type="dxa"/>
          </w:tcPr>
          <w:p w14:paraId="60BB44F2" w14:textId="77777777" w:rsidR="00B93A94" w:rsidRPr="0047058F" w:rsidRDefault="00B93A94" w:rsidP="00D009A2">
            <w:pPr>
              <w:pStyle w:val="TableText"/>
              <w:jc w:val="right"/>
              <w:rPr>
                <w:rFonts w:eastAsia="Times New Roman" w:cs="Arial"/>
                <w:b/>
              </w:rPr>
            </w:pPr>
            <w:r w:rsidRPr="0047058F">
              <w:rPr>
                <w:rFonts w:eastAsia="Times New Roman" w:cs="Arial"/>
                <w:b/>
              </w:rPr>
              <w:t>100.0</w:t>
            </w:r>
          </w:p>
        </w:tc>
        <w:tc>
          <w:tcPr>
            <w:tcW w:w="889" w:type="dxa"/>
          </w:tcPr>
          <w:p w14:paraId="0B50F4D3" w14:textId="77777777" w:rsidR="00B93A94" w:rsidRPr="0047058F" w:rsidRDefault="00B93A94" w:rsidP="00D009A2">
            <w:pPr>
              <w:pStyle w:val="TableText"/>
              <w:jc w:val="right"/>
              <w:rPr>
                <w:rFonts w:cs="Arial"/>
                <w:b/>
              </w:rPr>
            </w:pPr>
            <w:r w:rsidRPr="0047058F">
              <w:rPr>
                <w:rFonts w:eastAsia="Times New Roman" w:cs="Arial"/>
                <w:b/>
              </w:rPr>
              <w:t>6511</w:t>
            </w:r>
          </w:p>
        </w:tc>
        <w:tc>
          <w:tcPr>
            <w:tcW w:w="890" w:type="dxa"/>
          </w:tcPr>
          <w:p w14:paraId="3BCCEE43" w14:textId="77777777" w:rsidR="00B93A94" w:rsidRPr="0047058F" w:rsidRDefault="00B93A94" w:rsidP="00D009A2">
            <w:pPr>
              <w:pStyle w:val="TableText"/>
              <w:jc w:val="right"/>
              <w:rPr>
                <w:rFonts w:cs="Arial"/>
                <w:b/>
              </w:rPr>
            </w:pPr>
            <w:r w:rsidRPr="0047058F">
              <w:rPr>
                <w:rFonts w:eastAsia="Times New Roman" w:cs="Arial"/>
                <w:b/>
              </w:rPr>
              <w:t>83.3</w:t>
            </w:r>
          </w:p>
        </w:tc>
        <w:tc>
          <w:tcPr>
            <w:tcW w:w="889" w:type="dxa"/>
          </w:tcPr>
          <w:p w14:paraId="3FDD4F3D" w14:textId="77777777" w:rsidR="00B93A94" w:rsidRPr="0047058F" w:rsidRDefault="00B93A94" w:rsidP="00D009A2">
            <w:pPr>
              <w:pStyle w:val="TableText"/>
              <w:jc w:val="right"/>
              <w:rPr>
                <w:rFonts w:cs="Arial"/>
                <w:b/>
              </w:rPr>
            </w:pPr>
            <w:r w:rsidRPr="0047058F">
              <w:rPr>
                <w:rFonts w:eastAsia="Times New Roman" w:cs="Arial"/>
                <w:b/>
              </w:rPr>
              <w:t>1308</w:t>
            </w:r>
          </w:p>
        </w:tc>
        <w:tc>
          <w:tcPr>
            <w:tcW w:w="890" w:type="dxa"/>
          </w:tcPr>
          <w:p w14:paraId="2835BB44" w14:textId="77777777" w:rsidR="00B93A94" w:rsidRPr="0047058F" w:rsidRDefault="00B93A94" w:rsidP="00D009A2">
            <w:pPr>
              <w:pStyle w:val="TableText"/>
              <w:jc w:val="right"/>
              <w:rPr>
                <w:rFonts w:cs="Arial"/>
                <w:b/>
              </w:rPr>
            </w:pPr>
            <w:r w:rsidRPr="0047058F">
              <w:rPr>
                <w:rFonts w:eastAsia="Times New Roman" w:cs="Arial"/>
                <w:b/>
              </w:rPr>
              <w:t>16.7</w:t>
            </w:r>
          </w:p>
        </w:tc>
      </w:tr>
    </w:tbl>
    <w:p w14:paraId="1E5830E6" w14:textId="77777777" w:rsidR="00B93A94" w:rsidRPr="0047058F" w:rsidRDefault="00B93A94" w:rsidP="00B93A94">
      <w:pPr>
        <w:pStyle w:val="TableNotes"/>
      </w:pPr>
      <w:r w:rsidRPr="0047058F">
        <w:t>Note: Unweighted data.</w:t>
      </w:r>
    </w:p>
    <w:p w14:paraId="38589C61" w14:textId="77777777" w:rsidR="00B93A94" w:rsidRPr="0047058F" w:rsidRDefault="00B93A94" w:rsidP="00B93A94">
      <w:pPr>
        <w:pStyle w:val="FigureName"/>
      </w:pPr>
      <w:bookmarkStart w:id="362" w:name="_Ref387056645"/>
      <w:bookmarkStart w:id="363" w:name="_Toc529117582"/>
      <w:bookmarkStart w:id="364" w:name="_Toc532473655"/>
      <w:r w:rsidRPr="0047058F">
        <w:t>Figure 5.18</w:t>
      </w:r>
      <w:bookmarkEnd w:id="362"/>
      <w:r w:rsidRPr="0047058F">
        <w:tab/>
        <w:t xml:space="preserve">Proportion of </w:t>
      </w:r>
      <w:r w:rsidRPr="0047058F">
        <w:rPr>
          <w:u w:val="single"/>
        </w:rPr>
        <w:t>entire longitudinal cohort</w:t>
      </w:r>
      <w:r w:rsidRPr="0047058F">
        <w:t xml:space="preserve"> with any suicidality in 2010 and 2015 based on self-reported measures</w:t>
      </w:r>
      <w:bookmarkEnd w:id="363"/>
      <w:bookmarkEnd w:id="364"/>
    </w:p>
    <w:p w14:paraId="3A741140" w14:textId="77777777" w:rsidR="00EB2A31" w:rsidRPr="0047058F" w:rsidRDefault="00B93A94" w:rsidP="00EB2A31">
      <w:pPr>
        <w:spacing w:after="360"/>
      </w:pPr>
      <w:r w:rsidRPr="0047058F">
        <w:rPr>
          <w:noProof/>
          <w:lang w:eastAsia="en-AU"/>
        </w:rPr>
        <w:drawing>
          <wp:inline distT="0" distB="0" distL="0" distR="0" wp14:anchorId="2E0E8C15" wp14:editId="4E50D9B0">
            <wp:extent cx="4572000" cy="2743200"/>
            <wp:effectExtent l="0" t="0" r="0" b="0"/>
            <wp:docPr id="33" name="Chart 33" descr="Figure 5.18 Proportion of entire longitudinal cohort with any suicidality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FC2669" w14:textId="77777777" w:rsidR="00B93A94" w:rsidRPr="0047058F" w:rsidRDefault="00B93A94" w:rsidP="00B93A94">
      <w:pPr>
        <w:pStyle w:val="TableName"/>
      </w:pPr>
      <w:bookmarkStart w:id="365" w:name="_Ref384558331"/>
      <w:bookmarkStart w:id="366" w:name="_Toc529117531"/>
      <w:bookmarkStart w:id="367" w:name="_Toc532473601"/>
      <w:r w:rsidRPr="0047058F">
        <w:t>Table 5.19</w:t>
      </w:r>
      <w:bookmarkEnd w:id="365"/>
      <w:r w:rsidRPr="0047058F">
        <w:tab/>
        <w:t xml:space="preserve">Proportion of </w:t>
      </w:r>
      <w:r w:rsidRPr="0047058F">
        <w:rPr>
          <w:u w:val="single"/>
        </w:rPr>
        <w:t>Transitioned ADF in the longitudinal cohort</w:t>
      </w:r>
      <w:r w:rsidRPr="0047058F">
        <w:t xml:space="preserve"> with any suicidality in 2010 and 2015 based on self-reported measures</w:t>
      </w:r>
      <w:bookmarkEnd w:id="366"/>
      <w:bookmarkEnd w:id="367"/>
    </w:p>
    <w:tbl>
      <w:tblPr>
        <w:tblStyle w:val="TWRPTable"/>
        <w:tblW w:w="5000" w:type="pct"/>
        <w:tblLayout w:type="fixed"/>
        <w:tblLook w:val="04A0" w:firstRow="1" w:lastRow="0" w:firstColumn="1" w:lastColumn="0" w:noHBand="0" w:noVBand="1"/>
        <w:tblDescription w:val="Table 5.19 Proportion of Transitioned ADF in the longitudinal cohort with any suicidality in 2010 and 2015 based on self-reported measures"/>
      </w:tblPr>
      <w:tblGrid>
        <w:gridCol w:w="1959"/>
        <w:gridCol w:w="899"/>
        <w:gridCol w:w="900"/>
        <w:gridCol w:w="889"/>
        <w:gridCol w:w="889"/>
        <w:gridCol w:w="889"/>
        <w:gridCol w:w="890"/>
      </w:tblGrid>
      <w:tr w:rsidR="00B93A94" w:rsidRPr="0047058F" w14:paraId="3D0E2ECF"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8" w:type="dxa"/>
            <w:gridSpan w:val="3"/>
            <w:vMerge w:val="restart"/>
          </w:tcPr>
          <w:p w14:paraId="635A3CDF" w14:textId="77777777" w:rsidR="00B93A94" w:rsidRPr="0047058F" w:rsidRDefault="00B93A94" w:rsidP="00D009A2">
            <w:pPr>
              <w:pStyle w:val="TableText"/>
            </w:pPr>
            <w:r w:rsidRPr="0047058F">
              <w:t>2010 ADF Mental Health Prevalence and Wellbeing Study</w:t>
            </w:r>
          </w:p>
        </w:tc>
        <w:tc>
          <w:tcPr>
            <w:tcW w:w="3557" w:type="dxa"/>
            <w:gridSpan w:val="4"/>
          </w:tcPr>
          <w:p w14:paraId="17DE0FBB" w14:textId="77777777" w:rsidR="00B93A94" w:rsidRPr="0047058F" w:rsidRDefault="00B93A94" w:rsidP="00D009A2">
            <w:pPr>
              <w:pStyle w:val="TableText"/>
              <w:jc w:val="center"/>
            </w:pPr>
            <w:r w:rsidRPr="0047058F">
              <w:t>2015 Transition and Wellbeing Research Programme</w:t>
            </w:r>
          </w:p>
        </w:tc>
      </w:tr>
      <w:tr w:rsidR="00B93A94" w:rsidRPr="0047058F" w14:paraId="1A7FBB3B"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8" w:type="dxa"/>
            <w:gridSpan w:val="3"/>
            <w:vMerge/>
          </w:tcPr>
          <w:p w14:paraId="642685AD" w14:textId="77777777" w:rsidR="00B93A94" w:rsidRPr="0047058F" w:rsidRDefault="00B93A94" w:rsidP="00D009A2">
            <w:pPr>
              <w:pStyle w:val="TableText"/>
            </w:pPr>
          </w:p>
        </w:tc>
        <w:tc>
          <w:tcPr>
            <w:tcW w:w="1778" w:type="dxa"/>
            <w:gridSpan w:val="2"/>
            <w:hideMark/>
          </w:tcPr>
          <w:p w14:paraId="34E32CD1" w14:textId="77777777" w:rsidR="00B93A94" w:rsidRPr="0047058F" w:rsidRDefault="00B93A94" w:rsidP="00D009A2">
            <w:pPr>
              <w:pStyle w:val="TableText"/>
              <w:jc w:val="center"/>
            </w:pPr>
            <w:r w:rsidRPr="0047058F">
              <w:t>No suicidality</w:t>
            </w:r>
          </w:p>
        </w:tc>
        <w:tc>
          <w:tcPr>
            <w:tcW w:w="1779" w:type="dxa"/>
            <w:gridSpan w:val="2"/>
          </w:tcPr>
          <w:p w14:paraId="0A3B2825" w14:textId="77777777" w:rsidR="00B93A94" w:rsidRPr="0047058F" w:rsidRDefault="00B93A94" w:rsidP="00D009A2">
            <w:pPr>
              <w:pStyle w:val="TableText"/>
              <w:jc w:val="center"/>
            </w:pPr>
            <w:r w:rsidRPr="0047058F">
              <w:t>Any suicidality</w:t>
            </w:r>
          </w:p>
        </w:tc>
      </w:tr>
      <w:tr w:rsidR="00B93A94" w:rsidRPr="0047058F" w14:paraId="08E3D169"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1959" w:type="dxa"/>
          </w:tcPr>
          <w:p w14:paraId="313E8B38" w14:textId="77777777" w:rsidR="00B93A94" w:rsidRPr="0047058F" w:rsidRDefault="00B93A94" w:rsidP="00D009A2">
            <w:pPr>
              <w:pStyle w:val="TableText"/>
            </w:pPr>
            <w:r w:rsidRPr="0047058F">
              <w:rPr>
                <w:rFonts w:cs="Arial"/>
              </w:rPr>
              <w:t>Suicide</w:t>
            </w:r>
          </w:p>
        </w:tc>
        <w:tc>
          <w:tcPr>
            <w:tcW w:w="899" w:type="dxa"/>
          </w:tcPr>
          <w:p w14:paraId="476FB371" w14:textId="77777777" w:rsidR="00B93A94" w:rsidRPr="0047058F" w:rsidRDefault="00B93A94" w:rsidP="00D009A2">
            <w:pPr>
              <w:pStyle w:val="TableText"/>
              <w:jc w:val="right"/>
              <w:rPr>
                <w:rFonts w:cs="Arial"/>
              </w:rPr>
            </w:pPr>
            <w:r w:rsidRPr="0047058F">
              <w:rPr>
                <w:rFonts w:cs="Arial"/>
              </w:rPr>
              <w:t>n</w:t>
            </w:r>
          </w:p>
        </w:tc>
        <w:tc>
          <w:tcPr>
            <w:tcW w:w="900" w:type="dxa"/>
          </w:tcPr>
          <w:p w14:paraId="2343D68F" w14:textId="77777777" w:rsidR="00B93A94" w:rsidRPr="0047058F" w:rsidRDefault="00B93A94" w:rsidP="00D009A2">
            <w:pPr>
              <w:pStyle w:val="TableText"/>
              <w:jc w:val="right"/>
              <w:rPr>
                <w:rFonts w:cs="Arial"/>
              </w:rPr>
            </w:pPr>
            <w:r w:rsidRPr="0047058F">
              <w:rPr>
                <w:rFonts w:cs="Arial"/>
              </w:rPr>
              <w:t>%</w:t>
            </w:r>
          </w:p>
        </w:tc>
        <w:tc>
          <w:tcPr>
            <w:tcW w:w="889" w:type="dxa"/>
          </w:tcPr>
          <w:p w14:paraId="7C8B03FD" w14:textId="77777777" w:rsidR="00B93A94" w:rsidRPr="0047058F" w:rsidRDefault="00B93A94" w:rsidP="00D009A2">
            <w:pPr>
              <w:pStyle w:val="TableText"/>
              <w:jc w:val="right"/>
              <w:rPr>
                <w:rFonts w:cs="Arial"/>
              </w:rPr>
            </w:pPr>
            <w:r w:rsidRPr="0047058F">
              <w:rPr>
                <w:rFonts w:cs="Arial"/>
              </w:rPr>
              <w:t>n</w:t>
            </w:r>
          </w:p>
        </w:tc>
        <w:tc>
          <w:tcPr>
            <w:tcW w:w="889" w:type="dxa"/>
          </w:tcPr>
          <w:p w14:paraId="7C24EB28" w14:textId="77777777" w:rsidR="00B93A94" w:rsidRPr="0047058F" w:rsidRDefault="00B93A94" w:rsidP="00D009A2">
            <w:pPr>
              <w:pStyle w:val="TableText"/>
              <w:jc w:val="right"/>
              <w:rPr>
                <w:rFonts w:cs="Arial"/>
              </w:rPr>
            </w:pPr>
            <w:r w:rsidRPr="0047058F">
              <w:rPr>
                <w:rFonts w:cs="Arial"/>
              </w:rPr>
              <w:t>%</w:t>
            </w:r>
          </w:p>
        </w:tc>
        <w:tc>
          <w:tcPr>
            <w:tcW w:w="889" w:type="dxa"/>
          </w:tcPr>
          <w:p w14:paraId="2F5E4D40" w14:textId="77777777" w:rsidR="00B93A94" w:rsidRPr="0047058F" w:rsidRDefault="00B93A94" w:rsidP="00D009A2">
            <w:pPr>
              <w:pStyle w:val="TableText"/>
              <w:jc w:val="right"/>
              <w:rPr>
                <w:rFonts w:cs="Arial"/>
              </w:rPr>
            </w:pPr>
            <w:r w:rsidRPr="0047058F">
              <w:rPr>
                <w:rFonts w:cs="Arial"/>
              </w:rPr>
              <w:t>n</w:t>
            </w:r>
          </w:p>
        </w:tc>
        <w:tc>
          <w:tcPr>
            <w:tcW w:w="890" w:type="dxa"/>
          </w:tcPr>
          <w:p w14:paraId="4FC6637F" w14:textId="77777777" w:rsidR="00B93A94" w:rsidRPr="0047058F" w:rsidRDefault="00B93A94" w:rsidP="00D009A2">
            <w:pPr>
              <w:pStyle w:val="TableText"/>
              <w:jc w:val="right"/>
              <w:rPr>
                <w:rFonts w:cs="Arial"/>
              </w:rPr>
            </w:pPr>
            <w:r w:rsidRPr="0047058F">
              <w:rPr>
                <w:rFonts w:cs="Arial"/>
              </w:rPr>
              <w:t>%</w:t>
            </w:r>
          </w:p>
        </w:tc>
      </w:tr>
      <w:tr w:rsidR="00B93A94" w:rsidRPr="0047058F" w14:paraId="4AF2E9F6"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9" w:type="dxa"/>
          </w:tcPr>
          <w:p w14:paraId="26E56D8E" w14:textId="77777777" w:rsidR="00B93A94" w:rsidRPr="0047058F" w:rsidRDefault="00B93A94" w:rsidP="00D009A2">
            <w:pPr>
              <w:pStyle w:val="TableText"/>
              <w:rPr>
                <w:rFonts w:cs="Calibri"/>
                <w:szCs w:val="14"/>
              </w:rPr>
            </w:pPr>
            <w:r w:rsidRPr="0047058F">
              <w:rPr>
                <w:rFonts w:cs="Calibri"/>
                <w:szCs w:val="14"/>
              </w:rPr>
              <w:t>No suicidality</w:t>
            </w:r>
          </w:p>
        </w:tc>
        <w:tc>
          <w:tcPr>
            <w:tcW w:w="899" w:type="dxa"/>
          </w:tcPr>
          <w:p w14:paraId="4AA8B435" w14:textId="77777777" w:rsidR="00B93A94" w:rsidRPr="0047058F" w:rsidRDefault="00B93A94" w:rsidP="00D009A2">
            <w:pPr>
              <w:pStyle w:val="TableText"/>
              <w:jc w:val="right"/>
            </w:pPr>
            <w:r w:rsidRPr="0047058F">
              <w:rPr>
                <w:rFonts w:eastAsia="Times New Roman" w:cs="Arial"/>
              </w:rPr>
              <w:t>1875</w:t>
            </w:r>
          </w:p>
        </w:tc>
        <w:tc>
          <w:tcPr>
            <w:tcW w:w="900" w:type="dxa"/>
          </w:tcPr>
          <w:p w14:paraId="45162401" w14:textId="77777777" w:rsidR="00B93A94" w:rsidRPr="0047058F" w:rsidRDefault="00B93A94" w:rsidP="00D009A2">
            <w:pPr>
              <w:pStyle w:val="TableText"/>
              <w:jc w:val="right"/>
              <w:rPr>
                <w:rFonts w:eastAsia="Times New Roman" w:cs="Arial"/>
              </w:rPr>
            </w:pPr>
            <w:r w:rsidRPr="0047058F">
              <w:rPr>
                <w:rFonts w:eastAsia="Times New Roman" w:cs="Arial"/>
              </w:rPr>
              <w:t>87.7</w:t>
            </w:r>
          </w:p>
        </w:tc>
        <w:tc>
          <w:tcPr>
            <w:tcW w:w="889" w:type="dxa"/>
          </w:tcPr>
          <w:p w14:paraId="7D701087" w14:textId="77777777" w:rsidR="00B93A94" w:rsidRPr="0047058F" w:rsidRDefault="00B93A94" w:rsidP="00D009A2">
            <w:pPr>
              <w:pStyle w:val="TableText"/>
              <w:jc w:val="right"/>
            </w:pPr>
            <w:r w:rsidRPr="0047058F">
              <w:rPr>
                <w:rFonts w:eastAsia="Times New Roman" w:cs="Arial"/>
              </w:rPr>
              <w:t>1468</w:t>
            </w:r>
          </w:p>
        </w:tc>
        <w:tc>
          <w:tcPr>
            <w:tcW w:w="889" w:type="dxa"/>
          </w:tcPr>
          <w:p w14:paraId="4F3706E6" w14:textId="77777777" w:rsidR="00B93A94" w:rsidRPr="0047058F" w:rsidRDefault="00B93A94" w:rsidP="00D009A2">
            <w:pPr>
              <w:pStyle w:val="TableText"/>
              <w:jc w:val="right"/>
            </w:pPr>
            <w:r w:rsidRPr="0047058F">
              <w:rPr>
                <w:rFonts w:eastAsia="Times New Roman" w:cs="Arial"/>
              </w:rPr>
              <w:t>78.3</w:t>
            </w:r>
          </w:p>
        </w:tc>
        <w:tc>
          <w:tcPr>
            <w:tcW w:w="889" w:type="dxa"/>
          </w:tcPr>
          <w:p w14:paraId="0D108923" w14:textId="77777777" w:rsidR="00B93A94" w:rsidRPr="0047058F" w:rsidRDefault="00B93A94" w:rsidP="00D009A2">
            <w:pPr>
              <w:pStyle w:val="TableText"/>
              <w:jc w:val="right"/>
            </w:pPr>
            <w:r w:rsidRPr="0047058F">
              <w:rPr>
                <w:rFonts w:eastAsia="Times New Roman" w:cs="Arial"/>
              </w:rPr>
              <w:t>407</w:t>
            </w:r>
          </w:p>
        </w:tc>
        <w:tc>
          <w:tcPr>
            <w:tcW w:w="890" w:type="dxa"/>
          </w:tcPr>
          <w:p w14:paraId="4E69C68D" w14:textId="77777777" w:rsidR="00B93A94" w:rsidRPr="0047058F" w:rsidRDefault="00B93A94" w:rsidP="00D009A2">
            <w:pPr>
              <w:pStyle w:val="TableText"/>
              <w:jc w:val="right"/>
            </w:pPr>
            <w:r w:rsidRPr="0047058F">
              <w:rPr>
                <w:rFonts w:eastAsia="Times New Roman" w:cs="Arial"/>
              </w:rPr>
              <w:t>21.7</w:t>
            </w:r>
          </w:p>
        </w:tc>
      </w:tr>
      <w:tr w:rsidR="00B93A94" w:rsidRPr="0047058F" w14:paraId="205FA89A" w14:textId="77777777" w:rsidTr="00D009A2">
        <w:trPr>
          <w:cantSplit/>
        </w:trPr>
        <w:tc>
          <w:tcPr>
            <w:tcW w:w="1959" w:type="dxa"/>
          </w:tcPr>
          <w:p w14:paraId="64065AEE" w14:textId="77777777" w:rsidR="00B93A94" w:rsidRPr="0047058F" w:rsidRDefault="00B93A94" w:rsidP="00D009A2">
            <w:pPr>
              <w:pStyle w:val="TableText"/>
              <w:rPr>
                <w:rFonts w:cs="Calibri"/>
                <w:szCs w:val="14"/>
              </w:rPr>
            </w:pPr>
            <w:r w:rsidRPr="0047058F">
              <w:rPr>
                <w:rFonts w:cs="Calibri"/>
                <w:szCs w:val="14"/>
              </w:rPr>
              <w:t>Any suicidality</w:t>
            </w:r>
          </w:p>
        </w:tc>
        <w:tc>
          <w:tcPr>
            <w:tcW w:w="899" w:type="dxa"/>
          </w:tcPr>
          <w:p w14:paraId="62DB511F" w14:textId="77777777" w:rsidR="00B93A94" w:rsidRPr="0047058F" w:rsidRDefault="00B93A94" w:rsidP="00D009A2">
            <w:pPr>
              <w:pStyle w:val="TableText"/>
              <w:jc w:val="right"/>
            </w:pPr>
            <w:r w:rsidRPr="0047058F">
              <w:rPr>
                <w:rFonts w:eastAsia="Times New Roman" w:cs="Arial"/>
              </w:rPr>
              <w:t>263</w:t>
            </w:r>
          </w:p>
        </w:tc>
        <w:tc>
          <w:tcPr>
            <w:tcW w:w="900" w:type="dxa"/>
          </w:tcPr>
          <w:p w14:paraId="12C40B59" w14:textId="77777777" w:rsidR="00B93A94" w:rsidRPr="0047058F" w:rsidRDefault="00B93A94" w:rsidP="00D009A2">
            <w:pPr>
              <w:pStyle w:val="TableText"/>
              <w:jc w:val="right"/>
              <w:rPr>
                <w:rFonts w:eastAsia="Times New Roman" w:cs="Arial"/>
              </w:rPr>
            </w:pPr>
            <w:r w:rsidRPr="0047058F">
              <w:rPr>
                <w:rFonts w:eastAsia="Times New Roman" w:cs="Arial"/>
              </w:rPr>
              <w:t>12.3</w:t>
            </w:r>
          </w:p>
        </w:tc>
        <w:tc>
          <w:tcPr>
            <w:tcW w:w="889" w:type="dxa"/>
          </w:tcPr>
          <w:p w14:paraId="05F41D31" w14:textId="77777777" w:rsidR="00B93A94" w:rsidRPr="0047058F" w:rsidRDefault="00B93A94" w:rsidP="00D009A2">
            <w:pPr>
              <w:pStyle w:val="TableText"/>
              <w:jc w:val="right"/>
            </w:pPr>
            <w:r w:rsidRPr="0047058F">
              <w:rPr>
                <w:rFonts w:eastAsia="Times New Roman" w:cs="Arial"/>
              </w:rPr>
              <w:t>84</w:t>
            </w:r>
          </w:p>
        </w:tc>
        <w:tc>
          <w:tcPr>
            <w:tcW w:w="889" w:type="dxa"/>
          </w:tcPr>
          <w:p w14:paraId="01109BB3" w14:textId="77777777" w:rsidR="00B93A94" w:rsidRPr="0047058F" w:rsidRDefault="00B93A94" w:rsidP="00D009A2">
            <w:pPr>
              <w:pStyle w:val="TableText"/>
              <w:jc w:val="right"/>
            </w:pPr>
            <w:r w:rsidRPr="0047058F">
              <w:rPr>
                <w:rFonts w:eastAsia="Times New Roman" w:cs="Arial"/>
              </w:rPr>
              <w:t>31.9</w:t>
            </w:r>
          </w:p>
        </w:tc>
        <w:tc>
          <w:tcPr>
            <w:tcW w:w="889" w:type="dxa"/>
          </w:tcPr>
          <w:p w14:paraId="7531CCA9" w14:textId="77777777" w:rsidR="00B93A94" w:rsidRPr="0047058F" w:rsidRDefault="00B93A94" w:rsidP="00D009A2">
            <w:pPr>
              <w:pStyle w:val="TableText"/>
              <w:jc w:val="right"/>
            </w:pPr>
            <w:r w:rsidRPr="0047058F">
              <w:rPr>
                <w:rFonts w:eastAsia="Times New Roman" w:cs="Arial"/>
              </w:rPr>
              <w:t>179</w:t>
            </w:r>
          </w:p>
        </w:tc>
        <w:tc>
          <w:tcPr>
            <w:tcW w:w="890" w:type="dxa"/>
          </w:tcPr>
          <w:p w14:paraId="128556CD" w14:textId="77777777" w:rsidR="00B93A94" w:rsidRPr="0047058F" w:rsidRDefault="00B93A94" w:rsidP="00D009A2">
            <w:pPr>
              <w:pStyle w:val="TableText"/>
              <w:jc w:val="right"/>
            </w:pPr>
            <w:r w:rsidRPr="0047058F">
              <w:rPr>
                <w:rFonts w:eastAsia="Times New Roman" w:cs="Arial"/>
              </w:rPr>
              <w:t>68.1</w:t>
            </w:r>
          </w:p>
        </w:tc>
      </w:tr>
      <w:tr w:rsidR="00B93A94" w:rsidRPr="0047058F" w14:paraId="50D8D617"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9" w:type="dxa"/>
          </w:tcPr>
          <w:p w14:paraId="10D3E348" w14:textId="77777777" w:rsidR="00B93A94" w:rsidRPr="0047058F" w:rsidRDefault="00B93A94" w:rsidP="00D009A2">
            <w:pPr>
              <w:pStyle w:val="TableText"/>
              <w:rPr>
                <w:rFonts w:cs="Arial"/>
                <w:b/>
              </w:rPr>
            </w:pPr>
            <w:r w:rsidRPr="0047058F">
              <w:rPr>
                <w:rFonts w:cs="Arial"/>
                <w:b/>
              </w:rPr>
              <w:t>Total</w:t>
            </w:r>
          </w:p>
        </w:tc>
        <w:tc>
          <w:tcPr>
            <w:tcW w:w="899" w:type="dxa"/>
          </w:tcPr>
          <w:p w14:paraId="2BC2F1A3" w14:textId="77777777" w:rsidR="00B93A94" w:rsidRPr="0047058F" w:rsidRDefault="00B93A94" w:rsidP="00D009A2">
            <w:pPr>
              <w:pStyle w:val="TableText"/>
              <w:jc w:val="right"/>
              <w:rPr>
                <w:rFonts w:cs="Arial"/>
                <w:b/>
              </w:rPr>
            </w:pPr>
            <w:r w:rsidRPr="0047058F">
              <w:rPr>
                <w:rFonts w:cs="Arial"/>
                <w:b/>
              </w:rPr>
              <w:t>2138</w:t>
            </w:r>
          </w:p>
        </w:tc>
        <w:tc>
          <w:tcPr>
            <w:tcW w:w="900" w:type="dxa"/>
          </w:tcPr>
          <w:p w14:paraId="70BCC1B2" w14:textId="77777777" w:rsidR="00B93A94" w:rsidRPr="0047058F" w:rsidRDefault="00B93A94" w:rsidP="00D009A2">
            <w:pPr>
              <w:pStyle w:val="TableText"/>
              <w:jc w:val="right"/>
              <w:rPr>
                <w:rFonts w:eastAsia="Times New Roman" w:cs="Arial"/>
                <w:b/>
              </w:rPr>
            </w:pPr>
            <w:r w:rsidRPr="0047058F">
              <w:rPr>
                <w:rFonts w:eastAsia="Times New Roman" w:cs="Arial"/>
                <w:b/>
              </w:rPr>
              <w:t>100.0</w:t>
            </w:r>
          </w:p>
        </w:tc>
        <w:tc>
          <w:tcPr>
            <w:tcW w:w="889" w:type="dxa"/>
          </w:tcPr>
          <w:p w14:paraId="145FAE72" w14:textId="77777777" w:rsidR="00B93A94" w:rsidRPr="0047058F" w:rsidRDefault="00B93A94" w:rsidP="00D009A2">
            <w:pPr>
              <w:pStyle w:val="TableText"/>
              <w:jc w:val="right"/>
              <w:rPr>
                <w:rFonts w:cs="Arial"/>
                <w:b/>
              </w:rPr>
            </w:pPr>
            <w:r w:rsidRPr="0047058F">
              <w:rPr>
                <w:rFonts w:eastAsia="Times New Roman" w:cs="Arial"/>
                <w:b/>
              </w:rPr>
              <w:t>1552</w:t>
            </w:r>
          </w:p>
        </w:tc>
        <w:tc>
          <w:tcPr>
            <w:tcW w:w="889" w:type="dxa"/>
          </w:tcPr>
          <w:p w14:paraId="35B40ABB" w14:textId="77777777" w:rsidR="00B93A94" w:rsidRPr="0047058F" w:rsidRDefault="00B93A94" w:rsidP="00D009A2">
            <w:pPr>
              <w:pStyle w:val="TableText"/>
              <w:jc w:val="right"/>
              <w:rPr>
                <w:rFonts w:cs="Arial"/>
                <w:b/>
              </w:rPr>
            </w:pPr>
            <w:r w:rsidRPr="0047058F">
              <w:rPr>
                <w:rFonts w:eastAsia="Times New Roman" w:cs="Arial"/>
                <w:b/>
              </w:rPr>
              <w:t>72.6</w:t>
            </w:r>
          </w:p>
        </w:tc>
        <w:tc>
          <w:tcPr>
            <w:tcW w:w="889" w:type="dxa"/>
          </w:tcPr>
          <w:p w14:paraId="570C6E11" w14:textId="77777777" w:rsidR="00B93A94" w:rsidRPr="0047058F" w:rsidRDefault="00B93A94" w:rsidP="00D009A2">
            <w:pPr>
              <w:pStyle w:val="TableText"/>
              <w:jc w:val="right"/>
              <w:rPr>
                <w:rFonts w:cs="Arial"/>
                <w:b/>
              </w:rPr>
            </w:pPr>
            <w:r w:rsidRPr="0047058F">
              <w:rPr>
                <w:rFonts w:eastAsia="Times New Roman" w:cs="Arial"/>
                <w:b/>
              </w:rPr>
              <w:t>586</w:t>
            </w:r>
          </w:p>
        </w:tc>
        <w:tc>
          <w:tcPr>
            <w:tcW w:w="890" w:type="dxa"/>
          </w:tcPr>
          <w:p w14:paraId="12E75C9E" w14:textId="77777777" w:rsidR="00B93A94" w:rsidRPr="0047058F" w:rsidRDefault="00B93A94" w:rsidP="00D009A2">
            <w:pPr>
              <w:pStyle w:val="TableText"/>
              <w:jc w:val="right"/>
              <w:rPr>
                <w:rFonts w:cs="Arial"/>
                <w:b/>
              </w:rPr>
            </w:pPr>
            <w:r w:rsidRPr="0047058F">
              <w:rPr>
                <w:rFonts w:eastAsia="Times New Roman" w:cs="Arial"/>
                <w:b/>
              </w:rPr>
              <w:t>27.4</w:t>
            </w:r>
          </w:p>
        </w:tc>
      </w:tr>
    </w:tbl>
    <w:p w14:paraId="299A0F24" w14:textId="77777777" w:rsidR="00B93A94" w:rsidRPr="0047058F" w:rsidRDefault="00B93A94" w:rsidP="00B93A94">
      <w:pPr>
        <w:pStyle w:val="TableNotes"/>
      </w:pPr>
      <w:r w:rsidRPr="0047058F">
        <w:t>Note: Unweighted data.</w:t>
      </w:r>
    </w:p>
    <w:p w14:paraId="5CD17591" w14:textId="43ABAB5F" w:rsidR="00744417" w:rsidRPr="0047058F" w:rsidRDefault="00744417" w:rsidP="00744417">
      <w:pPr>
        <w:pStyle w:val="FigureName"/>
      </w:pPr>
      <w:bookmarkStart w:id="368" w:name="_Ref387056886"/>
      <w:bookmarkStart w:id="369" w:name="_Toc529117583"/>
      <w:bookmarkStart w:id="370" w:name="_Toc532473656"/>
      <w:r w:rsidRPr="0047058F">
        <w:t>Figure 5.19</w:t>
      </w:r>
      <w:bookmarkEnd w:id="368"/>
      <w:r w:rsidRPr="0047058F">
        <w:tab/>
        <w:t xml:space="preserve">Proportion of </w:t>
      </w:r>
      <w:r w:rsidRPr="0047058F">
        <w:rPr>
          <w:u w:val="single"/>
        </w:rPr>
        <w:t>Transitioned ADF in the longitudinal cohort</w:t>
      </w:r>
      <w:r w:rsidRPr="0047058F">
        <w:t xml:space="preserve"> with any suicidality in 2010 and 2015 based on self-reported measures</w:t>
      </w:r>
      <w:bookmarkEnd w:id="369"/>
      <w:bookmarkEnd w:id="370"/>
    </w:p>
    <w:p w14:paraId="6A9822DA" w14:textId="77777777" w:rsidR="00744417" w:rsidRPr="0047058F" w:rsidRDefault="00744417" w:rsidP="00744417">
      <w:pPr>
        <w:spacing w:after="360"/>
      </w:pPr>
      <w:r w:rsidRPr="0047058F">
        <w:rPr>
          <w:noProof/>
          <w:lang w:eastAsia="en-AU"/>
        </w:rPr>
        <w:drawing>
          <wp:inline distT="0" distB="0" distL="0" distR="0" wp14:anchorId="697DE39A" wp14:editId="0CF8BB9D">
            <wp:extent cx="4572000" cy="2743200"/>
            <wp:effectExtent l="0" t="0" r="0" b="0"/>
            <wp:docPr id="474" name="Chart 474" descr="Figure 5.19 Proportion of Transitioned ADF in the longitudinal cohort with any suicidality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43A94E" w14:textId="77777777" w:rsidR="00B93A94" w:rsidRPr="0047058F" w:rsidRDefault="00B93A94" w:rsidP="00B93A94">
      <w:r w:rsidRPr="0047058F">
        <w:t>Among those who remained in the Regular ADF, 7.5% reported suicidality in 2010 and 12.7% in 2015. Among those reporting no suicidality in 2010, 9.9% were new cases in 2015. No suicidality was reported by 52.8% of those who reported it in 2010, and 47.2% reported experiencing suicidality again in 2015.</w:t>
      </w:r>
    </w:p>
    <w:p w14:paraId="3CC2C4EA" w14:textId="77777777" w:rsidR="00B93A94" w:rsidRPr="0047058F" w:rsidRDefault="00B93A94" w:rsidP="00B93A94">
      <w:r w:rsidRPr="0047058F">
        <w:t>When comparing Transitioned ADF and 2015 Regular ADF, more 2015 Regular ADF who reported no suicidality in 2010 also reported no suicidality in 2015 (90.1% vs 78.3%), and more Transitioned ADF who reported suicidality in 2010 also reported it in 2015 (68.1% vs 47.2%).</w:t>
      </w:r>
    </w:p>
    <w:p w14:paraId="17092BF6" w14:textId="77777777" w:rsidR="00B93A94" w:rsidRPr="0047058F" w:rsidRDefault="00B93A94" w:rsidP="00B93A94">
      <w:pPr>
        <w:pStyle w:val="TableName"/>
      </w:pPr>
      <w:bookmarkStart w:id="371" w:name="_Ref384558332"/>
      <w:bookmarkStart w:id="372" w:name="_Toc529117532"/>
      <w:bookmarkStart w:id="373" w:name="_Toc532473602"/>
      <w:r w:rsidRPr="0047058F">
        <w:t>Table 5.20</w:t>
      </w:r>
      <w:bookmarkEnd w:id="371"/>
      <w:r w:rsidRPr="0047058F">
        <w:tab/>
        <w:t xml:space="preserve">Proportion of </w:t>
      </w:r>
      <w:r w:rsidRPr="0047058F">
        <w:rPr>
          <w:u w:val="single"/>
        </w:rPr>
        <w:t>2015 Regular ADF in the longitudinal cohort</w:t>
      </w:r>
      <w:r w:rsidRPr="0047058F">
        <w:t xml:space="preserve"> with any suicidality in 2010 and 2015 based on self-reported measures</w:t>
      </w:r>
      <w:bookmarkEnd w:id="372"/>
      <w:bookmarkEnd w:id="373"/>
    </w:p>
    <w:tbl>
      <w:tblPr>
        <w:tblStyle w:val="TWRPTable"/>
        <w:tblW w:w="5000" w:type="pct"/>
        <w:tblLayout w:type="fixed"/>
        <w:tblLook w:val="04A0" w:firstRow="1" w:lastRow="0" w:firstColumn="1" w:lastColumn="0" w:noHBand="0" w:noVBand="1"/>
        <w:tblDescription w:val="Table 5.20 Proportion of 2015 Regular ADF in the longitudinal cohort with any suicidality in 2010 and 2015 based on self-reported measures"/>
      </w:tblPr>
      <w:tblGrid>
        <w:gridCol w:w="1957"/>
        <w:gridCol w:w="900"/>
        <w:gridCol w:w="900"/>
        <w:gridCol w:w="889"/>
        <w:gridCol w:w="890"/>
        <w:gridCol w:w="889"/>
        <w:gridCol w:w="890"/>
      </w:tblGrid>
      <w:tr w:rsidR="00B93A94" w:rsidRPr="0047058F" w14:paraId="437A3153"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val="restart"/>
          </w:tcPr>
          <w:p w14:paraId="55E845DF" w14:textId="77777777" w:rsidR="00B93A94" w:rsidRPr="0047058F" w:rsidRDefault="00B93A94" w:rsidP="00D009A2">
            <w:pPr>
              <w:pStyle w:val="TableText"/>
            </w:pPr>
            <w:r w:rsidRPr="0047058F">
              <w:t>2010 ADF Mental Health Prevalence and Wellbeing Study</w:t>
            </w:r>
          </w:p>
        </w:tc>
        <w:tc>
          <w:tcPr>
            <w:tcW w:w="3558" w:type="dxa"/>
            <w:gridSpan w:val="4"/>
          </w:tcPr>
          <w:p w14:paraId="4ACD5D1E" w14:textId="77777777" w:rsidR="00B93A94" w:rsidRPr="0047058F" w:rsidRDefault="00B93A94" w:rsidP="00D009A2">
            <w:pPr>
              <w:pStyle w:val="TableText"/>
              <w:jc w:val="center"/>
            </w:pPr>
            <w:r w:rsidRPr="0047058F">
              <w:t>2015 Transition and Wellbeing Research Programme</w:t>
            </w:r>
          </w:p>
        </w:tc>
      </w:tr>
      <w:tr w:rsidR="00B93A94" w:rsidRPr="0047058F" w14:paraId="0B6BE1C1"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tcPr>
          <w:p w14:paraId="41C3066F" w14:textId="77777777" w:rsidR="00B93A94" w:rsidRPr="0047058F" w:rsidRDefault="00B93A94" w:rsidP="00D009A2">
            <w:pPr>
              <w:pStyle w:val="TableText"/>
            </w:pPr>
          </w:p>
        </w:tc>
        <w:tc>
          <w:tcPr>
            <w:tcW w:w="1779" w:type="dxa"/>
            <w:gridSpan w:val="2"/>
            <w:hideMark/>
          </w:tcPr>
          <w:p w14:paraId="71DA9C86" w14:textId="77777777" w:rsidR="00B93A94" w:rsidRPr="0047058F" w:rsidRDefault="00B93A94" w:rsidP="00D009A2">
            <w:pPr>
              <w:pStyle w:val="TableText"/>
              <w:jc w:val="center"/>
            </w:pPr>
            <w:r w:rsidRPr="0047058F">
              <w:t>No suicidality</w:t>
            </w:r>
          </w:p>
        </w:tc>
        <w:tc>
          <w:tcPr>
            <w:tcW w:w="1779" w:type="dxa"/>
            <w:gridSpan w:val="2"/>
          </w:tcPr>
          <w:p w14:paraId="6AB3B677" w14:textId="77777777" w:rsidR="00B93A94" w:rsidRPr="0047058F" w:rsidRDefault="00B93A94" w:rsidP="00D009A2">
            <w:pPr>
              <w:pStyle w:val="TableText"/>
              <w:jc w:val="center"/>
            </w:pPr>
            <w:r w:rsidRPr="0047058F">
              <w:t>Any suicidality</w:t>
            </w:r>
          </w:p>
        </w:tc>
      </w:tr>
      <w:tr w:rsidR="00B93A94" w:rsidRPr="0047058F" w14:paraId="4F47ACF2"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1957" w:type="dxa"/>
          </w:tcPr>
          <w:p w14:paraId="44C05984" w14:textId="77777777" w:rsidR="00B93A94" w:rsidRPr="0047058F" w:rsidRDefault="00B93A94" w:rsidP="00D009A2">
            <w:pPr>
              <w:pStyle w:val="TableText"/>
            </w:pPr>
            <w:r w:rsidRPr="0047058F">
              <w:rPr>
                <w:rFonts w:cs="Arial"/>
              </w:rPr>
              <w:t>Suicide</w:t>
            </w:r>
          </w:p>
        </w:tc>
        <w:tc>
          <w:tcPr>
            <w:tcW w:w="900" w:type="dxa"/>
          </w:tcPr>
          <w:p w14:paraId="223703D5" w14:textId="77777777" w:rsidR="00B93A94" w:rsidRPr="0047058F" w:rsidRDefault="00B93A94" w:rsidP="00D009A2">
            <w:pPr>
              <w:pStyle w:val="TableText"/>
              <w:jc w:val="right"/>
              <w:rPr>
                <w:rFonts w:cs="Arial"/>
              </w:rPr>
            </w:pPr>
            <w:r w:rsidRPr="0047058F">
              <w:rPr>
                <w:rFonts w:cs="Arial"/>
              </w:rPr>
              <w:t>n</w:t>
            </w:r>
          </w:p>
        </w:tc>
        <w:tc>
          <w:tcPr>
            <w:tcW w:w="900" w:type="dxa"/>
          </w:tcPr>
          <w:p w14:paraId="339AC4EB" w14:textId="77777777" w:rsidR="00B93A94" w:rsidRPr="0047058F" w:rsidRDefault="00B93A94" w:rsidP="00D009A2">
            <w:pPr>
              <w:pStyle w:val="TableText"/>
              <w:jc w:val="right"/>
              <w:rPr>
                <w:rFonts w:cs="Arial"/>
              </w:rPr>
            </w:pPr>
            <w:r w:rsidRPr="0047058F">
              <w:rPr>
                <w:rFonts w:cs="Arial"/>
              </w:rPr>
              <w:t>%</w:t>
            </w:r>
          </w:p>
        </w:tc>
        <w:tc>
          <w:tcPr>
            <w:tcW w:w="889" w:type="dxa"/>
          </w:tcPr>
          <w:p w14:paraId="53812A3C" w14:textId="77777777" w:rsidR="00B93A94" w:rsidRPr="0047058F" w:rsidRDefault="00B93A94" w:rsidP="00D009A2">
            <w:pPr>
              <w:pStyle w:val="TableText"/>
              <w:jc w:val="right"/>
              <w:rPr>
                <w:rFonts w:cs="Arial"/>
              </w:rPr>
            </w:pPr>
            <w:r w:rsidRPr="0047058F">
              <w:rPr>
                <w:rFonts w:cs="Arial"/>
              </w:rPr>
              <w:t>n</w:t>
            </w:r>
          </w:p>
        </w:tc>
        <w:tc>
          <w:tcPr>
            <w:tcW w:w="890" w:type="dxa"/>
          </w:tcPr>
          <w:p w14:paraId="1D3E28D9" w14:textId="77777777" w:rsidR="00B93A94" w:rsidRPr="0047058F" w:rsidRDefault="00B93A94" w:rsidP="00D009A2">
            <w:pPr>
              <w:pStyle w:val="TableText"/>
              <w:jc w:val="right"/>
              <w:rPr>
                <w:rFonts w:cs="Arial"/>
              </w:rPr>
            </w:pPr>
            <w:r w:rsidRPr="0047058F">
              <w:rPr>
                <w:rFonts w:cs="Arial"/>
              </w:rPr>
              <w:t>%</w:t>
            </w:r>
          </w:p>
        </w:tc>
        <w:tc>
          <w:tcPr>
            <w:tcW w:w="889" w:type="dxa"/>
          </w:tcPr>
          <w:p w14:paraId="74B1D9A1" w14:textId="77777777" w:rsidR="00B93A94" w:rsidRPr="0047058F" w:rsidRDefault="00B93A94" w:rsidP="00D009A2">
            <w:pPr>
              <w:pStyle w:val="TableText"/>
              <w:jc w:val="right"/>
              <w:rPr>
                <w:rFonts w:cs="Arial"/>
              </w:rPr>
            </w:pPr>
            <w:r w:rsidRPr="0047058F">
              <w:rPr>
                <w:rFonts w:cs="Arial"/>
              </w:rPr>
              <w:t>n</w:t>
            </w:r>
          </w:p>
        </w:tc>
        <w:tc>
          <w:tcPr>
            <w:tcW w:w="890" w:type="dxa"/>
          </w:tcPr>
          <w:p w14:paraId="65F6FCA8" w14:textId="77777777" w:rsidR="00B93A94" w:rsidRPr="0047058F" w:rsidRDefault="00B93A94" w:rsidP="00D009A2">
            <w:pPr>
              <w:pStyle w:val="TableText"/>
              <w:jc w:val="right"/>
              <w:rPr>
                <w:rFonts w:cs="Arial"/>
              </w:rPr>
            </w:pPr>
            <w:r w:rsidRPr="0047058F">
              <w:rPr>
                <w:rFonts w:cs="Arial"/>
              </w:rPr>
              <w:t>%</w:t>
            </w:r>
          </w:p>
        </w:tc>
      </w:tr>
      <w:tr w:rsidR="00B93A94" w:rsidRPr="0047058F" w14:paraId="5CC9AC50"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7" w:type="dxa"/>
          </w:tcPr>
          <w:p w14:paraId="0BC299AF" w14:textId="77777777" w:rsidR="00B93A94" w:rsidRPr="0047058F" w:rsidRDefault="00B93A94" w:rsidP="00D009A2">
            <w:pPr>
              <w:pStyle w:val="TableText"/>
              <w:rPr>
                <w:rFonts w:cs="Calibri"/>
                <w:szCs w:val="14"/>
              </w:rPr>
            </w:pPr>
            <w:r w:rsidRPr="0047058F">
              <w:rPr>
                <w:rFonts w:cs="Calibri"/>
                <w:szCs w:val="14"/>
              </w:rPr>
              <w:t>No suicidality</w:t>
            </w:r>
          </w:p>
        </w:tc>
        <w:tc>
          <w:tcPr>
            <w:tcW w:w="900" w:type="dxa"/>
          </w:tcPr>
          <w:p w14:paraId="438E72EA" w14:textId="77777777" w:rsidR="00B93A94" w:rsidRPr="0047058F" w:rsidRDefault="00B93A94" w:rsidP="00D009A2">
            <w:pPr>
              <w:pStyle w:val="TableText"/>
              <w:jc w:val="right"/>
            </w:pPr>
            <w:r w:rsidRPr="0047058F">
              <w:rPr>
                <w:rFonts w:eastAsia="Times New Roman" w:cs="Arial"/>
              </w:rPr>
              <w:t>5257</w:t>
            </w:r>
          </w:p>
        </w:tc>
        <w:tc>
          <w:tcPr>
            <w:tcW w:w="900" w:type="dxa"/>
          </w:tcPr>
          <w:p w14:paraId="4ADB5885" w14:textId="77777777" w:rsidR="00B93A94" w:rsidRPr="0047058F" w:rsidRDefault="00B93A94" w:rsidP="00D009A2">
            <w:pPr>
              <w:pStyle w:val="TableText"/>
              <w:jc w:val="right"/>
              <w:rPr>
                <w:rFonts w:eastAsia="Times New Roman" w:cs="Arial"/>
              </w:rPr>
            </w:pPr>
            <w:r w:rsidRPr="0047058F">
              <w:rPr>
                <w:rFonts w:eastAsia="Times New Roman" w:cs="Arial"/>
              </w:rPr>
              <w:t>92.5</w:t>
            </w:r>
          </w:p>
        </w:tc>
        <w:tc>
          <w:tcPr>
            <w:tcW w:w="889" w:type="dxa"/>
          </w:tcPr>
          <w:p w14:paraId="5BDFB42A" w14:textId="77777777" w:rsidR="00B93A94" w:rsidRPr="0047058F" w:rsidRDefault="00B93A94" w:rsidP="00D009A2">
            <w:pPr>
              <w:pStyle w:val="TableText"/>
              <w:jc w:val="right"/>
            </w:pPr>
            <w:r w:rsidRPr="0047058F">
              <w:rPr>
                <w:rFonts w:eastAsia="Times New Roman" w:cs="Arial"/>
              </w:rPr>
              <w:t>4735</w:t>
            </w:r>
          </w:p>
        </w:tc>
        <w:tc>
          <w:tcPr>
            <w:tcW w:w="890" w:type="dxa"/>
          </w:tcPr>
          <w:p w14:paraId="300FA4E6" w14:textId="77777777" w:rsidR="00B93A94" w:rsidRPr="0047058F" w:rsidRDefault="00B93A94" w:rsidP="00D009A2">
            <w:pPr>
              <w:pStyle w:val="TableText"/>
              <w:jc w:val="right"/>
            </w:pPr>
            <w:r w:rsidRPr="0047058F">
              <w:rPr>
                <w:rFonts w:eastAsia="Times New Roman" w:cs="Arial"/>
              </w:rPr>
              <w:t>90.1</w:t>
            </w:r>
          </w:p>
        </w:tc>
        <w:tc>
          <w:tcPr>
            <w:tcW w:w="889" w:type="dxa"/>
          </w:tcPr>
          <w:p w14:paraId="6335C5C6" w14:textId="77777777" w:rsidR="00B93A94" w:rsidRPr="0047058F" w:rsidRDefault="00B93A94" w:rsidP="00D009A2">
            <w:pPr>
              <w:pStyle w:val="TableText"/>
              <w:jc w:val="right"/>
            </w:pPr>
            <w:r w:rsidRPr="0047058F">
              <w:rPr>
                <w:rFonts w:eastAsia="Times New Roman" w:cs="Arial"/>
              </w:rPr>
              <w:t>522</w:t>
            </w:r>
          </w:p>
        </w:tc>
        <w:tc>
          <w:tcPr>
            <w:tcW w:w="890" w:type="dxa"/>
          </w:tcPr>
          <w:p w14:paraId="20F11BF1" w14:textId="77777777" w:rsidR="00B93A94" w:rsidRPr="0047058F" w:rsidRDefault="00B93A94" w:rsidP="00D009A2">
            <w:pPr>
              <w:pStyle w:val="TableText"/>
              <w:jc w:val="right"/>
            </w:pPr>
            <w:r w:rsidRPr="0047058F">
              <w:rPr>
                <w:rFonts w:eastAsia="Times New Roman" w:cs="Arial"/>
              </w:rPr>
              <w:t>9.9</w:t>
            </w:r>
          </w:p>
        </w:tc>
      </w:tr>
      <w:tr w:rsidR="00B93A94" w:rsidRPr="0047058F" w14:paraId="2B87EDFF" w14:textId="77777777" w:rsidTr="00D009A2">
        <w:trPr>
          <w:cantSplit/>
        </w:trPr>
        <w:tc>
          <w:tcPr>
            <w:tcW w:w="1957" w:type="dxa"/>
          </w:tcPr>
          <w:p w14:paraId="3FE46901" w14:textId="77777777" w:rsidR="00B93A94" w:rsidRPr="0047058F" w:rsidRDefault="00B93A94" w:rsidP="00D009A2">
            <w:pPr>
              <w:pStyle w:val="TableText"/>
              <w:rPr>
                <w:rFonts w:cs="Calibri"/>
                <w:szCs w:val="14"/>
              </w:rPr>
            </w:pPr>
            <w:r w:rsidRPr="0047058F">
              <w:rPr>
                <w:rFonts w:cs="Calibri"/>
                <w:szCs w:val="14"/>
              </w:rPr>
              <w:t>Any suicidality</w:t>
            </w:r>
          </w:p>
        </w:tc>
        <w:tc>
          <w:tcPr>
            <w:tcW w:w="900" w:type="dxa"/>
          </w:tcPr>
          <w:p w14:paraId="389D3371" w14:textId="77777777" w:rsidR="00B93A94" w:rsidRPr="0047058F" w:rsidRDefault="00B93A94" w:rsidP="00D009A2">
            <w:pPr>
              <w:pStyle w:val="TableText"/>
              <w:jc w:val="right"/>
            </w:pPr>
            <w:r w:rsidRPr="0047058F">
              <w:rPr>
                <w:rFonts w:eastAsia="Times New Roman" w:cs="Arial"/>
              </w:rPr>
              <w:t>424</w:t>
            </w:r>
          </w:p>
        </w:tc>
        <w:tc>
          <w:tcPr>
            <w:tcW w:w="900" w:type="dxa"/>
          </w:tcPr>
          <w:p w14:paraId="01CB34FF" w14:textId="77777777" w:rsidR="00B93A94" w:rsidRPr="0047058F" w:rsidRDefault="00B93A94" w:rsidP="00D009A2">
            <w:pPr>
              <w:pStyle w:val="TableText"/>
              <w:jc w:val="right"/>
              <w:rPr>
                <w:rFonts w:eastAsia="Times New Roman" w:cs="Arial"/>
              </w:rPr>
            </w:pPr>
            <w:r w:rsidRPr="0047058F">
              <w:rPr>
                <w:rFonts w:eastAsia="Times New Roman" w:cs="Arial"/>
              </w:rPr>
              <w:t>7.5</w:t>
            </w:r>
          </w:p>
        </w:tc>
        <w:tc>
          <w:tcPr>
            <w:tcW w:w="889" w:type="dxa"/>
          </w:tcPr>
          <w:p w14:paraId="6BBCBDED" w14:textId="77777777" w:rsidR="00B93A94" w:rsidRPr="0047058F" w:rsidRDefault="00B93A94" w:rsidP="00D009A2">
            <w:pPr>
              <w:pStyle w:val="TableText"/>
              <w:jc w:val="right"/>
            </w:pPr>
            <w:r w:rsidRPr="0047058F">
              <w:rPr>
                <w:rFonts w:eastAsia="Times New Roman" w:cs="Arial"/>
              </w:rPr>
              <w:t>224</w:t>
            </w:r>
          </w:p>
        </w:tc>
        <w:tc>
          <w:tcPr>
            <w:tcW w:w="890" w:type="dxa"/>
          </w:tcPr>
          <w:p w14:paraId="42CF1C25" w14:textId="77777777" w:rsidR="00B93A94" w:rsidRPr="0047058F" w:rsidRDefault="00B93A94" w:rsidP="00D009A2">
            <w:pPr>
              <w:pStyle w:val="TableText"/>
              <w:jc w:val="right"/>
            </w:pPr>
            <w:r w:rsidRPr="0047058F">
              <w:rPr>
                <w:rFonts w:eastAsia="Times New Roman" w:cs="Arial"/>
              </w:rPr>
              <w:t>52.8</w:t>
            </w:r>
          </w:p>
        </w:tc>
        <w:tc>
          <w:tcPr>
            <w:tcW w:w="889" w:type="dxa"/>
          </w:tcPr>
          <w:p w14:paraId="1E778957" w14:textId="77777777" w:rsidR="00B93A94" w:rsidRPr="0047058F" w:rsidRDefault="00B93A94" w:rsidP="00D009A2">
            <w:pPr>
              <w:pStyle w:val="TableText"/>
              <w:jc w:val="right"/>
            </w:pPr>
            <w:r w:rsidRPr="0047058F">
              <w:rPr>
                <w:rFonts w:eastAsia="Times New Roman" w:cs="Arial"/>
              </w:rPr>
              <w:t>200</w:t>
            </w:r>
          </w:p>
        </w:tc>
        <w:tc>
          <w:tcPr>
            <w:tcW w:w="890" w:type="dxa"/>
          </w:tcPr>
          <w:p w14:paraId="6ADC9689" w14:textId="77777777" w:rsidR="00B93A94" w:rsidRPr="0047058F" w:rsidRDefault="00B93A94" w:rsidP="00D009A2">
            <w:pPr>
              <w:pStyle w:val="TableText"/>
              <w:jc w:val="right"/>
            </w:pPr>
            <w:r w:rsidRPr="0047058F">
              <w:rPr>
                <w:rFonts w:eastAsia="Times New Roman" w:cs="Arial"/>
              </w:rPr>
              <w:t>47.2</w:t>
            </w:r>
          </w:p>
        </w:tc>
      </w:tr>
      <w:tr w:rsidR="00B93A94" w:rsidRPr="0047058F" w14:paraId="25220BA4"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57" w:type="dxa"/>
          </w:tcPr>
          <w:p w14:paraId="18C21C97" w14:textId="77777777" w:rsidR="00B93A94" w:rsidRPr="0047058F" w:rsidRDefault="00B93A94" w:rsidP="00D009A2">
            <w:pPr>
              <w:pStyle w:val="TableText"/>
              <w:rPr>
                <w:rFonts w:cs="Arial"/>
                <w:b/>
              </w:rPr>
            </w:pPr>
            <w:r w:rsidRPr="0047058F">
              <w:rPr>
                <w:rFonts w:cs="Arial"/>
                <w:b/>
              </w:rPr>
              <w:t>Total</w:t>
            </w:r>
          </w:p>
        </w:tc>
        <w:tc>
          <w:tcPr>
            <w:tcW w:w="900" w:type="dxa"/>
          </w:tcPr>
          <w:p w14:paraId="69CF953C" w14:textId="77777777" w:rsidR="00B93A94" w:rsidRPr="0047058F" w:rsidRDefault="00B93A94" w:rsidP="00D009A2">
            <w:pPr>
              <w:pStyle w:val="TableText"/>
              <w:jc w:val="right"/>
              <w:rPr>
                <w:rFonts w:cs="Arial"/>
                <w:b/>
              </w:rPr>
            </w:pPr>
            <w:r w:rsidRPr="0047058F">
              <w:rPr>
                <w:rFonts w:cs="Arial"/>
                <w:b/>
              </w:rPr>
              <w:t>5681</w:t>
            </w:r>
          </w:p>
        </w:tc>
        <w:tc>
          <w:tcPr>
            <w:tcW w:w="900" w:type="dxa"/>
          </w:tcPr>
          <w:p w14:paraId="5B9D0A78" w14:textId="77777777" w:rsidR="00B93A94" w:rsidRPr="0047058F" w:rsidRDefault="00B93A94" w:rsidP="00D009A2">
            <w:pPr>
              <w:pStyle w:val="TableText"/>
              <w:jc w:val="right"/>
              <w:rPr>
                <w:rFonts w:eastAsia="Times New Roman" w:cs="Arial"/>
                <w:b/>
              </w:rPr>
            </w:pPr>
            <w:r w:rsidRPr="0047058F">
              <w:rPr>
                <w:rFonts w:eastAsia="Times New Roman" w:cs="Arial"/>
                <w:b/>
              </w:rPr>
              <w:t>100.0</w:t>
            </w:r>
          </w:p>
        </w:tc>
        <w:tc>
          <w:tcPr>
            <w:tcW w:w="889" w:type="dxa"/>
          </w:tcPr>
          <w:p w14:paraId="32A7781C" w14:textId="77777777" w:rsidR="00B93A94" w:rsidRPr="0047058F" w:rsidRDefault="00B93A94" w:rsidP="00D009A2">
            <w:pPr>
              <w:pStyle w:val="TableText"/>
              <w:jc w:val="right"/>
              <w:rPr>
                <w:rFonts w:cs="Arial"/>
                <w:b/>
              </w:rPr>
            </w:pPr>
            <w:r w:rsidRPr="0047058F">
              <w:rPr>
                <w:rFonts w:eastAsia="Times New Roman" w:cs="Arial"/>
                <w:b/>
              </w:rPr>
              <w:t>4959</w:t>
            </w:r>
          </w:p>
        </w:tc>
        <w:tc>
          <w:tcPr>
            <w:tcW w:w="890" w:type="dxa"/>
          </w:tcPr>
          <w:p w14:paraId="5DB78DD5" w14:textId="77777777" w:rsidR="00B93A94" w:rsidRPr="0047058F" w:rsidRDefault="00B93A94" w:rsidP="00D009A2">
            <w:pPr>
              <w:pStyle w:val="TableText"/>
              <w:jc w:val="right"/>
              <w:rPr>
                <w:rFonts w:cs="Arial"/>
                <w:b/>
              </w:rPr>
            </w:pPr>
            <w:r w:rsidRPr="0047058F">
              <w:rPr>
                <w:rFonts w:eastAsia="Times New Roman" w:cs="Arial"/>
                <w:b/>
              </w:rPr>
              <w:t>87.3</w:t>
            </w:r>
          </w:p>
        </w:tc>
        <w:tc>
          <w:tcPr>
            <w:tcW w:w="889" w:type="dxa"/>
          </w:tcPr>
          <w:p w14:paraId="65C8FF0A" w14:textId="77777777" w:rsidR="00B93A94" w:rsidRPr="0047058F" w:rsidRDefault="00B93A94" w:rsidP="00D009A2">
            <w:pPr>
              <w:pStyle w:val="TableText"/>
              <w:jc w:val="right"/>
              <w:rPr>
                <w:rFonts w:cs="Arial"/>
                <w:b/>
              </w:rPr>
            </w:pPr>
            <w:r w:rsidRPr="0047058F">
              <w:rPr>
                <w:rFonts w:eastAsia="Times New Roman" w:cs="Arial"/>
                <w:b/>
              </w:rPr>
              <w:t>722</w:t>
            </w:r>
          </w:p>
        </w:tc>
        <w:tc>
          <w:tcPr>
            <w:tcW w:w="890" w:type="dxa"/>
          </w:tcPr>
          <w:p w14:paraId="6AED1A97" w14:textId="77777777" w:rsidR="00B93A94" w:rsidRPr="0047058F" w:rsidRDefault="00B93A94" w:rsidP="00D009A2">
            <w:pPr>
              <w:pStyle w:val="TableText"/>
              <w:jc w:val="right"/>
              <w:rPr>
                <w:rFonts w:cs="Arial"/>
                <w:b/>
              </w:rPr>
            </w:pPr>
            <w:r w:rsidRPr="0047058F">
              <w:rPr>
                <w:rFonts w:eastAsia="Times New Roman" w:cs="Arial"/>
                <w:b/>
              </w:rPr>
              <w:t>12.7</w:t>
            </w:r>
          </w:p>
        </w:tc>
      </w:tr>
    </w:tbl>
    <w:p w14:paraId="262564ED" w14:textId="77777777" w:rsidR="00B93A94" w:rsidRPr="0047058F" w:rsidRDefault="00B93A94" w:rsidP="00B93A94">
      <w:pPr>
        <w:pStyle w:val="TableNotes"/>
      </w:pPr>
      <w:r w:rsidRPr="0047058F">
        <w:t>Note: Unweighted data.</w:t>
      </w:r>
    </w:p>
    <w:p w14:paraId="67FD9D69" w14:textId="77777777" w:rsidR="00B93A94" w:rsidRPr="0047058F" w:rsidRDefault="00B93A94" w:rsidP="00B93A94">
      <w:pPr>
        <w:pStyle w:val="FigureName"/>
      </w:pPr>
      <w:bookmarkStart w:id="374" w:name="_Ref387056900"/>
      <w:bookmarkStart w:id="375" w:name="_Toc529117584"/>
      <w:bookmarkStart w:id="376" w:name="_Toc532473657"/>
      <w:r w:rsidRPr="0047058F">
        <w:t>Figure 5.20</w:t>
      </w:r>
      <w:bookmarkEnd w:id="374"/>
      <w:r w:rsidRPr="0047058F">
        <w:tab/>
        <w:t xml:space="preserve">Proportion of </w:t>
      </w:r>
      <w:r w:rsidRPr="0047058F">
        <w:rPr>
          <w:u w:val="single"/>
        </w:rPr>
        <w:t>2015 Regular ADF in the longitudinal cohort</w:t>
      </w:r>
      <w:r w:rsidRPr="0047058F">
        <w:t xml:space="preserve"> with any suicidality in 2010 and 2015 based on self-reported measures</w:t>
      </w:r>
      <w:bookmarkEnd w:id="375"/>
      <w:bookmarkEnd w:id="376"/>
    </w:p>
    <w:p w14:paraId="078CBE28" w14:textId="77777777" w:rsidR="00EB2A31" w:rsidRPr="0047058F" w:rsidRDefault="00B93A94" w:rsidP="00EB2A31">
      <w:pPr>
        <w:spacing w:after="360"/>
      </w:pPr>
      <w:r w:rsidRPr="0047058F">
        <w:rPr>
          <w:noProof/>
          <w:lang w:eastAsia="en-AU"/>
        </w:rPr>
        <w:drawing>
          <wp:inline distT="0" distB="0" distL="0" distR="0" wp14:anchorId="78E41558" wp14:editId="3E6F33F5">
            <wp:extent cx="4572000" cy="2743200"/>
            <wp:effectExtent l="0" t="0" r="0" b="0"/>
            <wp:docPr id="479" name="Chart 479" descr="Figure 5.20 Proportion of 2015 Regular ADF in the longitudinal cohort with any suicidality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67C56B" w14:textId="77777777" w:rsidR="00B93A94" w:rsidRPr="0047058F" w:rsidRDefault="00B93A94" w:rsidP="00860F45">
      <w:pPr>
        <w:pStyle w:val="Heading2"/>
      </w:pPr>
      <w:bookmarkStart w:id="377" w:name="_Toc381263159"/>
      <w:bookmarkStart w:id="378" w:name="_Toc529117478"/>
      <w:bookmarkStart w:id="379" w:name="_Toc532474378"/>
      <w:r w:rsidRPr="0047058F">
        <w:t>Anger symptoms (DAR-5)</w:t>
      </w:r>
      <w:bookmarkEnd w:id="377"/>
      <w:r w:rsidRPr="0047058F">
        <w:t xml:space="preserve"> in the longitudinal cohort</w:t>
      </w:r>
      <w:bookmarkEnd w:id="378"/>
      <w:bookmarkEnd w:id="379"/>
    </w:p>
    <w:p w14:paraId="510D7F40" w14:textId="77777777" w:rsidR="00B93A94" w:rsidRPr="0047058F" w:rsidRDefault="00B93A94" w:rsidP="00B93A94">
      <w:pPr>
        <w:rPr>
          <w:rFonts w:cs="Calibri"/>
        </w:rPr>
      </w:pPr>
      <w:r w:rsidRPr="0047058F">
        <w:rPr>
          <w:rFonts w:cs="Calibri"/>
        </w:rPr>
        <w:t>This section of the report looks at problem anger reported by the longitudinal cohort across two time points: the 2010 MHPWS assessment, and the 2015 Transition and Wellbeing Research Programme assessment.</w:t>
      </w:r>
    </w:p>
    <w:p w14:paraId="0DD78AE0" w14:textId="77777777" w:rsidR="00B93A94" w:rsidRPr="0047058F" w:rsidRDefault="00B93A94" w:rsidP="00B93A94">
      <w:pPr>
        <w:rPr>
          <w:rFonts w:cs="Calibri"/>
        </w:rPr>
      </w:pPr>
      <w:r w:rsidRPr="0047058F">
        <w:rPr>
          <w:rFonts w:cs="Calibri"/>
        </w:rPr>
        <w:t>The Dimensions of Anger Reactions 5-item scale (DAR-5) (Forbes et al., 2004) assesses anger frequency, intensity, duration, and anger’s perceived negative impact on social relationships, as rated over the past four weeks. Items are summed to create a total score (range 5 to 25), with higher scores indicating a higher frequency of anger. This scale has been used in Australian Vietnam veterans, and US Afghanistan and Iraq veterans, and shows strong unidimensionality, and high levels of internal consistency and criterion validity (Forbes et al., 2004).</w:t>
      </w:r>
    </w:p>
    <w:p w14:paraId="20F777F0" w14:textId="77777777" w:rsidR="00B93A94" w:rsidRPr="0047058F" w:rsidRDefault="00B93A94" w:rsidP="00B93A94">
      <w:pPr>
        <w:rPr>
          <w:rFonts w:cs="Calibri"/>
        </w:rPr>
      </w:pPr>
      <w:r w:rsidRPr="0047058F">
        <w:rPr>
          <w:rFonts w:cs="Calibri"/>
        </w:rPr>
        <w:t>Respondents were instructed to rate the amount of time they had experienced each of the five symptoms of anger over the last four weeks on a 5-point scale ranging from 1 (‘none of the time’) to 5 (‘all of the time’). In addition to a total score, mean scores, and the proportion of individuals who scored above and below the problematic anger cut-off score of 12, are presented.</w:t>
      </w:r>
    </w:p>
    <w:p w14:paraId="50C0ED61" w14:textId="77777777" w:rsidR="00B93A94" w:rsidRPr="0047058F" w:rsidRDefault="00B93A94" w:rsidP="00B93A94">
      <w:r w:rsidRPr="0047058F">
        <w:rPr>
          <w:color w:val="000000" w:themeColor="text1"/>
        </w:rPr>
        <w:t>Table 5.21</w:t>
      </w:r>
      <w:r w:rsidRPr="0047058F">
        <w:t xml:space="preserve"> and Figure 5.21 show mean scores on the DAR-5 in 2010 and 2015 for the longitudinal cohort, according to whether they had transitioned or remained in the Regular ADF in 2015.</w:t>
      </w:r>
    </w:p>
    <w:p w14:paraId="145F8F1D" w14:textId="45971509" w:rsidR="00B93A94" w:rsidRPr="0047058F" w:rsidRDefault="00B93A94" w:rsidP="00B93A94">
      <w:pPr>
        <w:rPr>
          <w:lang w:eastAsia="en-AU"/>
        </w:rPr>
      </w:pPr>
      <w:r w:rsidRPr="0047058F">
        <w:rPr>
          <w:lang w:eastAsia="en-AU"/>
        </w:rPr>
        <w:t xml:space="preserve">Mean scores on the DAR-5 were 7.2 (SE 0.0) in 2010, and increased to 8.0 (SE 0.0) in 2015. Mean anger scores were higher among those who had transitioned compared to those who remained in the Regular ADF at both time points, and scores increased more for </w:t>
      </w:r>
      <w:r w:rsidR="008159C5">
        <w:rPr>
          <w:lang w:eastAsia="en-AU"/>
        </w:rPr>
        <w:t>T</w:t>
      </w:r>
      <w:r w:rsidRPr="0047058F">
        <w:rPr>
          <w:lang w:eastAsia="en-AU"/>
        </w:rPr>
        <w:t xml:space="preserve">ransitioned </w:t>
      </w:r>
      <w:r w:rsidR="008159C5">
        <w:rPr>
          <w:lang w:eastAsia="en-AU"/>
        </w:rPr>
        <w:t xml:space="preserve">ADF </w:t>
      </w:r>
      <w:r w:rsidRPr="0047058F">
        <w:rPr>
          <w:lang w:eastAsia="en-AU"/>
        </w:rPr>
        <w:t>between 2010 and 2015 (2010: 7.7% vs 7.0%, 2015: 9.1% vs 7.7%).</w:t>
      </w:r>
    </w:p>
    <w:p w14:paraId="3101FC17" w14:textId="77777777" w:rsidR="00B93A94" w:rsidRPr="0047058F" w:rsidRDefault="00B93A94" w:rsidP="00B93A94">
      <w:pPr>
        <w:pStyle w:val="TableName"/>
        <w:rPr>
          <w:lang w:eastAsia="en-AU"/>
        </w:rPr>
      </w:pPr>
      <w:bookmarkStart w:id="380" w:name="_Ref384558536"/>
      <w:bookmarkStart w:id="381" w:name="_Toc529117533"/>
      <w:bookmarkStart w:id="382" w:name="_Toc532473603"/>
      <w:r w:rsidRPr="0047058F">
        <w:t>Table 5.21</w:t>
      </w:r>
      <w:bookmarkEnd w:id="380"/>
      <w:r w:rsidRPr="0047058F">
        <w:tab/>
        <w:t>Mean DAR-5 scores in Transitioned ADF and 2015 Regular ADF in the longitudinal cohort</w:t>
      </w:r>
      <w:bookmarkEnd w:id="381"/>
      <w:bookmarkEnd w:id="382"/>
    </w:p>
    <w:tbl>
      <w:tblPr>
        <w:tblStyle w:val="TWRPTable"/>
        <w:tblW w:w="5000" w:type="pct"/>
        <w:tblLayout w:type="fixed"/>
        <w:tblLook w:val="04A0" w:firstRow="1" w:lastRow="0" w:firstColumn="1" w:lastColumn="0" w:noHBand="0" w:noVBand="1"/>
        <w:tblDescription w:val="Table 5.21 Mean DAR-5 scores in Transitioned ADF and 2015 Regular ADF in the longitudinal cohort"/>
      </w:tblPr>
      <w:tblGrid>
        <w:gridCol w:w="3528"/>
        <w:gridCol w:w="631"/>
        <w:gridCol w:w="631"/>
        <w:gridCol w:w="631"/>
        <w:gridCol w:w="631"/>
        <w:gridCol w:w="631"/>
        <w:gridCol w:w="632"/>
      </w:tblGrid>
      <w:tr w:rsidR="00B93A94" w:rsidRPr="0047058F" w14:paraId="42F10D6E"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528" w:type="dxa"/>
            <w:tcBorders>
              <w:top w:val="single" w:sz="4" w:space="0" w:color="000000"/>
              <w:bottom w:val="nil"/>
            </w:tcBorders>
          </w:tcPr>
          <w:p w14:paraId="3430CCCE" w14:textId="77777777" w:rsidR="00B93A94" w:rsidRPr="0047058F" w:rsidRDefault="00B93A94" w:rsidP="00D009A2">
            <w:pPr>
              <w:pStyle w:val="TableText"/>
            </w:pPr>
          </w:p>
        </w:tc>
        <w:tc>
          <w:tcPr>
            <w:tcW w:w="1262" w:type="dxa"/>
            <w:gridSpan w:val="2"/>
            <w:hideMark/>
          </w:tcPr>
          <w:p w14:paraId="4F2DDB7E" w14:textId="77777777" w:rsidR="00B93A94" w:rsidRPr="0047058F" w:rsidRDefault="00B93A94" w:rsidP="00D009A2">
            <w:pPr>
              <w:pStyle w:val="TableText"/>
              <w:jc w:val="center"/>
            </w:pPr>
            <w:r w:rsidRPr="0047058F">
              <w:t>Transitioned ADF</w:t>
            </w:r>
            <w:r w:rsidRPr="0047058F">
              <w:br/>
              <w:t>n = 5616</w:t>
            </w:r>
          </w:p>
        </w:tc>
        <w:tc>
          <w:tcPr>
            <w:tcW w:w="1262" w:type="dxa"/>
            <w:gridSpan w:val="2"/>
            <w:hideMark/>
          </w:tcPr>
          <w:p w14:paraId="2D4A56C1" w14:textId="77777777" w:rsidR="00B93A94" w:rsidRPr="0047058F" w:rsidRDefault="00B93A94" w:rsidP="00D009A2">
            <w:pPr>
              <w:pStyle w:val="TableText"/>
              <w:jc w:val="center"/>
            </w:pPr>
            <w:r w:rsidRPr="0047058F">
              <w:rPr>
                <w:bCs/>
              </w:rPr>
              <w:t>2015 Regular ADF</w:t>
            </w:r>
            <w:r w:rsidRPr="0047058F">
              <w:rPr>
                <w:bCs/>
              </w:rPr>
              <w:br/>
            </w:r>
            <w:r w:rsidRPr="0047058F">
              <w:t>n = 2110</w:t>
            </w:r>
          </w:p>
        </w:tc>
        <w:tc>
          <w:tcPr>
            <w:tcW w:w="1263" w:type="dxa"/>
            <w:gridSpan w:val="2"/>
          </w:tcPr>
          <w:p w14:paraId="17EEE5C2" w14:textId="77777777" w:rsidR="00B93A94" w:rsidRPr="0047058F" w:rsidRDefault="00B93A94" w:rsidP="00D009A2">
            <w:pPr>
              <w:pStyle w:val="TableText"/>
              <w:jc w:val="center"/>
              <w:rPr>
                <w:bCs/>
              </w:rPr>
            </w:pPr>
            <w:r w:rsidRPr="0047058F">
              <w:rPr>
                <w:bCs/>
              </w:rPr>
              <w:t>Total</w:t>
            </w:r>
            <w:r w:rsidRPr="0047058F">
              <w:rPr>
                <w:bCs/>
              </w:rPr>
              <w:br/>
              <w:t>n = 7726</w:t>
            </w:r>
          </w:p>
        </w:tc>
      </w:tr>
      <w:tr w:rsidR="00B93A94" w:rsidRPr="0047058F" w14:paraId="4BA81F2C"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528" w:type="dxa"/>
            <w:tcBorders>
              <w:top w:val="nil"/>
            </w:tcBorders>
          </w:tcPr>
          <w:p w14:paraId="349D1984" w14:textId="77777777" w:rsidR="00B93A94" w:rsidRPr="0047058F" w:rsidRDefault="00B93A94" w:rsidP="00D009A2">
            <w:pPr>
              <w:pStyle w:val="TableText"/>
            </w:pPr>
            <w:r w:rsidRPr="0047058F">
              <w:rPr>
                <w:rFonts w:cs="Arial"/>
              </w:rPr>
              <w:t>DAR-5</w:t>
            </w:r>
          </w:p>
        </w:tc>
        <w:tc>
          <w:tcPr>
            <w:tcW w:w="631" w:type="dxa"/>
          </w:tcPr>
          <w:p w14:paraId="09E8ADA8" w14:textId="77777777" w:rsidR="00B93A94" w:rsidRPr="0047058F" w:rsidRDefault="00B93A94" w:rsidP="00D009A2">
            <w:pPr>
              <w:pStyle w:val="TableText"/>
              <w:jc w:val="right"/>
              <w:rPr>
                <w:rFonts w:cs="Arial"/>
                <w:bCs/>
              </w:rPr>
            </w:pPr>
            <w:r w:rsidRPr="0047058F">
              <w:rPr>
                <w:rFonts w:cs="Arial"/>
                <w:bCs/>
              </w:rPr>
              <w:t>Mean</w:t>
            </w:r>
          </w:p>
        </w:tc>
        <w:tc>
          <w:tcPr>
            <w:tcW w:w="631" w:type="dxa"/>
          </w:tcPr>
          <w:p w14:paraId="3E5AAB32" w14:textId="77777777" w:rsidR="00B93A94" w:rsidRPr="0047058F" w:rsidRDefault="00B93A94" w:rsidP="00D009A2">
            <w:pPr>
              <w:pStyle w:val="TableText"/>
              <w:jc w:val="right"/>
              <w:rPr>
                <w:rFonts w:cs="Arial"/>
                <w:bCs/>
              </w:rPr>
            </w:pPr>
            <w:r w:rsidRPr="0047058F">
              <w:rPr>
                <w:rFonts w:cs="Arial"/>
                <w:bCs/>
              </w:rPr>
              <w:t>SE</w:t>
            </w:r>
          </w:p>
        </w:tc>
        <w:tc>
          <w:tcPr>
            <w:tcW w:w="631" w:type="dxa"/>
          </w:tcPr>
          <w:p w14:paraId="37667A9A" w14:textId="77777777" w:rsidR="00B93A94" w:rsidRPr="0047058F" w:rsidRDefault="00B93A94" w:rsidP="00D009A2">
            <w:pPr>
              <w:pStyle w:val="TableText"/>
              <w:jc w:val="right"/>
              <w:rPr>
                <w:rFonts w:cs="Arial"/>
                <w:bCs/>
              </w:rPr>
            </w:pPr>
            <w:r w:rsidRPr="0047058F">
              <w:rPr>
                <w:rFonts w:cs="Arial"/>
                <w:bCs/>
              </w:rPr>
              <w:t>Mean</w:t>
            </w:r>
          </w:p>
        </w:tc>
        <w:tc>
          <w:tcPr>
            <w:tcW w:w="631" w:type="dxa"/>
          </w:tcPr>
          <w:p w14:paraId="717A2CD3" w14:textId="77777777" w:rsidR="00B93A94" w:rsidRPr="0047058F" w:rsidRDefault="00B93A94" w:rsidP="00D009A2">
            <w:pPr>
              <w:pStyle w:val="TableText"/>
              <w:jc w:val="right"/>
              <w:rPr>
                <w:rFonts w:cs="Arial"/>
                <w:bCs/>
              </w:rPr>
            </w:pPr>
            <w:r w:rsidRPr="0047058F">
              <w:rPr>
                <w:rFonts w:cs="Arial"/>
                <w:bCs/>
              </w:rPr>
              <w:t>SE</w:t>
            </w:r>
          </w:p>
        </w:tc>
        <w:tc>
          <w:tcPr>
            <w:tcW w:w="631" w:type="dxa"/>
          </w:tcPr>
          <w:p w14:paraId="77169468" w14:textId="77777777" w:rsidR="00B93A94" w:rsidRPr="0047058F" w:rsidRDefault="00B93A94" w:rsidP="00D009A2">
            <w:pPr>
              <w:pStyle w:val="TableText"/>
              <w:jc w:val="right"/>
              <w:rPr>
                <w:rFonts w:cs="Arial"/>
                <w:bCs/>
              </w:rPr>
            </w:pPr>
            <w:r w:rsidRPr="0047058F">
              <w:rPr>
                <w:rFonts w:cs="Arial"/>
                <w:bCs/>
              </w:rPr>
              <w:t>Mean</w:t>
            </w:r>
          </w:p>
        </w:tc>
        <w:tc>
          <w:tcPr>
            <w:tcW w:w="632" w:type="dxa"/>
          </w:tcPr>
          <w:p w14:paraId="3848606E" w14:textId="77777777" w:rsidR="00B93A94" w:rsidRPr="0047058F" w:rsidRDefault="00B93A94" w:rsidP="00D009A2">
            <w:pPr>
              <w:pStyle w:val="TableText"/>
              <w:jc w:val="right"/>
              <w:rPr>
                <w:rFonts w:cs="Arial"/>
                <w:bCs/>
              </w:rPr>
            </w:pPr>
            <w:r w:rsidRPr="0047058F">
              <w:rPr>
                <w:rFonts w:cs="Arial"/>
                <w:bCs/>
              </w:rPr>
              <w:t>SE</w:t>
            </w:r>
          </w:p>
        </w:tc>
      </w:tr>
      <w:tr w:rsidR="00B93A94" w:rsidRPr="0047058F" w14:paraId="47292A25"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3528" w:type="dxa"/>
          </w:tcPr>
          <w:p w14:paraId="0BC0B234" w14:textId="77777777" w:rsidR="00B93A94" w:rsidRPr="0047058F" w:rsidRDefault="00B93A94" w:rsidP="00D009A2">
            <w:pPr>
              <w:pStyle w:val="TableText"/>
              <w:rPr>
                <w:rFonts w:cs="Calibri"/>
                <w:szCs w:val="14"/>
              </w:rPr>
            </w:pPr>
            <w:r w:rsidRPr="0047058F">
              <w:rPr>
                <w:rFonts w:cs="Calibri"/>
                <w:szCs w:val="14"/>
              </w:rPr>
              <w:t>2010 ADF Mental Health Prevalence and Wellbeing Study</w:t>
            </w:r>
          </w:p>
        </w:tc>
        <w:tc>
          <w:tcPr>
            <w:tcW w:w="631" w:type="dxa"/>
          </w:tcPr>
          <w:p w14:paraId="7A8138D9" w14:textId="77777777" w:rsidR="00B93A94" w:rsidRPr="0047058F" w:rsidRDefault="00B93A94" w:rsidP="00D009A2">
            <w:pPr>
              <w:pStyle w:val="TableText"/>
              <w:jc w:val="right"/>
              <w:rPr>
                <w:szCs w:val="14"/>
              </w:rPr>
            </w:pPr>
            <w:r w:rsidRPr="0047058F">
              <w:rPr>
                <w:rFonts w:eastAsia="Times New Roman" w:cs="Arial"/>
                <w:szCs w:val="14"/>
              </w:rPr>
              <w:t>7.7</w:t>
            </w:r>
          </w:p>
        </w:tc>
        <w:tc>
          <w:tcPr>
            <w:tcW w:w="631" w:type="dxa"/>
          </w:tcPr>
          <w:p w14:paraId="4A6ED35E" w14:textId="77777777" w:rsidR="00B93A94" w:rsidRPr="0047058F" w:rsidRDefault="00B93A94" w:rsidP="00D009A2">
            <w:pPr>
              <w:pStyle w:val="TableText"/>
              <w:jc w:val="right"/>
              <w:rPr>
                <w:szCs w:val="14"/>
              </w:rPr>
            </w:pPr>
            <w:r w:rsidRPr="0047058F">
              <w:rPr>
                <w:rFonts w:eastAsia="Times New Roman" w:cs="Arial"/>
                <w:szCs w:val="14"/>
              </w:rPr>
              <w:t>0.1</w:t>
            </w:r>
          </w:p>
        </w:tc>
        <w:tc>
          <w:tcPr>
            <w:tcW w:w="631" w:type="dxa"/>
          </w:tcPr>
          <w:p w14:paraId="18AFA4C7" w14:textId="77777777" w:rsidR="00B93A94" w:rsidRPr="0047058F" w:rsidRDefault="00B93A94" w:rsidP="00D009A2">
            <w:pPr>
              <w:pStyle w:val="TableText"/>
              <w:jc w:val="right"/>
              <w:rPr>
                <w:szCs w:val="14"/>
              </w:rPr>
            </w:pPr>
            <w:r w:rsidRPr="0047058F">
              <w:rPr>
                <w:rFonts w:eastAsia="Times New Roman" w:cs="Arial"/>
                <w:szCs w:val="14"/>
              </w:rPr>
              <w:t>7.0</w:t>
            </w:r>
          </w:p>
        </w:tc>
        <w:tc>
          <w:tcPr>
            <w:tcW w:w="631" w:type="dxa"/>
          </w:tcPr>
          <w:p w14:paraId="255121CA" w14:textId="77777777" w:rsidR="00B93A94" w:rsidRPr="0047058F" w:rsidRDefault="00B93A94" w:rsidP="00D009A2">
            <w:pPr>
              <w:pStyle w:val="TableText"/>
              <w:jc w:val="right"/>
              <w:rPr>
                <w:szCs w:val="14"/>
              </w:rPr>
            </w:pPr>
            <w:r w:rsidRPr="0047058F">
              <w:rPr>
                <w:rFonts w:eastAsia="Times New Roman" w:cs="Arial"/>
                <w:szCs w:val="14"/>
              </w:rPr>
              <w:t>0.0</w:t>
            </w:r>
          </w:p>
        </w:tc>
        <w:tc>
          <w:tcPr>
            <w:tcW w:w="631" w:type="dxa"/>
          </w:tcPr>
          <w:p w14:paraId="3489FE67" w14:textId="77777777" w:rsidR="00B93A94" w:rsidRPr="0047058F" w:rsidRDefault="00B93A94" w:rsidP="00D009A2">
            <w:pPr>
              <w:pStyle w:val="TableText"/>
              <w:jc w:val="right"/>
              <w:rPr>
                <w:szCs w:val="14"/>
              </w:rPr>
            </w:pPr>
            <w:r w:rsidRPr="0047058F">
              <w:rPr>
                <w:rFonts w:eastAsia="Times New Roman" w:cs="Arial"/>
                <w:szCs w:val="14"/>
              </w:rPr>
              <w:t>7.2</w:t>
            </w:r>
          </w:p>
        </w:tc>
        <w:tc>
          <w:tcPr>
            <w:tcW w:w="632" w:type="dxa"/>
          </w:tcPr>
          <w:p w14:paraId="2CF17BDA" w14:textId="77777777" w:rsidR="00B93A94" w:rsidRPr="0047058F" w:rsidRDefault="00B93A94" w:rsidP="00D009A2">
            <w:pPr>
              <w:pStyle w:val="TableText"/>
              <w:jc w:val="right"/>
              <w:rPr>
                <w:szCs w:val="14"/>
              </w:rPr>
            </w:pPr>
            <w:r w:rsidRPr="0047058F">
              <w:rPr>
                <w:rFonts w:eastAsia="Times New Roman" w:cs="Arial"/>
                <w:szCs w:val="14"/>
              </w:rPr>
              <w:t>0.0</w:t>
            </w:r>
          </w:p>
        </w:tc>
      </w:tr>
      <w:tr w:rsidR="00B93A94" w:rsidRPr="0047058F" w14:paraId="111698C6" w14:textId="77777777" w:rsidTr="00D009A2">
        <w:trPr>
          <w:cantSplit/>
        </w:trPr>
        <w:tc>
          <w:tcPr>
            <w:tcW w:w="3528" w:type="dxa"/>
          </w:tcPr>
          <w:p w14:paraId="1142A004" w14:textId="77777777" w:rsidR="00B93A94" w:rsidRPr="0047058F" w:rsidRDefault="00B93A94" w:rsidP="00D009A2">
            <w:pPr>
              <w:pStyle w:val="TableText"/>
              <w:rPr>
                <w:rFonts w:cs="Calibri"/>
                <w:szCs w:val="14"/>
              </w:rPr>
            </w:pPr>
            <w:r w:rsidRPr="0047058F">
              <w:rPr>
                <w:rFonts w:cs="Calibri"/>
                <w:szCs w:val="14"/>
              </w:rPr>
              <w:t>2015 Transition and Wellbeing Research Programme</w:t>
            </w:r>
          </w:p>
        </w:tc>
        <w:tc>
          <w:tcPr>
            <w:tcW w:w="631" w:type="dxa"/>
          </w:tcPr>
          <w:p w14:paraId="4401735F" w14:textId="77777777" w:rsidR="00B93A94" w:rsidRPr="0047058F" w:rsidRDefault="00B93A94" w:rsidP="00D009A2">
            <w:pPr>
              <w:pStyle w:val="TableText"/>
              <w:jc w:val="right"/>
              <w:rPr>
                <w:szCs w:val="14"/>
              </w:rPr>
            </w:pPr>
            <w:r w:rsidRPr="0047058F">
              <w:rPr>
                <w:rFonts w:eastAsia="Times New Roman" w:cs="Arial"/>
                <w:szCs w:val="14"/>
              </w:rPr>
              <w:t>9.1</w:t>
            </w:r>
          </w:p>
        </w:tc>
        <w:tc>
          <w:tcPr>
            <w:tcW w:w="631" w:type="dxa"/>
          </w:tcPr>
          <w:p w14:paraId="06B3ED04" w14:textId="77777777" w:rsidR="00B93A94" w:rsidRPr="0047058F" w:rsidRDefault="00B93A94" w:rsidP="00D009A2">
            <w:pPr>
              <w:pStyle w:val="TableText"/>
              <w:jc w:val="right"/>
              <w:rPr>
                <w:szCs w:val="14"/>
              </w:rPr>
            </w:pPr>
            <w:r w:rsidRPr="0047058F">
              <w:rPr>
                <w:rFonts w:eastAsia="Times New Roman" w:cs="Arial"/>
                <w:szCs w:val="14"/>
              </w:rPr>
              <w:t>0.1</w:t>
            </w:r>
          </w:p>
        </w:tc>
        <w:tc>
          <w:tcPr>
            <w:tcW w:w="631" w:type="dxa"/>
          </w:tcPr>
          <w:p w14:paraId="3F985C57" w14:textId="77777777" w:rsidR="00B93A94" w:rsidRPr="0047058F" w:rsidRDefault="00B93A94" w:rsidP="00D009A2">
            <w:pPr>
              <w:pStyle w:val="TableText"/>
              <w:jc w:val="right"/>
              <w:rPr>
                <w:szCs w:val="14"/>
              </w:rPr>
            </w:pPr>
            <w:r w:rsidRPr="0047058F">
              <w:rPr>
                <w:rFonts w:eastAsia="Times New Roman" w:cs="Arial"/>
                <w:szCs w:val="14"/>
              </w:rPr>
              <w:t>7.7</w:t>
            </w:r>
          </w:p>
        </w:tc>
        <w:tc>
          <w:tcPr>
            <w:tcW w:w="631" w:type="dxa"/>
          </w:tcPr>
          <w:p w14:paraId="531B3DB0" w14:textId="77777777" w:rsidR="00B93A94" w:rsidRPr="0047058F" w:rsidRDefault="00B93A94" w:rsidP="00D009A2">
            <w:pPr>
              <w:pStyle w:val="TableText"/>
              <w:jc w:val="right"/>
              <w:rPr>
                <w:szCs w:val="14"/>
              </w:rPr>
            </w:pPr>
            <w:r w:rsidRPr="0047058F">
              <w:rPr>
                <w:rFonts w:eastAsia="Times New Roman" w:cs="Arial"/>
                <w:szCs w:val="14"/>
              </w:rPr>
              <w:t>0.0</w:t>
            </w:r>
          </w:p>
        </w:tc>
        <w:tc>
          <w:tcPr>
            <w:tcW w:w="631" w:type="dxa"/>
          </w:tcPr>
          <w:p w14:paraId="571A58BC" w14:textId="77777777" w:rsidR="00B93A94" w:rsidRPr="0047058F" w:rsidRDefault="00B93A94" w:rsidP="00D009A2">
            <w:pPr>
              <w:pStyle w:val="TableText"/>
              <w:jc w:val="right"/>
              <w:rPr>
                <w:szCs w:val="14"/>
              </w:rPr>
            </w:pPr>
            <w:r w:rsidRPr="0047058F">
              <w:rPr>
                <w:rFonts w:eastAsia="Times New Roman" w:cs="Arial"/>
                <w:szCs w:val="14"/>
              </w:rPr>
              <w:t>8.0</w:t>
            </w:r>
          </w:p>
        </w:tc>
        <w:tc>
          <w:tcPr>
            <w:tcW w:w="632" w:type="dxa"/>
          </w:tcPr>
          <w:p w14:paraId="28CB0F4C" w14:textId="77777777" w:rsidR="00B93A94" w:rsidRPr="0047058F" w:rsidRDefault="00B93A94" w:rsidP="00D009A2">
            <w:pPr>
              <w:pStyle w:val="TableText"/>
              <w:jc w:val="right"/>
              <w:rPr>
                <w:szCs w:val="14"/>
              </w:rPr>
            </w:pPr>
            <w:r w:rsidRPr="0047058F">
              <w:rPr>
                <w:rFonts w:eastAsia="Times New Roman" w:cs="Arial"/>
                <w:szCs w:val="14"/>
              </w:rPr>
              <w:t>0.0</w:t>
            </w:r>
          </w:p>
        </w:tc>
      </w:tr>
    </w:tbl>
    <w:p w14:paraId="2AEFA651" w14:textId="77777777" w:rsidR="00B93A94" w:rsidRPr="0047058F" w:rsidRDefault="00B93A94" w:rsidP="00B93A94">
      <w:pPr>
        <w:pStyle w:val="TableNotes"/>
      </w:pPr>
      <w:r w:rsidRPr="0047058F">
        <w:t>Note: Unweighted data.</w:t>
      </w:r>
    </w:p>
    <w:p w14:paraId="46CC48B8" w14:textId="77777777" w:rsidR="00B93A94" w:rsidRPr="0047058F" w:rsidRDefault="00B93A94" w:rsidP="00B93A94">
      <w:pPr>
        <w:pStyle w:val="FigureName"/>
      </w:pPr>
      <w:bookmarkStart w:id="383" w:name="_Ref387057349"/>
      <w:bookmarkStart w:id="384" w:name="_Toc529117585"/>
      <w:bookmarkStart w:id="385" w:name="_Toc532473658"/>
      <w:r w:rsidRPr="0047058F">
        <w:t>Figure 5.21</w:t>
      </w:r>
      <w:bookmarkEnd w:id="383"/>
      <w:r w:rsidRPr="0047058F">
        <w:tab/>
        <w:t>Mean DAR-5 scores in Transitioned ADF and 2015 Regular ADF in the longitudinal cohort</w:t>
      </w:r>
      <w:bookmarkEnd w:id="384"/>
      <w:bookmarkEnd w:id="385"/>
    </w:p>
    <w:p w14:paraId="260E85C6" w14:textId="77777777" w:rsidR="00D14F71" w:rsidRPr="0047058F" w:rsidRDefault="00B93A94" w:rsidP="00D14F71">
      <w:pPr>
        <w:spacing w:after="360"/>
      </w:pPr>
      <w:r w:rsidRPr="0047058F">
        <w:rPr>
          <w:noProof/>
          <w:lang w:eastAsia="en-AU"/>
        </w:rPr>
        <w:drawing>
          <wp:inline distT="0" distB="0" distL="0" distR="0" wp14:anchorId="51C7C5A9" wp14:editId="23A42E9B">
            <wp:extent cx="4572000" cy="2743200"/>
            <wp:effectExtent l="0" t="0" r="0" b="0"/>
            <wp:docPr id="36" name="Chart 36" descr="Figure 5.21 Mean DAR-5 scores in Transitioned ADF and 2015 Regular ADF in the longitudina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2EC8FC" w14:textId="77777777" w:rsidR="00B93A94" w:rsidRPr="0047058F" w:rsidRDefault="00B93A94" w:rsidP="00B93A94">
      <w:r w:rsidRPr="0047058F">
        <w:t>Table 5.22 and Figure 5.22, Table 5.23 and Figure 5.23, and Table 5.24 and Figure 5.24 show the p</w:t>
      </w:r>
      <w:r w:rsidRPr="0047058F">
        <w:rPr>
          <w:bCs/>
        </w:rPr>
        <w:t>roportion of those reporting problem anger on the DAR-5 in 2010 cross-tabulated by the same grouping of DAR-5 problem anger scores in 2015 among the entire longitudinal cohort, and according to whether they had transitioned or remained in the Regular ADF in 2015.</w:t>
      </w:r>
    </w:p>
    <w:p w14:paraId="1BE12D09" w14:textId="77777777" w:rsidR="00B93A94" w:rsidRPr="0047058F" w:rsidRDefault="00B93A94" w:rsidP="00B93A94">
      <w:pPr>
        <w:rPr>
          <w:lang w:eastAsia="en-AU"/>
        </w:rPr>
      </w:pPr>
      <w:r w:rsidRPr="0047058F">
        <w:rPr>
          <w:lang w:eastAsia="en-AU"/>
        </w:rPr>
        <w:t>Problem anger was defined as total scores more than or equal to 12 on the DAR-5. Problem anger increased from 2010 to 2015, with 8.6% of participants reporting problem anger in 2010 and 16.2% in 2015. Of those reporting no problem anger in 2010, 12.9% became new problem anger cases in 2015. Of the participants who were problem anger cases in 2010, just under half (48.2%) no longer met criteria to be a case in 2015.</w:t>
      </w:r>
    </w:p>
    <w:p w14:paraId="39C820CA" w14:textId="77777777" w:rsidR="00AA7A7D" w:rsidRPr="0047058F" w:rsidRDefault="00AA7A7D" w:rsidP="00B93A94">
      <w:pPr>
        <w:rPr>
          <w:lang w:eastAsia="en-AU"/>
        </w:rPr>
      </w:pPr>
      <w:bookmarkStart w:id="386" w:name="_Ref384558566"/>
      <w:bookmarkStart w:id="387" w:name="_Toc529117534"/>
      <w:r w:rsidRPr="0047058F">
        <w:rPr>
          <w:lang w:eastAsia="en-AU"/>
        </w:rPr>
        <w:t>Among those who had transitioned, 12.0% reported problem anger in 2010, increasing to 24.8% in 2015. A substantial 19.9% of those reporting no problem anger in 2010 became new cases in 2015. The majority of problem anger cases in 2010 were still cases in 2015 (61.3%), with only 38.7% moving below the cut-off in 2015.</w:t>
      </w:r>
    </w:p>
    <w:p w14:paraId="653F7A67" w14:textId="77777777" w:rsidR="00AA7A7D" w:rsidRPr="0047058F" w:rsidRDefault="00AA7A7D" w:rsidP="00B93A94">
      <w:pPr>
        <w:rPr>
          <w:lang w:eastAsia="en-AU"/>
        </w:rPr>
      </w:pPr>
      <w:r w:rsidRPr="0047058F">
        <w:rPr>
          <w:lang w:eastAsia="en-AU"/>
        </w:rPr>
        <w:t>Among those who remained in the Regular ADF, there was a lower proportion of problem anger cases at both time points than those who had transitioned. In 2010, 7.3% were problem anger cases, and this increased to 13.0% in 2015. Of those reporting no problem anger in 2010, only 10.4% became new cases in 2015. Of those reporting problem anger in 2010, over half (54.0%) no longer met criteria in 2015.</w:t>
      </w:r>
    </w:p>
    <w:p w14:paraId="4F47B9AD" w14:textId="77777777" w:rsidR="00AA7A7D" w:rsidRPr="0047058F" w:rsidRDefault="00AA7A7D" w:rsidP="00B93A94">
      <w:r w:rsidRPr="0047058F">
        <w:t>When comparing Transitioned ADF and 2015 Regular ADF, more Transitioned ADF who met criteria for DAR-5 problem anger in 2010 did again in 2015 (61.3% vs 46.0%).</w:t>
      </w:r>
    </w:p>
    <w:p w14:paraId="288982AB" w14:textId="557066A2" w:rsidR="00B93A94" w:rsidRPr="0047058F" w:rsidRDefault="00B93A94" w:rsidP="00B93A94">
      <w:pPr>
        <w:pStyle w:val="TableName"/>
        <w:rPr>
          <w:lang w:eastAsia="en-AU"/>
        </w:rPr>
      </w:pPr>
      <w:bookmarkStart w:id="388" w:name="_Toc532473604"/>
      <w:r w:rsidRPr="0047058F">
        <w:t>Table 5.22</w:t>
      </w:r>
      <w:bookmarkEnd w:id="386"/>
      <w:r w:rsidRPr="0047058F">
        <w:tab/>
        <w:t xml:space="preserve">Proportion of </w:t>
      </w:r>
      <w:r w:rsidRPr="0047058F">
        <w:rPr>
          <w:u w:val="single"/>
        </w:rPr>
        <w:t>entire longitudinal cohort</w:t>
      </w:r>
      <w:r w:rsidRPr="0047058F">
        <w:t xml:space="preserve"> with DAR-5 problem anger (total ≥ 12) in 2010 and 2015 based on self-reported measures</w:t>
      </w:r>
      <w:bookmarkEnd w:id="387"/>
      <w:bookmarkEnd w:id="388"/>
    </w:p>
    <w:tbl>
      <w:tblPr>
        <w:tblStyle w:val="TWRPTable"/>
        <w:tblW w:w="5000" w:type="pct"/>
        <w:tblLayout w:type="fixed"/>
        <w:tblLook w:val="04A0" w:firstRow="1" w:lastRow="0" w:firstColumn="1" w:lastColumn="0" w:noHBand="0" w:noVBand="1"/>
        <w:tblDescription w:val="Table 5.22 Proportion of entire longitudinal cohort with DAR-5 problem anger (total ≥ 12) in 2010 and 2015 based on self-reported measures"/>
      </w:tblPr>
      <w:tblGrid>
        <w:gridCol w:w="1998"/>
        <w:gridCol w:w="879"/>
        <w:gridCol w:w="880"/>
        <w:gridCol w:w="889"/>
        <w:gridCol w:w="890"/>
        <w:gridCol w:w="889"/>
        <w:gridCol w:w="890"/>
      </w:tblGrid>
      <w:tr w:rsidR="00B93A94" w:rsidRPr="0047058F" w14:paraId="41D75E99"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val="restart"/>
          </w:tcPr>
          <w:p w14:paraId="3E66B024" w14:textId="77777777" w:rsidR="00B93A94" w:rsidRPr="0047058F" w:rsidRDefault="00B93A94" w:rsidP="00D009A2">
            <w:pPr>
              <w:pStyle w:val="TableText"/>
            </w:pPr>
            <w:r w:rsidRPr="0047058F">
              <w:t>2010 ADF Mental Health Prevalence and Wellbeing Study</w:t>
            </w:r>
          </w:p>
        </w:tc>
        <w:tc>
          <w:tcPr>
            <w:tcW w:w="3558" w:type="dxa"/>
            <w:gridSpan w:val="4"/>
          </w:tcPr>
          <w:p w14:paraId="04801CA3" w14:textId="77777777" w:rsidR="00B93A94" w:rsidRPr="0047058F" w:rsidRDefault="00B93A94" w:rsidP="00D009A2">
            <w:pPr>
              <w:pStyle w:val="TableText"/>
              <w:jc w:val="center"/>
            </w:pPr>
            <w:r w:rsidRPr="0047058F">
              <w:t>2015 Transition and Wellbeing Research Programme</w:t>
            </w:r>
          </w:p>
        </w:tc>
      </w:tr>
      <w:tr w:rsidR="00B93A94" w:rsidRPr="0047058F" w14:paraId="37BE3364"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57" w:type="dxa"/>
            <w:gridSpan w:val="3"/>
            <w:vMerge/>
          </w:tcPr>
          <w:p w14:paraId="7E54F50F" w14:textId="77777777" w:rsidR="00B93A94" w:rsidRPr="0047058F" w:rsidRDefault="00B93A94" w:rsidP="00D009A2">
            <w:pPr>
              <w:pStyle w:val="TableText"/>
            </w:pPr>
          </w:p>
        </w:tc>
        <w:tc>
          <w:tcPr>
            <w:tcW w:w="1779" w:type="dxa"/>
            <w:gridSpan w:val="2"/>
            <w:hideMark/>
          </w:tcPr>
          <w:p w14:paraId="1C4A4CB8" w14:textId="77777777" w:rsidR="00B93A94" w:rsidRPr="0047058F" w:rsidRDefault="00B93A94" w:rsidP="00D009A2">
            <w:pPr>
              <w:pStyle w:val="TableText"/>
              <w:jc w:val="center"/>
            </w:pPr>
            <w:r w:rsidRPr="0047058F">
              <w:t>No problem anger</w:t>
            </w:r>
          </w:p>
        </w:tc>
        <w:tc>
          <w:tcPr>
            <w:tcW w:w="1779" w:type="dxa"/>
            <w:gridSpan w:val="2"/>
          </w:tcPr>
          <w:p w14:paraId="696DE384" w14:textId="77777777" w:rsidR="00B93A94" w:rsidRPr="0047058F" w:rsidRDefault="00B93A94" w:rsidP="00D009A2">
            <w:pPr>
              <w:pStyle w:val="TableText"/>
              <w:jc w:val="center"/>
            </w:pPr>
            <w:r w:rsidRPr="0047058F">
              <w:t>Problem anger</w:t>
            </w:r>
          </w:p>
        </w:tc>
      </w:tr>
      <w:tr w:rsidR="00B93A94" w:rsidRPr="0047058F" w14:paraId="6481EEBA"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1998" w:type="dxa"/>
          </w:tcPr>
          <w:p w14:paraId="16C66783" w14:textId="77777777" w:rsidR="00B93A94" w:rsidRPr="0047058F" w:rsidRDefault="00B93A94" w:rsidP="00D009A2">
            <w:pPr>
              <w:pStyle w:val="TableText"/>
            </w:pPr>
            <w:r w:rsidRPr="0047058F">
              <w:rPr>
                <w:rFonts w:cs="Arial"/>
              </w:rPr>
              <w:t>DAR-5</w:t>
            </w:r>
          </w:p>
        </w:tc>
        <w:tc>
          <w:tcPr>
            <w:tcW w:w="879" w:type="dxa"/>
          </w:tcPr>
          <w:p w14:paraId="547DBA72" w14:textId="77777777" w:rsidR="00B93A94" w:rsidRPr="0047058F" w:rsidRDefault="00B93A94" w:rsidP="00D009A2">
            <w:pPr>
              <w:pStyle w:val="TableText"/>
              <w:jc w:val="right"/>
              <w:rPr>
                <w:rFonts w:cs="Arial"/>
              </w:rPr>
            </w:pPr>
            <w:r w:rsidRPr="0047058F">
              <w:rPr>
                <w:rFonts w:cs="Arial"/>
              </w:rPr>
              <w:t>n</w:t>
            </w:r>
          </w:p>
        </w:tc>
        <w:tc>
          <w:tcPr>
            <w:tcW w:w="880" w:type="dxa"/>
          </w:tcPr>
          <w:p w14:paraId="7666878B" w14:textId="77777777" w:rsidR="00B93A94" w:rsidRPr="0047058F" w:rsidRDefault="00B93A94" w:rsidP="00D009A2">
            <w:pPr>
              <w:pStyle w:val="TableText"/>
              <w:jc w:val="right"/>
              <w:rPr>
                <w:rFonts w:cs="Arial"/>
              </w:rPr>
            </w:pPr>
            <w:r w:rsidRPr="0047058F">
              <w:rPr>
                <w:rFonts w:cs="Arial"/>
              </w:rPr>
              <w:t>%</w:t>
            </w:r>
          </w:p>
        </w:tc>
        <w:tc>
          <w:tcPr>
            <w:tcW w:w="889" w:type="dxa"/>
          </w:tcPr>
          <w:p w14:paraId="566AE16C" w14:textId="77777777" w:rsidR="00B93A94" w:rsidRPr="0047058F" w:rsidRDefault="00B93A94" w:rsidP="00D009A2">
            <w:pPr>
              <w:pStyle w:val="TableText"/>
              <w:jc w:val="right"/>
              <w:rPr>
                <w:rFonts w:cs="Arial"/>
              </w:rPr>
            </w:pPr>
            <w:r w:rsidRPr="0047058F">
              <w:rPr>
                <w:rFonts w:cs="Arial"/>
              </w:rPr>
              <w:t>n</w:t>
            </w:r>
          </w:p>
        </w:tc>
        <w:tc>
          <w:tcPr>
            <w:tcW w:w="890" w:type="dxa"/>
          </w:tcPr>
          <w:p w14:paraId="5D56C4E0" w14:textId="77777777" w:rsidR="00B93A94" w:rsidRPr="0047058F" w:rsidRDefault="00B93A94" w:rsidP="00D009A2">
            <w:pPr>
              <w:pStyle w:val="TableText"/>
              <w:jc w:val="right"/>
              <w:rPr>
                <w:rFonts w:cs="Arial"/>
              </w:rPr>
            </w:pPr>
            <w:r w:rsidRPr="0047058F">
              <w:rPr>
                <w:rFonts w:cs="Arial"/>
              </w:rPr>
              <w:t>%</w:t>
            </w:r>
          </w:p>
        </w:tc>
        <w:tc>
          <w:tcPr>
            <w:tcW w:w="889" w:type="dxa"/>
          </w:tcPr>
          <w:p w14:paraId="64CB9AA4" w14:textId="77777777" w:rsidR="00B93A94" w:rsidRPr="0047058F" w:rsidRDefault="00B93A94" w:rsidP="00D009A2">
            <w:pPr>
              <w:pStyle w:val="TableText"/>
              <w:jc w:val="right"/>
              <w:rPr>
                <w:rFonts w:cs="Arial"/>
              </w:rPr>
            </w:pPr>
            <w:r w:rsidRPr="0047058F">
              <w:rPr>
                <w:rFonts w:cs="Arial"/>
              </w:rPr>
              <w:t>n</w:t>
            </w:r>
          </w:p>
        </w:tc>
        <w:tc>
          <w:tcPr>
            <w:tcW w:w="890" w:type="dxa"/>
          </w:tcPr>
          <w:p w14:paraId="71F87A8A" w14:textId="77777777" w:rsidR="00B93A94" w:rsidRPr="0047058F" w:rsidRDefault="00B93A94" w:rsidP="00D009A2">
            <w:pPr>
              <w:pStyle w:val="TableText"/>
              <w:jc w:val="right"/>
              <w:rPr>
                <w:rFonts w:cs="Arial"/>
              </w:rPr>
            </w:pPr>
            <w:r w:rsidRPr="0047058F">
              <w:rPr>
                <w:rFonts w:cs="Arial"/>
              </w:rPr>
              <w:t>%</w:t>
            </w:r>
          </w:p>
        </w:tc>
      </w:tr>
      <w:tr w:rsidR="00B93A94" w:rsidRPr="0047058F" w14:paraId="05584F44"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98" w:type="dxa"/>
          </w:tcPr>
          <w:p w14:paraId="67B0334E" w14:textId="77777777" w:rsidR="00B93A94" w:rsidRPr="0047058F" w:rsidRDefault="00B93A94" w:rsidP="00D009A2">
            <w:pPr>
              <w:pStyle w:val="TableText"/>
              <w:rPr>
                <w:rFonts w:cs="Calibri"/>
                <w:szCs w:val="14"/>
              </w:rPr>
            </w:pPr>
            <w:r w:rsidRPr="0047058F">
              <w:rPr>
                <w:rFonts w:cs="Calibri"/>
                <w:szCs w:val="14"/>
              </w:rPr>
              <w:t>No problem anger</w:t>
            </w:r>
          </w:p>
        </w:tc>
        <w:tc>
          <w:tcPr>
            <w:tcW w:w="879" w:type="dxa"/>
          </w:tcPr>
          <w:p w14:paraId="6DAD1A17" w14:textId="77777777" w:rsidR="00B93A94" w:rsidRPr="0047058F" w:rsidRDefault="00B93A94" w:rsidP="00D009A2">
            <w:pPr>
              <w:pStyle w:val="TableText"/>
              <w:jc w:val="right"/>
              <w:rPr>
                <w:szCs w:val="14"/>
              </w:rPr>
            </w:pPr>
            <w:r w:rsidRPr="0047058F">
              <w:rPr>
                <w:rFonts w:eastAsia="Times New Roman" w:cs="Arial"/>
                <w:szCs w:val="14"/>
              </w:rPr>
              <w:t>7064</w:t>
            </w:r>
          </w:p>
        </w:tc>
        <w:tc>
          <w:tcPr>
            <w:tcW w:w="880" w:type="dxa"/>
          </w:tcPr>
          <w:p w14:paraId="24CECDA2"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91.4</w:t>
            </w:r>
          </w:p>
        </w:tc>
        <w:tc>
          <w:tcPr>
            <w:tcW w:w="889" w:type="dxa"/>
          </w:tcPr>
          <w:p w14:paraId="2CB37B45" w14:textId="77777777" w:rsidR="00B93A94" w:rsidRPr="0047058F" w:rsidRDefault="00B93A94" w:rsidP="00D009A2">
            <w:pPr>
              <w:pStyle w:val="TableText"/>
              <w:jc w:val="right"/>
              <w:rPr>
                <w:szCs w:val="14"/>
              </w:rPr>
            </w:pPr>
            <w:r w:rsidRPr="0047058F">
              <w:rPr>
                <w:rFonts w:eastAsia="Times New Roman" w:cs="Arial"/>
                <w:szCs w:val="14"/>
              </w:rPr>
              <w:t>6155</w:t>
            </w:r>
          </w:p>
        </w:tc>
        <w:tc>
          <w:tcPr>
            <w:tcW w:w="890" w:type="dxa"/>
          </w:tcPr>
          <w:p w14:paraId="7C8CE17A" w14:textId="77777777" w:rsidR="00B93A94" w:rsidRPr="0047058F" w:rsidRDefault="00B93A94" w:rsidP="00D009A2">
            <w:pPr>
              <w:pStyle w:val="TableText"/>
              <w:jc w:val="right"/>
              <w:rPr>
                <w:szCs w:val="14"/>
              </w:rPr>
            </w:pPr>
            <w:r w:rsidRPr="0047058F">
              <w:rPr>
                <w:rFonts w:eastAsia="Times New Roman" w:cs="Arial"/>
                <w:szCs w:val="14"/>
              </w:rPr>
              <w:t>87.1</w:t>
            </w:r>
          </w:p>
        </w:tc>
        <w:tc>
          <w:tcPr>
            <w:tcW w:w="889" w:type="dxa"/>
          </w:tcPr>
          <w:p w14:paraId="43B2F63D" w14:textId="77777777" w:rsidR="00B93A94" w:rsidRPr="0047058F" w:rsidRDefault="00B93A94" w:rsidP="00D009A2">
            <w:pPr>
              <w:pStyle w:val="TableText"/>
              <w:jc w:val="right"/>
              <w:rPr>
                <w:szCs w:val="14"/>
              </w:rPr>
            </w:pPr>
            <w:r w:rsidRPr="0047058F">
              <w:rPr>
                <w:rFonts w:eastAsia="Times New Roman" w:cs="Arial"/>
                <w:szCs w:val="14"/>
              </w:rPr>
              <w:t>909</w:t>
            </w:r>
          </w:p>
        </w:tc>
        <w:tc>
          <w:tcPr>
            <w:tcW w:w="890" w:type="dxa"/>
          </w:tcPr>
          <w:p w14:paraId="439D51CF" w14:textId="77777777" w:rsidR="00B93A94" w:rsidRPr="0047058F" w:rsidRDefault="00B93A94" w:rsidP="00D009A2">
            <w:pPr>
              <w:pStyle w:val="TableText"/>
              <w:jc w:val="right"/>
              <w:rPr>
                <w:szCs w:val="14"/>
              </w:rPr>
            </w:pPr>
            <w:r w:rsidRPr="0047058F">
              <w:rPr>
                <w:rFonts w:eastAsia="Times New Roman" w:cs="Arial"/>
                <w:szCs w:val="14"/>
              </w:rPr>
              <w:t>12.9</w:t>
            </w:r>
          </w:p>
        </w:tc>
      </w:tr>
      <w:tr w:rsidR="00B93A94" w:rsidRPr="0047058F" w14:paraId="07CFA006" w14:textId="77777777" w:rsidTr="00D009A2">
        <w:trPr>
          <w:cantSplit/>
        </w:trPr>
        <w:tc>
          <w:tcPr>
            <w:tcW w:w="1998" w:type="dxa"/>
          </w:tcPr>
          <w:p w14:paraId="27E587BF" w14:textId="77777777" w:rsidR="00B93A94" w:rsidRPr="0047058F" w:rsidRDefault="00B93A94" w:rsidP="00D009A2">
            <w:pPr>
              <w:pStyle w:val="TableText"/>
              <w:rPr>
                <w:rFonts w:cs="Calibri"/>
                <w:szCs w:val="14"/>
              </w:rPr>
            </w:pPr>
            <w:r w:rsidRPr="0047058F">
              <w:rPr>
                <w:rFonts w:cs="Calibri"/>
                <w:szCs w:val="14"/>
              </w:rPr>
              <w:t>Problem anger</w:t>
            </w:r>
          </w:p>
        </w:tc>
        <w:tc>
          <w:tcPr>
            <w:tcW w:w="879" w:type="dxa"/>
          </w:tcPr>
          <w:p w14:paraId="2B956C07" w14:textId="77777777" w:rsidR="00B93A94" w:rsidRPr="0047058F" w:rsidRDefault="00B93A94" w:rsidP="00D009A2">
            <w:pPr>
              <w:pStyle w:val="TableText"/>
              <w:jc w:val="right"/>
              <w:rPr>
                <w:szCs w:val="14"/>
              </w:rPr>
            </w:pPr>
            <w:r w:rsidRPr="0047058F">
              <w:rPr>
                <w:rFonts w:eastAsia="Times New Roman" w:cs="Arial"/>
                <w:szCs w:val="14"/>
              </w:rPr>
              <w:t>662</w:t>
            </w:r>
          </w:p>
        </w:tc>
        <w:tc>
          <w:tcPr>
            <w:tcW w:w="880" w:type="dxa"/>
          </w:tcPr>
          <w:p w14:paraId="1E5E0084"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8.6</w:t>
            </w:r>
          </w:p>
        </w:tc>
        <w:tc>
          <w:tcPr>
            <w:tcW w:w="889" w:type="dxa"/>
          </w:tcPr>
          <w:p w14:paraId="174695BB" w14:textId="77777777" w:rsidR="00B93A94" w:rsidRPr="0047058F" w:rsidRDefault="00B93A94" w:rsidP="00D009A2">
            <w:pPr>
              <w:pStyle w:val="TableText"/>
              <w:jc w:val="right"/>
              <w:rPr>
                <w:szCs w:val="14"/>
              </w:rPr>
            </w:pPr>
            <w:r w:rsidRPr="0047058F">
              <w:rPr>
                <w:rFonts w:eastAsia="Times New Roman" w:cs="Arial"/>
                <w:szCs w:val="14"/>
              </w:rPr>
              <w:t>319</w:t>
            </w:r>
          </w:p>
        </w:tc>
        <w:tc>
          <w:tcPr>
            <w:tcW w:w="890" w:type="dxa"/>
          </w:tcPr>
          <w:p w14:paraId="09EAEF3E" w14:textId="77777777" w:rsidR="00B93A94" w:rsidRPr="0047058F" w:rsidRDefault="00B93A94" w:rsidP="00D009A2">
            <w:pPr>
              <w:pStyle w:val="TableText"/>
              <w:jc w:val="right"/>
              <w:rPr>
                <w:szCs w:val="14"/>
              </w:rPr>
            </w:pPr>
            <w:r w:rsidRPr="0047058F">
              <w:rPr>
                <w:rFonts w:eastAsia="Times New Roman" w:cs="Arial"/>
                <w:szCs w:val="14"/>
              </w:rPr>
              <w:t>48.2</w:t>
            </w:r>
          </w:p>
        </w:tc>
        <w:tc>
          <w:tcPr>
            <w:tcW w:w="889" w:type="dxa"/>
          </w:tcPr>
          <w:p w14:paraId="14E8DBDE" w14:textId="77777777" w:rsidR="00B93A94" w:rsidRPr="0047058F" w:rsidRDefault="00B93A94" w:rsidP="00D009A2">
            <w:pPr>
              <w:pStyle w:val="TableText"/>
              <w:jc w:val="right"/>
              <w:rPr>
                <w:szCs w:val="14"/>
              </w:rPr>
            </w:pPr>
            <w:r w:rsidRPr="0047058F">
              <w:rPr>
                <w:rFonts w:eastAsia="Times New Roman" w:cs="Arial"/>
                <w:szCs w:val="14"/>
              </w:rPr>
              <w:t>343</w:t>
            </w:r>
          </w:p>
        </w:tc>
        <w:tc>
          <w:tcPr>
            <w:tcW w:w="890" w:type="dxa"/>
          </w:tcPr>
          <w:p w14:paraId="44478BEB" w14:textId="77777777" w:rsidR="00B93A94" w:rsidRPr="0047058F" w:rsidRDefault="00B93A94" w:rsidP="00D009A2">
            <w:pPr>
              <w:pStyle w:val="TableText"/>
              <w:jc w:val="right"/>
              <w:rPr>
                <w:szCs w:val="14"/>
              </w:rPr>
            </w:pPr>
            <w:r w:rsidRPr="0047058F">
              <w:rPr>
                <w:rFonts w:eastAsia="Times New Roman" w:cs="Arial"/>
                <w:szCs w:val="14"/>
              </w:rPr>
              <w:t>51.8</w:t>
            </w:r>
          </w:p>
        </w:tc>
      </w:tr>
      <w:tr w:rsidR="00B93A94" w:rsidRPr="0047058F" w14:paraId="3A996DCD"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98" w:type="dxa"/>
          </w:tcPr>
          <w:p w14:paraId="433ABE00" w14:textId="77777777" w:rsidR="00B93A94" w:rsidRPr="0047058F" w:rsidRDefault="00B93A94" w:rsidP="00D009A2">
            <w:pPr>
              <w:pStyle w:val="TableText"/>
              <w:rPr>
                <w:rFonts w:cs="Arial"/>
                <w:b/>
              </w:rPr>
            </w:pPr>
            <w:r w:rsidRPr="0047058F">
              <w:rPr>
                <w:rFonts w:cs="Arial"/>
                <w:b/>
              </w:rPr>
              <w:t>Total</w:t>
            </w:r>
          </w:p>
        </w:tc>
        <w:tc>
          <w:tcPr>
            <w:tcW w:w="879" w:type="dxa"/>
          </w:tcPr>
          <w:p w14:paraId="3F97EC34" w14:textId="77777777" w:rsidR="00B93A94" w:rsidRPr="0047058F" w:rsidRDefault="00B93A94" w:rsidP="00D009A2">
            <w:pPr>
              <w:pStyle w:val="TableText"/>
              <w:jc w:val="right"/>
              <w:rPr>
                <w:rFonts w:cs="Arial"/>
                <w:b/>
                <w:szCs w:val="14"/>
              </w:rPr>
            </w:pPr>
            <w:r w:rsidRPr="0047058F">
              <w:rPr>
                <w:rFonts w:cs="Arial"/>
                <w:b/>
                <w:szCs w:val="14"/>
              </w:rPr>
              <w:t>7726</w:t>
            </w:r>
          </w:p>
        </w:tc>
        <w:tc>
          <w:tcPr>
            <w:tcW w:w="880" w:type="dxa"/>
          </w:tcPr>
          <w:p w14:paraId="424D5770" w14:textId="77777777" w:rsidR="00B93A94" w:rsidRPr="0047058F" w:rsidRDefault="00B93A94" w:rsidP="00D009A2">
            <w:pPr>
              <w:pStyle w:val="TableText"/>
              <w:jc w:val="right"/>
              <w:rPr>
                <w:rFonts w:eastAsia="Times New Roman" w:cs="Arial"/>
                <w:b/>
                <w:szCs w:val="14"/>
              </w:rPr>
            </w:pPr>
            <w:r w:rsidRPr="0047058F">
              <w:rPr>
                <w:rFonts w:eastAsia="Times New Roman" w:cs="Arial"/>
                <w:b/>
                <w:szCs w:val="14"/>
              </w:rPr>
              <w:t>100.0</w:t>
            </w:r>
          </w:p>
        </w:tc>
        <w:tc>
          <w:tcPr>
            <w:tcW w:w="889" w:type="dxa"/>
          </w:tcPr>
          <w:p w14:paraId="2C2047A5" w14:textId="77777777" w:rsidR="00B93A94" w:rsidRPr="0047058F" w:rsidRDefault="00B93A94" w:rsidP="00D009A2">
            <w:pPr>
              <w:pStyle w:val="TableText"/>
              <w:jc w:val="right"/>
              <w:rPr>
                <w:rFonts w:cs="Arial"/>
                <w:b/>
                <w:szCs w:val="14"/>
              </w:rPr>
            </w:pPr>
            <w:r w:rsidRPr="0047058F">
              <w:rPr>
                <w:rFonts w:eastAsia="Times New Roman" w:cs="Arial"/>
                <w:b/>
                <w:szCs w:val="14"/>
              </w:rPr>
              <w:t>6474</w:t>
            </w:r>
          </w:p>
        </w:tc>
        <w:tc>
          <w:tcPr>
            <w:tcW w:w="890" w:type="dxa"/>
          </w:tcPr>
          <w:p w14:paraId="6D694441" w14:textId="77777777" w:rsidR="00B93A94" w:rsidRPr="0047058F" w:rsidRDefault="00B93A94" w:rsidP="00D009A2">
            <w:pPr>
              <w:pStyle w:val="TableText"/>
              <w:jc w:val="right"/>
              <w:rPr>
                <w:rFonts w:cs="Arial"/>
                <w:b/>
                <w:szCs w:val="14"/>
              </w:rPr>
            </w:pPr>
            <w:r w:rsidRPr="0047058F">
              <w:rPr>
                <w:rFonts w:eastAsia="Times New Roman" w:cs="Arial"/>
                <w:b/>
                <w:szCs w:val="14"/>
              </w:rPr>
              <w:t>83.8</w:t>
            </w:r>
          </w:p>
        </w:tc>
        <w:tc>
          <w:tcPr>
            <w:tcW w:w="889" w:type="dxa"/>
          </w:tcPr>
          <w:p w14:paraId="7A6C5E1B" w14:textId="77777777" w:rsidR="00B93A94" w:rsidRPr="0047058F" w:rsidRDefault="00B93A94" w:rsidP="00D009A2">
            <w:pPr>
              <w:pStyle w:val="TableText"/>
              <w:jc w:val="right"/>
              <w:rPr>
                <w:rFonts w:cs="Arial"/>
                <w:b/>
                <w:szCs w:val="14"/>
              </w:rPr>
            </w:pPr>
            <w:r w:rsidRPr="0047058F">
              <w:rPr>
                <w:rFonts w:eastAsia="Times New Roman" w:cs="Arial"/>
                <w:b/>
                <w:szCs w:val="14"/>
              </w:rPr>
              <w:t>1252</w:t>
            </w:r>
          </w:p>
        </w:tc>
        <w:tc>
          <w:tcPr>
            <w:tcW w:w="890" w:type="dxa"/>
          </w:tcPr>
          <w:p w14:paraId="2A63329D" w14:textId="77777777" w:rsidR="00B93A94" w:rsidRPr="0047058F" w:rsidRDefault="00B93A94" w:rsidP="00D009A2">
            <w:pPr>
              <w:pStyle w:val="TableText"/>
              <w:jc w:val="right"/>
              <w:rPr>
                <w:rFonts w:cs="Arial"/>
                <w:b/>
                <w:szCs w:val="14"/>
              </w:rPr>
            </w:pPr>
            <w:r w:rsidRPr="0047058F">
              <w:rPr>
                <w:rFonts w:eastAsia="Times New Roman" w:cs="Arial"/>
                <w:b/>
                <w:szCs w:val="14"/>
              </w:rPr>
              <w:t>16.2</w:t>
            </w:r>
          </w:p>
        </w:tc>
      </w:tr>
    </w:tbl>
    <w:p w14:paraId="2B16373A" w14:textId="77777777" w:rsidR="00B93A94" w:rsidRPr="0047058F" w:rsidRDefault="00B93A94" w:rsidP="00AA7A7D">
      <w:pPr>
        <w:pStyle w:val="TableNotes"/>
        <w:keepNext/>
      </w:pPr>
      <w:r w:rsidRPr="0047058F">
        <w:t>Note: Unweighted data.</w:t>
      </w:r>
    </w:p>
    <w:p w14:paraId="0E51792D" w14:textId="77777777" w:rsidR="00B93A94" w:rsidRPr="0047058F" w:rsidRDefault="00B93A94" w:rsidP="00B93A94">
      <w:pPr>
        <w:pStyle w:val="FigureName"/>
      </w:pPr>
      <w:bookmarkStart w:id="389" w:name="_Ref387057468"/>
      <w:bookmarkStart w:id="390" w:name="_Toc529117586"/>
      <w:bookmarkStart w:id="391" w:name="_Toc532473659"/>
      <w:r w:rsidRPr="0047058F">
        <w:t>Figure 5.22</w:t>
      </w:r>
      <w:bookmarkEnd w:id="389"/>
      <w:r w:rsidRPr="0047058F">
        <w:tab/>
        <w:t xml:space="preserve">Proportion of </w:t>
      </w:r>
      <w:r w:rsidRPr="0047058F">
        <w:rPr>
          <w:u w:val="single"/>
        </w:rPr>
        <w:t>entire longitudinal cohort</w:t>
      </w:r>
      <w:r w:rsidRPr="0047058F">
        <w:t xml:space="preserve"> with DAR-5 problem anger (total ≥ 12) in 2010 and 2015 based on self-reported measures</w:t>
      </w:r>
      <w:bookmarkEnd w:id="390"/>
      <w:bookmarkEnd w:id="391"/>
    </w:p>
    <w:p w14:paraId="66A2634D" w14:textId="77777777" w:rsidR="00D14F71" w:rsidRPr="0047058F" w:rsidRDefault="00B93A94" w:rsidP="00D14F71">
      <w:pPr>
        <w:spacing w:after="360"/>
      </w:pPr>
      <w:r w:rsidRPr="0047058F">
        <w:rPr>
          <w:noProof/>
          <w:lang w:eastAsia="en-AU"/>
        </w:rPr>
        <w:drawing>
          <wp:inline distT="0" distB="0" distL="0" distR="0" wp14:anchorId="4FDE761D" wp14:editId="0ADD576D">
            <wp:extent cx="4572000" cy="2743200"/>
            <wp:effectExtent l="0" t="0" r="0" b="0"/>
            <wp:docPr id="37" name="Chart 37" descr="Figure 5.22 Proportion of entire longitudinal cohort with DAR-5 problem anger (total ≥ 12)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C09EAE" w14:textId="77777777" w:rsidR="00B93A94" w:rsidRPr="0047058F" w:rsidRDefault="00B93A94" w:rsidP="00B93A94">
      <w:pPr>
        <w:pStyle w:val="TableName"/>
        <w:rPr>
          <w:lang w:eastAsia="en-AU"/>
        </w:rPr>
      </w:pPr>
      <w:bookmarkStart w:id="392" w:name="_Ref384558567"/>
      <w:bookmarkStart w:id="393" w:name="_Toc529117535"/>
      <w:bookmarkStart w:id="394" w:name="_Toc532473605"/>
      <w:r w:rsidRPr="0047058F">
        <w:t>Table 5.23</w:t>
      </w:r>
      <w:bookmarkEnd w:id="392"/>
      <w:r w:rsidRPr="0047058F">
        <w:tab/>
        <w:t xml:space="preserve">Proportion of </w:t>
      </w:r>
      <w:r w:rsidRPr="0047058F">
        <w:rPr>
          <w:u w:val="single"/>
        </w:rPr>
        <w:t>Transitioned ADF in the longitudinal cohort</w:t>
      </w:r>
      <w:r w:rsidRPr="0047058F">
        <w:t xml:space="preserve"> with DAR-5 problem anger (total ≥ 12) in 2010 and 2015 based on self-reported measures</w:t>
      </w:r>
      <w:bookmarkEnd w:id="393"/>
      <w:bookmarkEnd w:id="394"/>
    </w:p>
    <w:tbl>
      <w:tblPr>
        <w:tblStyle w:val="TWRPTable"/>
        <w:tblW w:w="5000" w:type="pct"/>
        <w:tblLayout w:type="fixed"/>
        <w:tblLook w:val="04A0" w:firstRow="1" w:lastRow="0" w:firstColumn="1" w:lastColumn="0" w:noHBand="0" w:noVBand="1"/>
        <w:tblDescription w:val="Table 5.23 Proportion of Transitioned ADF in the longitudinal cohort with DAR-5 problem anger (total ≥ 12) in 2010 and 2015 based on self-reported measures"/>
      </w:tblPr>
      <w:tblGrid>
        <w:gridCol w:w="1998"/>
        <w:gridCol w:w="880"/>
        <w:gridCol w:w="880"/>
        <w:gridCol w:w="889"/>
        <w:gridCol w:w="889"/>
        <w:gridCol w:w="889"/>
        <w:gridCol w:w="890"/>
      </w:tblGrid>
      <w:tr w:rsidR="00B93A94" w:rsidRPr="0047058F" w14:paraId="2D68A586" w14:textId="77777777" w:rsidTr="00D009A2">
        <w:trPr>
          <w:cnfStyle w:val="100000000000" w:firstRow="1" w:lastRow="0" w:firstColumn="0" w:lastColumn="0" w:oddVBand="0" w:evenVBand="0" w:oddHBand="0" w:evenHBand="0" w:firstRowFirstColumn="0" w:firstRowLastColumn="0" w:lastRowFirstColumn="0" w:lastRowLastColumn="0"/>
          <w:tblHeader/>
        </w:trPr>
        <w:tc>
          <w:tcPr>
            <w:tcW w:w="3758" w:type="dxa"/>
            <w:gridSpan w:val="3"/>
            <w:vMerge w:val="restart"/>
          </w:tcPr>
          <w:p w14:paraId="40945C57" w14:textId="77777777" w:rsidR="00B93A94" w:rsidRPr="0047058F" w:rsidRDefault="00B93A94" w:rsidP="00D009A2">
            <w:pPr>
              <w:pStyle w:val="TableText"/>
            </w:pPr>
            <w:r w:rsidRPr="0047058F">
              <w:t>2010 ADF Mental Health Prevalence and Wellbeing Study</w:t>
            </w:r>
          </w:p>
        </w:tc>
        <w:tc>
          <w:tcPr>
            <w:tcW w:w="3557" w:type="dxa"/>
            <w:gridSpan w:val="4"/>
          </w:tcPr>
          <w:p w14:paraId="16A75B5C" w14:textId="77777777" w:rsidR="00B93A94" w:rsidRPr="0047058F" w:rsidRDefault="00B93A94" w:rsidP="00D009A2">
            <w:pPr>
              <w:pStyle w:val="TableText"/>
              <w:jc w:val="center"/>
            </w:pPr>
            <w:r w:rsidRPr="0047058F">
              <w:t>2015 Transition and Wellbeing Research Programme</w:t>
            </w:r>
          </w:p>
        </w:tc>
      </w:tr>
      <w:tr w:rsidR="00B93A94" w:rsidRPr="0047058F" w14:paraId="1D97C7AC" w14:textId="77777777" w:rsidTr="00D009A2">
        <w:trPr>
          <w:cnfStyle w:val="100000000000" w:firstRow="1" w:lastRow="0" w:firstColumn="0" w:lastColumn="0" w:oddVBand="0" w:evenVBand="0" w:oddHBand="0" w:evenHBand="0" w:firstRowFirstColumn="0" w:firstRowLastColumn="0" w:lastRowFirstColumn="0" w:lastRowLastColumn="0"/>
          <w:tblHeader/>
        </w:trPr>
        <w:tc>
          <w:tcPr>
            <w:tcW w:w="3758" w:type="dxa"/>
            <w:gridSpan w:val="3"/>
            <w:vMerge/>
          </w:tcPr>
          <w:p w14:paraId="22A2DC00" w14:textId="77777777" w:rsidR="00B93A94" w:rsidRPr="0047058F" w:rsidRDefault="00B93A94" w:rsidP="00D009A2">
            <w:pPr>
              <w:pStyle w:val="TableText"/>
            </w:pPr>
          </w:p>
        </w:tc>
        <w:tc>
          <w:tcPr>
            <w:tcW w:w="1778" w:type="dxa"/>
            <w:gridSpan w:val="2"/>
            <w:hideMark/>
          </w:tcPr>
          <w:p w14:paraId="5CDEA911" w14:textId="77777777" w:rsidR="00B93A94" w:rsidRPr="0047058F" w:rsidRDefault="00B93A94" w:rsidP="00D009A2">
            <w:pPr>
              <w:pStyle w:val="TableText"/>
              <w:jc w:val="center"/>
            </w:pPr>
            <w:r w:rsidRPr="0047058F">
              <w:t>No problem anger</w:t>
            </w:r>
          </w:p>
        </w:tc>
        <w:tc>
          <w:tcPr>
            <w:tcW w:w="1779" w:type="dxa"/>
            <w:gridSpan w:val="2"/>
          </w:tcPr>
          <w:p w14:paraId="6508CC70" w14:textId="77777777" w:rsidR="00B93A94" w:rsidRPr="0047058F" w:rsidRDefault="00B93A94" w:rsidP="00D009A2">
            <w:pPr>
              <w:pStyle w:val="TableText"/>
              <w:jc w:val="center"/>
            </w:pPr>
            <w:r w:rsidRPr="0047058F">
              <w:t>Problem anger</w:t>
            </w:r>
          </w:p>
        </w:tc>
      </w:tr>
      <w:tr w:rsidR="00B93A94" w:rsidRPr="0047058F" w14:paraId="52B49158" w14:textId="77777777" w:rsidTr="00D009A2">
        <w:trPr>
          <w:cnfStyle w:val="100000000000" w:firstRow="1" w:lastRow="0" w:firstColumn="0" w:lastColumn="0" w:oddVBand="0" w:evenVBand="0" w:oddHBand="0" w:evenHBand="0" w:firstRowFirstColumn="0" w:firstRowLastColumn="0" w:lastRowFirstColumn="0" w:lastRowLastColumn="0"/>
          <w:tblHeader/>
        </w:trPr>
        <w:tc>
          <w:tcPr>
            <w:tcW w:w="1998" w:type="dxa"/>
          </w:tcPr>
          <w:p w14:paraId="62D3C2EF" w14:textId="77777777" w:rsidR="00B93A94" w:rsidRPr="0047058F" w:rsidRDefault="00B93A94" w:rsidP="00D009A2">
            <w:pPr>
              <w:pStyle w:val="TableText"/>
            </w:pPr>
            <w:r w:rsidRPr="0047058F">
              <w:rPr>
                <w:rFonts w:cs="Arial"/>
              </w:rPr>
              <w:t>DAR-5</w:t>
            </w:r>
          </w:p>
        </w:tc>
        <w:tc>
          <w:tcPr>
            <w:tcW w:w="880" w:type="dxa"/>
          </w:tcPr>
          <w:p w14:paraId="70EA4687" w14:textId="77777777" w:rsidR="00B93A94" w:rsidRPr="0047058F" w:rsidRDefault="00B93A94" w:rsidP="00D009A2">
            <w:pPr>
              <w:pStyle w:val="TableText"/>
              <w:jc w:val="right"/>
              <w:rPr>
                <w:rFonts w:cs="Arial"/>
              </w:rPr>
            </w:pPr>
            <w:r w:rsidRPr="0047058F">
              <w:rPr>
                <w:rFonts w:cs="Arial"/>
              </w:rPr>
              <w:t>n</w:t>
            </w:r>
          </w:p>
        </w:tc>
        <w:tc>
          <w:tcPr>
            <w:tcW w:w="880" w:type="dxa"/>
          </w:tcPr>
          <w:p w14:paraId="66A0A4F9" w14:textId="77777777" w:rsidR="00B93A94" w:rsidRPr="0047058F" w:rsidRDefault="00B93A94" w:rsidP="00D009A2">
            <w:pPr>
              <w:pStyle w:val="TableText"/>
              <w:jc w:val="right"/>
              <w:rPr>
                <w:rFonts w:cs="Arial"/>
              </w:rPr>
            </w:pPr>
            <w:r w:rsidRPr="0047058F">
              <w:rPr>
                <w:rFonts w:cs="Arial"/>
              </w:rPr>
              <w:t>%</w:t>
            </w:r>
          </w:p>
        </w:tc>
        <w:tc>
          <w:tcPr>
            <w:tcW w:w="889" w:type="dxa"/>
          </w:tcPr>
          <w:p w14:paraId="3BE5CF15" w14:textId="77777777" w:rsidR="00B93A94" w:rsidRPr="0047058F" w:rsidRDefault="00B93A94" w:rsidP="00D009A2">
            <w:pPr>
              <w:pStyle w:val="TableText"/>
              <w:jc w:val="right"/>
              <w:rPr>
                <w:rFonts w:cs="Arial"/>
              </w:rPr>
            </w:pPr>
            <w:r w:rsidRPr="0047058F">
              <w:rPr>
                <w:rFonts w:cs="Arial"/>
              </w:rPr>
              <w:t>n</w:t>
            </w:r>
          </w:p>
        </w:tc>
        <w:tc>
          <w:tcPr>
            <w:tcW w:w="889" w:type="dxa"/>
          </w:tcPr>
          <w:p w14:paraId="7A461E4F" w14:textId="77777777" w:rsidR="00B93A94" w:rsidRPr="0047058F" w:rsidRDefault="00B93A94" w:rsidP="00D009A2">
            <w:pPr>
              <w:pStyle w:val="TableText"/>
              <w:jc w:val="right"/>
              <w:rPr>
                <w:rFonts w:cs="Arial"/>
              </w:rPr>
            </w:pPr>
            <w:r w:rsidRPr="0047058F">
              <w:rPr>
                <w:rFonts w:cs="Arial"/>
              </w:rPr>
              <w:t>%</w:t>
            </w:r>
          </w:p>
        </w:tc>
        <w:tc>
          <w:tcPr>
            <w:tcW w:w="889" w:type="dxa"/>
          </w:tcPr>
          <w:p w14:paraId="6F05BA0D" w14:textId="77777777" w:rsidR="00B93A94" w:rsidRPr="0047058F" w:rsidRDefault="00B93A94" w:rsidP="00D009A2">
            <w:pPr>
              <w:pStyle w:val="TableText"/>
              <w:jc w:val="right"/>
              <w:rPr>
                <w:rFonts w:cs="Arial"/>
              </w:rPr>
            </w:pPr>
            <w:r w:rsidRPr="0047058F">
              <w:rPr>
                <w:rFonts w:cs="Arial"/>
              </w:rPr>
              <w:t>n</w:t>
            </w:r>
          </w:p>
        </w:tc>
        <w:tc>
          <w:tcPr>
            <w:tcW w:w="890" w:type="dxa"/>
          </w:tcPr>
          <w:p w14:paraId="49BF8094" w14:textId="77777777" w:rsidR="00B93A94" w:rsidRPr="0047058F" w:rsidRDefault="00B93A94" w:rsidP="00D009A2">
            <w:pPr>
              <w:pStyle w:val="TableText"/>
              <w:jc w:val="right"/>
              <w:rPr>
                <w:rFonts w:cs="Arial"/>
              </w:rPr>
            </w:pPr>
            <w:r w:rsidRPr="0047058F">
              <w:rPr>
                <w:rFonts w:cs="Arial"/>
              </w:rPr>
              <w:t>%</w:t>
            </w:r>
          </w:p>
        </w:tc>
      </w:tr>
      <w:tr w:rsidR="00B93A94" w:rsidRPr="0047058F" w14:paraId="43BB336B" w14:textId="77777777" w:rsidTr="00D009A2">
        <w:trPr>
          <w:cnfStyle w:val="000000100000" w:firstRow="0" w:lastRow="0" w:firstColumn="0" w:lastColumn="0" w:oddVBand="0" w:evenVBand="0" w:oddHBand="1" w:evenHBand="0" w:firstRowFirstColumn="0" w:firstRowLastColumn="0" w:lastRowFirstColumn="0" w:lastRowLastColumn="0"/>
        </w:trPr>
        <w:tc>
          <w:tcPr>
            <w:tcW w:w="1998" w:type="dxa"/>
          </w:tcPr>
          <w:p w14:paraId="7438C62A" w14:textId="77777777" w:rsidR="00B93A94" w:rsidRPr="0047058F" w:rsidRDefault="00B93A94" w:rsidP="00D009A2">
            <w:pPr>
              <w:pStyle w:val="TableText"/>
              <w:rPr>
                <w:rFonts w:cs="Calibri"/>
                <w:szCs w:val="14"/>
              </w:rPr>
            </w:pPr>
            <w:r w:rsidRPr="0047058F">
              <w:rPr>
                <w:rFonts w:cs="Calibri"/>
                <w:szCs w:val="14"/>
              </w:rPr>
              <w:t>No problem anger</w:t>
            </w:r>
          </w:p>
        </w:tc>
        <w:tc>
          <w:tcPr>
            <w:tcW w:w="880" w:type="dxa"/>
          </w:tcPr>
          <w:p w14:paraId="41173A5C" w14:textId="77777777" w:rsidR="00B93A94" w:rsidRPr="0047058F" w:rsidRDefault="00B93A94" w:rsidP="00D009A2">
            <w:pPr>
              <w:pStyle w:val="TableText"/>
              <w:jc w:val="right"/>
              <w:rPr>
                <w:szCs w:val="14"/>
              </w:rPr>
            </w:pPr>
            <w:r w:rsidRPr="0047058F">
              <w:rPr>
                <w:rFonts w:eastAsia="Times New Roman" w:cs="Arial"/>
                <w:szCs w:val="14"/>
              </w:rPr>
              <w:t>1857</w:t>
            </w:r>
          </w:p>
        </w:tc>
        <w:tc>
          <w:tcPr>
            <w:tcW w:w="880" w:type="dxa"/>
          </w:tcPr>
          <w:p w14:paraId="3326B410"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88.0</w:t>
            </w:r>
          </w:p>
        </w:tc>
        <w:tc>
          <w:tcPr>
            <w:tcW w:w="889" w:type="dxa"/>
          </w:tcPr>
          <w:p w14:paraId="6ED69F14" w14:textId="77777777" w:rsidR="00B93A94" w:rsidRPr="0047058F" w:rsidRDefault="00B93A94" w:rsidP="00D009A2">
            <w:pPr>
              <w:pStyle w:val="TableText"/>
              <w:jc w:val="right"/>
              <w:rPr>
                <w:szCs w:val="14"/>
              </w:rPr>
            </w:pPr>
            <w:r w:rsidRPr="0047058F">
              <w:rPr>
                <w:rFonts w:eastAsia="Times New Roman" w:cs="Arial"/>
                <w:szCs w:val="14"/>
              </w:rPr>
              <w:t>1488</w:t>
            </w:r>
          </w:p>
        </w:tc>
        <w:tc>
          <w:tcPr>
            <w:tcW w:w="889" w:type="dxa"/>
          </w:tcPr>
          <w:p w14:paraId="3AA1B73B" w14:textId="77777777" w:rsidR="00B93A94" w:rsidRPr="0047058F" w:rsidRDefault="00B93A94" w:rsidP="00D009A2">
            <w:pPr>
              <w:pStyle w:val="TableText"/>
              <w:jc w:val="right"/>
              <w:rPr>
                <w:szCs w:val="14"/>
              </w:rPr>
            </w:pPr>
            <w:r w:rsidRPr="0047058F">
              <w:rPr>
                <w:rFonts w:eastAsia="Times New Roman" w:cs="Arial"/>
                <w:szCs w:val="14"/>
              </w:rPr>
              <w:t>80.1</w:t>
            </w:r>
          </w:p>
        </w:tc>
        <w:tc>
          <w:tcPr>
            <w:tcW w:w="889" w:type="dxa"/>
          </w:tcPr>
          <w:p w14:paraId="68FF1ABD" w14:textId="77777777" w:rsidR="00B93A94" w:rsidRPr="0047058F" w:rsidRDefault="00B93A94" w:rsidP="00D009A2">
            <w:pPr>
              <w:pStyle w:val="TableText"/>
              <w:jc w:val="right"/>
              <w:rPr>
                <w:szCs w:val="14"/>
              </w:rPr>
            </w:pPr>
            <w:r w:rsidRPr="0047058F">
              <w:rPr>
                <w:rFonts w:eastAsia="Times New Roman" w:cs="Arial"/>
                <w:szCs w:val="14"/>
              </w:rPr>
              <w:t>369</w:t>
            </w:r>
          </w:p>
        </w:tc>
        <w:tc>
          <w:tcPr>
            <w:tcW w:w="890" w:type="dxa"/>
          </w:tcPr>
          <w:p w14:paraId="1DB1A95E" w14:textId="77777777" w:rsidR="00B93A94" w:rsidRPr="0047058F" w:rsidRDefault="00B93A94" w:rsidP="00D009A2">
            <w:pPr>
              <w:pStyle w:val="TableText"/>
              <w:jc w:val="right"/>
              <w:rPr>
                <w:szCs w:val="14"/>
              </w:rPr>
            </w:pPr>
            <w:r w:rsidRPr="0047058F">
              <w:rPr>
                <w:rFonts w:eastAsia="Times New Roman" w:cs="Arial"/>
                <w:szCs w:val="14"/>
              </w:rPr>
              <w:t>19.9</w:t>
            </w:r>
          </w:p>
        </w:tc>
      </w:tr>
      <w:tr w:rsidR="00B93A94" w:rsidRPr="0047058F" w14:paraId="6B59CD04" w14:textId="77777777" w:rsidTr="00D009A2">
        <w:tc>
          <w:tcPr>
            <w:tcW w:w="1998" w:type="dxa"/>
          </w:tcPr>
          <w:p w14:paraId="7FB07984" w14:textId="77777777" w:rsidR="00B93A94" w:rsidRPr="0047058F" w:rsidRDefault="00B93A94" w:rsidP="00D009A2">
            <w:pPr>
              <w:pStyle w:val="TableText"/>
              <w:rPr>
                <w:rFonts w:cs="Calibri"/>
                <w:szCs w:val="14"/>
              </w:rPr>
            </w:pPr>
            <w:r w:rsidRPr="0047058F">
              <w:rPr>
                <w:rFonts w:cs="Calibri"/>
                <w:szCs w:val="14"/>
              </w:rPr>
              <w:t>Problem anger</w:t>
            </w:r>
          </w:p>
        </w:tc>
        <w:tc>
          <w:tcPr>
            <w:tcW w:w="880" w:type="dxa"/>
          </w:tcPr>
          <w:p w14:paraId="3032C181" w14:textId="77777777" w:rsidR="00B93A94" w:rsidRPr="0047058F" w:rsidRDefault="00B93A94" w:rsidP="00D009A2">
            <w:pPr>
              <w:pStyle w:val="TableText"/>
              <w:jc w:val="right"/>
              <w:rPr>
                <w:szCs w:val="14"/>
              </w:rPr>
            </w:pPr>
            <w:r w:rsidRPr="0047058F">
              <w:rPr>
                <w:rFonts w:eastAsia="Times New Roman" w:cs="Arial"/>
                <w:szCs w:val="14"/>
              </w:rPr>
              <w:t>253</w:t>
            </w:r>
          </w:p>
        </w:tc>
        <w:tc>
          <w:tcPr>
            <w:tcW w:w="880" w:type="dxa"/>
          </w:tcPr>
          <w:p w14:paraId="263631C7"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12.0</w:t>
            </w:r>
          </w:p>
        </w:tc>
        <w:tc>
          <w:tcPr>
            <w:tcW w:w="889" w:type="dxa"/>
          </w:tcPr>
          <w:p w14:paraId="082076D0" w14:textId="77777777" w:rsidR="00B93A94" w:rsidRPr="0047058F" w:rsidRDefault="00B93A94" w:rsidP="00D009A2">
            <w:pPr>
              <w:pStyle w:val="TableText"/>
              <w:jc w:val="right"/>
              <w:rPr>
                <w:szCs w:val="14"/>
              </w:rPr>
            </w:pPr>
            <w:r w:rsidRPr="0047058F">
              <w:rPr>
                <w:rFonts w:eastAsia="Times New Roman" w:cs="Arial"/>
                <w:szCs w:val="14"/>
              </w:rPr>
              <w:t>98</w:t>
            </w:r>
          </w:p>
        </w:tc>
        <w:tc>
          <w:tcPr>
            <w:tcW w:w="889" w:type="dxa"/>
          </w:tcPr>
          <w:p w14:paraId="607AC308" w14:textId="77777777" w:rsidR="00B93A94" w:rsidRPr="0047058F" w:rsidRDefault="00B93A94" w:rsidP="00D009A2">
            <w:pPr>
              <w:pStyle w:val="TableText"/>
              <w:jc w:val="right"/>
              <w:rPr>
                <w:szCs w:val="14"/>
              </w:rPr>
            </w:pPr>
            <w:r w:rsidRPr="0047058F">
              <w:rPr>
                <w:rFonts w:eastAsia="Times New Roman" w:cs="Arial"/>
                <w:szCs w:val="14"/>
              </w:rPr>
              <w:t>38.7</w:t>
            </w:r>
          </w:p>
        </w:tc>
        <w:tc>
          <w:tcPr>
            <w:tcW w:w="889" w:type="dxa"/>
          </w:tcPr>
          <w:p w14:paraId="6098EFF5" w14:textId="77777777" w:rsidR="00B93A94" w:rsidRPr="0047058F" w:rsidRDefault="00B93A94" w:rsidP="00D009A2">
            <w:pPr>
              <w:pStyle w:val="TableText"/>
              <w:jc w:val="right"/>
              <w:rPr>
                <w:szCs w:val="14"/>
              </w:rPr>
            </w:pPr>
            <w:r w:rsidRPr="0047058F">
              <w:rPr>
                <w:rFonts w:eastAsia="Times New Roman" w:cs="Arial"/>
                <w:szCs w:val="14"/>
              </w:rPr>
              <w:t>155</w:t>
            </w:r>
          </w:p>
        </w:tc>
        <w:tc>
          <w:tcPr>
            <w:tcW w:w="890" w:type="dxa"/>
          </w:tcPr>
          <w:p w14:paraId="663A72FA" w14:textId="77777777" w:rsidR="00B93A94" w:rsidRPr="0047058F" w:rsidRDefault="00B93A94" w:rsidP="00D009A2">
            <w:pPr>
              <w:pStyle w:val="TableText"/>
              <w:jc w:val="right"/>
              <w:rPr>
                <w:szCs w:val="14"/>
              </w:rPr>
            </w:pPr>
            <w:r w:rsidRPr="0047058F">
              <w:rPr>
                <w:rFonts w:eastAsia="Times New Roman" w:cs="Arial"/>
                <w:szCs w:val="14"/>
              </w:rPr>
              <w:t>61.3</w:t>
            </w:r>
          </w:p>
        </w:tc>
      </w:tr>
      <w:tr w:rsidR="00B93A94" w:rsidRPr="0047058F" w14:paraId="2108D7E3" w14:textId="77777777" w:rsidTr="00D009A2">
        <w:trPr>
          <w:cnfStyle w:val="000000100000" w:firstRow="0" w:lastRow="0" w:firstColumn="0" w:lastColumn="0" w:oddVBand="0" w:evenVBand="0" w:oddHBand="1" w:evenHBand="0" w:firstRowFirstColumn="0" w:firstRowLastColumn="0" w:lastRowFirstColumn="0" w:lastRowLastColumn="0"/>
        </w:trPr>
        <w:tc>
          <w:tcPr>
            <w:tcW w:w="1998" w:type="dxa"/>
          </w:tcPr>
          <w:p w14:paraId="6F1AF761" w14:textId="77777777" w:rsidR="00B93A94" w:rsidRPr="0047058F" w:rsidRDefault="00B93A94" w:rsidP="00D009A2">
            <w:pPr>
              <w:pStyle w:val="TableText"/>
              <w:rPr>
                <w:rFonts w:cs="Arial"/>
                <w:b/>
              </w:rPr>
            </w:pPr>
            <w:r w:rsidRPr="0047058F">
              <w:rPr>
                <w:rFonts w:cs="Arial"/>
                <w:b/>
              </w:rPr>
              <w:t>Total</w:t>
            </w:r>
          </w:p>
        </w:tc>
        <w:tc>
          <w:tcPr>
            <w:tcW w:w="880" w:type="dxa"/>
          </w:tcPr>
          <w:p w14:paraId="789137D9" w14:textId="77777777" w:rsidR="00B93A94" w:rsidRPr="0047058F" w:rsidRDefault="00B93A94" w:rsidP="00D009A2">
            <w:pPr>
              <w:pStyle w:val="TableText"/>
              <w:jc w:val="right"/>
              <w:rPr>
                <w:rFonts w:cs="Arial"/>
                <w:b/>
                <w:szCs w:val="14"/>
              </w:rPr>
            </w:pPr>
            <w:r w:rsidRPr="0047058F">
              <w:rPr>
                <w:rFonts w:cs="Arial"/>
                <w:b/>
                <w:szCs w:val="14"/>
              </w:rPr>
              <w:t>2110</w:t>
            </w:r>
          </w:p>
        </w:tc>
        <w:tc>
          <w:tcPr>
            <w:tcW w:w="880" w:type="dxa"/>
          </w:tcPr>
          <w:p w14:paraId="76188A85" w14:textId="77777777" w:rsidR="00B93A94" w:rsidRPr="0047058F" w:rsidRDefault="00B93A94" w:rsidP="00D009A2">
            <w:pPr>
              <w:pStyle w:val="TableText"/>
              <w:jc w:val="right"/>
              <w:rPr>
                <w:rFonts w:eastAsia="Times New Roman" w:cs="Arial"/>
                <w:b/>
                <w:szCs w:val="14"/>
              </w:rPr>
            </w:pPr>
            <w:r w:rsidRPr="0047058F">
              <w:rPr>
                <w:rFonts w:eastAsia="Times New Roman" w:cs="Arial"/>
                <w:b/>
                <w:szCs w:val="14"/>
              </w:rPr>
              <w:t>100.0</w:t>
            </w:r>
          </w:p>
        </w:tc>
        <w:tc>
          <w:tcPr>
            <w:tcW w:w="889" w:type="dxa"/>
          </w:tcPr>
          <w:p w14:paraId="268718EA" w14:textId="77777777" w:rsidR="00B93A94" w:rsidRPr="0047058F" w:rsidRDefault="00B93A94" w:rsidP="00D009A2">
            <w:pPr>
              <w:pStyle w:val="TableText"/>
              <w:jc w:val="right"/>
              <w:rPr>
                <w:rFonts w:cs="Arial"/>
                <w:b/>
                <w:szCs w:val="14"/>
              </w:rPr>
            </w:pPr>
            <w:r w:rsidRPr="0047058F">
              <w:rPr>
                <w:rFonts w:eastAsia="Times New Roman" w:cs="Arial"/>
                <w:b/>
                <w:szCs w:val="14"/>
              </w:rPr>
              <w:t>1586</w:t>
            </w:r>
          </w:p>
        </w:tc>
        <w:tc>
          <w:tcPr>
            <w:tcW w:w="889" w:type="dxa"/>
          </w:tcPr>
          <w:p w14:paraId="27D38195" w14:textId="77777777" w:rsidR="00B93A94" w:rsidRPr="0047058F" w:rsidRDefault="00B93A94" w:rsidP="00D009A2">
            <w:pPr>
              <w:pStyle w:val="TableText"/>
              <w:jc w:val="right"/>
              <w:rPr>
                <w:rFonts w:cs="Arial"/>
                <w:b/>
                <w:szCs w:val="14"/>
              </w:rPr>
            </w:pPr>
            <w:r w:rsidRPr="0047058F">
              <w:rPr>
                <w:rFonts w:eastAsia="Times New Roman" w:cs="Arial"/>
                <w:b/>
                <w:szCs w:val="14"/>
              </w:rPr>
              <w:t>75.2</w:t>
            </w:r>
          </w:p>
        </w:tc>
        <w:tc>
          <w:tcPr>
            <w:tcW w:w="889" w:type="dxa"/>
          </w:tcPr>
          <w:p w14:paraId="781EE9EC" w14:textId="77777777" w:rsidR="00B93A94" w:rsidRPr="0047058F" w:rsidRDefault="00B93A94" w:rsidP="00D009A2">
            <w:pPr>
              <w:pStyle w:val="TableText"/>
              <w:jc w:val="right"/>
              <w:rPr>
                <w:rFonts w:cs="Arial"/>
                <w:b/>
                <w:szCs w:val="14"/>
              </w:rPr>
            </w:pPr>
            <w:r w:rsidRPr="0047058F">
              <w:rPr>
                <w:rFonts w:eastAsia="Times New Roman" w:cs="Arial"/>
                <w:b/>
                <w:szCs w:val="14"/>
              </w:rPr>
              <w:t>524</w:t>
            </w:r>
          </w:p>
        </w:tc>
        <w:tc>
          <w:tcPr>
            <w:tcW w:w="890" w:type="dxa"/>
          </w:tcPr>
          <w:p w14:paraId="5500F6CC" w14:textId="77777777" w:rsidR="00B93A94" w:rsidRPr="0047058F" w:rsidRDefault="00B93A94" w:rsidP="00D009A2">
            <w:pPr>
              <w:pStyle w:val="TableText"/>
              <w:jc w:val="right"/>
              <w:rPr>
                <w:rFonts w:cs="Arial"/>
                <w:b/>
                <w:szCs w:val="14"/>
              </w:rPr>
            </w:pPr>
            <w:r w:rsidRPr="0047058F">
              <w:rPr>
                <w:rFonts w:eastAsia="Times New Roman" w:cs="Arial"/>
                <w:b/>
                <w:szCs w:val="14"/>
              </w:rPr>
              <w:t>24.8</w:t>
            </w:r>
          </w:p>
        </w:tc>
      </w:tr>
    </w:tbl>
    <w:p w14:paraId="6B4EE8E4" w14:textId="77777777" w:rsidR="00B93A94" w:rsidRPr="0047058F" w:rsidRDefault="00B93A94" w:rsidP="00AA7A7D">
      <w:pPr>
        <w:pStyle w:val="TableNotes"/>
        <w:keepNext/>
      </w:pPr>
      <w:r w:rsidRPr="0047058F">
        <w:t>Note: Unweighted data.</w:t>
      </w:r>
    </w:p>
    <w:p w14:paraId="55F9606A" w14:textId="09403743" w:rsidR="005F6199" w:rsidRPr="0047058F" w:rsidRDefault="005F6199" w:rsidP="005F6199">
      <w:pPr>
        <w:pStyle w:val="FigureName"/>
      </w:pPr>
      <w:bookmarkStart w:id="395" w:name="_Ref387057480"/>
      <w:bookmarkStart w:id="396" w:name="_Toc529117587"/>
      <w:bookmarkStart w:id="397" w:name="_Toc532473660"/>
      <w:r w:rsidRPr="0047058F">
        <w:t>Figure 5.23</w:t>
      </w:r>
      <w:bookmarkEnd w:id="395"/>
      <w:r w:rsidRPr="0047058F">
        <w:tab/>
        <w:t xml:space="preserve">Proportion of </w:t>
      </w:r>
      <w:r w:rsidRPr="0047058F">
        <w:rPr>
          <w:u w:val="single"/>
        </w:rPr>
        <w:t>Transitioned ADF in the longitudinal cohort</w:t>
      </w:r>
      <w:r w:rsidRPr="0047058F">
        <w:t xml:space="preserve"> with DAR-5 problem anger (total ≥ 12) in 2010 and 2015 based on self-reported measures</w:t>
      </w:r>
      <w:bookmarkEnd w:id="396"/>
      <w:bookmarkEnd w:id="397"/>
    </w:p>
    <w:p w14:paraId="5AF4972E" w14:textId="77777777" w:rsidR="005F6199" w:rsidRPr="0047058F" w:rsidRDefault="005F6199" w:rsidP="005F6199">
      <w:pPr>
        <w:spacing w:after="360"/>
      </w:pPr>
      <w:r w:rsidRPr="0047058F">
        <w:rPr>
          <w:noProof/>
          <w:lang w:eastAsia="en-AU"/>
        </w:rPr>
        <w:drawing>
          <wp:inline distT="0" distB="0" distL="0" distR="0" wp14:anchorId="745893ED" wp14:editId="744B5A1A">
            <wp:extent cx="4572000" cy="2743200"/>
            <wp:effectExtent l="0" t="0" r="0" b="0"/>
            <wp:docPr id="34" name="Chart 34" descr="Figure 5.23 Proportion of Transitioned ADF in the longitudinal cohort with DAR-5 problem anger (total ≥ 12)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814D96" w14:textId="77777777" w:rsidR="00B93A94" w:rsidRPr="0047058F" w:rsidRDefault="00B93A94" w:rsidP="00B93A94">
      <w:pPr>
        <w:pStyle w:val="TableName"/>
      </w:pPr>
      <w:bookmarkStart w:id="398" w:name="_Ref384558568"/>
      <w:bookmarkStart w:id="399" w:name="_Toc529117536"/>
      <w:bookmarkStart w:id="400" w:name="_Toc532473606"/>
      <w:r w:rsidRPr="0047058F">
        <w:t>Table 5.24</w:t>
      </w:r>
      <w:bookmarkEnd w:id="398"/>
      <w:r w:rsidRPr="0047058F">
        <w:tab/>
        <w:t xml:space="preserve">Proportion of </w:t>
      </w:r>
      <w:r w:rsidRPr="0047058F">
        <w:rPr>
          <w:u w:val="single"/>
        </w:rPr>
        <w:t>2015 Regular ADF in the longitudinal cohort</w:t>
      </w:r>
      <w:r w:rsidRPr="0047058F">
        <w:t xml:space="preserve"> with DAR-5 problem anger (total ≥ 12) in 2010 and 2015 based on self-reported measures</w:t>
      </w:r>
      <w:bookmarkEnd w:id="399"/>
      <w:bookmarkEnd w:id="400"/>
    </w:p>
    <w:tbl>
      <w:tblPr>
        <w:tblStyle w:val="TWRPTable"/>
        <w:tblW w:w="5000" w:type="pct"/>
        <w:tblLayout w:type="fixed"/>
        <w:tblLook w:val="04A0" w:firstRow="1" w:lastRow="0" w:firstColumn="1" w:lastColumn="0" w:noHBand="0" w:noVBand="1"/>
        <w:tblDescription w:val="Table 5.24 Proportion of 2015 Regular ADF in the longitudinal cohort with DAR-5 problem anger (total ≥ 12) in 2010 and 2015 based on self-reported measures"/>
      </w:tblPr>
      <w:tblGrid>
        <w:gridCol w:w="1998"/>
        <w:gridCol w:w="900"/>
        <w:gridCol w:w="900"/>
        <w:gridCol w:w="879"/>
        <w:gridCol w:w="879"/>
        <w:gridCol w:w="879"/>
        <w:gridCol w:w="880"/>
      </w:tblGrid>
      <w:tr w:rsidR="00B93A94" w:rsidRPr="0047058F" w14:paraId="3A821647"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98" w:type="dxa"/>
            <w:gridSpan w:val="3"/>
            <w:vMerge w:val="restart"/>
          </w:tcPr>
          <w:p w14:paraId="658A6575" w14:textId="77777777" w:rsidR="00B93A94" w:rsidRPr="0047058F" w:rsidRDefault="00B93A94" w:rsidP="00D009A2">
            <w:pPr>
              <w:pStyle w:val="TableText"/>
            </w:pPr>
            <w:r w:rsidRPr="0047058F">
              <w:t>2010 ADF Mental Health Prevalence and Wellbeing Study</w:t>
            </w:r>
          </w:p>
        </w:tc>
        <w:tc>
          <w:tcPr>
            <w:tcW w:w="3517" w:type="dxa"/>
            <w:gridSpan w:val="4"/>
          </w:tcPr>
          <w:p w14:paraId="09631DFD" w14:textId="77777777" w:rsidR="00B93A94" w:rsidRPr="0047058F" w:rsidRDefault="00B93A94" w:rsidP="00D009A2">
            <w:pPr>
              <w:pStyle w:val="TableText"/>
              <w:jc w:val="center"/>
            </w:pPr>
            <w:r w:rsidRPr="0047058F">
              <w:t>2015 Transition and Wellbeing Research Programme</w:t>
            </w:r>
          </w:p>
        </w:tc>
      </w:tr>
      <w:tr w:rsidR="00B93A94" w:rsidRPr="0047058F" w14:paraId="76D29A2F"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3798" w:type="dxa"/>
            <w:gridSpan w:val="3"/>
            <w:vMerge/>
          </w:tcPr>
          <w:p w14:paraId="2B9D7171" w14:textId="77777777" w:rsidR="00B93A94" w:rsidRPr="0047058F" w:rsidRDefault="00B93A94" w:rsidP="00D009A2">
            <w:pPr>
              <w:pStyle w:val="TableText"/>
            </w:pPr>
          </w:p>
        </w:tc>
        <w:tc>
          <w:tcPr>
            <w:tcW w:w="1758" w:type="dxa"/>
            <w:gridSpan w:val="2"/>
            <w:hideMark/>
          </w:tcPr>
          <w:p w14:paraId="5215D91C" w14:textId="77777777" w:rsidR="00B93A94" w:rsidRPr="0047058F" w:rsidRDefault="00B93A94" w:rsidP="00D009A2">
            <w:pPr>
              <w:pStyle w:val="TableText"/>
              <w:jc w:val="center"/>
            </w:pPr>
            <w:r w:rsidRPr="0047058F">
              <w:t>No problem anger</w:t>
            </w:r>
          </w:p>
        </w:tc>
        <w:tc>
          <w:tcPr>
            <w:tcW w:w="1759" w:type="dxa"/>
            <w:gridSpan w:val="2"/>
          </w:tcPr>
          <w:p w14:paraId="2B36F7F1" w14:textId="77777777" w:rsidR="00B93A94" w:rsidRPr="0047058F" w:rsidRDefault="00B93A94" w:rsidP="00D009A2">
            <w:pPr>
              <w:pStyle w:val="TableText"/>
              <w:jc w:val="center"/>
            </w:pPr>
            <w:r w:rsidRPr="0047058F">
              <w:t>Problem anger</w:t>
            </w:r>
          </w:p>
        </w:tc>
      </w:tr>
      <w:tr w:rsidR="00B93A94" w:rsidRPr="0047058F" w14:paraId="4DB424C5" w14:textId="77777777" w:rsidTr="00D009A2">
        <w:trPr>
          <w:cnfStyle w:val="100000000000" w:firstRow="1" w:lastRow="0" w:firstColumn="0" w:lastColumn="0" w:oddVBand="0" w:evenVBand="0" w:oddHBand="0" w:evenHBand="0" w:firstRowFirstColumn="0" w:firstRowLastColumn="0" w:lastRowFirstColumn="0" w:lastRowLastColumn="0"/>
          <w:cantSplit/>
          <w:tblHeader/>
        </w:trPr>
        <w:tc>
          <w:tcPr>
            <w:tcW w:w="1998" w:type="dxa"/>
          </w:tcPr>
          <w:p w14:paraId="087201C7" w14:textId="77777777" w:rsidR="00B93A94" w:rsidRPr="0047058F" w:rsidRDefault="00B93A94" w:rsidP="00D009A2">
            <w:pPr>
              <w:pStyle w:val="TableText"/>
            </w:pPr>
            <w:r w:rsidRPr="0047058F">
              <w:rPr>
                <w:rFonts w:cs="Arial"/>
              </w:rPr>
              <w:t>DAR-5</w:t>
            </w:r>
          </w:p>
        </w:tc>
        <w:tc>
          <w:tcPr>
            <w:tcW w:w="900" w:type="dxa"/>
          </w:tcPr>
          <w:p w14:paraId="18BAD6C8" w14:textId="77777777" w:rsidR="00B93A94" w:rsidRPr="0047058F" w:rsidRDefault="00B93A94" w:rsidP="00D009A2">
            <w:pPr>
              <w:pStyle w:val="TableText"/>
              <w:jc w:val="right"/>
              <w:rPr>
                <w:rFonts w:cs="Arial"/>
              </w:rPr>
            </w:pPr>
            <w:r w:rsidRPr="0047058F">
              <w:rPr>
                <w:rFonts w:cs="Arial"/>
              </w:rPr>
              <w:t>n</w:t>
            </w:r>
          </w:p>
        </w:tc>
        <w:tc>
          <w:tcPr>
            <w:tcW w:w="900" w:type="dxa"/>
          </w:tcPr>
          <w:p w14:paraId="52CE85EE" w14:textId="77777777" w:rsidR="00B93A94" w:rsidRPr="0047058F" w:rsidRDefault="00B93A94" w:rsidP="00D009A2">
            <w:pPr>
              <w:pStyle w:val="TableText"/>
              <w:jc w:val="right"/>
              <w:rPr>
                <w:rFonts w:cs="Arial"/>
              </w:rPr>
            </w:pPr>
            <w:r w:rsidRPr="0047058F">
              <w:rPr>
                <w:rFonts w:cs="Arial"/>
              </w:rPr>
              <w:t>%</w:t>
            </w:r>
          </w:p>
        </w:tc>
        <w:tc>
          <w:tcPr>
            <w:tcW w:w="879" w:type="dxa"/>
          </w:tcPr>
          <w:p w14:paraId="57F4DC0B" w14:textId="77777777" w:rsidR="00B93A94" w:rsidRPr="0047058F" w:rsidRDefault="00B93A94" w:rsidP="00D009A2">
            <w:pPr>
              <w:pStyle w:val="TableText"/>
              <w:jc w:val="right"/>
              <w:rPr>
                <w:rFonts w:cs="Arial"/>
              </w:rPr>
            </w:pPr>
            <w:r w:rsidRPr="0047058F">
              <w:rPr>
                <w:rFonts w:cs="Arial"/>
              </w:rPr>
              <w:t>n</w:t>
            </w:r>
          </w:p>
        </w:tc>
        <w:tc>
          <w:tcPr>
            <w:tcW w:w="879" w:type="dxa"/>
          </w:tcPr>
          <w:p w14:paraId="67AA7101" w14:textId="77777777" w:rsidR="00B93A94" w:rsidRPr="0047058F" w:rsidRDefault="00B93A94" w:rsidP="00D009A2">
            <w:pPr>
              <w:pStyle w:val="TableText"/>
              <w:jc w:val="right"/>
              <w:rPr>
                <w:rFonts w:cs="Arial"/>
              </w:rPr>
            </w:pPr>
            <w:r w:rsidRPr="0047058F">
              <w:rPr>
                <w:rFonts w:cs="Arial"/>
              </w:rPr>
              <w:t>%</w:t>
            </w:r>
          </w:p>
        </w:tc>
        <w:tc>
          <w:tcPr>
            <w:tcW w:w="879" w:type="dxa"/>
          </w:tcPr>
          <w:p w14:paraId="10BE197E" w14:textId="77777777" w:rsidR="00B93A94" w:rsidRPr="0047058F" w:rsidRDefault="00B93A94" w:rsidP="00D009A2">
            <w:pPr>
              <w:pStyle w:val="TableText"/>
              <w:jc w:val="right"/>
              <w:rPr>
                <w:rFonts w:cs="Arial"/>
              </w:rPr>
            </w:pPr>
            <w:r w:rsidRPr="0047058F">
              <w:rPr>
                <w:rFonts w:cs="Arial"/>
              </w:rPr>
              <w:t>n</w:t>
            </w:r>
          </w:p>
        </w:tc>
        <w:tc>
          <w:tcPr>
            <w:tcW w:w="880" w:type="dxa"/>
          </w:tcPr>
          <w:p w14:paraId="67E4C05A" w14:textId="77777777" w:rsidR="00B93A94" w:rsidRPr="0047058F" w:rsidRDefault="00B93A94" w:rsidP="00D009A2">
            <w:pPr>
              <w:pStyle w:val="TableText"/>
              <w:jc w:val="right"/>
              <w:rPr>
                <w:rFonts w:cs="Arial"/>
              </w:rPr>
            </w:pPr>
            <w:r w:rsidRPr="0047058F">
              <w:rPr>
                <w:rFonts w:cs="Arial"/>
              </w:rPr>
              <w:t>%</w:t>
            </w:r>
          </w:p>
        </w:tc>
      </w:tr>
      <w:tr w:rsidR="00B93A94" w:rsidRPr="0047058F" w14:paraId="44306660"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98" w:type="dxa"/>
          </w:tcPr>
          <w:p w14:paraId="12F37EDF" w14:textId="77777777" w:rsidR="00B93A94" w:rsidRPr="0047058F" w:rsidRDefault="00B93A94" w:rsidP="00D009A2">
            <w:pPr>
              <w:pStyle w:val="TableText"/>
              <w:rPr>
                <w:rFonts w:cs="Calibri"/>
                <w:szCs w:val="14"/>
              </w:rPr>
            </w:pPr>
            <w:r w:rsidRPr="0047058F">
              <w:rPr>
                <w:rFonts w:cs="Calibri"/>
                <w:szCs w:val="14"/>
              </w:rPr>
              <w:t>No problem anger</w:t>
            </w:r>
          </w:p>
        </w:tc>
        <w:tc>
          <w:tcPr>
            <w:tcW w:w="900" w:type="dxa"/>
          </w:tcPr>
          <w:p w14:paraId="2256FAAB" w14:textId="77777777" w:rsidR="00B93A94" w:rsidRPr="0047058F" w:rsidRDefault="00B93A94" w:rsidP="00D009A2">
            <w:pPr>
              <w:pStyle w:val="TableText"/>
              <w:jc w:val="right"/>
              <w:rPr>
                <w:szCs w:val="14"/>
              </w:rPr>
            </w:pPr>
            <w:r w:rsidRPr="0047058F">
              <w:rPr>
                <w:rFonts w:eastAsia="Times New Roman" w:cs="Arial"/>
                <w:szCs w:val="14"/>
              </w:rPr>
              <w:t>5207</w:t>
            </w:r>
          </w:p>
        </w:tc>
        <w:tc>
          <w:tcPr>
            <w:tcW w:w="900" w:type="dxa"/>
          </w:tcPr>
          <w:p w14:paraId="7DDB3ACC"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92.7</w:t>
            </w:r>
          </w:p>
        </w:tc>
        <w:tc>
          <w:tcPr>
            <w:tcW w:w="879" w:type="dxa"/>
          </w:tcPr>
          <w:p w14:paraId="5E6BABA7" w14:textId="77777777" w:rsidR="00B93A94" w:rsidRPr="0047058F" w:rsidRDefault="00B93A94" w:rsidP="00D009A2">
            <w:pPr>
              <w:pStyle w:val="TableText"/>
              <w:jc w:val="right"/>
              <w:rPr>
                <w:szCs w:val="14"/>
              </w:rPr>
            </w:pPr>
            <w:r w:rsidRPr="0047058F">
              <w:rPr>
                <w:rFonts w:eastAsia="Times New Roman" w:cs="Arial"/>
                <w:szCs w:val="14"/>
              </w:rPr>
              <w:t>4667</w:t>
            </w:r>
          </w:p>
        </w:tc>
        <w:tc>
          <w:tcPr>
            <w:tcW w:w="879" w:type="dxa"/>
          </w:tcPr>
          <w:p w14:paraId="63A51622" w14:textId="77777777" w:rsidR="00B93A94" w:rsidRPr="0047058F" w:rsidRDefault="00B93A94" w:rsidP="00D009A2">
            <w:pPr>
              <w:pStyle w:val="TableText"/>
              <w:jc w:val="right"/>
              <w:rPr>
                <w:szCs w:val="14"/>
              </w:rPr>
            </w:pPr>
            <w:r w:rsidRPr="0047058F">
              <w:rPr>
                <w:rFonts w:eastAsia="Times New Roman" w:cs="Arial"/>
                <w:szCs w:val="14"/>
              </w:rPr>
              <w:t>89.6</w:t>
            </w:r>
          </w:p>
        </w:tc>
        <w:tc>
          <w:tcPr>
            <w:tcW w:w="879" w:type="dxa"/>
          </w:tcPr>
          <w:p w14:paraId="4F4F08D7" w14:textId="77777777" w:rsidR="00B93A94" w:rsidRPr="0047058F" w:rsidRDefault="00B93A94" w:rsidP="00D009A2">
            <w:pPr>
              <w:pStyle w:val="TableText"/>
              <w:jc w:val="right"/>
              <w:rPr>
                <w:szCs w:val="14"/>
              </w:rPr>
            </w:pPr>
            <w:r w:rsidRPr="0047058F">
              <w:rPr>
                <w:rFonts w:eastAsia="Times New Roman" w:cs="Arial"/>
                <w:szCs w:val="14"/>
              </w:rPr>
              <w:t>540</w:t>
            </w:r>
          </w:p>
        </w:tc>
        <w:tc>
          <w:tcPr>
            <w:tcW w:w="880" w:type="dxa"/>
          </w:tcPr>
          <w:p w14:paraId="26130EED" w14:textId="77777777" w:rsidR="00B93A94" w:rsidRPr="0047058F" w:rsidRDefault="00B93A94" w:rsidP="00D009A2">
            <w:pPr>
              <w:pStyle w:val="TableText"/>
              <w:jc w:val="right"/>
              <w:rPr>
                <w:szCs w:val="14"/>
              </w:rPr>
            </w:pPr>
            <w:r w:rsidRPr="0047058F">
              <w:rPr>
                <w:rFonts w:eastAsia="Times New Roman" w:cs="Arial"/>
                <w:szCs w:val="14"/>
              </w:rPr>
              <w:t>10.4</w:t>
            </w:r>
          </w:p>
        </w:tc>
      </w:tr>
      <w:tr w:rsidR="00B93A94" w:rsidRPr="0047058F" w14:paraId="5DB0555C" w14:textId="77777777" w:rsidTr="00D009A2">
        <w:trPr>
          <w:cantSplit/>
        </w:trPr>
        <w:tc>
          <w:tcPr>
            <w:tcW w:w="1998" w:type="dxa"/>
          </w:tcPr>
          <w:p w14:paraId="0FD44745" w14:textId="77777777" w:rsidR="00B93A94" w:rsidRPr="0047058F" w:rsidRDefault="00B93A94" w:rsidP="00D009A2">
            <w:pPr>
              <w:pStyle w:val="TableText"/>
              <w:rPr>
                <w:rFonts w:cs="Calibri"/>
                <w:szCs w:val="14"/>
              </w:rPr>
            </w:pPr>
            <w:r w:rsidRPr="0047058F">
              <w:rPr>
                <w:rFonts w:cs="Calibri"/>
                <w:szCs w:val="14"/>
              </w:rPr>
              <w:t>Problem anger</w:t>
            </w:r>
          </w:p>
        </w:tc>
        <w:tc>
          <w:tcPr>
            <w:tcW w:w="900" w:type="dxa"/>
          </w:tcPr>
          <w:p w14:paraId="5DBEE61A" w14:textId="77777777" w:rsidR="00B93A94" w:rsidRPr="0047058F" w:rsidRDefault="00B93A94" w:rsidP="00D009A2">
            <w:pPr>
              <w:pStyle w:val="TableText"/>
              <w:jc w:val="right"/>
              <w:rPr>
                <w:szCs w:val="14"/>
              </w:rPr>
            </w:pPr>
            <w:r w:rsidRPr="0047058F">
              <w:rPr>
                <w:rFonts w:eastAsia="Times New Roman" w:cs="Arial"/>
                <w:szCs w:val="14"/>
              </w:rPr>
              <w:t>409</w:t>
            </w:r>
          </w:p>
        </w:tc>
        <w:tc>
          <w:tcPr>
            <w:tcW w:w="900" w:type="dxa"/>
          </w:tcPr>
          <w:p w14:paraId="7F8E4A95" w14:textId="77777777" w:rsidR="00B93A94" w:rsidRPr="0047058F" w:rsidRDefault="00B93A94" w:rsidP="00D009A2">
            <w:pPr>
              <w:pStyle w:val="TableText"/>
              <w:jc w:val="right"/>
              <w:rPr>
                <w:rFonts w:eastAsia="Times New Roman" w:cs="Arial"/>
                <w:szCs w:val="14"/>
              </w:rPr>
            </w:pPr>
            <w:r w:rsidRPr="0047058F">
              <w:rPr>
                <w:rFonts w:eastAsia="Times New Roman" w:cs="Arial"/>
                <w:szCs w:val="14"/>
              </w:rPr>
              <w:t>7.3</w:t>
            </w:r>
          </w:p>
        </w:tc>
        <w:tc>
          <w:tcPr>
            <w:tcW w:w="879" w:type="dxa"/>
          </w:tcPr>
          <w:p w14:paraId="10D03FDA" w14:textId="77777777" w:rsidR="00B93A94" w:rsidRPr="0047058F" w:rsidRDefault="00B93A94" w:rsidP="00D009A2">
            <w:pPr>
              <w:pStyle w:val="TableText"/>
              <w:jc w:val="right"/>
              <w:rPr>
                <w:szCs w:val="14"/>
              </w:rPr>
            </w:pPr>
            <w:r w:rsidRPr="0047058F">
              <w:rPr>
                <w:rFonts w:eastAsia="Times New Roman" w:cs="Arial"/>
                <w:szCs w:val="14"/>
              </w:rPr>
              <w:t>221</w:t>
            </w:r>
          </w:p>
        </w:tc>
        <w:tc>
          <w:tcPr>
            <w:tcW w:w="879" w:type="dxa"/>
          </w:tcPr>
          <w:p w14:paraId="202E3C47" w14:textId="77777777" w:rsidR="00B93A94" w:rsidRPr="0047058F" w:rsidRDefault="00B93A94" w:rsidP="00D009A2">
            <w:pPr>
              <w:pStyle w:val="TableText"/>
              <w:jc w:val="right"/>
              <w:rPr>
                <w:szCs w:val="14"/>
              </w:rPr>
            </w:pPr>
            <w:r w:rsidRPr="0047058F">
              <w:rPr>
                <w:rFonts w:eastAsia="Times New Roman" w:cs="Arial"/>
                <w:szCs w:val="14"/>
              </w:rPr>
              <w:t>54.0</w:t>
            </w:r>
          </w:p>
        </w:tc>
        <w:tc>
          <w:tcPr>
            <w:tcW w:w="879" w:type="dxa"/>
          </w:tcPr>
          <w:p w14:paraId="28CB3E78" w14:textId="77777777" w:rsidR="00B93A94" w:rsidRPr="0047058F" w:rsidRDefault="00B93A94" w:rsidP="00D009A2">
            <w:pPr>
              <w:pStyle w:val="TableText"/>
              <w:jc w:val="right"/>
              <w:rPr>
                <w:szCs w:val="14"/>
              </w:rPr>
            </w:pPr>
            <w:r w:rsidRPr="0047058F">
              <w:rPr>
                <w:rFonts w:eastAsia="Times New Roman" w:cs="Arial"/>
                <w:szCs w:val="14"/>
              </w:rPr>
              <w:t>188</w:t>
            </w:r>
          </w:p>
        </w:tc>
        <w:tc>
          <w:tcPr>
            <w:tcW w:w="880" w:type="dxa"/>
          </w:tcPr>
          <w:p w14:paraId="182850CC" w14:textId="77777777" w:rsidR="00B93A94" w:rsidRPr="0047058F" w:rsidRDefault="00B93A94" w:rsidP="00D009A2">
            <w:pPr>
              <w:pStyle w:val="TableText"/>
              <w:jc w:val="right"/>
              <w:rPr>
                <w:szCs w:val="14"/>
              </w:rPr>
            </w:pPr>
            <w:r w:rsidRPr="0047058F">
              <w:rPr>
                <w:rFonts w:eastAsia="Times New Roman" w:cs="Arial"/>
                <w:szCs w:val="14"/>
              </w:rPr>
              <w:t>46.0</w:t>
            </w:r>
          </w:p>
        </w:tc>
      </w:tr>
      <w:tr w:rsidR="00B93A94" w:rsidRPr="0047058F" w14:paraId="443681DE" w14:textId="77777777" w:rsidTr="00D009A2">
        <w:trPr>
          <w:cnfStyle w:val="000000100000" w:firstRow="0" w:lastRow="0" w:firstColumn="0" w:lastColumn="0" w:oddVBand="0" w:evenVBand="0" w:oddHBand="1" w:evenHBand="0" w:firstRowFirstColumn="0" w:firstRowLastColumn="0" w:lastRowFirstColumn="0" w:lastRowLastColumn="0"/>
          <w:cantSplit/>
        </w:trPr>
        <w:tc>
          <w:tcPr>
            <w:tcW w:w="1998" w:type="dxa"/>
          </w:tcPr>
          <w:p w14:paraId="50C78D8D" w14:textId="77777777" w:rsidR="00B93A94" w:rsidRPr="0047058F" w:rsidRDefault="00B93A94" w:rsidP="00D009A2">
            <w:pPr>
              <w:pStyle w:val="TableText"/>
              <w:rPr>
                <w:rFonts w:cs="Arial"/>
                <w:b/>
              </w:rPr>
            </w:pPr>
            <w:r w:rsidRPr="0047058F">
              <w:rPr>
                <w:rFonts w:cs="Arial"/>
                <w:b/>
              </w:rPr>
              <w:t>Total</w:t>
            </w:r>
          </w:p>
        </w:tc>
        <w:tc>
          <w:tcPr>
            <w:tcW w:w="900" w:type="dxa"/>
          </w:tcPr>
          <w:p w14:paraId="128E3FFA" w14:textId="77777777" w:rsidR="00B93A94" w:rsidRPr="0047058F" w:rsidRDefault="00B93A94" w:rsidP="00D009A2">
            <w:pPr>
              <w:pStyle w:val="TableText"/>
              <w:jc w:val="right"/>
              <w:rPr>
                <w:rFonts w:cs="Arial"/>
                <w:b/>
                <w:szCs w:val="14"/>
              </w:rPr>
            </w:pPr>
            <w:r w:rsidRPr="0047058F">
              <w:rPr>
                <w:rFonts w:cs="Arial"/>
                <w:b/>
                <w:szCs w:val="14"/>
              </w:rPr>
              <w:t>5616</w:t>
            </w:r>
          </w:p>
        </w:tc>
        <w:tc>
          <w:tcPr>
            <w:tcW w:w="900" w:type="dxa"/>
          </w:tcPr>
          <w:p w14:paraId="763926EB" w14:textId="77777777" w:rsidR="00B93A94" w:rsidRPr="0047058F" w:rsidRDefault="00B93A94" w:rsidP="00D009A2">
            <w:pPr>
              <w:pStyle w:val="TableText"/>
              <w:jc w:val="right"/>
              <w:rPr>
                <w:rFonts w:eastAsia="Times New Roman" w:cs="Arial"/>
                <w:b/>
                <w:szCs w:val="14"/>
              </w:rPr>
            </w:pPr>
            <w:r w:rsidRPr="0047058F">
              <w:rPr>
                <w:rFonts w:eastAsia="Times New Roman" w:cs="Arial"/>
                <w:b/>
                <w:szCs w:val="14"/>
              </w:rPr>
              <w:t>100.0</w:t>
            </w:r>
          </w:p>
        </w:tc>
        <w:tc>
          <w:tcPr>
            <w:tcW w:w="879" w:type="dxa"/>
          </w:tcPr>
          <w:p w14:paraId="0997020E" w14:textId="77777777" w:rsidR="00B93A94" w:rsidRPr="0047058F" w:rsidRDefault="00B93A94" w:rsidP="00D009A2">
            <w:pPr>
              <w:pStyle w:val="TableText"/>
              <w:jc w:val="right"/>
              <w:rPr>
                <w:rFonts w:cs="Arial"/>
                <w:b/>
                <w:szCs w:val="14"/>
              </w:rPr>
            </w:pPr>
            <w:r w:rsidRPr="0047058F">
              <w:rPr>
                <w:rFonts w:eastAsia="Times New Roman" w:cs="Arial"/>
                <w:b/>
                <w:szCs w:val="14"/>
              </w:rPr>
              <w:t>4888</w:t>
            </w:r>
          </w:p>
        </w:tc>
        <w:tc>
          <w:tcPr>
            <w:tcW w:w="879" w:type="dxa"/>
          </w:tcPr>
          <w:p w14:paraId="01369028" w14:textId="77777777" w:rsidR="00B93A94" w:rsidRPr="0047058F" w:rsidRDefault="00B93A94" w:rsidP="00D009A2">
            <w:pPr>
              <w:pStyle w:val="TableText"/>
              <w:jc w:val="right"/>
              <w:rPr>
                <w:rFonts w:cs="Arial"/>
                <w:b/>
                <w:szCs w:val="14"/>
              </w:rPr>
            </w:pPr>
            <w:r w:rsidRPr="0047058F">
              <w:rPr>
                <w:rFonts w:eastAsia="Times New Roman" w:cs="Arial"/>
                <w:b/>
                <w:szCs w:val="14"/>
              </w:rPr>
              <w:t>87.0</w:t>
            </w:r>
          </w:p>
        </w:tc>
        <w:tc>
          <w:tcPr>
            <w:tcW w:w="879" w:type="dxa"/>
          </w:tcPr>
          <w:p w14:paraId="2545036F" w14:textId="77777777" w:rsidR="00B93A94" w:rsidRPr="0047058F" w:rsidRDefault="00B93A94" w:rsidP="00D009A2">
            <w:pPr>
              <w:pStyle w:val="TableText"/>
              <w:jc w:val="right"/>
              <w:rPr>
                <w:rFonts w:cs="Arial"/>
                <w:b/>
                <w:szCs w:val="14"/>
              </w:rPr>
            </w:pPr>
            <w:r w:rsidRPr="0047058F">
              <w:rPr>
                <w:rFonts w:eastAsia="Times New Roman" w:cs="Arial"/>
                <w:b/>
                <w:szCs w:val="14"/>
              </w:rPr>
              <w:t>728</w:t>
            </w:r>
          </w:p>
        </w:tc>
        <w:tc>
          <w:tcPr>
            <w:tcW w:w="880" w:type="dxa"/>
          </w:tcPr>
          <w:p w14:paraId="63A175F1" w14:textId="77777777" w:rsidR="00B93A94" w:rsidRPr="0047058F" w:rsidRDefault="00B93A94" w:rsidP="00D009A2">
            <w:pPr>
              <w:pStyle w:val="TableText"/>
              <w:jc w:val="right"/>
              <w:rPr>
                <w:rFonts w:cs="Arial"/>
                <w:b/>
                <w:szCs w:val="14"/>
              </w:rPr>
            </w:pPr>
            <w:r w:rsidRPr="0047058F">
              <w:rPr>
                <w:rFonts w:eastAsia="Times New Roman" w:cs="Arial"/>
                <w:b/>
                <w:szCs w:val="14"/>
              </w:rPr>
              <w:t>13.0</w:t>
            </w:r>
          </w:p>
        </w:tc>
      </w:tr>
    </w:tbl>
    <w:p w14:paraId="7A210599" w14:textId="77777777" w:rsidR="00B93A94" w:rsidRPr="0047058F" w:rsidRDefault="00B93A94" w:rsidP="00AA7A7D">
      <w:pPr>
        <w:pStyle w:val="TableNotes"/>
        <w:keepNext/>
      </w:pPr>
      <w:r w:rsidRPr="0047058F">
        <w:t>Note: Unweighted data.</w:t>
      </w:r>
    </w:p>
    <w:p w14:paraId="5E93F849" w14:textId="77777777" w:rsidR="00B93A94" w:rsidRPr="0047058F" w:rsidRDefault="00B93A94" w:rsidP="00B93A94">
      <w:pPr>
        <w:pStyle w:val="FigureName"/>
        <w:rPr>
          <w:lang w:eastAsia="en-AU"/>
        </w:rPr>
      </w:pPr>
      <w:bookmarkStart w:id="401" w:name="_Ref387057496"/>
      <w:bookmarkStart w:id="402" w:name="_Toc529117588"/>
      <w:bookmarkStart w:id="403" w:name="_Toc532473661"/>
      <w:r w:rsidRPr="0047058F">
        <w:t>Figure 5.24</w:t>
      </w:r>
      <w:bookmarkEnd w:id="401"/>
      <w:r w:rsidRPr="0047058F">
        <w:tab/>
        <w:t xml:space="preserve">Proportion of </w:t>
      </w:r>
      <w:r w:rsidRPr="0047058F">
        <w:rPr>
          <w:u w:val="single"/>
        </w:rPr>
        <w:t>2015 Regular ADF in the longitudinal cohort</w:t>
      </w:r>
      <w:r w:rsidRPr="0047058F">
        <w:t xml:space="preserve"> with DAR-5 problem anger (total ≥ 12) in 2010 and 2015 based on self-reported measures</w:t>
      </w:r>
      <w:bookmarkEnd w:id="402"/>
      <w:bookmarkEnd w:id="403"/>
    </w:p>
    <w:p w14:paraId="6DA8E774" w14:textId="77777777" w:rsidR="00D14F71" w:rsidRPr="0047058F" w:rsidRDefault="00B93A94" w:rsidP="00D14F71">
      <w:pPr>
        <w:spacing w:after="360"/>
      </w:pPr>
      <w:r w:rsidRPr="0047058F">
        <w:rPr>
          <w:noProof/>
          <w:lang w:eastAsia="en-AU"/>
        </w:rPr>
        <w:drawing>
          <wp:inline distT="0" distB="0" distL="0" distR="0" wp14:anchorId="4293244C" wp14:editId="7DEBD9B1">
            <wp:extent cx="4572000" cy="2743200"/>
            <wp:effectExtent l="0" t="0" r="0" b="0"/>
            <wp:docPr id="35" name="Chart 35" descr="Figure 5.24 Proportion of 2015 Regular ADF in the longitudinal cohort with DAR-5 problem anger (total ≥ 12)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C42C4E" w14:textId="77777777" w:rsidR="00B93A94" w:rsidRPr="0047058F" w:rsidRDefault="00B93A94" w:rsidP="00860F45">
      <w:pPr>
        <w:pStyle w:val="Heading2"/>
        <w:rPr>
          <w:lang w:eastAsia="en-AU"/>
        </w:rPr>
      </w:pPr>
      <w:bookmarkStart w:id="404" w:name="_Toc529117479"/>
      <w:bookmarkStart w:id="405" w:name="_Toc532474379"/>
      <w:r w:rsidRPr="0047058F">
        <w:rPr>
          <w:lang w:eastAsia="en-AU"/>
        </w:rPr>
        <w:t>Physical violence in the longitudinal cohort</w:t>
      </w:r>
      <w:bookmarkEnd w:id="404"/>
      <w:bookmarkEnd w:id="405"/>
    </w:p>
    <w:p w14:paraId="17E453D3" w14:textId="77777777" w:rsidR="00B93A94" w:rsidRPr="0047058F" w:rsidRDefault="00B93A94" w:rsidP="00FD21C0">
      <w:pPr>
        <w:rPr>
          <w:rFonts w:cs="Calibri"/>
        </w:rPr>
      </w:pPr>
      <w:r w:rsidRPr="0047058F">
        <w:rPr>
          <w:lang w:eastAsia="en-AU"/>
        </w:rPr>
        <w:t xml:space="preserve">Participants were asked two items about physical violence: how often in the last month they got into a fight with someone and hit the person, and how often in the last month they threatened someone with physical violence. </w:t>
      </w:r>
      <w:r w:rsidRPr="0047058F">
        <w:rPr>
          <w:rFonts w:cs="Calibri"/>
        </w:rPr>
        <w:t>Respondents were instructed to rate the number of times they had experienced these events on a 5-point scale ranging from 1 (‘none of the time’) to 5 (‘five or more times’). These scores were collapsed into a two-level variable indicating ‘none of the time’ or ‘one or more times’. The proportion of individuals responding in these categories is presented.</w:t>
      </w:r>
    </w:p>
    <w:p w14:paraId="2D7094EE" w14:textId="77777777" w:rsidR="00B93A94" w:rsidRPr="0047058F" w:rsidRDefault="00B93A94" w:rsidP="00860F45">
      <w:pPr>
        <w:pStyle w:val="Heading3"/>
        <w:rPr>
          <w:lang w:eastAsia="en-AU"/>
        </w:rPr>
      </w:pPr>
      <w:bookmarkStart w:id="406" w:name="_Toc532474380"/>
      <w:r w:rsidRPr="0047058F">
        <w:rPr>
          <w:lang w:eastAsia="en-AU"/>
        </w:rPr>
        <w:t>Got into a fight and hit someone</w:t>
      </w:r>
      <w:bookmarkEnd w:id="406"/>
    </w:p>
    <w:p w14:paraId="530E28AE" w14:textId="77777777" w:rsidR="00B93A94" w:rsidRPr="0047058F" w:rsidRDefault="00B93A94" w:rsidP="00381CF9">
      <w:pPr>
        <w:keepLines/>
      </w:pPr>
      <w:r w:rsidRPr="0047058F">
        <w:t>Table 5.25 and Figure 5.25, Table 5.26 and Figure 5.26, and Table 5.27 and Figure 5.27 show the proportion of those reporting that they ‘got into a fight and hit someone in the last month’ in 2010 cross-tabulated by the same grouping of scores in 2015 among the entire longitudinal cohort, and according to whether they had transitioned or remained in the Regular ADF in 2015.</w:t>
      </w:r>
    </w:p>
    <w:p w14:paraId="613B7A38" w14:textId="77777777" w:rsidR="00B93A94" w:rsidRPr="0047058F" w:rsidRDefault="00B93A94" w:rsidP="00FD21C0">
      <w:pPr>
        <w:rPr>
          <w:lang w:eastAsia="en-AU"/>
        </w:rPr>
      </w:pPr>
      <w:r w:rsidRPr="0047058F">
        <w:rPr>
          <w:lang w:eastAsia="en-AU"/>
        </w:rPr>
        <w:t>In 2010, 1.6% of the cohort reported getting into a fight and hitting someone one or more times in the last month; this decreased to 1.3% in 2015. Of those reporting that they had not gotten into a fight and hit someone in the last month in 2010, only 1.1% reported that they had done this in 2015. The majority of those who answered affirmatively in 2010 did not report physical violence in 2015 (89.4%).</w:t>
      </w:r>
    </w:p>
    <w:p w14:paraId="5CDAFE24" w14:textId="77777777" w:rsidR="00381CF9" w:rsidRPr="0047058F" w:rsidRDefault="00381CF9" w:rsidP="00B93A94">
      <w:pPr>
        <w:rPr>
          <w:lang w:eastAsia="en-AU"/>
        </w:rPr>
      </w:pPr>
      <w:bookmarkStart w:id="407" w:name="_Ref384558714"/>
      <w:bookmarkStart w:id="408" w:name="_Toc529117537"/>
      <w:r w:rsidRPr="0047058F">
        <w:rPr>
          <w:lang w:eastAsia="en-AU"/>
        </w:rPr>
        <w:t>Among those who had transitioned, 2.5% of participants reported getting into a fight and hitting someone in the last month one or more times in both 2010 and 2015. Of those reporting no physical violence in 2010, 2.1% became new cases. The majority of cases of physical violence in 2010 were no longer cases in 2015 (83.3%).</w:t>
      </w:r>
    </w:p>
    <w:p w14:paraId="6DB5DAAD" w14:textId="77777777" w:rsidR="00381CF9" w:rsidRPr="0047058F" w:rsidRDefault="00381CF9" w:rsidP="00B93A94">
      <w:pPr>
        <w:rPr>
          <w:lang w:eastAsia="en-AU"/>
        </w:rPr>
      </w:pPr>
      <w:r w:rsidRPr="0047058F">
        <w:rPr>
          <w:lang w:eastAsia="en-AU"/>
        </w:rPr>
        <w:t>Those who remained in the Regular ADF reported lower proportions, with only 1.2% reporting this type of physical violence in 2010, which dropped to 0.9% in 2015. Only 0.8% became new cases of physical violence in 2015, and the majority of those reporting getting into a fight and hitting someone in 2010 reported that they did not in 2015 (94.2%).</w:t>
      </w:r>
    </w:p>
    <w:p w14:paraId="7493215F" w14:textId="77777777" w:rsidR="00381CF9" w:rsidRPr="0047058F" w:rsidRDefault="00381CF9" w:rsidP="00B93A94">
      <w:r w:rsidRPr="0047058F">
        <w:t xml:space="preserve">When comparing Transitioned ADF and 2015 Regular ADF in the longitudinal cohort, more Transitioned ADF </w:t>
      </w:r>
      <w:r>
        <w:t>who</w:t>
      </w:r>
      <w:r w:rsidRPr="0047058F">
        <w:t xml:space="preserve"> reported </w:t>
      </w:r>
      <w:r w:rsidRPr="0047058F">
        <w:rPr>
          <w:lang w:eastAsia="en-AU"/>
        </w:rPr>
        <w:t>getting into a fight and hitting someone</w:t>
      </w:r>
      <w:r w:rsidRPr="0047058F">
        <w:t xml:space="preserve"> in 2010 also did in 2015. Due to small cell sizes, percentages have not been reported.</w:t>
      </w:r>
    </w:p>
    <w:p w14:paraId="41CC9C79" w14:textId="77777777" w:rsidR="00B93A94" w:rsidRPr="0047058F" w:rsidRDefault="00B93A94" w:rsidP="00B93A94">
      <w:pPr>
        <w:pStyle w:val="TableName"/>
        <w:rPr>
          <w:lang w:eastAsia="en-AU"/>
        </w:rPr>
      </w:pPr>
      <w:bookmarkStart w:id="409" w:name="_Toc532473607"/>
      <w:r w:rsidRPr="0047058F">
        <w:t>Table 5.25</w:t>
      </w:r>
      <w:bookmarkEnd w:id="407"/>
      <w:r w:rsidRPr="0047058F">
        <w:tab/>
        <w:t xml:space="preserve">Proportion of </w:t>
      </w:r>
      <w:r w:rsidRPr="0047058F">
        <w:rPr>
          <w:u w:val="single"/>
        </w:rPr>
        <w:t>entire longitudinal cohort</w:t>
      </w:r>
      <w:r w:rsidRPr="0047058F">
        <w:t xml:space="preserve"> who ‘got into a fight and hit someone in the last month’ in 2010 and 2015 based on self-reported measures</w:t>
      </w:r>
      <w:bookmarkEnd w:id="408"/>
      <w:bookmarkEnd w:id="409"/>
    </w:p>
    <w:tbl>
      <w:tblPr>
        <w:tblStyle w:val="TWRPTable"/>
        <w:tblW w:w="5000" w:type="pct"/>
        <w:tblLayout w:type="fixed"/>
        <w:tblLook w:val="04A0" w:firstRow="1" w:lastRow="0" w:firstColumn="1" w:lastColumn="0" w:noHBand="0" w:noVBand="1"/>
        <w:tblDescription w:val="Table 5.25 Proportion of entire longitudinal cohort who ‘got into a fight and hit someone in the last month’ in 2010 and 2015 based on self-reported measures"/>
      </w:tblPr>
      <w:tblGrid>
        <w:gridCol w:w="2988"/>
        <w:gridCol w:w="720"/>
        <w:gridCol w:w="720"/>
        <w:gridCol w:w="721"/>
        <w:gridCol w:w="722"/>
        <w:gridCol w:w="722"/>
        <w:gridCol w:w="722"/>
      </w:tblGrid>
      <w:tr w:rsidR="00B93A94" w:rsidRPr="0047058F" w14:paraId="177125C6"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619B9789" w14:textId="77777777" w:rsidR="00B93A94" w:rsidRPr="0047058F" w:rsidRDefault="00B93A94" w:rsidP="00FD21C0">
            <w:pPr>
              <w:pStyle w:val="TableText"/>
            </w:pPr>
            <w:r w:rsidRPr="0047058F">
              <w:t>2010 ADF Mental Health Prevalence and Wellbeing Study</w:t>
            </w:r>
          </w:p>
        </w:tc>
        <w:tc>
          <w:tcPr>
            <w:tcW w:w="2887" w:type="dxa"/>
            <w:gridSpan w:val="4"/>
          </w:tcPr>
          <w:p w14:paraId="29114AD9" w14:textId="77777777" w:rsidR="00B93A94" w:rsidRPr="0047058F" w:rsidRDefault="00B93A94" w:rsidP="00FD21C0">
            <w:pPr>
              <w:pStyle w:val="TableText"/>
              <w:jc w:val="center"/>
            </w:pPr>
            <w:r w:rsidRPr="0047058F">
              <w:t>2015 Transition and Wellbeing Research Programme</w:t>
            </w:r>
          </w:p>
        </w:tc>
      </w:tr>
      <w:tr w:rsidR="00B93A94" w:rsidRPr="0047058F" w14:paraId="14C149A7"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6AC2E695" w14:textId="77777777" w:rsidR="00B93A94" w:rsidRPr="0047058F" w:rsidRDefault="00B93A94" w:rsidP="00FD21C0">
            <w:pPr>
              <w:pStyle w:val="TableText"/>
            </w:pPr>
          </w:p>
        </w:tc>
        <w:tc>
          <w:tcPr>
            <w:tcW w:w="1443" w:type="dxa"/>
            <w:gridSpan w:val="2"/>
            <w:hideMark/>
          </w:tcPr>
          <w:p w14:paraId="5214D12C" w14:textId="77777777" w:rsidR="00B93A94" w:rsidRPr="0047058F" w:rsidRDefault="00B93A94" w:rsidP="00FD21C0">
            <w:pPr>
              <w:pStyle w:val="TableText"/>
              <w:jc w:val="center"/>
            </w:pPr>
            <w:r w:rsidRPr="0047058F">
              <w:t>Not in the last month</w:t>
            </w:r>
          </w:p>
        </w:tc>
        <w:tc>
          <w:tcPr>
            <w:tcW w:w="1444" w:type="dxa"/>
            <w:gridSpan w:val="2"/>
          </w:tcPr>
          <w:p w14:paraId="03A9662C" w14:textId="77777777" w:rsidR="00B93A94" w:rsidRPr="0047058F" w:rsidRDefault="00B93A94" w:rsidP="00FD21C0">
            <w:pPr>
              <w:pStyle w:val="TableText"/>
              <w:jc w:val="center"/>
            </w:pPr>
            <w:r w:rsidRPr="0047058F">
              <w:t>One or more times</w:t>
            </w:r>
          </w:p>
        </w:tc>
      </w:tr>
      <w:tr w:rsidR="00FD21C0" w:rsidRPr="0047058F" w14:paraId="6E94304A"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563350D3" w14:textId="77777777" w:rsidR="00B93A94" w:rsidRPr="0047058F" w:rsidRDefault="00B93A94" w:rsidP="00FD21C0">
            <w:pPr>
              <w:pStyle w:val="TableText"/>
            </w:pPr>
            <w:r w:rsidRPr="0047058F">
              <w:t>Got into a fight and hit someone in the last month</w:t>
            </w:r>
          </w:p>
        </w:tc>
        <w:tc>
          <w:tcPr>
            <w:tcW w:w="720" w:type="dxa"/>
          </w:tcPr>
          <w:p w14:paraId="09B0A199" w14:textId="77777777" w:rsidR="00B93A94" w:rsidRPr="0047058F" w:rsidRDefault="00B93A94" w:rsidP="00FD21C0">
            <w:pPr>
              <w:pStyle w:val="TableText"/>
              <w:jc w:val="right"/>
            </w:pPr>
            <w:r w:rsidRPr="0047058F">
              <w:t>n</w:t>
            </w:r>
          </w:p>
        </w:tc>
        <w:tc>
          <w:tcPr>
            <w:tcW w:w="720" w:type="dxa"/>
          </w:tcPr>
          <w:p w14:paraId="5834101F" w14:textId="77777777" w:rsidR="00B93A94" w:rsidRPr="0047058F" w:rsidRDefault="00B93A94" w:rsidP="00FD21C0">
            <w:pPr>
              <w:pStyle w:val="TableText"/>
              <w:jc w:val="right"/>
            </w:pPr>
            <w:r w:rsidRPr="0047058F">
              <w:t>%</w:t>
            </w:r>
          </w:p>
        </w:tc>
        <w:tc>
          <w:tcPr>
            <w:tcW w:w="721" w:type="dxa"/>
          </w:tcPr>
          <w:p w14:paraId="605B4F2D" w14:textId="77777777" w:rsidR="00B93A94" w:rsidRPr="0047058F" w:rsidRDefault="00B93A94" w:rsidP="00FD21C0">
            <w:pPr>
              <w:pStyle w:val="TableText"/>
              <w:jc w:val="right"/>
            </w:pPr>
            <w:r w:rsidRPr="0047058F">
              <w:t>n</w:t>
            </w:r>
          </w:p>
        </w:tc>
        <w:tc>
          <w:tcPr>
            <w:tcW w:w="722" w:type="dxa"/>
          </w:tcPr>
          <w:p w14:paraId="29F949FD" w14:textId="77777777" w:rsidR="00B93A94" w:rsidRPr="0047058F" w:rsidRDefault="00B93A94" w:rsidP="00FD21C0">
            <w:pPr>
              <w:pStyle w:val="TableText"/>
              <w:jc w:val="right"/>
            </w:pPr>
            <w:r w:rsidRPr="0047058F">
              <w:t>%</w:t>
            </w:r>
          </w:p>
        </w:tc>
        <w:tc>
          <w:tcPr>
            <w:tcW w:w="722" w:type="dxa"/>
          </w:tcPr>
          <w:p w14:paraId="5B98442D" w14:textId="77777777" w:rsidR="00B93A94" w:rsidRPr="0047058F" w:rsidRDefault="00B93A94" w:rsidP="00FD21C0">
            <w:pPr>
              <w:pStyle w:val="TableText"/>
              <w:jc w:val="right"/>
            </w:pPr>
            <w:r w:rsidRPr="0047058F">
              <w:t>n</w:t>
            </w:r>
          </w:p>
        </w:tc>
        <w:tc>
          <w:tcPr>
            <w:tcW w:w="722" w:type="dxa"/>
          </w:tcPr>
          <w:p w14:paraId="7B7C674F" w14:textId="77777777" w:rsidR="00B93A94" w:rsidRPr="0047058F" w:rsidRDefault="00B93A94" w:rsidP="00FD21C0">
            <w:pPr>
              <w:pStyle w:val="TableText"/>
              <w:jc w:val="right"/>
            </w:pPr>
            <w:r w:rsidRPr="0047058F">
              <w:t>%</w:t>
            </w:r>
          </w:p>
        </w:tc>
      </w:tr>
      <w:tr w:rsidR="00FD21C0" w:rsidRPr="0047058F" w14:paraId="144C3C92"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460D8AFB" w14:textId="77777777" w:rsidR="00B93A94" w:rsidRPr="0047058F" w:rsidRDefault="00B93A94" w:rsidP="00FD21C0">
            <w:pPr>
              <w:pStyle w:val="TableText"/>
            </w:pPr>
            <w:r w:rsidRPr="0047058F">
              <w:t>Not in the last month</w:t>
            </w:r>
          </w:p>
        </w:tc>
        <w:tc>
          <w:tcPr>
            <w:tcW w:w="720" w:type="dxa"/>
          </w:tcPr>
          <w:p w14:paraId="1099A204" w14:textId="77777777" w:rsidR="00B93A94" w:rsidRPr="0047058F" w:rsidRDefault="00B93A94" w:rsidP="00FD21C0">
            <w:pPr>
              <w:pStyle w:val="TableText"/>
              <w:jc w:val="right"/>
            </w:pPr>
            <w:r w:rsidRPr="0047058F">
              <w:t>7750</w:t>
            </w:r>
          </w:p>
        </w:tc>
        <w:tc>
          <w:tcPr>
            <w:tcW w:w="720" w:type="dxa"/>
          </w:tcPr>
          <w:p w14:paraId="70E93D54" w14:textId="77777777" w:rsidR="00B93A94" w:rsidRPr="0047058F" w:rsidRDefault="00B93A94" w:rsidP="00FD21C0">
            <w:pPr>
              <w:pStyle w:val="TableText"/>
              <w:jc w:val="right"/>
            </w:pPr>
            <w:r w:rsidRPr="0047058F">
              <w:t>98.4</w:t>
            </w:r>
          </w:p>
        </w:tc>
        <w:tc>
          <w:tcPr>
            <w:tcW w:w="721" w:type="dxa"/>
          </w:tcPr>
          <w:p w14:paraId="3EE2C377" w14:textId="77777777" w:rsidR="00B93A94" w:rsidRPr="0047058F" w:rsidRDefault="00B93A94" w:rsidP="00FD21C0">
            <w:pPr>
              <w:pStyle w:val="TableText"/>
              <w:jc w:val="right"/>
            </w:pPr>
            <w:r w:rsidRPr="0047058F">
              <w:t>7661</w:t>
            </w:r>
          </w:p>
        </w:tc>
        <w:tc>
          <w:tcPr>
            <w:tcW w:w="722" w:type="dxa"/>
          </w:tcPr>
          <w:p w14:paraId="1C718120" w14:textId="77777777" w:rsidR="00B93A94" w:rsidRPr="0047058F" w:rsidRDefault="00B93A94" w:rsidP="00FD21C0">
            <w:pPr>
              <w:pStyle w:val="TableText"/>
              <w:jc w:val="right"/>
            </w:pPr>
            <w:r w:rsidRPr="0047058F">
              <w:t>98.9</w:t>
            </w:r>
          </w:p>
        </w:tc>
        <w:tc>
          <w:tcPr>
            <w:tcW w:w="722" w:type="dxa"/>
          </w:tcPr>
          <w:p w14:paraId="49737ABF" w14:textId="77777777" w:rsidR="00B93A94" w:rsidRPr="0047058F" w:rsidRDefault="00B93A94" w:rsidP="00FD21C0">
            <w:pPr>
              <w:pStyle w:val="TableText"/>
              <w:jc w:val="right"/>
            </w:pPr>
            <w:r w:rsidRPr="0047058F">
              <w:t>89</w:t>
            </w:r>
          </w:p>
        </w:tc>
        <w:tc>
          <w:tcPr>
            <w:tcW w:w="722" w:type="dxa"/>
          </w:tcPr>
          <w:p w14:paraId="6E38CE38" w14:textId="77777777" w:rsidR="00B93A94" w:rsidRPr="0047058F" w:rsidRDefault="00B93A94" w:rsidP="00FD21C0">
            <w:pPr>
              <w:pStyle w:val="TableText"/>
              <w:jc w:val="right"/>
            </w:pPr>
            <w:r w:rsidRPr="0047058F">
              <w:t>1.1</w:t>
            </w:r>
          </w:p>
        </w:tc>
      </w:tr>
      <w:tr w:rsidR="00FD21C0" w:rsidRPr="0047058F" w14:paraId="79F94CDB" w14:textId="77777777" w:rsidTr="00FD21C0">
        <w:trPr>
          <w:cantSplit/>
        </w:trPr>
        <w:tc>
          <w:tcPr>
            <w:tcW w:w="2988" w:type="dxa"/>
          </w:tcPr>
          <w:p w14:paraId="4BBC7B30" w14:textId="77777777" w:rsidR="00B93A94" w:rsidRPr="0047058F" w:rsidRDefault="00B93A94" w:rsidP="00FD21C0">
            <w:pPr>
              <w:pStyle w:val="TableText"/>
            </w:pPr>
            <w:r w:rsidRPr="0047058F">
              <w:t>One or more times</w:t>
            </w:r>
          </w:p>
        </w:tc>
        <w:tc>
          <w:tcPr>
            <w:tcW w:w="720" w:type="dxa"/>
          </w:tcPr>
          <w:p w14:paraId="18CECB96" w14:textId="77777777" w:rsidR="00B93A94" w:rsidRPr="0047058F" w:rsidRDefault="00B93A94" w:rsidP="00FD21C0">
            <w:pPr>
              <w:pStyle w:val="TableText"/>
              <w:jc w:val="right"/>
            </w:pPr>
            <w:r w:rsidRPr="0047058F">
              <w:t>123</w:t>
            </w:r>
          </w:p>
        </w:tc>
        <w:tc>
          <w:tcPr>
            <w:tcW w:w="720" w:type="dxa"/>
          </w:tcPr>
          <w:p w14:paraId="50650997" w14:textId="77777777" w:rsidR="00B93A94" w:rsidRPr="0047058F" w:rsidRDefault="00B93A94" w:rsidP="00FD21C0">
            <w:pPr>
              <w:pStyle w:val="TableText"/>
              <w:jc w:val="right"/>
            </w:pPr>
            <w:r w:rsidRPr="0047058F">
              <w:t>1.6</w:t>
            </w:r>
          </w:p>
        </w:tc>
        <w:tc>
          <w:tcPr>
            <w:tcW w:w="721" w:type="dxa"/>
          </w:tcPr>
          <w:p w14:paraId="4F2DC65D" w14:textId="77777777" w:rsidR="00B93A94" w:rsidRPr="0047058F" w:rsidRDefault="00B93A94" w:rsidP="00FD21C0">
            <w:pPr>
              <w:pStyle w:val="TableText"/>
              <w:jc w:val="right"/>
            </w:pPr>
            <w:r w:rsidRPr="0047058F">
              <w:t>110</w:t>
            </w:r>
          </w:p>
        </w:tc>
        <w:tc>
          <w:tcPr>
            <w:tcW w:w="722" w:type="dxa"/>
          </w:tcPr>
          <w:p w14:paraId="2A1FB5D4" w14:textId="77777777" w:rsidR="00B93A94" w:rsidRPr="0047058F" w:rsidRDefault="00B93A94" w:rsidP="00FD21C0">
            <w:pPr>
              <w:pStyle w:val="TableText"/>
              <w:jc w:val="right"/>
            </w:pPr>
            <w:r w:rsidRPr="0047058F">
              <w:t>89.4</w:t>
            </w:r>
          </w:p>
        </w:tc>
        <w:tc>
          <w:tcPr>
            <w:tcW w:w="722" w:type="dxa"/>
          </w:tcPr>
          <w:p w14:paraId="1D8F49E7" w14:textId="77777777" w:rsidR="00B93A94" w:rsidRPr="0047058F" w:rsidRDefault="00B93A94" w:rsidP="00FD21C0">
            <w:pPr>
              <w:pStyle w:val="TableText"/>
              <w:jc w:val="right"/>
            </w:pPr>
            <w:r w:rsidRPr="0047058F">
              <w:t>13</w:t>
            </w:r>
          </w:p>
        </w:tc>
        <w:tc>
          <w:tcPr>
            <w:tcW w:w="722" w:type="dxa"/>
          </w:tcPr>
          <w:p w14:paraId="1D12EC20" w14:textId="77777777" w:rsidR="00B93A94" w:rsidRPr="0047058F" w:rsidRDefault="00B93A94" w:rsidP="00FD21C0">
            <w:pPr>
              <w:pStyle w:val="TableText"/>
              <w:jc w:val="right"/>
            </w:pPr>
            <w:r w:rsidRPr="0047058F">
              <w:t>10.6</w:t>
            </w:r>
          </w:p>
        </w:tc>
      </w:tr>
      <w:tr w:rsidR="00FD21C0" w:rsidRPr="0047058F" w14:paraId="5F730AD0"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6C066777" w14:textId="77777777" w:rsidR="00B93A94" w:rsidRPr="00D74123" w:rsidRDefault="00B93A94" w:rsidP="00FD21C0">
            <w:pPr>
              <w:pStyle w:val="TableText"/>
              <w:rPr>
                <w:b/>
              </w:rPr>
            </w:pPr>
            <w:r w:rsidRPr="00D74123">
              <w:rPr>
                <w:b/>
              </w:rPr>
              <w:t>Total</w:t>
            </w:r>
          </w:p>
        </w:tc>
        <w:tc>
          <w:tcPr>
            <w:tcW w:w="720" w:type="dxa"/>
          </w:tcPr>
          <w:p w14:paraId="4CBC2E73" w14:textId="77777777" w:rsidR="00B93A94" w:rsidRPr="00D74123" w:rsidRDefault="00B93A94" w:rsidP="00FD21C0">
            <w:pPr>
              <w:pStyle w:val="TableText"/>
              <w:jc w:val="right"/>
              <w:rPr>
                <w:b/>
              </w:rPr>
            </w:pPr>
            <w:r w:rsidRPr="00D74123">
              <w:rPr>
                <w:b/>
              </w:rPr>
              <w:t>7873</w:t>
            </w:r>
          </w:p>
        </w:tc>
        <w:tc>
          <w:tcPr>
            <w:tcW w:w="720" w:type="dxa"/>
          </w:tcPr>
          <w:p w14:paraId="6A4ED31B" w14:textId="77777777" w:rsidR="00B93A94" w:rsidRPr="00D74123" w:rsidRDefault="00B93A94" w:rsidP="00FD21C0">
            <w:pPr>
              <w:pStyle w:val="TableText"/>
              <w:jc w:val="right"/>
              <w:rPr>
                <w:b/>
              </w:rPr>
            </w:pPr>
            <w:r w:rsidRPr="00D74123">
              <w:rPr>
                <w:b/>
              </w:rPr>
              <w:t>100.0</w:t>
            </w:r>
          </w:p>
        </w:tc>
        <w:tc>
          <w:tcPr>
            <w:tcW w:w="721" w:type="dxa"/>
          </w:tcPr>
          <w:p w14:paraId="6D05B123" w14:textId="77777777" w:rsidR="00B93A94" w:rsidRPr="00D74123" w:rsidRDefault="00B93A94" w:rsidP="00FD21C0">
            <w:pPr>
              <w:pStyle w:val="TableText"/>
              <w:jc w:val="right"/>
              <w:rPr>
                <w:b/>
              </w:rPr>
            </w:pPr>
            <w:r w:rsidRPr="00D74123">
              <w:rPr>
                <w:b/>
              </w:rPr>
              <w:t>7771</w:t>
            </w:r>
          </w:p>
        </w:tc>
        <w:tc>
          <w:tcPr>
            <w:tcW w:w="722" w:type="dxa"/>
          </w:tcPr>
          <w:p w14:paraId="0E696F00" w14:textId="77777777" w:rsidR="00B93A94" w:rsidRPr="00D74123" w:rsidRDefault="00B93A94" w:rsidP="00FD21C0">
            <w:pPr>
              <w:pStyle w:val="TableText"/>
              <w:jc w:val="right"/>
              <w:rPr>
                <w:b/>
              </w:rPr>
            </w:pPr>
            <w:r w:rsidRPr="00D74123">
              <w:rPr>
                <w:b/>
              </w:rPr>
              <w:t>98.7</w:t>
            </w:r>
          </w:p>
        </w:tc>
        <w:tc>
          <w:tcPr>
            <w:tcW w:w="722" w:type="dxa"/>
          </w:tcPr>
          <w:p w14:paraId="7DD3FA09" w14:textId="77777777" w:rsidR="00B93A94" w:rsidRPr="00D74123" w:rsidRDefault="00B93A94" w:rsidP="00FD21C0">
            <w:pPr>
              <w:pStyle w:val="TableText"/>
              <w:jc w:val="right"/>
              <w:rPr>
                <w:b/>
              </w:rPr>
            </w:pPr>
            <w:r w:rsidRPr="00D74123">
              <w:rPr>
                <w:b/>
              </w:rPr>
              <w:t>102</w:t>
            </w:r>
          </w:p>
        </w:tc>
        <w:tc>
          <w:tcPr>
            <w:tcW w:w="722" w:type="dxa"/>
          </w:tcPr>
          <w:p w14:paraId="482C1D76" w14:textId="77777777" w:rsidR="00B93A94" w:rsidRPr="00D74123" w:rsidRDefault="00B93A94" w:rsidP="00FD21C0">
            <w:pPr>
              <w:pStyle w:val="TableText"/>
              <w:jc w:val="right"/>
              <w:rPr>
                <w:b/>
              </w:rPr>
            </w:pPr>
            <w:r w:rsidRPr="00D74123">
              <w:rPr>
                <w:b/>
              </w:rPr>
              <w:t>1.3</w:t>
            </w:r>
          </w:p>
        </w:tc>
      </w:tr>
    </w:tbl>
    <w:p w14:paraId="5B72AA53" w14:textId="77777777" w:rsidR="00B93A94" w:rsidRPr="0047058F" w:rsidRDefault="00B93A94" w:rsidP="00381CF9">
      <w:pPr>
        <w:pStyle w:val="TableNotes"/>
        <w:keepNext/>
      </w:pPr>
      <w:r w:rsidRPr="0047058F">
        <w:t>Note: Unweighted data.</w:t>
      </w:r>
    </w:p>
    <w:p w14:paraId="58FD070B" w14:textId="77777777" w:rsidR="00B93A94" w:rsidRPr="0047058F" w:rsidRDefault="00B93A94" w:rsidP="00B93A94">
      <w:pPr>
        <w:pStyle w:val="FigureName"/>
      </w:pPr>
      <w:bookmarkStart w:id="410" w:name="_Ref387057663"/>
      <w:bookmarkStart w:id="411" w:name="_Toc529117589"/>
      <w:bookmarkStart w:id="412" w:name="_Toc532473662"/>
      <w:r w:rsidRPr="0047058F">
        <w:t>Figure 5.25</w:t>
      </w:r>
      <w:bookmarkEnd w:id="410"/>
      <w:r w:rsidRPr="0047058F">
        <w:tab/>
        <w:t xml:space="preserve">Proportion of </w:t>
      </w:r>
      <w:r w:rsidRPr="0047058F">
        <w:rPr>
          <w:u w:val="single"/>
        </w:rPr>
        <w:t>entire longitudinal cohort</w:t>
      </w:r>
      <w:r w:rsidRPr="0047058F">
        <w:t xml:space="preserve"> who ‘got into a fight and hit someone in the last month’ in 2010 and 2015 based on self-reported measures</w:t>
      </w:r>
      <w:bookmarkEnd w:id="411"/>
      <w:bookmarkEnd w:id="412"/>
    </w:p>
    <w:p w14:paraId="7E04297A" w14:textId="77777777" w:rsidR="00D14F71" w:rsidRPr="0047058F" w:rsidRDefault="00B93A94" w:rsidP="00D14F71">
      <w:pPr>
        <w:spacing w:after="360"/>
      </w:pPr>
      <w:r w:rsidRPr="0047058F">
        <w:rPr>
          <w:noProof/>
          <w:lang w:eastAsia="en-AU"/>
        </w:rPr>
        <w:drawing>
          <wp:inline distT="0" distB="0" distL="0" distR="0" wp14:anchorId="4F409882" wp14:editId="6B327E4E">
            <wp:extent cx="4572000" cy="2743200"/>
            <wp:effectExtent l="0" t="0" r="0" b="0"/>
            <wp:docPr id="41" name="Chart 41" descr="Figure 5.25 Proportion of entire longitudinal cohort who ‘got into a fight and hit someon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2A3A41" w14:textId="77777777" w:rsidR="00B93A94" w:rsidRPr="0047058F" w:rsidRDefault="00B93A94" w:rsidP="00B93A94">
      <w:pPr>
        <w:pStyle w:val="TableName"/>
      </w:pPr>
      <w:bookmarkStart w:id="413" w:name="_Ref384558715"/>
      <w:bookmarkStart w:id="414" w:name="_Toc529117538"/>
      <w:bookmarkStart w:id="415" w:name="_Toc532473608"/>
      <w:r w:rsidRPr="0047058F">
        <w:t>Table 5.26</w:t>
      </w:r>
      <w:bookmarkEnd w:id="413"/>
      <w:r w:rsidRPr="0047058F">
        <w:tab/>
        <w:t xml:space="preserve">Proportion of </w:t>
      </w:r>
      <w:r w:rsidRPr="0047058F">
        <w:rPr>
          <w:u w:val="single"/>
        </w:rPr>
        <w:t>Transitioned ADF in the longitudinal cohort</w:t>
      </w:r>
      <w:r w:rsidRPr="0047058F">
        <w:t xml:space="preserve"> who ‘got into a fight and hit someone in the last month’ in 2010 and 2015 based on self-reported measures</w:t>
      </w:r>
      <w:bookmarkEnd w:id="414"/>
      <w:bookmarkEnd w:id="415"/>
    </w:p>
    <w:tbl>
      <w:tblPr>
        <w:tblStyle w:val="TWRPTable"/>
        <w:tblW w:w="5000" w:type="pct"/>
        <w:tblLayout w:type="fixed"/>
        <w:tblLook w:val="04A0" w:firstRow="1" w:lastRow="0" w:firstColumn="1" w:lastColumn="0" w:noHBand="0" w:noVBand="1"/>
        <w:tblDescription w:val="Table 5.26 Proportion of Transitioned ADF in the longitudinal cohort who ‘got into a fight and hit someone in the last month’ in 2010 and 2015 based on self-reported measures"/>
      </w:tblPr>
      <w:tblGrid>
        <w:gridCol w:w="2988"/>
        <w:gridCol w:w="720"/>
        <w:gridCol w:w="720"/>
        <w:gridCol w:w="721"/>
        <w:gridCol w:w="722"/>
        <w:gridCol w:w="722"/>
        <w:gridCol w:w="722"/>
      </w:tblGrid>
      <w:tr w:rsidR="00B93A94" w:rsidRPr="0047058F" w14:paraId="62E99635"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3009A496" w14:textId="77777777" w:rsidR="00B93A94" w:rsidRPr="0047058F" w:rsidRDefault="00B93A94" w:rsidP="00FD21C0">
            <w:pPr>
              <w:pStyle w:val="TableText"/>
            </w:pPr>
            <w:r w:rsidRPr="0047058F">
              <w:t>2010 ADF Mental Health Prevalence and Wellbeing Study</w:t>
            </w:r>
          </w:p>
        </w:tc>
        <w:tc>
          <w:tcPr>
            <w:tcW w:w="2887" w:type="dxa"/>
            <w:gridSpan w:val="4"/>
          </w:tcPr>
          <w:p w14:paraId="7CFBCCB7" w14:textId="77777777" w:rsidR="00B93A94" w:rsidRPr="0047058F" w:rsidRDefault="00B93A94" w:rsidP="00FD21C0">
            <w:pPr>
              <w:pStyle w:val="TableText"/>
              <w:jc w:val="center"/>
            </w:pPr>
            <w:r w:rsidRPr="0047058F">
              <w:t>2015 Transition and Wellbeing Research Programme</w:t>
            </w:r>
          </w:p>
        </w:tc>
      </w:tr>
      <w:tr w:rsidR="00B93A94" w:rsidRPr="0047058F" w14:paraId="1A6950C7"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36344BF1" w14:textId="77777777" w:rsidR="00B93A94" w:rsidRPr="0047058F" w:rsidRDefault="00B93A94" w:rsidP="00FD21C0">
            <w:pPr>
              <w:pStyle w:val="TableText"/>
            </w:pPr>
          </w:p>
        </w:tc>
        <w:tc>
          <w:tcPr>
            <w:tcW w:w="1443" w:type="dxa"/>
            <w:gridSpan w:val="2"/>
            <w:hideMark/>
          </w:tcPr>
          <w:p w14:paraId="0F522A7B" w14:textId="77777777" w:rsidR="00B93A94" w:rsidRPr="0047058F" w:rsidRDefault="00B93A94" w:rsidP="00FD21C0">
            <w:pPr>
              <w:pStyle w:val="TableText"/>
              <w:jc w:val="center"/>
            </w:pPr>
            <w:r w:rsidRPr="0047058F">
              <w:t>Not in the last month</w:t>
            </w:r>
          </w:p>
        </w:tc>
        <w:tc>
          <w:tcPr>
            <w:tcW w:w="1444" w:type="dxa"/>
            <w:gridSpan w:val="2"/>
          </w:tcPr>
          <w:p w14:paraId="5E346090" w14:textId="77777777" w:rsidR="00B93A94" w:rsidRPr="0047058F" w:rsidRDefault="00B93A94" w:rsidP="00FD21C0">
            <w:pPr>
              <w:pStyle w:val="TableText"/>
              <w:jc w:val="center"/>
            </w:pPr>
            <w:r w:rsidRPr="0047058F">
              <w:t>One or more times</w:t>
            </w:r>
          </w:p>
        </w:tc>
      </w:tr>
      <w:tr w:rsidR="00B93A94" w:rsidRPr="0047058F" w14:paraId="00A5E908"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554C9B50" w14:textId="77777777" w:rsidR="00B93A94" w:rsidRPr="0047058F" w:rsidRDefault="00B93A94" w:rsidP="00FD21C0">
            <w:pPr>
              <w:pStyle w:val="TableText"/>
            </w:pPr>
            <w:r w:rsidRPr="0047058F">
              <w:rPr>
                <w:rFonts w:cs="Arial"/>
              </w:rPr>
              <w:t>Got into a fight and hit someone in the last month</w:t>
            </w:r>
          </w:p>
        </w:tc>
        <w:tc>
          <w:tcPr>
            <w:tcW w:w="720" w:type="dxa"/>
          </w:tcPr>
          <w:p w14:paraId="76EF2EAA" w14:textId="77777777" w:rsidR="00B93A94" w:rsidRPr="0047058F" w:rsidRDefault="00B93A94" w:rsidP="00FD21C0">
            <w:pPr>
              <w:pStyle w:val="TableText"/>
              <w:jc w:val="right"/>
              <w:rPr>
                <w:rFonts w:cs="Arial"/>
              </w:rPr>
            </w:pPr>
            <w:r w:rsidRPr="0047058F">
              <w:rPr>
                <w:rFonts w:cs="Arial"/>
              </w:rPr>
              <w:t>n</w:t>
            </w:r>
          </w:p>
        </w:tc>
        <w:tc>
          <w:tcPr>
            <w:tcW w:w="720" w:type="dxa"/>
          </w:tcPr>
          <w:p w14:paraId="50DE3175" w14:textId="77777777" w:rsidR="00B93A94" w:rsidRPr="0047058F" w:rsidRDefault="00B93A94" w:rsidP="00FD21C0">
            <w:pPr>
              <w:pStyle w:val="TableText"/>
              <w:jc w:val="right"/>
              <w:rPr>
                <w:rFonts w:cs="Arial"/>
              </w:rPr>
            </w:pPr>
            <w:r w:rsidRPr="0047058F">
              <w:rPr>
                <w:rFonts w:cs="Arial"/>
              </w:rPr>
              <w:t>%</w:t>
            </w:r>
          </w:p>
        </w:tc>
        <w:tc>
          <w:tcPr>
            <w:tcW w:w="721" w:type="dxa"/>
          </w:tcPr>
          <w:p w14:paraId="771C3F86" w14:textId="77777777" w:rsidR="00B93A94" w:rsidRPr="0047058F" w:rsidRDefault="00B93A94" w:rsidP="00FD21C0">
            <w:pPr>
              <w:pStyle w:val="TableText"/>
              <w:jc w:val="right"/>
              <w:rPr>
                <w:rFonts w:cs="Arial"/>
              </w:rPr>
            </w:pPr>
            <w:r w:rsidRPr="0047058F">
              <w:rPr>
                <w:rFonts w:cs="Arial"/>
              </w:rPr>
              <w:t>n</w:t>
            </w:r>
          </w:p>
        </w:tc>
        <w:tc>
          <w:tcPr>
            <w:tcW w:w="722" w:type="dxa"/>
          </w:tcPr>
          <w:p w14:paraId="11BDF8B6" w14:textId="77777777" w:rsidR="00B93A94" w:rsidRPr="0047058F" w:rsidRDefault="00B93A94" w:rsidP="00FD21C0">
            <w:pPr>
              <w:pStyle w:val="TableText"/>
              <w:jc w:val="right"/>
              <w:rPr>
                <w:rFonts w:cs="Arial"/>
              </w:rPr>
            </w:pPr>
            <w:r w:rsidRPr="0047058F">
              <w:rPr>
                <w:rFonts w:cs="Arial"/>
              </w:rPr>
              <w:t>%</w:t>
            </w:r>
          </w:p>
        </w:tc>
        <w:tc>
          <w:tcPr>
            <w:tcW w:w="722" w:type="dxa"/>
          </w:tcPr>
          <w:p w14:paraId="3FFB0980" w14:textId="77777777" w:rsidR="00B93A94" w:rsidRPr="0047058F" w:rsidRDefault="00B93A94" w:rsidP="00FD21C0">
            <w:pPr>
              <w:pStyle w:val="TableText"/>
              <w:jc w:val="right"/>
              <w:rPr>
                <w:rFonts w:cs="Arial"/>
              </w:rPr>
            </w:pPr>
            <w:r w:rsidRPr="0047058F">
              <w:rPr>
                <w:rFonts w:cs="Arial"/>
              </w:rPr>
              <w:t>n</w:t>
            </w:r>
          </w:p>
        </w:tc>
        <w:tc>
          <w:tcPr>
            <w:tcW w:w="722" w:type="dxa"/>
          </w:tcPr>
          <w:p w14:paraId="1CA853DC" w14:textId="77777777" w:rsidR="00B93A94" w:rsidRPr="0047058F" w:rsidRDefault="00B93A94" w:rsidP="00FD21C0">
            <w:pPr>
              <w:pStyle w:val="TableText"/>
              <w:jc w:val="right"/>
              <w:rPr>
                <w:rFonts w:cs="Arial"/>
              </w:rPr>
            </w:pPr>
            <w:r w:rsidRPr="0047058F">
              <w:rPr>
                <w:rFonts w:cs="Arial"/>
              </w:rPr>
              <w:t>%</w:t>
            </w:r>
          </w:p>
        </w:tc>
      </w:tr>
      <w:tr w:rsidR="00B93A94" w:rsidRPr="0047058F" w14:paraId="52D1C004"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77E97DAB" w14:textId="77777777" w:rsidR="00B93A94" w:rsidRPr="0047058F" w:rsidRDefault="00B93A94" w:rsidP="00FD21C0">
            <w:pPr>
              <w:pStyle w:val="TableText"/>
              <w:rPr>
                <w:rFonts w:cs="Calibri"/>
                <w:szCs w:val="14"/>
              </w:rPr>
            </w:pPr>
            <w:r w:rsidRPr="0047058F">
              <w:rPr>
                <w:rFonts w:cs="Calibri"/>
                <w:szCs w:val="14"/>
              </w:rPr>
              <w:t>Not in the last month</w:t>
            </w:r>
          </w:p>
        </w:tc>
        <w:tc>
          <w:tcPr>
            <w:tcW w:w="720" w:type="dxa"/>
          </w:tcPr>
          <w:p w14:paraId="5386F7F1" w14:textId="77777777" w:rsidR="00B93A94" w:rsidRPr="0047058F" w:rsidRDefault="00B93A94" w:rsidP="00FD21C0">
            <w:pPr>
              <w:pStyle w:val="TableText"/>
              <w:jc w:val="right"/>
            </w:pPr>
            <w:r w:rsidRPr="0047058F">
              <w:rPr>
                <w:rFonts w:eastAsia="Times New Roman" w:cs="Arial"/>
              </w:rPr>
              <w:t>2096</w:t>
            </w:r>
          </w:p>
        </w:tc>
        <w:tc>
          <w:tcPr>
            <w:tcW w:w="720" w:type="dxa"/>
          </w:tcPr>
          <w:p w14:paraId="7BE2B070" w14:textId="77777777" w:rsidR="00B93A94" w:rsidRPr="0047058F" w:rsidRDefault="00B93A94" w:rsidP="00FD21C0">
            <w:pPr>
              <w:pStyle w:val="TableText"/>
              <w:jc w:val="right"/>
              <w:rPr>
                <w:rFonts w:eastAsia="Times New Roman" w:cs="Arial"/>
              </w:rPr>
            </w:pPr>
            <w:r w:rsidRPr="0047058F">
              <w:rPr>
                <w:rFonts w:eastAsia="Times New Roman" w:cs="Arial"/>
              </w:rPr>
              <w:t>97.5</w:t>
            </w:r>
          </w:p>
        </w:tc>
        <w:tc>
          <w:tcPr>
            <w:tcW w:w="721" w:type="dxa"/>
          </w:tcPr>
          <w:p w14:paraId="4297BB5D" w14:textId="77777777" w:rsidR="00B93A94" w:rsidRPr="0047058F" w:rsidRDefault="00B93A94" w:rsidP="00FD21C0">
            <w:pPr>
              <w:pStyle w:val="TableText"/>
              <w:jc w:val="right"/>
            </w:pPr>
            <w:r w:rsidRPr="0047058F">
              <w:rPr>
                <w:rFonts w:eastAsia="Times New Roman" w:cs="Arial"/>
              </w:rPr>
              <w:t>2052</w:t>
            </w:r>
          </w:p>
        </w:tc>
        <w:tc>
          <w:tcPr>
            <w:tcW w:w="722" w:type="dxa"/>
          </w:tcPr>
          <w:p w14:paraId="51FBB03B" w14:textId="77777777" w:rsidR="00B93A94" w:rsidRPr="0047058F" w:rsidRDefault="00B93A94" w:rsidP="00FD21C0">
            <w:pPr>
              <w:pStyle w:val="TableText"/>
              <w:jc w:val="right"/>
            </w:pPr>
            <w:r w:rsidRPr="0047058F">
              <w:rPr>
                <w:rFonts w:eastAsia="Times New Roman" w:cs="Arial"/>
              </w:rPr>
              <w:t>97.9</w:t>
            </w:r>
          </w:p>
        </w:tc>
        <w:tc>
          <w:tcPr>
            <w:tcW w:w="722" w:type="dxa"/>
          </w:tcPr>
          <w:p w14:paraId="3FA4B248" w14:textId="77777777" w:rsidR="00B93A94" w:rsidRPr="0047058F" w:rsidRDefault="00B93A94" w:rsidP="00FD21C0">
            <w:pPr>
              <w:pStyle w:val="TableText"/>
              <w:jc w:val="right"/>
            </w:pPr>
            <w:r w:rsidRPr="0047058F">
              <w:rPr>
                <w:rFonts w:eastAsia="Times New Roman" w:cs="Arial"/>
              </w:rPr>
              <w:t>44</w:t>
            </w:r>
          </w:p>
        </w:tc>
        <w:tc>
          <w:tcPr>
            <w:tcW w:w="722" w:type="dxa"/>
          </w:tcPr>
          <w:p w14:paraId="2C584EBF" w14:textId="77777777" w:rsidR="00B93A94" w:rsidRPr="0047058F" w:rsidRDefault="00B93A94" w:rsidP="00FD21C0">
            <w:pPr>
              <w:pStyle w:val="TableText"/>
              <w:jc w:val="right"/>
            </w:pPr>
            <w:r w:rsidRPr="0047058F">
              <w:rPr>
                <w:rFonts w:eastAsia="Times New Roman" w:cs="Arial"/>
              </w:rPr>
              <w:t>2.1</w:t>
            </w:r>
          </w:p>
        </w:tc>
      </w:tr>
      <w:tr w:rsidR="00B93A94" w:rsidRPr="0047058F" w14:paraId="4A56CEF2" w14:textId="77777777" w:rsidTr="00FD21C0">
        <w:trPr>
          <w:cantSplit/>
        </w:trPr>
        <w:tc>
          <w:tcPr>
            <w:tcW w:w="2988" w:type="dxa"/>
          </w:tcPr>
          <w:p w14:paraId="53C02FFF" w14:textId="77777777" w:rsidR="00B93A94" w:rsidRPr="0047058F" w:rsidRDefault="00B93A94" w:rsidP="00FD21C0">
            <w:pPr>
              <w:pStyle w:val="TableText"/>
              <w:rPr>
                <w:rFonts w:cs="Calibri"/>
                <w:szCs w:val="14"/>
              </w:rPr>
            </w:pPr>
            <w:r w:rsidRPr="0047058F">
              <w:rPr>
                <w:rFonts w:cs="Calibri"/>
                <w:szCs w:val="14"/>
              </w:rPr>
              <w:t>One or more times</w:t>
            </w:r>
          </w:p>
        </w:tc>
        <w:tc>
          <w:tcPr>
            <w:tcW w:w="720" w:type="dxa"/>
          </w:tcPr>
          <w:p w14:paraId="0EFE1B9D" w14:textId="77777777" w:rsidR="00B93A94" w:rsidRPr="0047058F" w:rsidRDefault="00B93A94" w:rsidP="00FD21C0">
            <w:pPr>
              <w:pStyle w:val="TableText"/>
              <w:jc w:val="right"/>
            </w:pPr>
            <w:r w:rsidRPr="0047058F">
              <w:rPr>
                <w:rFonts w:eastAsia="Times New Roman" w:cs="Arial"/>
              </w:rPr>
              <w:t>54</w:t>
            </w:r>
          </w:p>
        </w:tc>
        <w:tc>
          <w:tcPr>
            <w:tcW w:w="720" w:type="dxa"/>
          </w:tcPr>
          <w:p w14:paraId="4575FE92" w14:textId="77777777" w:rsidR="00B93A94" w:rsidRPr="0047058F" w:rsidRDefault="00B93A94" w:rsidP="00FD21C0">
            <w:pPr>
              <w:pStyle w:val="TableText"/>
              <w:jc w:val="right"/>
              <w:rPr>
                <w:rFonts w:eastAsia="Times New Roman" w:cs="Arial"/>
              </w:rPr>
            </w:pPr>
            <w:r w:rsidRPr="0047058F">
              <w:rPr>
                <w:rFonts w:eastAsia="Times New Roman" w:cs="Arial"/>
              </w:rPr>
              <w:t>2.5</w:t>
            </w:r>
          </w:p>
        </w:tc>
        <w:tc>
          <w:tcPr>
            <w:tcW w:w="721" w:type="dxa"/>
          </w:tcPr>
          <w:p w14:paraId="5AB40B24" w14:textId="77777777" w:rsidR="00B93A94" w:rsidRPr="0047058F" w:rsidRDefault="00B93A94" w:rsidP="00FD21C0">
            <w:pPr>
              <w:pStyle w:val="TableText"/>
              <w:jc w:val="right"/>
            </w:pPr>
            <w:r w:rsidRPr="0047058F">
              <w:rPr>
                <w:rFonts w:eastAsia="Times New Roman" w:cs="Arial"/>
              </w:rPr>
              <w:t>45</w:t>
            </w:r>
          </w:p>
        </w:tc>
        <w:tc>
          <w:tcPr>
            <w:tcW w:w="722" w:type="dxa"/>
          </w:tcPr>
          <w:p w14:paraId="481C57B1" w14:textId="77777777" w:rsidR="00B93A94" w:rsidRPr="0047058F" w:rsidRDefault="00B93A94" w:rsidP="00FD21C0">
            <w:pPr>
              <w:pStyle w:val="TableText"/>
              <w:jc w:val="right"/>
            </w:pPr>
            <w:r w:rsidRPr="0047058F">
              <w:rPr>
                <w:rFonts w:eastAsia="Times New Roman" w:cs="Arial"/>
              </w:rPr>
              <w:t>83.3</w:t>
            </w:r>
          </w:p>
        </w:tc>
        <w:tc>
          <w:tcPr>
            <w:tcW w:w="722" w:type="dxa"/>
          </w:tcPr>
          <w:p w14:paraId="025D058F" w14:textId="77777777" w:rsidR="00B93A94" w:rsidRPr="0047058F" w:rsidRDefault="00B93A94" w:rsidP="00FD21C0">
            <w:pPr>
              <w:pStyle w:val="TableText"/>
              <w:jc w:val="right"/>
            </w:pPr>
            <w:r w:rsidRPr="0047058F">
              <w:rPr>
                <w:rFonts w:eastAsia="Times New Roman" w:cs="Arial"/>
              </w:rPr>
              <w:t>9</w:t>
            </w:r>
          </w:p>
        </w:tc>
        <w:tc>
          <w:tcPr>
            <w:tcW w:w="722" w:type="dxa"/>
          </w:tcPr>
          <w:p w14:paraId="45AAF3C6" w14:textId="77777777" w:rsidR="00B93A94" w:rsidRPr="0047058F" w:rsidRDefault="00B93A94" w:rsidP="00FD21C0">
            <w:pPr>
              <w:pStyle w:val="TableText"/>
              <w:jc w:val="right"/>
            </w:pPr>
            <w:r w:rsidRPr="0047058F">
              <w:rPr>
                <w:rFonts w:eastAsia="Times New Roman" w:cs="Arial"/>
              </w:rPr>
              <w:t>16.7</w:t>
            </w:r>
          </w:p>
        </w:tc>
      </w:tr>
      <w:tr w:rsidR="00B93A94" w:rsidRPr="0047058F" w14:paraId="059D6EC2"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7F4DE67D" w14:textId="77777777" w:rsidR="00B93A94" w:rsidRPr="0047058F" w:rsidRDefault="00B93A94" w:rsidP="00FD21C0">
            <w:pPr>
              <w:pStyle w:val="TableText"/>
              <w:rPr>
                <w:rFonts w:cs="Arial"/>
                <w:b/>
              </w:rPr>
            </w:pPr>
            <w:r w:rsidRPr="0047058F">
              <w:rPr>
                <w:rFonts w:cs="Arial"/>
                <w:b/>
              </w:rPr>
              <w:t>Total</w:t>
            </w:r>
          </w:p>
        </w:tc>
        <w:tc>
          <w:tcPr>
            <w:tcW w:w="720" w:type="dxa"/>
          </w:tcPr>
          <w:p w14:paraId="6A903BAC" w14:textId="77777777" w:rsidR="00B93A94" w:rsidRPr="0047058F" w:rsidRDefault="00B93A94" w:rsidP="00FD21C0">
            <w:pPr>
              <w:pStyle w:val="TableText"/>
              <w:jc w:val="right"/>
              <w:rPr>
                <w:rFonts w:cs="Arial"/>
                <w:b/>
              </w:rPr>
            </w:pPr>
            <w:r w:rsidRPr="0047058F">
              <w:rPr>
                <w:rFonts w:cs="Arial"/>
                <w:b/>
              </w:rPr>
              <w:t>2150</w:t>
            </w:r>
          </w:p>
        </w:tc>
        <w:tc>
          <w:tcPr>
            <w:tcW w:w="720" w:type="dxa"/>
          </w:tcPr>
          <w:p w14:paraId="3A4E35D6" w14:textId="77777777" w:rsidR="00B93A94" w:rsidRPr="0047058F" w:rsidRDefault="00B93A94" w:rsidP="00FD21C0">
            <w:pPr>
              <w:pStyle w:val="TableText"/>
              <w:jc w:val="right"/>
              <w:rPr>
                <w:rFonts w:eastAsia="Times New Roman" w:cs="Arial"/>
                <w:b/>
              </w:rPr>
            </w:pPr>
            <w:r w:rsidRPr="0047058F">
              <w:rPr>
                <w:rFonts w:eastAsia="Times New Roman" w:cs="Arial"/>
                <w:b/>
              </w:rPr>
              <w:t>100.0</w:t>
            </w:r>
          </w:p>
        </w:tc>
        <w:tc>
          <w:tcPr>
            <w:tcW w:w="721" w:type="dxa"/>
          </w:tcPr>
          <w:p w14:paraId="65743259" w14:textId="77777777" w:rsidR="00B93A94" w:rsidRPr="0047058F" w:rsidRDefault="00B93A94" w:rsidP="00FD21C0">
            <w:pPr>
              <w:pStyle w:val="TableText"/>
              <w:jc w:val="right"/>
              <w:rPr>
                <w:rFonts w:cs="Arial"/>
                <w:b/>
              </w:rPr>
            </w:pPr>
            <w:r w:rsidRPr="0047058F">
              <w:rPr>
                <w:rFonts w:eastAsia="Times New Roman" w:cs="Arial"/>
                <w:b/>
              </w:rPr>
              <w:t>2097</w:t>
            </w:r>
          </w:p>
        </w:tc>
        <w:tc>
          <w:tcPr>
            <w:tcW w:w="722" w:type="dxa"/>
          </w:tcPr>
          <w:p w14:paraId="35BC77D8" w14:textId="77777777" w:rsidR="00B93A94" w:rsidRPr="0047058F" w:rsidRDefault="00B93A94" w:rsidP="00FD21C0">
            <w:pPr>
              <w:pStyle w:val="TableText"/>
              <w:jc w:val="right"/>
              <w:rPr>
                <w:rFonts w:cs="Arial"/>
                <w:b/>
              </w:rPr>
            </w:pPr>
            <w:r w:rsidRPr="0047058F">
              <w:rPr>
                <w:rFonts w:eastAsia="Times New Roman" w:cs="Arial"/>
                <w:b/>
              </w:rPr>
              <w:t>97.5</w:t>
            </w:r>
          </w:p>
        </w:tc>
        <w:tc>
          <w:tcPr>
            <w:tcW w:w="722" w:type="dxa"/>
          </w:tcPr>
          <w:p w14:paraId="1A4E6872" w14:textId="77777777" w:rsidR="00B93A94" w:rsidRPr="0047058F" w:rsidRDefault="00B93A94" w:rsidP="00FD21C0">
            <w:pPr>
              <w:pStyle w:val="TableText"/>
              <w:jc w:val="right"/>
              <w:rPr>
                <w:rFonts w:cs="Arial"/>
                <w:b/>
              </w:rPr>
            </w:pPr>
            <w:r w:rsidRPr="0047058F">
              <w:rPr>
                <w:rFonts w:eastAsia="Times New Roman" w:cs="Arial"/>
                <w:b/>
              </w:rPr>
              <w:t>53</w:t>
            </w:r>
          </w:p>
        </w:tc>
        <w:tc>
          <w:tcPr>
            <w:tcW w:w="722" w:type="dxa"/>
          </w:tcPr>
          <w:p w14:paraId="4D09A21F" w14:textId="77777777" w:rsidR="00B93A94" w:rsidRPr="0047058F" w:rsidRDefault="00B93A94" w:rsidP="00FD21C0">
            <w:pPr>
              <w:pStyle w:val="TableText"/>
              <w:jc w:val="right"/>
              <w:rPr>
                <w:rFonts w:cs="Arial"/>
                <w:b/>
              </w:rPr>
            </w:pPr>
            <w:r w:rsidRPr="0047058F">
              <w:rPr>
                <w:rFonts w:eastAsia="Times New Roman" w:cs="Arial"/>
                <w:b/>
              </w:rPr>
              <w:t>2.5</w:t>
            </w:r>
          </w:p>
        </w:tc>
      </w:tr>
    </w:tbl>
    <w:p w14:paraId="03AEC6BF" w14:textId="77777777" w:rsidR="00B93A94" w:rsidRPr="0047058F" w:rsidRDefault="00B93A94" w:rsidP="00381CF9">
      <w:pPr>
        <w:pStyle w:val="TableNotes"/>
        <w:keepNext/>
      </w:pPr>
      <w:r w:rsidRPr="0047058F">
        <w:t>Note: Unweighted data.</w:t>
      </w:r>
    </w:p>
    <w:p w14:paraId="64640982" w14:textId="42A1AAAA" w:rsidR="00F11BFF" w:rsidRPr="0047058F" w:rsidRDefault="00F11BFF" w:rsidP="00F11BFF">
      <w:pPr>
        <w:pStyle w:val="FigureName"/>
      </w:pPr>
      <w:bookmarkStart w:id="416" w:name="_Ref387057675"/>
      <w:bookmarkStart w:id="417" w:name="_Toc529117590"/>
      <w:bookmarkStart w:id="418" w:name="_Toc532473663"/>
      <w:r w:rsidRPr="0047058F">
        <w:t>Figure 5.26</w:t>
      </w:r>
      <w:bookmarkEnd w:id="416"/>
      <w:r w:rsidRPr="0047058F">
        <w:tab/>
        <w:t xml:space="preserve">Proportion of </w:t>
      </w:r>
      <w:r w:rsidRPr="0047058F">
        <w:rPr>
          <w:u w:val="single"/>
        </w:rPr>
        <w:t>Transitioned ADF in the longitudinal cohort</w:t>
      </w:r>
      <w:r w:rsidRPr="0047058F">
        <w:t xml:space="preserve"> who ‘got into a fight and hit someone in the last month’ in 2010 and 2015 based on self-reported measures</w:t>
      </w:r>
      <w:bookmarkEnd w:id="417"/>
      <w:bookmarkEnd w:id="418"/>
    </w:p>
    <w:p w14:paraId="6CCDBD48" w14:textId="77777777" w:rsidR="00F11BFF" w:rsidRPr="0047058F" w:rsidRDefault="00F11BFF" w:rsidP="00F11BFF">
      <w:pPr>
        <w:spacing w:after="360"/>
      </w:pPr>
      <w:r w:rsidRPr="0047058F">
        <w:rPr>
          <w:noProof/>
          <w:lang w:eastAsia="en-AU"/>
        </w:rPr>
        <w:drawing>
          <wp:inline distT="0" distB="0" distL="0" distR="0" wp14:anchorId="2BE35311" wp14:editId="56C5E794">
            <wp:extent cx="4572000" cy="2743200"/>
            <wp:effectExtent l="0" t="0" r="0" b="0"/>
            <wp:docPr id="39" name="Chart 39" descr="Figure 5.26 Proportion of Transitioned ADF in the longitudinal cohort who ‘got into a fight and hit someon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76A491" w14:textId="77777777" w:rsidR="00B93A94" w:rsidRPr="0047058F" w:rsidRDefault="00B93A94" w:rsidP="00B93A94">
      <w:pPr>
        <w:pStyle w:val="TableName"/>
      </w:pPr>
      <w:bookmarkStart w:id="419" w:name="_Ref384558716"/>
      <w:bookmarkStart w:id="420" w:name="_Toc529117539"/>
      <w:bookmarkStart w:id="421" w:name="_Toc532473609"/>
      <w:r w:rsidRPr="0047058F">
        <w:t>Table 5.27</w:t>
      </w:r>
      <w:bookmarkEnd w:id="419"/>
      <w:r w:rsidRPr="0047058F">
        <w:tab/>
        <w:t xml:space="preserve">Proportion of </w:t>
      </w:r>
      <w:r w:rsidRPr="0047058F">
        <w:rPr>
          <w:u w:val="single"/>
        </w:rPr>
        <w:t>2015 Regular ADF in the longitudinal cohort</w:t>
      </w:r>
      <w:r w:rsidRPr="0047058F">
        <w:t xml:space="preserve"> who ‘got into a fight and hit someone in the last month’ in 2010 and 2015 based on self-reported measures</w:t>
      </w:r>
      <w:bookmarkEnd w:id="420"/>
      <w:bookmarkEnd w:id="421"/>
    </w:p>
    <w:tbl>
      <w:tblPr>
        <w:tblStyle w:val="TWRPTable"/>
        <w:tblW w:w="5000" w:type="pct"/>
        <w:tblLayout w:type="fixed"/>
        <w:tblLook w:val="04A0" w:firstRow="1" w:lastRow="0" w:firstColumn="1" w:lastColumn="0" w:noHBand="0" w:noVBand="1"/>
        <w:tblDescription w:val="Table 5.27 Proportion of 2015 Regular ADF in the longitudinal cohort who ‘got into a fight and hit someone in the last month’ in 2010 and 2015 based on self-reported measures"/>
      </w:tblPr>
      <w:tblGrid>
        <w:gridCol w:w="2988"/>
        <w:gridCol w:w="720"/>
        <w:gridCol w:w="720"/>
        <w:gridCol w:w="721"/>
        <w:gridCol w:w="722"/>
        <w:gridCol w:w="722"/>
        <w:gridCol w:w="722"/>
      </w:tblGrid>
      <w:tr w:rsidR="00B93A94" w:rsidRPr="0047058F" w14:paraId="5209B951"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0294120A" w14:textId="77777777" w:rsidR="00B93A94" w:rsidRPr="0047058F" w:rsidRDefault="00B93A94" w:rsidP="00FD21C0">
            <w:pPr>
              <w:pStyle w:val="TableText"/>
            </w:pPr>
            <w:r w:rsidRPr="0047058F">
              <w:t>2010 ADF Mental Health Prevalence and Wellbeing Study</w:t>
            </w:r>
          </w:p>
        </w:tc>
        <w:tc>
          <w:tcPr>
            <w:tcW w:w="2887" w:type="dxa"/>
            <w:gridSpan w:val="4"/>
          </w:tcPr>
          <w:p w14:paraId="0584C86D" w14:textId="77777777" w:rsidR="00B93A94" w:rsidRPr="0047058F" w:rsidRDefault="00B93A94" w:rsidP="00FD21C0">
            <w:pPr>
              <w:pStyle w:val="TableText"/>
              <w:jc w:val="center"/>
            </w:pPr>
            <w:r w:rsidRPr="0047058F">
              <w:t>2015 Transition and Wellbeing Research Programme</w:t>
            </w:r>
          </w:p>
        </w:tc>
      </w:tr>
      <w:tr w:rsidR="00B93A94" w:rsidRPr="0047058F" w14:paraId="48394B50"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5A174057" w14:textId="77777777" w:rsidR="00B93A94" w:rsidRPr="0047058F" w:rsidRDefault="00B93A94" w:rsidP="00FD21C0">
            <w:pPr>
              <w:pStyle w:val="TableText"/>
            </w:pPr>
          </w:p>
        </w:tc>
        <w:tc>
          <w:tcPr>
            <w:tcW w:w="1443" w:type="dxa"/>
            <w:gridSpan w:val="2"/>
            <w:hideMark/>
          </w:tcPr>
          <w:p w14:paraId="490C380D" w14:textId="77777777" w:rsidR="00B93A94" w:rsidRPr="0047058F" w:rsidRDefault="00B93A94" w:rsidP="00FD21C0">
            <w:pPr>
              <w:pStyle w:val="TableText"/>
              <w:jc w:val="center"/>
            </w:pPr>
            <w:r w:rsidRPr="0047058F">
              <w:t>Not in the last month</w:t>
            </w:r>
          </w:p>
        </w:tc>
        <w:tc>
          <w:tcPr>
            <w:tcW w:w="1444" w:type="dxa"/>
            <w:gridSpan w:val="2"/>
          </w:tcPr>
          <w:p w14:paraId="74CF1A85" w14:textId="77777777" w:rsidR="00B93A94" w:rsidRPr="0047058F" w:rsidRDefault="00B93A94" w:rsidP="00FD21C0">
            <w:pPr>
              <w:pStyle w:val="TableText"/>
              <w:jc w:val="center"/>
            </w:pPr>
            <w:r w:rsidRPr="0047058F">
              <w:t>One or more times</w:t>
            </w:r>
          </w:p>
        </w:tc>
      </w:tr>
      <w:tr w:rsidR="00B93A94" w:rsidRPr="0047058F" w14:paraId="7E1BA748"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590B2496" w14:textId="77777777" w:rsidR="00B93A94" w:rsidRPr="0047058F" w:rsidRDefault="00B93A94" w:rsidP="00FD21C0">
            <w:pPr>
              <w:pStyle w:val="TableText"/>
            </w:pPr>
            <w:r w:rsidRPr="0047058F">
              <w:rPr>
                <w:rFonts w:cs="Arial"/>
              </w:rPr>
              <w:t>Got into a fight and hit someone in the last month</w:t>
            </w:r>
          </w:p>
        </w:tc>
        <w:tc>
          <w:tcPr>
            <w:tcW w:w="720" w:type="dxa"/>
          </w:tcPr>
          <w:p w14:paraId="1B87773F" w14:textId="77777777" w:rsidR="00B93A94" w:rsidRPr="0047058F" w:rsidRDefault="00B93A94" w:rsidP="00FD21C0">
            <w:pPr>
              <w:pStyle w:val="TableText"/>
              <w:jc w:val="right"/>
              <w:rPr>
                <w:rFonts w:cs="Arial"/>
              </w:rPr>
            </w:pPr>
            <w:r w:rsidRPr="0047058F">
              <w:rPr>
                <w:rFonts w:cs="Arial"/>
              </w:rPr>
              <w:t>n</w:t>
            </w:r>
          </w:p>
        </w:tc>
        <w:tc>
          <w:tcPr>
            <w:tcW w:w="720" w:type="dxa"/>
          </w:tcPr>
          <w:p w14:paraId="36F65CD1" w14:textId="77777777" w:rsidR="00B93A94" w:rsidRPr="0047058F" w:rsidRDefault="00B93A94" w:rsidP="00FD21C0">
            <w:pPr>
              <w:pStyle w:val="TableText"/>
              <w:jc w:val="right"/>
              <w:rPr>
                <w:rFonts w:cs="Arial"/>
              </w:rPr>
            </w:pPr>
            <w:r w:rsidRPr="0047058F">
              <w:rPr>
                <w:rFonts w:cs="Arial"/>
              </w:rPr>
              <w:t>%</w:t>
            </w:r>
          </w:p>
        </w:tc>
        <w:tc>
          <w:tcPr>
            <w:tcW w:w="721" w:type="dxa"/>
          </w:tcPr>
          <w:p w14:paraId="245388DB" w14:textId="77777777" w:rsidR="00B93A94" w:rsidRPr="0047058F" w:rsidRDefault="00B93A94" w:rsidP="00FD21C0">
            <w:pPr>
              <w:pStyle w:val="TableText"/>
              <w:jc w:val="right"/>
              <w:rPr>
                <w:rFonts w:cs="Arial"/>
              </w:rPr>
            </w:pPr>
            <w:r w:rsidRPr="0047058F">
              <w:rPr>
                <w:rFonts w:cs="Arial"/>
              </w:rPr>
              <w:t>n</w:t>
            </w:r>
          </w:p>
        </w:tc>
        <w:tc>
          <w:tcPr>
            <w:tcW w:w="722" w:type="dxa"/>
          </w:tcPr>
          <w:p w14:paraId="33B6059D" w14:textId="77777777" w:rsidR="00B93A94" w:rsidRPr="0047058F" w:rsidRDefault="00B93A94" w:rsidP="00FD21C0">
            <w:pPr>
              <w:pStyle w:val="TableText"/>
              <w:jc w:val="right"/>
              <w:rPr>
                <w:rFonts w:cs="Arial"/>
              </w:rPr>
            </w:pPr>
            <w:r w:rsidRPr="0047058F">
              <w:rPr>
                <w:rFonts w:cs="Arial"/>
              </w:rPr>
              <w:t>%</w:t>
            </w:r>
          </w:p>
        </w:tc>
        <w:tc>
          <w:tcPr>
            <w:tcW w:w="722" w:type="dxa"/>
          </w:tcPr>
          <w:p w14:paraId="69021985" w14:textId="77777777" w:rsidR="00B93A94" w:rsidRPr="0047058F" w:rsidRDefault="00B93A94" w:rsidP="00FD21C0">
            <w:pPr>
              <w:pStyle w:val="TableText"/>
              <w:jc w:val="right"/>
              <w:rPr>
                <w:rFonts w:cs="Arial"/>
              </w:rPr>
            </w:pPr>
            <w:r w:rsidRPr="0047058F">
              <w:rPr>
                <w:rFonts w:cs="Arial"/>
              </w:rPr>
              <w:t>n</w:t>
            </w:r>
          </w:p>
        </w:tc>
        <w:tc>
          <w:tcPr>
            <w:tcW w:w="722" w:type="dxa"/>
          </w:tcPr>
          <w:p w14:paraId="1099FA15" w14:textId="77777777" w:rsidR="00B93A94" w:rsidRPr="0047058F" w:rsidRDefault="00B93A94" w:rsidP="00FD21C0">
            <w:pPr>
              <w:pStyle w:val="TableText"/>
              <w:jc w:val="right"/>
              <w:rPr>
                <w:rFonts w:cs="Arial"/>
              </w:rPr>
            </w:pPr>
            <w:r w:rsidRPr="0047058F">
              <w:rPr>
                <w:rFonts w:cs="Arial"/>
              </w:rPr>
              <w:t>%</w:t>
            </w:r>
          </w:p>
        </w:tc>
      </w:tr>
      <w:tr w:rsidR="00B93A94" w:rsidRPr="0047058F" w14:paraId="0507CF9D"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05ED6314" w14:textId="77777777" w:rsidR="00B93A94" w:rsidRPr="0047058F" w:rsidRDefault="00B93A94" w:rsidP="00FD21C0">
            <w:pPr>
              <w:pStyle w:val="TableText"/>
              <w:rPr>
                <w:rFonts w:cs="Calibri"/>
                <w:szCs w:val="14"/>
              </w:rPr>
            </w:pPr>
            <w:r w:rsidRPr="0047058F">
              <w:rPr>
                <w:rFonts w:cs="Calibri"/>
                <w:szCs w:val="14"/>
              </w:rPr>
              <w:t>Not in the last month</w:t>
            </w:r>
          </w:p>
        </w:tc>
        <w:tc>
          <w:tcPr>
            <w:tcW w:w="720" w:type="dxa"/>
          </w:tcPr>
          <w:p w14:paraId="7EFEBBB8" w14:textId="77777777" w:rsidR="00B93A94" w:rsidRPr="0047058F" w:rsidRDefault="00B93A94" w:rsidP="00FD21C0">
            <w:pPr>
              <w:pStyle w:val="TableText"/>
              <w:jc w:val="right"/>
            </w:pPr>
            <w:r w:rsidRPr="0047058F">
              <w:rPr>
                <w:rFonts w:eastAsia="Times New Roman" w:cs="Arial"/>
              </w:rPr>
              <w:t>5654</w:t>
            </w:r>
          </w:p>
        </w:tc>
        <w:tc>
          <w:tcPr>
            <w:tcW w:w="720" w:type="dxa"/>
          </w:tcPr>
          <w:p w14:paraId="0D7490A9" w14:textId="77777777" w:rsidR="00B93A94" w:rsidRPr="0047058F" w:rsidRDefault="00B93A94" w:rsidP="00FD21C0">
            <w:pPr>
              <w:pStyle w:val="TableText"/>
              <w:jc w:val="right"/>
              <w:rPr>
                <w:rFonts w:eastAsia="Times New Roman" w:cs="Arial"/>
              </w:rPr>
            </w:pPr>
            <w:r w:rsidRPr="0047058F">
              <w:rPr>
                <w:rFonts w:eastAsia="Times New Roman" w:cs="Arial"/>
              </w:rPr>
              <w:t>98.8</w:t>
            </w:r>
          </w:p>
        </w:tc>
        <w:tc>
          <w:tcPr>
            <w:tcW w:w="721" w:type="dxa"/>
          </w:tcPr>
          <w:p w14:paraId="4BDE5EF6" w14:textId="77777777" w:rsidR="00B93A94" w:rsidRPr="0047058F" w:rsidRDefault="00B93A94" w:rsidP="00FD21C0">
            <w:pPr>
              <w:pStyle w:val="TableText"/>
              <w:jc w:val="right"/>
            </w:pPr>
            <w:r w:rsidRPr="0047058F">
              <w:rPr>
                <w:rFonts w:eastAsia="Times New Roman" w:cs="Arial"/>
              </w:rPr>
              <w:t>5609</w:t>
            </w:r>
          </w:p>
        </w:tc>
        <w:tc>
          <w:tcPr>
            <w:tcW w:w="722" w:type="dxa"/>
          </w:tcPr>
          <w:p w14:paraId="2CEDECB8" w14:textId="77777777" w:rsidR="00B93A94" w:rsidRPr="0047058F" w:rsidRDefault="00B93A94" w:rsidP="00FD21C0">
            <w:pPr>
              <w:pStyle w:val="TableText"/>
              <w:jc w:val="right"/>
            </w:pPr>
            <w:r w:rsidRPr="0047058F">
              <w:rPr>
                <w:rFonts w:eastAsia="Times New Roman" w:cs="Arial"/>
              </w:rPr>
              <w:t>99.2</w:t>
            </w:r>
          </w:p>
        </w:tc>
        <w:tc>
          <w:tcPr>
            <w:tcW w:w="722" w:type="dxa"/>
          </w:tcPr>
          <w:p w14:paraId="3E9F1128" w14:textId="77777777" w:rsidR="00B93A94" w:rsidRPr="0047058F" w:rsidRDefault="00B93A94" w:rsidP="00FD21C0">
            <w:pPr>
              <w:pStyle w:val="TableText"/>
              <w:jc w:val="right"/>
            </w:pPr>
            <w:r w:rsidRPr="0047058F">
              <w:rPr>
                <w:rFonts w:eastAsia="Times New Roman" w:cs="Arial"/>
              </w:rPr>
              <w:t>45</w:t>
            </w:r>
          </w:p>
        </w:tc>
        <w:tc>
          <w:tcPr>
            <w:tcW w:w="722" w:type="dxa"/>
          </w:tcPr>
          <w:p w14:paraId="7761FBDA" w14:textId="77777777" w:rsidR="00B93A94" w:rsidRPr="0047058F" w:rsidRDefault="00B93A94" w:rsidP="00FD21C0">
            <w:pPr>
              <w:pStyle w:val="TableText"/>
              <w:jc w:val="right"/>
            </w:pPr>
            <w:r w:rsidRPr="0047058F">
              <w:rPr>
                <w:rFonts w:eastAsia="Times New Roman" w:cs="Arial"/>
              </w:rPr>
              <w:t>0.8</w:t>
            </w:r>
          </w:p>
        </w:tc>
      </w:tr>
      <w:tr w:rsidR="00B93A94" w:rsidRPr="0047058F" w14:paraId="2072C02F" w14:textId="77777777" w:rsidTr="00FD21C0">
        <w:trPr>
          <w:cantSplit/>
        </w:trPr>
        <w:tc>
          <w:tcPr>
            <w:tcW w:w="2988" w:type="dxa"/>
          </w:tcPr>
          <w:p w14:paraId="17B45F6D" w14:textId="77777777" w:rsidR="00B93A94" w:rsidRPr="0047058F" w:rsidRDefault="00B93A94" w:rsidP="00FD21C0">
            <w:pPr>
              <w:pStyle w:val="TableText"/>
              <w:rPr>
                <w:rFonts w:cs="Calibri"/>
                <w:szCs w:val="14"/>
              </w:rPr>
            </w:pPr>
            <w:r w:rsidRPr="0047058F">
              <w:rPr>
                <w:rFonts w:cs="Calibri"/>
                <w:szCs w:val="14"/>
              </w:rPr>
              <w:t>One or more times</w:t>
            </w:r>
          </w:p>
        </w:tc>
        <w:tc>
          <w:tcPr>
            <w:tcW w:w="720" w:type="dxa"/>
          </w:tcPr>
          <w:p w14:paraId="7DBDA492" w14:textId="77777777" w:rsidR="00B93A94" w:rsidRPr="0047058F" w:rsidRDefault="00B93A94" w:rsidP="00FD21C0">
            <w:pPr>
              <w:pStyle w:val="TableText"/>
              <w:jc w:val="right"/>
            </w:pPr>
            <w:r w:rsidRPr="0047058F">
              <w:rPr>
                <w:rFonts w:eastAsia="Times New Roman" w:cs="Arial"/>
              </w:rPr>
              <w:t>69</w:t>
            </w:r>
          </w:p>
        </w:tc>
        <w:tc>
          <w:tcPr>
            <w:tcW w:w="720" w:type="dxa"/>
          </w:tcPr>
          <w:p w14:paraId="6F5F7C48" w14:textId="77777777" w:rsidR="00B93A94" w:rsidRPr="0047058F" w:rsidRDefault="00B93A94" w:rsidP="00FD21C0">
            <w:pPr>
              <w:pStyle w:val="TableText"/>
              <w:jc w:val="right"/>
              <w:rPr>
                <w:rFonts w:eastAsia="Times New Roman" w:cs="Arial"/>
              </w:rPr>
            </w:pPr>
            <w:r w:rsidRPr="0047058F">
              <w:rPr>
                <w:rFonts w:eastAsia="Times New Roman" w:cs="Arial"/>
              </w:rPr>
              <w:t>1.2</w:t>
            </w:r>
          </w:p>
        </w:tc>
        <w:tc>
          <w:tcPr>
            <w:tcW w:w="721" w:type="dxa"/>
          </w:tcPr>
          <w:p w14:paraId="3D2FD11D" w14:textId="77777777" w:rsidR="00B93A94" w:rsidRPr="0047058F" w:rsidRDefault="00B93A94" w:rsidP="00FD21C0">
            <w:pPr>
              <w:pStyle w:val="TableText"/>
              <w:jc w:val="right"/>
            </w:pPr>
            <w:r w:rsidRPr="0047058F">
              <w:rPr>
                <w:rFonts w:eastAsia="Times New Roman" w:cs="Arial"/>
              </w:rPr>
              <w:t>65</w:t>
            </w:r>
          </w:p>
        </w:tc>
        <w:tc>
          <w:tcPr>
            <w:tcW w:w="722" w:type="dxa"/>
          </w:tcPr>
          <w:p w14:paraId="6E762238" w14:textId="77777777" w:rsidR="00B93A94" w:rsidRPr="0047058F" w:rsidRDefault="00B93A94" w:rsidP="00FD21C0">
            <w:pPr>
              <w:pStyle w:val="TableText"/>
              <w:jc w:val="right"/>
            </w:pPr>
            <w:r w:rsidRPr="0047058F">
              <w:rPr>
                <w:rFonts w:eastAsia="Times New Roman" w:cs="Arial"/>
              </w:rPr>
              <w:t>94.2</w:t>
            </w:r>
          </w:p>
        </w:tc>
        <w:tc>
          <w:tcPr>
            <w:tcW w:w="722" w:type="dxa"/>
          </w:tcPr>
          <w:p w14:paraId="450BB2A2" w14:textId="77777777" w:rsidR="00B93A94" w:rsidRPr="0047058F" w:rsidRDefault="00B93A94" w:rsidP="00FD21C0">
            <w:pPr>
              <w:pStyle w:val="TableText"/>
              <w:jc w:val="right"/>
            </w:pPr>
            <w:r w:rsidRPr="0047058F">
              <w:rPr>
                <w:rFonts w:cs="Calibri"/>
                <w:szCs w:val="14"/>
              </w:rPr>
              <w:t>–</w:t>
            </w:r>
            <w:r w:rsidRPr="0047058F">
              <w:rPr>
                <w:rFonts w:cs="Calibri"/>
                <w:szCs w:val="14"/>
                <w:vertAlign w:val="superscript"/>
              </w:rPr>
              <w:t>#</w:t>
            </w:r>
          </w:p>
        </w:tc>
        <w:tc>
          <w:tcPr>
            <w:tcW w:w="722" w:type="dxa"/>
          </w:tcPr>
          <w:p w14:paraId="6CD0C717" w14:textId="77777777" w:rsidR="00B93A94" w:rsidRPr="0047058F" w:rsidRDefault="00B93A94" w:rsidP="00FD21C0">
            <w:pPr>
              <w:pStyle w:val="TableText"/>
              <w:jc w:val="right"/>
            </w:pPr>
            <w:r w:rsidRPr="0047058F">
              <w:rPr>
                <w:rFonts w:cs="Calibri"/>
                <w:szCs w:val="14"/>
              </w:rPr>
              <w:t>–</w:t>
            </w:r>
          </w:p>
        </w:tc>
      </w:tr>
      <w:tr w:rsidR="00B93A94" w:rsidRPr="0047058F" w14:paraId="597AEE04"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6D43843E" w14:textId="77777777" w:rsidR="00B93A94" w:rsidRPr="0047058F" w:rsidRDefault="00B93A94" w:rsidP="00FD21C0">
            <w:pPr>
              <w:pStyle w:val="TableText"/>
              <w:rPr>
                <w:rFonts w:cs="Arial"/>
                <w:b/>
              </w:rPr>
            </w:pPr>
            <w:r w:rsidRPr="0047058F">
              <w:rPr>
                <w:rFonts w:cs="Arial"/>
                <w:b/>
              </w:rPr>
              <w:t>Total</w:t>
            </w:r>
          </w:p>
        </w:tc>
        <w:tc>
          <w:tcPr>
            <w:tcW w:w="720" w:type="dxa"/>
          </w:tcPr>
          <w:p w14:paraId="52352F11" w14:textId="77777777" w:rsidR="00B93A94" w:rsidRPr="0047058F" w:rsidRDefault="00B93A94" w:rsidP="00FD21C0">
            <w:pPr>
              <w:pStyle w:val="TableText"/>
              <w:jc w:val="right"/>
              <w:rPr>
                <w:rFonts w:cs="Arial"/>
                <w:b/>
              </w:rPr>
            </w:pPr>
            <w:r w:rsidRPr="0047058F">
              <w:rPr>
                <w:rFonts w:cs="Arial"/>
                <w:b/>
              </w:rPr>
              <w:t>5723</w:t>
            </w:r>
          </w:p>
        </w:tc>
        <w:tc>
          <w:tcPr>
            <w:tcW w:w="720" w:type="dxa"/>
          </w:tcPr>
          <w:p w14:paraId="5D5B726B" w14:textId="77777777" w:rsidR="00B93A94" w:rsidRPr="0047058F" w:rsidRDefault="00B93A94" w:rsidP="00FD21C0">
            <w:pPr>
              <w:pStyle w:val="TableText"/>
              <w:jc w:val="right"/>
              <w:rPr>
                <w:rFonts w:eastAsia="Times New Roman" w:cs="Arial"/>
                <w:b/>
              </w:rPr>
            </w:pPr>
            <w:r w:rsidRPr="0047058F">
              <w:rPr>
                <w:rFonts w:eastAsia="Times New Roman" w:cs="Arial"/>
                <w:b/>
              </w:rPr>
              <w:t>100.0</w:t>
            </w:r>
          </w:p>
        </w:tc>
        <w:tc>
          <w:tcPr>
            <w:tcW w:w="721" w:type="dxa"/>
          </w:tcPr>
          <w:p w14:paraId="18416B82" w14:textId="77777777" w:rsidR="00B93A94" w:rsidRPr="0047058F" w:rsidRDefault="00B93A94" w:rsidP="00FD21C0">
            <w:pPr>
              <w:pStyle w:val="TableText"/>
              <w:jc w:val="right"/>
              <w:rPr>
                <w:rFonts w:cs="Arial"/>
                <w:b/>
              </w:rPr>
            </w:pPr>
            <w:r w:rsidRPr="0047058F">
              <w:rPr>
                <w:rFonts w:eastAsia="Times New Roman" w:cs="Arial"/>
                <w:b/>
              </w:rPr>
              <w:t>5674</w:t>
            </w:r>
          </w:p>
        </w:tc>
        <w:tc>
          <w:tcPr>
            <w:tcW w:w="722" w:type="dxa"/>
          </w:tcPr>
          <w:p w14:paraId="20C61EA3" w14:textId="77777777" w:rsidR="00B93A94" w:rsidRPr="0047058F" w:rsidRDefault="00B93A94" w:rsidP="00FD21C0">
            <w:pPr>
              <w:pStyle w:val="TableText"/>
              <w:jc w:val="right"/>
              <w:rPr>
                <w:rFonts w:cs="Arial"/>
                <w:b/>
              </w:rPr>
            </w:pPr>
            <w:r w:rsidRPr="0047058F">
              <w:rPr>
                <w:rFonts w:eastAsia="Times New Roman" w:cs="Arial"/>
                <w:b/>
              </w:rPr>
              <w:t>99.1</w:t>
            </w:r>
          </w:p>
        </w:tc>
        <w:tc>
          <w:tcPr>
            <w:tcW w:w="722" w:type="dxa"/>
          </w:tcPr>
          <w:p w14:paraId="6B9226D5" w14:textId="77777777" w:rsidR="00B93A94" w:rsidRPr="0047058F" w:rsidRDefault="00B93A94" w:rsidP="00FD21C0">
            <w:pPr>
              <w:pStyle w:val="TableText"/>
              <w:jc w:val="right"/>
              <w:rPr>
                <w:rFonts w:cs="Arial"/>
                <w:b/>
              </w:rPr>
            </w:pPr>
            <w:r w:rsidRPr="0047058F">
              <w:rPr>
                <w:rFonts w:eastAsia="Times New Roman" w:cs="Arial"/>
                <w:b/>
              </w:rPr>
              <w:t>49</w:t>
            </w:r>
          </w:p>
        </w:tc>
        <w:tc>
          <w:tcPr>
            <w:tcW w:w="722" w:type="dxa"/>
          </w:tcPr>
          <w:p w14:paraId="60E8AE7D" w14:textId="77777777" w:rsidR="00B93A94" w:rsidRPr="0047058F" w:rsidRDefault="00B93A94" w:rsidP="00FD21C0">
            <w:pPr>
              <w:pStyle w:val="TableText"/>
              <w:jc w:val="right"/>
              <w:rPr>
                <w:rFonts w:cs="Arial"/>
                <w:b/>
              </w:rPr>
            </w:pPr>
            <w:r w:rsidRPr="0047058F">
              <w:rPr>
                <w:rFonts w:eastAsia="Times New Roman" w:cs="Arial"/>
                <w:b/>
              </w:rPr>
              <w:t>0.9</w:t>
            </w:r>
          </w:p>
        </w:tc>
      </w:tr>
    </w:tbl>
    <w:p w14:paraId="5C09EBEA" w14:textId="77777777" w:rsidR="00B93A94" w:rsidRPr="0047058F" w:rsidRDefault="00B93A94" w:rsidP="00381CF9">
      <w:pPr>
        <w:pStyle w:val="TableNotes"/>
        <w:keepNext/>
        <w:rPr>
          <w:rFonts w:cs="Arial"/>
        </w:rPr>
      </w:pPr>
      <w:r w:rsidRPr="0047058F">
        <w:t># Cell size too small to be reported.</w:t>
      </w:r>
    </w:p>
    <w:p w14:paraId="03AC4F65" w14:textId="77777777" w:rsidR="00B93A94" w:rsidRPr="0047058F" w:rsidRDefault="00B93A94" w:rsidP="00381CF9">
      <w:pPr>
        <w:pStyle w:val="TableNotes"/>
        <w:keepNext/>
      </w:pPr>
      <w:r w:rsidRPr="0047058F">
        <w:t>Note: Unweighted data.</w:t>
      </w:r>
    </w:p>
    <w:p w14:paraId="002663D9" w14:textId="77777777" w:rsidR="00B93A94" w:rsidRPr="0047058F" w:rsidRDefault="00B93A94" w:rsidP="00B93A94">
      <w:pPr>
        <w:pStyle w:val="FigureName"/>
        <w:rPr>
          <w:lang w:eastAsia="en-AU"/>
        </w:rPr>
      </w:pPr>
      <w:bookmarkStart w:id="422" w:name="_Ref387057687"/>
      <w:bookmarkStart w:id="423" w:name="_Toc529117591"/>
      <w:bookmarkStart w:id="424" w:name="_Toc532473664"/>
      <w:r w:rsidRPr="0047058F">
        <w:t>Figure 5.27</w:t>
      </w:r>
      <w:bookmarkEnd w:id="422"/>
      <w:r w:rsidRPr="0047058F">
        <w:tab/>
        <w:t xml:space="preserve">Proportion of </w:t>
      </w:r>
      <w:r w:rsidRPr="0047058F">
        <w:rPr>
          <w:u w:val="single"/>
        </w:rPr>
        <w:t>2015 Regular ADF in the longitudinal cohort</w:t>
      </w:r>
      <w:r w:rsidRPr="0047058F">
        <w:t xml:space="preserve"> who ‘got into a fight and hit someone in the last month’ in 2010 and 2015 based on self-reported measures</w:t>
      </w:r>
      <w:bookmarkEnd w:id="423"/>
      <w:bookmarkEnd w:id="424"/>
    </w:p>
    <w:p w14:paraId="5BD1292A" w14:textId="77777777" w:rsidR="00D14F71" w:rsidRPr="0047058F" w:rsidRDefault="00B93A94" w:rsidP="00D14F71">
      <w:pPr>
        <w:spacing w:after="360"/>
      </w:pPr>
      <w:r w:rsidRPr="0047058F">
        <w:rPr>
          <w:noProof/>
          <w:lang w:eastAsia="en-AU"/>
        </w:rPr>
        <w:drawing>
          <wp:inline distT="0" distB="0" distL="0" distR="0" wp14:anchorId="36B69BF0" wp14:editId="632916EB">
            <wp:extent cx="4572000" cy="2743200"/>
            <wp:effectExtent l="0" t="0" r="0" b="0"/>
            <wp:docPr id="40" name="Chart 40" descr="Figure 5.27 Proportion of 2015 Regular ADF in the longitudinal cohort who ‘got into a fight and hit someon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22505FB" w14:textId="77777777" w:rsidR="00B93A94" w:rsidRPr="0047058F" w:rsidRDefault="00B93A94" w:rsidP="00860F45">
      <w:pPr>
        <w:pStyle w:val="Heading3"/>
        <w:rPr>
          <w:lang w:eastAsia="en-AU"/>
        </w:rPr>
      </w:pPr>
      <w:bookmarkStart w:id="425" w:name="_Toc381263162"/>
      <w:bookmarkStart w:id="426" w:name="_Toc532474381"/>
      <w:r w:rsidRPr="0047058F">
        <w:rPr>
          <w:lang w:eastAsia="en-AU"/>
        </w:rPr>
        <w:t>Threatened someone with physical violence</w:t>
      </w:r>
      <w:bookmarkEnd w:id="425"/>
      <w:bookmarkEnd w:id="426"/>
    </w:p>
    <w:p w14:paraId="61632840" w14:textId="77777777" w:rsidR="00B93A94" w:rsidRPr="0047058F" w:rsidRDefault="00B93A94" w:rsidP="00381CF9">
      <w:pPr>
        <w:keepNext/>
        <w:keepLines/>
      </w:pPr>
      <w:r w:rsidRPr="0047058F">
        <w:t>Table 5.28 and Figure 5.28, Table 5.29 and Figure 5.29, and Table 5.30 and Figure 5.30 show the p</w:t>
      </w:r>
      <w:r w:rsidRPr="0047058F">
        <w:rPr>
          <w:bCs/>
        </w:rPr>
        <w:t>roportion of those reporting that they ‘threatened someone with physical violence in the last month’ in 2010 cross-tabulated by the same grouping of scores in 2015 among the entire longitudinal cohort, and according to whether they had transitioned or remained in the Regular ADF in 2015.</w:t>
      </w:r>
    </w:p>
    <w:p w14:paraId="340C16B0" w14:textId="77777777" w:rsidR="00B93A94" w:rsidRPr="0047058F" w:rsidRDefault="00B93A94" w:rsidP="00381CF9">
      <w:pPr>
        <w:keepNext/>
        <w:keepLines/>
        <w:rPr>
          <w:lang w:eastAsia="en-AU"/>
        </w:rPr>
      </w:pPr>
      <w:r w:rsidRPr="0047058F">
        <w:rPr>
          <w:lang w:eastAsia="en-AU"/>
        </w:rPr>
        <w:t>Similar proportions of the cohort reported threatening someone with physical violence in the last month in 2010 and 2015 (6.5% vs 6.3%). Of those reporting that they had not threatened someone with physical violence in the last month in 2010, 4.7% reported that they had done this in 2015. Almost a third of participants (29.9%) reported this item at both time points, while 70.1% of those who reported this item in 2010 did not report threatening physical violence in 2015.</w:t>
      </w:r>
    </w:p>
    <w:p w14:paraId="0A8EDD36" w14:textId="77777777" w:rsidR="00381CF9" w:rsidRPr="0047058F" w:rsidRDefault="00381CF9" w:rsidP="00381CF9">
      <w:pPr>
        <w:rPr>
          <w:lang w:eastAsia="en-AU"/>
        </w:rPr>
      </w:pPr>
      <w:bookmarkStart w:id="427" w:name="_Ref384558813"/>
      <w:bookmarkStart w:id="428" w:name="_Toc529117540"/>
      <w:r w:rsidRPr="0047058F">
        <w:rPr>
          <w:lang w:eastAsia="en-AU"/>
        </w:rPr>
        <w:t>For those who had transitioned, 9.2% of participants reported threatening physical violence in the last month in 2010, increasing slightly to 11.1% in 2015. There were 7.9% who became new cases in 2015, and 57.1% of those reporting threatening someone with physical violence in 2010 reported that they did not in 2015.</w:t>
      </w:r>
    </w:p>
    <w:p w14:paraId="4C26BFD5" w14:textId="77777777" w:rsidR="00381CF9" w:rsidRPr="0047058F" w:rsidRDefault="00381CF9" w:rsidP="00B93A94">
      <w:pPr>
        <w:rPr>
          <w:lang w:eastAsia="en-AU"/>
        </w:rPr>
      </w:pPr>
      <w:r w:rsidRPr="0047058F">
        <w:rPr>
          <w:lang w:eastAsia="en-AU"/>
        </w:rPr>
        <w:t>Those who remained in the Regular ADF reported lower proportions, with 5.5% reporting threats of physical violence in 2010, which dropped to 4.5% in 2015. Of those reporting no threats of physical violence in 2010, 3.5% became new cases. There were 78.3% of participants reporting threatening physical violence in 2010 who were no longer cases in 2015, and 21.7% who reported this at both time points.</w:t>
      </w:r>
    </w:p>
    <w:p w14:paraId="059A2380" w14:textId="77777777" w:rsidR="00381CF9" w:rsidRPr="0047058F" w:rsidRDefault="00381CF9" w:rsidP="00B93A94">
      <w:r w:rsidRPr="0047058F">
        <w:t xml:space="preserve">When comparing Transitioned ADF and 2015 Regular ADF, more Transitioned ADF who reported </w:t>
      </w:r>
      <w:r w:rsidRPr="0047058F">
        <w:rPr>
          <w:lang w:eastAsia="en-AU"/>
        </w:rPr>
        <w:t xml:space="preserve">threats of physical violence </w:t>
      </w:r>
      <w:r w:rsidRPr="0047058F">
        <w:t>in 2010 also did in 2015 (42.9% vs 21.7%).</w:t>
      </w:r>
    </w:p>
    <w:p w14:paraId="4ECF3CF2" w14:textId="77777777" w:rsidR="00B93A94" w:rsidRPr="0047058F" w:rsidRDefault="00B93A94" w:rsidP="00B93A94">
      <w:pPr>
        <w:pStyle w:val="TableName"/>
      </w:pPr>
      <w:bookmarkStart w:id="429" w:name="_Toc532473610"/>
      <w:r w:rsidRPr="0047058F">
        <w:t>Table 5.28</w:t>
      </w:r>
      <w:bookmarkEnd w:id="427"/>
      <w:r w:rsidRPr="0047058F">
        <w:tab/>
        <w:t xml:space="preserve">Proportion of </w:t>
      </w:r>
      <w:r w:rsidRPr="0047058F">
        <w:rPr>
          <w:u w:val="single"/>
        </w:rPr>
        <w:t>entire longitudinal cohort</w:t>
      </w:r>
      <w:r w:rsidRPr="0047058F">
        <w:t xml:space="preserve"> who ‘threatened someone with physical violence in the last month’ in 2010 and 2015 based on self-reported measures</w:t>
      </w:r>
      <w:bookmarkEnd w:id="428"/>
      <w:bookmarkEnd w:id="429"/>
    </w:p>
    <w:tbl>
      <w:tblPr>
        <w:tblStyle w:val="TWRPTable"/>
        <w:tblW w:w="0" w:type="auto"/>
        <w:tblLook w:val="04A0" w:firstRow="1" w:lastRow="0" w:firstColumn="1" w:lastColumn="0" w:noHBand="0" w:noVBand="1"/>
        <w:tblDescription w:val="Table 5.28 Proportion of entire longitudinal cohort who ‘threatened someone with physical violence in the last month’ in 2010 and 2015 based on self-reported measures"/>
      </w:tblPr>
      <w:tblGrid>
        <w:gridCol w:w="2988"/>
        <w:gridCol w:w="720"/>
        <w:gridCol w:w="720"/>
        <w:gridCol w:w="721"/>
        <w:gridCol w:w="722"/>
        <w:gridCol w:w="722"/>
        <w:gridCol w:w="722"/>
      </w:tblGrid>
      <w:tr w:rsidR="00FD21C0" w:rsidRPr="0047058F" w14:paraId="746368A0"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7F61F60A" w14:textId="77777777" w:rsidR="00FD21C0" w:rsidRPr="0047058F" w:rsidRDefault="00FD21C0" w:rsidP="00FD21C0">
            <w:pPr>
              <w:pStyle w:val="TableText"/>
            </w:pPr>
            <w:r w:rsidRPr="0047058F">
              <w:t>2010 ADF Mental Health Prevalence and Wellbeing Study</w:t>
            </w:r>
          </w:p>
        </w:tc>
        <w:tc>
          <w:tcPr>
            <w:tcW w:w="2887" w:type="dxa"/>
            <w:gridSpan w:val="4"/>
          </w:tcPr>
          <w:p w14:paraId="6C28CD93" w14:textId="77777777" w:rsidR="00FD21C0" w:rsidRPr="0047058F" w:rsidRDefault="00FD21C0" w:rsidP="00FD21C0">
            <w:pPr>
              <w:pStyle w:val="TableText"/>
              <w:jc w:val="center"/>
            </w:pPr>
            <w:r w:rsidRPr="0047058F">
              <w:t>2015 Transition and Wellbeing Research Programme</w:t>
            </w:r>
          </w:p>
        </w:tc>
      </w:tr>
      <w:tr w:rsidR="00FD21C0" w:rsidRPr="0047058F" w14:paraId="3FB42E42"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24B1B571" w14:textId="77777777" w:rsidR="00FD21C0" w:rsidRPr="0047058F" w:rsidRDefault="00FD21C0" w:rsidP="00FD21C0">
            <w:pPr>
              <w:pStyle w:val="TableText"/>
            </w:pPr>
          </w:p>
        </w:tc>
        <w:tc>
          <w:tcPr>
            <w:tcW w:w="1443" w:type="dxa"/>
            <w:gridSpan w:val="2"/>
            <w:hideMark/>
          </w:tcPr>
          <w:p w14:paraId="508A7881" w14:textId="77777777" w:rsidR="00FD21C0" w:rsidRPr="0047058F" w:rsidRDefault="00FD21C0" w:rsidP="00FD21C0">
            <w:pPr>
              <w:pStyle w:val="TableText"/>
              <w:jc w:val="center"/>
            </w:pPr>
            <w:r w:rsidRPr="0047058F">
              <w:t>Not in the last month</w:t>
            </w:r>
          </w:p>
        </w:tc>
        <w:tc>
          <w:tcPr>
            <w:tcW w:w="1444" w:type="dxa"/>
            <w:gridSpan w:val="2"/>
          </w:tcPr>
          <w:p w14:paraId="6B3DDF80" w14:textId="77777777" w:rsidR="00FD21C0" w:rsidRPr="0047058F" w:rsidRDefault="00FD21C0" w:rsidP="00FD21C0">
            <w:pPr>
              <w:pStyle w:val="TableText"/>
              <w:jc w:val="center"/>
            </w:pPr>
            <w:r w:rsidRPr="0047058F">
              <w:t>One or more times</w:t>
            </w:r>
          </w:p>
        </w:tc>
      </w:tr>
      <w:tr w:rsidR="00B93A94" w:rsidRPr="0047058F" w14:paraId="064048DB"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7E5F5E15" w14:textId="77777777" w:rsidR="00B93A94" w:rsidRPr="0047058F" w:rsidRDefault="00B93A94" w:rsidP="00FD21C0">
            <w:pPr>
              <w:pStyle w:val="TableText"/>
            </w:pPr>
            <w:r w:rsidRPr="0047058F">
              <w:rPr>
                <w:rFonts w:cs="Arial"/>
              </w:rPr>
              <w:t>Threaten someone with physical violence in the last month</w:t>
            </w:r>
          </w:p>
        </w:tc>
        <w:tc>
          <w:tcPr>
            <w:tcW w:w="720" w:type="dxa"/>
          </w:tcPr>
          <w:p w14:paraId="2BA9501B" w14:textId="77777777" w:rsidR="00B93A94" w:rsidRPr="0047058F" w:rsidRDefault="00B93A94" w:rsidP="00FD21C0">
            <w:pPr>
              <w:pStyle w:val="TableText"/>
              <w:jc w:val="right"/>
              <w:rPr>
                <w:rFonts w:cs="Arial"/>
              </w:rPr>
            </w:pPr>
            <w:r w:rsidRPr="0047058F">
              <w:rPr>
                <w:rFonts w:cs="Arial"/>
              </w:rPr>
              <w:t>n</w:t>
            </w:r>
          </w:p>
        </w:tc>
        <w:tc>
          <w:tcPr>
            <w:tcW w:w="720" w:type="dxa"/>
          </w:tcPr>
          <w:p w14:paraId="1972D4AF" w14:textId="77777777" w:rsidR="00B93A94" w:rsidRPr="0047058F" w:rsidRDefault="00B93A94" w:rsidP="00FD21C0">
            <w:pPr>
              <w:pStyle w:val="TableText"/>
              <w:jc w:val="right"/>
              <w:rPr>
                <w:rFonts w:cs="Arial"/>
              </w:rPr>
            </w:pPr>
            <w:r w:rsidRPr="0047058F">
              <w:rPr>
                <w:rFonts w:cs="Arial"/>
              </w:rPr>
              <w:t>%</w:t>
            </w:r>
          </w:p>
        </w:tc>
        <w:tc>
          <w:tcPr>
            <w:tcW w:w="721" w:type="dxa"/>
          </w:tcPr>
          <w:p w14:paraId="6555EBE1" w14:textId="77777777" w:rsidR="00B93A94" w:rsidRPr="0047058F" w:rsidRDefault="00B93A94" w:rsidP="00FD21C0">
            <w:pPr>
              <w:pStyle w:val="TableText"/>
              <w:jc w:val="right"/>
              <w:rPr>
                <w:rFonts w:cs="Arial"/>
              </w:rPr>
            </w:pPr>
            <w:r w:rsidRPr="0047058F">
              <w:rPr>
                <w:rFonts w:cs="Arial"/>
              </w:rPr>
              <w:t>n</w:t>
            </w:r>
          </w:p>
        </w:tc>
        <w:tc>
          <w:tcPr>
            <w:tcW w:w="722" w:type="dxa"/>
          </w:tcPr>
          <w:p w14:paraId="2C46FA52" w14:textId="77777777" w:rsidR="00B93A94" w:rsidRPr="0047058F" w:rsidRDefault="00B93A94" w:rsidP="00FD21C0">
            <w:pPr>
              <w:pStyle w:val="TableText"/>
              <w:jc w:val="right"/>
              <w:rPr>
                <w:rFonts w:cs="Arial"/>
              </w:rPr>
            </w:pPr>
            <w:r w:rsidRPr="0047058F">
              <w:rPr>
                <w:rFonts w:cs="Arial"/>
              </w:rPr>
              <w:t>%</w:t>
            </w:r>
          </w:p>
        </w:tc>
        <w:tc>
          <w:tcPr>
            <w:tcW w:w="722" w:type="dxa"/>
          </w:tcPr>
          <w:p w14:paraId="39FDDEA0" w14:textId="77777777" w:rsidR="00B93A94" w:rsidRPr="0047058F" w:rsidRDefault="00B93A94" w:rsidP="00FD21C0">
            <w:pPr>
              <w:pStyle w:val="TableText"/>
              <w:jc w:val="right"/>
              <w:rPr>
                <w:rFonts w:cs="Arial"/>
              </w:rPr>
            </w:pPr>
            <w:r w:rsidRPr="0047058F">
              <w:rPr>
                <w:rFonts w:cs="Arial"/>
              </w:rPr>
              <w:t>n</w:t>
            </w:r>
          </w:p>
        </w:tc>
        <w:tc>
          <w:tcPr>
            <w:tcW w:w="722" w:type="dxa"/>
          </w:tcPr>
          <w:p w14:paraId="5B527ADD" w14:textId="77777777" w:rsidR="00B93A94" w:rsidRPr="0047058F" w:rsidRDefault="00B93A94" w:rsidP="00FD21C0">
            <w:pPr>
              <w:pStyle w:val="TableText"/>
              <w:jc w:val="right"/>
              <w:rPr>
                <w:rFonts w:cs="Arial"/>
              </w:rPr>
            </w:pPr>
            <w:r w:rsidRPr="0047058F">
              <w:rPr>
                <w:rFonts w:cs="Arial"/>
              </w:rPr>
              <w:t>%</w:t>
            </w:r>
          </w:p>
        </w:tc>
      </w:tr>
      <w:tr w:rsidR="00B93A94" w:rsidRPr="0047058F" w14:paraId="103F89E1"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6B37A17E" w14:textId="77777777" w:rsidR="00B93A94" w:rsidRPr="0047058F" w:rsidRDefault="00B93A94" w:rsidP="00FD21C0">
            <w:pPr>
              <w:pStyle w:val="TableText"/>
              <w:rPr>
                <w:rFonts w:cs="Calibri"/>
                <w:szCs w:val="14"/>
              </w:rPr>
            </w:pPr>
            <w:r w:rsidRPr="0047058F">
              <w:rPr>
                <w:rFonts w:cs="Calibri"/>
                <w:szCs w:val="14"/>
              </w:rPr>
              <w:t>Not in the last month</w:t>
            </w:r>
          </w:p>
        </w:tc>
        <w:tc>
          <w:tcPr>
            <w:tcW w:w="720" w:type="dxa"/>
          </w:tcPr>
          <w:p w14:paraId="503B57DB" w14:textId="77777777" w:rsidR="00B93A94" w:rsidRPr="0047058F" w:rsidRDefault="00B93A94" w:rsidP="00FD21C0">
            <w:pPr>
              <w:pStyle w:val="TableText"/>
              <w:jc w:val="right"/>
            </w:pPr>
            <w:r w:rsidRPr="0047058F">
              <w:rPr>
                <w:rFonts w:eastAsia="Times New Roman" w:cs="Arial"/>
              </w:rPr>
              <w:t>7333</w:t>
            </w:r>
          </w:p>
        </w:tc>
        <w:tc>
          <w:tcPr>
            <w:tcW w:w="720" w:type="dxa"/>
          </w:tcPr>
          <w:p w14:paraId="0FA65AC8" w14:textId="77777777" w:rsidR="00B93A94" w:rsidRPr="0047058F" w:rsidRDefault="00B93A94" w:rsidP="00FD21C0">
            <w:pPr>
              <w:pStyle w:val="TableText"/>
              <w:jc w:val="right"/>
              <w:rPr>
                <w:rFonts w:eastAsia="Times New Roman" w:cs="Arial"/>
              </w:rPr>
            </w:pPr>
            <w:r w:rsidRPr="0047058F">
              <w:rPr>
                <w:rFonts w:eastAsia="Times New Roman" w:cs="Arial"/>
              </w:rPr>
              <w:t>93.5</w:t>
            </w:r>
          </w:p>
        </w:tc>
        <w:tc>
          <w:tcPr>
            <w:tcW w:w="721" w:type="dxa"/>
          </w:tcPr>
          <w:p w14:paraId="7BF5658C" w14:textId="77777777" w:rsidR="00B93A94" w:rsidRPr="0047058F" w:rsidRDefault="00B93A94" w:rsidP="00FD21C0">
            <w:pPr>
              <w:pStyle w:val="TableText"/>
              <w:jc w:val="right"/>
            </w:pPr>
            <w:r w:rsidRPr="0047058F">
              <w:rPr>
                <w:rFonts w:eastAsia="Times New Roman" w:cs="Arial"/>
              </w:rPr>
              <w:t>6989</w:t>
            </w:r>
          </w:p>
        </w:tc>
        <w:tc>
          <w:tcPr>
            <w:tcW w:w="722" w:type="dxa"/>
          </w:tcPr>
          <w:p w14:paraId="1045A339" w14:textId="77777777" w:rsidR="00B93A94" w:rsidRPr="0047058F" w:rsidRDefault="00B93A94" w:rsidP="00FD21C0">
            <w:pPr>
              <w:pStyle w:val="TableText"/>
              <w:jc w:val="right"/>
            </w:pPr>
            <w:r w:rsidRPr="0047058F">
              <w:rPr>
                <w:rFonts w:eastAsia="Times New Roman" w:cs="Arial"/>
              </w:rPr>
              <w:t>95.3</w:t>
            </w:r>
          </w:p>
        </w:tc>
        <w:tc>
          <w:tcPr>
            <w:tcW w:w="722" w:type="dxa"/>
          </w:tcPr>
          <w:p w14:paraId="5A9382D2" w14:textId="77777777" w:rsidR="00B93A94" w:rsidRPr="0047058F" w:rsidRDefault="00B93A94" w:rsidP="00FD21C0">
            <w:pPr>
              <w:pStyle w:val="TableText"/>
              <w:jc w:val="right"/>
            </w:pPr>
            <w:r w:rsidRPr="0047058F">
              <w:rPr>
                <w:rFonts w:eastAsia="Times New Roman" w:cs="Arial"/>
              </w:rPr>
              <w:t>344</w:t>
            </w:r>
          </w:p>
        </w:tc>
        <w:tc>
          <w:tcPr>
            <w:tcW w:w="722" w:type="dxa"/>
          </w:tcPr>
          <w:p w14:paraId="680E8635" w14:textId="77777777" w:rsidR="00B93A94" w:rsidRPr="0047058F" w:rsidRDefault="00B93A94" w:rsidP="00FD21C0">
            <w:pPr>
              <w:pStyle w:val="TableText"/>
              <w:jc w:val="right"/>
            </w:pPr>
            <w:r w:rsidRPr="0047058F">
              <w:rPr>
                <w:rFonts w:eastAsia="Times New Roman" w:cs="Arial"/>
              </w:rPr>
              <w:t>4.7</w:t>
            </w:r>
          </w:p>
        </w:tc>
      </w:tr>
      <w:tr w:rsidR="00B93A94" w:rsidRPr="0047058F" w14:paraId="4F298223" w14:textId="77777777" w:rsidTr="00FD21C0">
        <w:trPr>
          <w:cantSplit/>
        </w:trPr>
        <w:tc>
          <w:tcPr>
            <w:tcW w:w="2988" w:type="dxa"/>
          </w:tcPr>
          <w:p w14:paraId="7099426B" w14:textId="77777777" w:rsidR="00B93A94" w:rsidRPr="0047058F" w:rsidRDefault="00B93A94" w:rsidP="00FD21C0">
            <w:pPr>
              <w:pStyle w:val="TableText"/>
              <w:rPr>
                <w:rFonts w:cs="Calibri"/>
                <w:szCs w:val="14"/>
              </w:rPr>
            </w:pPr>
            <w:r w:rsidRPr="0047058F">
              <w:rPr>
                <w:rFonts w:cs="Calibri"/>
                <w:szCs w:val="14"/>
              </w:rPr>
              <w:t>One or more times</w:t>
            </w:r>
          </w:p>
        </w:tc>
        <w:tc>
          <w:tcPr>
            <w:tcW w:w="720" w:type="dxa"/>
          </w:tcPr>
          <w:p w14:paraId="4296003A" w14:textId="77777777" w:rsidR="00B93A94" w:rsidRPr="0047058F" w:rsidRDefault="00B93A94" w:rsidP="00FD21C0">
            <w:pPr>
              <w:pStyle w:val="TableText"/>
              <w:jc w:val="right"/>
            </w:pPr>
            <w:r w:rsidRPr="0047058F">
              <w:rPr>
                <w:rFonts w:eastAsia="Times New Roman" w:cs="Arial"/>
              </w:rPr>
              <w:t>509</w:t>
            </w:r>
          </w:p>
        </w:tc>
        <w:tc>
          <w:tcPr>
            <w:tcW w:w="720" w:type="dxa"/>
          </w:tcPr>
          <w:p w14:paraId="0F938691" w14:textId="77777777" w:rsidR="00B93A94" w:rsidRPr="0047058F" w:rsidRDefault="00B93A94" w:rsidP="00FD21C0">
            <w:pPr>
              <w:pStyle w:val="TableText"/>
              <w:jc w:val="right"/>
              <w:rPr>
                <w:rFonts w:eastAsia="Times New Roman" w:cs="Arial"/>
              </w:rPr>
            </w:pPr>
            <w:r w:rsidRPr="0047058F">
              <w:rPr>
                <w:rFonts w:eastAsia="Times New Roman" w:cs="Arial"/>
              </w:rPr>
              <w:t>6.5</w:t>
            </w:r>
          </w:p>
        </w:tc>
        <w:tc>
          <w:tcPr>
            <w:tcW w:w="721" w:type="dxa"/>
          </w:tcPr>
          <w:p w14:paraId="299E25D2" w14:textId="77777777" w:rsidR="00B93A94" w:rsidRPr="0047058F" w:rsidRDefault="00B93A94" w:rsidP="00FD21C0">
            <w:pPr>
              <w:pStyle w:val="TableText"/>
              <w:jc w:val="right"/>
            </w:pPr>
            <w:r w:rsidRPr="0047058F">
              <w:rPr>
                <w:rFonts w:eastAsia="Times New Roman" w:cs="Arial"/>
              </w:rPr>
              <w:t>357</w:t>
            </w:r>
          </w:p>
        </w:tc>
        <w:tc>
          <w:tcPr>
            <w:tcW w:w="722" w:type="dxa"/>
          </w:tcPr>
          <w:p w14:paraId="331DA528" w14:textId="77777777" w:rsidR="00B93A94" w:rsidRPr="0047058F" w:rsidRDefault="00B93A94" w:rsidP="00FD21C0">
            <w:pPr>
              <w:pStyle w:val="TableText"/>
              <w:jc w:val="right"/>
            </w:pPr>
            <w:r w:rsidRPr="0047058F">
              <w:rPr>
                <w:rFonts w:eastAsia="Times New Roman" w:cs="Arial"/>
              </w:rPr>
              <w:t>70.1</w:t>
            </w:r>
          </w:p>
        </w:tc>
        <w:tc>
          <w:tcPr>
            <w:tcW w:w="722" w:type="dxa"/>
          </w:tcPr>
          <w:p w14:paraId="1355CE65" w14:textId="77777777" w:rsidR="00B93A94" w:rsidRPr="0047058F" w:rsidRDefault="00B93A94" w:rsidP="00FD21C0">
            <w:pPr>
              <w:pStyle w:val="TableText"/>
              <w:jc w:val="right"/>
            </w:pPr>
            <w:r w:rsidRPr="0047058F">
              <w:rPr>
                <w:rFonts w:eastAsia="Times New Roman" w:cs="Arial"/>
              </w:rPr>
              <w:t>152</w:t>
            </w:r>
          </w:p>
        </w:tc>
        <w:tc>
          <w:tcPr>
            <w:tcW w:w="722" w:type="dxa"/>
          </w:tcPr>
          <w:p w14:paraId="5DDBAA84" w14:textId="77777777" w:rsidR="00B93A94" w:rsidRPr="0047058F" w:rsidRDefault="00B93A94" w:rsidP="00FD21C0">
            <w:pPr>
              <w:pStyle w:val="TableText"/>
              <w:jc w:val="right"/>
            </w:pPr>
            <w:r w:rsidRPr="0047058F">
              <w:rPr>
                <w:rFonts w:eastAsia="Times New Roman" w:cs="Arial"/>
              </w:rPr>
              <w:t>29.9</w:t>
            </w:r>
          </w:p>
        </w:tc>
      </w:tr>
      <w:tr w:rsidR="00B93A94" w:rsidRPr="0047058F" w14:paraId="7B741273"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0672600B" w14:textId="77777777" w:rsidR="00B93A94" w:rsidRPr="0047058F" w:rsidRDefault="00B93A94" w:rsidP="00FD21C0">
            <w:pPr>
              <w:pStyle w:val="TableText"/>
              <w:rPr>
                <w:rFonts w:cs="Arial"/>
                <w:b/>
              </w:rPr>
            </w:pPr>
            <w:r w:rsidRPr="0047058F">
              <w:rPr>
                <w:rFonts w:cs="Arial"/>
                <w:b/>
              </w:rPr>
              <w:t>Total</w:t>
            </w:r>
          </w:p>
        </w:tc>
        <w:tc>
          <w:tcPr>
            <w:tcW w:w="720" w:type="dxa"/>
          </w:tcPr>
          <w:p w14:paraId="6CDB4BFA" w14:textId="77777777" w:rsidR="00B93A94" w:rsidRPr="0047058F" w:rsidRDefault="00B93A94" w:rsidP="00FD21C0">
            <w:pPr>
              <w:pStyle w:val="TableText"/>
              <w:jc w:val="right"/>
              <w:rPr>
                <w:rFonts w:cs="Arial"/>
                <w:b/>
              </w:rPr>
            </w:pPr>
            <w:r w:rsidRPr="0047058F">
              <w:rPr>
                <w:rFonts w:cs="Arial"/>
                <w:b/>
              </w:rPr>
              <w:t>7842</w:t>
            </w:r>
          </w:p>
        </w:tc>
        <w:tc>
          <w:tcPr>
            <w:tcW w:w="720" w:type="dxa"/>
          </w:tcPr>
          <w:p w14:paraId="33FEA8B0" w14:textId="77777777" w:rsidR="00B93A94" w:rsidRPr="0047058F" w:rsidRDefault="00B93A94" w:rsidP="00FD21C0">
            <w:pPr>
              <w:pStyle w:val="TableText"/>
              <w:jc w:val="right"/>
              <w:rPr>
                <w:rFonts w:eastAsia="Times New Roman" w:cs="Arial"/>
                <w:b/>
              </w:rPr>
            </w:pPr>
            <w:r w:rsidRPr="0047058F">
              <w:rPr>
                <w:rFonts w:eastAsia="Times New Roman" w:cs="Arial"/>
                <w:b/>
              </w:rPr>
              <w:t>100.0</w:t>
            </w:r>
          </w:p>
        </w:tc>
        <w:tc>
          <w:tcPr>
            <w:tcW w:w="721" w:type="dxa"/>
          </w:tcPr>
          <w:p w14:paraId="4B9A2CF2" w14:textId="77777777" w:rsidR="00B93A94" w:rsidRPr="0047058F" w:rsidRDefault="00B93A94" w:rsidP="00FD21C0">
            <w:pPr>
              <w:pStyle w:val="TableText"/>
              <w:jc w:val="right"/>
              <w:rPr>
                <w:rFonts w:cs="Arial"/>
                <w:b/>
              </w:rPr>
            </w:pPr>
            <w:r w:rsidRPr="0047058F">
              <w:rPr>
                <w:rFonts w:eastAsia="Times New Roman" w:cs="Arial"/>
                <w:b/>
              </w:rPr>
              <w:t>7346</w:t>
            </w:r>
          </w:p>
        </w:tc>
        <w:tc>
          <w:tcPr>
            <w:tcW w:w="722" w:type="dxa"/>
          </w:tcPr>
          <w:p w14:paraId="74BB24EA" w14:textId="77777777" w:rsidR="00B93A94" w:rsidRPr="0047058F" w:rsidRDefault="00B93A94" w:rsidP="00FD21C0">
            <w:pPr>
              <w:pStyle w:val="TableText"/>
              <w:jc w:val="right"/>
              <w:rPr>
                <w:rFonts w:cs="Arial"/>
                <w:b/>
              </w:rPr>
            </w:pPr>
            <w:r w:rsidRPr="0047058F">
              <w:rPr>
                <w:rFonts w:eastAsia="Times New Roman" w:cs="Arial"/>
                <w:b/>
              </w:rPr>
              <w:t>93.7</w:t>
            </w:r>
          </w:p>
        </w:tc>
        <w:tc>
          <w:tcPr>
            <w:tcW w:w="722" w:type="dxa"/>
          </w:tcPr>
          <w:p w14:paraId="4A841F84" w14:textId="77777777" w:rsidR="00B93A94" w:rsidRPr="0047058F" w:rsidRDefault="00B93A94" w:rsidP="00FD21C0">
            <w:pPr>
              <w:pStyle w:val="TableText"/>
              <w:jc w:val="right"/>
              <w:rPr>
                <w:rFonts w:cs="Arial"/>
                <w:b/>
              </w:rPr>
            </w:pPr>
            <w:r w:rsidRPr="0047058F">
              <w:rPr>
                <w:rFonts w:eastAsia="Times New Roman" w:cs="Arial"/>
                <w:b/>
              </w:rPr>
              <w:t>496</w:t>
            </w:r>
          </w:p>
        </w:tc>
        <w:tc>
          <w:tcPr>
            <w:tcW w:w="722" w:type="dxa"/>
          </w:tcPr>
          <w:p w14:paraId="49B9E431" w14:textId="77777777" w:rsidR="00B93A94" w:rsidRPr="0047058F" w:rsidRDefault="00B93A94" w:rsidP="00FD21C0">
            <w:pPr>
              <w:pStyle w:val="TableText"/>
              <w:jc w:val="right"/>
              <w:rPr>
                <w:rFonts w:cs="Arial"/>
                <w:b/>
              </w:rPr>
            </w:pPr>
            <w:r w:rsidRPr="0047058F">
              <w:rPr>
                <w:rFonts w:eastAsia="Times New Roman" w:cs="Arial"/>
                <w:b/>
              </w:rPr>
              <w:t>6.3</w:t>
            </w:r>
          </w:p>
        </w:tc>
      </w:tr>
    </w:tbl>
    <w:p w14:paraId="2EF4C023" w14:textId="77777777" w:rsidR="00B93A94" w:rsidRPr="0047058F" w:rsidRDefault="00B93A94" w:rsidP="00381CF9">
      <w:pPr>
        <w:pStyle w:val="TableNotes"/>
        <w:keepNext/>
      </w:pPr>
      <w:r w:rsidRPr="0047058F">
        <w:t>Note: Unweighted data.</w:t>
      </w:r>
    </w:p>
    <w:p w14:paraId="6E01EA58" w14:textId="77777777" w:rsidR="00B93A94" w:rsidRPr="0047058F" w:rsidRDefault="00B93A94" w:rsidP="00B93A94">
      <w:pPr>
        <w:pStyle w:val="FigureName"/>
      </w:pPr>
      <w:bookmarkStart w:id="430" w:name="_Ref387057825"/>
      <w:bookmarkStart w:id="431" w:name="_Toc529117592"/>
      <w:bookmarkStart w:id="432" w:name="_Toc532473665"/>
      <w:r w:rsidRPr="0047058F">
        <w:t>Figure 5.28</w:t>
      </w:r>
      <w:bookmarkEnd w:id="430"/>
      <w:r w:rsidRPr="0047058F">
        <w:tab/>
        <w:t xml:space="preserve">Proportion of </w:t>
      </w:r>
      <w:r w:rsidRPr="0047058F">
        <w:rPr>
          <w:u w:val="single"/>
        </w:rPr>
        <w:t>entire longitudinal cohort</w:t>
      </w:r>
      <w:r w:rsidRPr="0047058F">
        <w:t xml:space="preserve"> who ‘threatened someone with physical violence in the last month’ in 2010 and 2015 based on self-reported measures</w:t>
      </w:r>
      <w:bookmarkEnd w:id="431"/>
      <w:bookmarkEnd w:id="432"/>
    </w:p>
    <w:p w14:paraId="1BAC8F58" w14:textId="16A416C5" w:rsidR="00F43A95" w:rsidRPr="00A729C2" w:rsidRDefault="00B93A94" w:rsidP="00A729C2">
      <w:pPr>
        <w:rPr>
          <w:rFonts w:ascii="Arial" w:eastAsia="Times New Roman" w:hAnsi="Arial" w:cs="Arial"/>
          <w:color w:val="222222"/>
          <w:lang w:eastAsia="en-AU"/>
        </w:rPr>
      </w:pPr>
      <w:r w:rsidRPr="0047058F">
        <w:rPr>
          <w:noProof/>
          <w:lang w:eastAsia="en-AU"/>
        </w:rPr>
        <w:drawing>
          <wp:inline distT="0" distB="0" distL="0" distR="0" wp14:anchorId="2484CAE4" wp14:editId="7B6C83E3">
            <wp:extent cx="4572000" cy="2743200"/>
            <wp:effectExtent l="0" t="0" r="0" b="0"/>
            <wp:docPr id="44" name="Chart 44" descr="Figure 5.28 Proportion of entire longitudinal cohort who ‘threatened someone with physical violenc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E492DF0" w14:textId="77777777" w:rsidR="00B93A94" w:rsidRPr="0047058F" w:rsidRDefault="00B93A94" w:rsidP="00B93A94">
      <w:pPr>
        <w:pStyle w:val="TableName"/>
      </w:pPr>
      <w:bookmarkStart w:id="433" w:name="_Ref384558815"/>
      <w:bookmarkStart w:id="434" w:name="_Toc529117541"/>
      <w:bookmarkStart w:id="435" w:name="_Toc532473611"/>
      <w:r w:rsidRPr="0047058F">
        <w:t>Table 5.29</w:t>
      </w:r>
      <w:bookmarkEnd w:id="433"/>
      <w:r w:rsidRPr="0047058F">
        <w:tab/>
        <w:t xml:space="preserve">Proportion of </w:t>
      </w:r>
      <w:r w:rsidRPr="0047058F">
        <w:rPr>
          <w:u w:val="single"/>
        </w:rPr>
        <w:t>Transitioned ADF in the longitudinal cohort</w:t>
      </w:r>
      <w:r w:rsidRPr="0047058F">
        <w:t xml:space="preserve"> who ‘threatened someone with physical violence in the last month’ in 2010 and 2015 based on self-reported measures</w:t>
      </w:r>
      <w:bookmarkEnd w:id="434"/>
      <w:bookmarkEnd w:id="435"/>
    </w:p>
    <w:tbl>
      <w:tblPr>
        <w:tblStyle w:val="TWRPTable"/>
        <w:tblW w:w="5000" w:type="pct"/>
        <w:tblLayout w:type="fixed"/>
        <w:tblLook w:val="04A0" w:firstRow="1" w:lastRow="0" w:firstColumn="1" w:lastColumn="0" w:noHBand="0" w:noVBand="1"/>
        <w:tblDescription w:val="Table 5.29 Proportion of Transitioned ADF in the longitudinal cohort who ‘threatened someone with physical violence in the last month’ in 2010 and 2015 based on self-reported measures"/>
      </w:tblPr>
      <w:tblGrid>
        <w:gridCol w:w="2988"/>
        <w:gridCol w:w="720"/>
        <w:gridCol w:w="720"/>
        <w:gridCol w:w="721"/>
        <w:gridCol w:w="722"/>
        <w:gridCol w:w="722"/>
        <w:gridCol w:w="722"/>
      </w:tblGrid>
      <w:tr w:rsidR="00B93A94" w:rsidRPr="0047058F" w14:paraId="2E74D6E5"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787420CF" w14:textId="77777777" w:rsidR="00B93A94" w:rsidRPr="0047058F" w:rsidRDefault="00B93A94" w:rsidP="00FD21C0">
            <w:pPr>
              <w:pStyle w:val="TableText"/>
            </w:pPr>
            <w:r w:rsidRPr="0047058F">
              <w:t>2010 ADF Mental Health Prevalence and Wellbeing Study</w:t>
            </w:r>
          </w:p>
        </w:tc>
        <w:tc>
          <w:tcPr>
            <w:tcW w:w="2887" w:type="dxa"/>
            <w:gridSpan w:val="4"/>
          </w:tcPr>
          <w:p w14:paraId="1A1B9020" w14:textId="77777777" w:rsidR="00B93A94" w:rsidRPr="0047058F" w:rsidRDefault="00B93A94" w:rsidP="00FD21C0">
            <w:pPr>
              <w:pStyle w:val="TableText"/>
              <w:jc w:val="center"/>
            </w:pPr>
            <w:r w:rsidRPr="0047058F">
              <w:t>2015 Transition and Wellbeing Research Programme</w:t>
            </w:r>
          </w:p>
        </w:tc>
      </w:tr>
      <w:tr w:rsidR="00B93A94" w:rsidRPr="0047058F" w14:paraId="1E9C574D"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5364DCAB" w14:textId="77777777" w:rsidR="00B93A94" w:rsidRPr="0047058F" w:rsidRDefault="00B93A94" w:rsidP="00FD21C0">
            <w:pPr>
              <w:pStyle w:val="TableText"/>
            </w:pPr>
          </w:p>
        </w:tc>
        <w:tc>
          <w:tcPr>
            <w:tcW w:w="1443" w:type="dxa"/>
            <w:gridSpan w:val="2"/>
            <w:hideMark/>
          </w:tcPr>
          <w:p w14:paraId="5F725EEA" w14:textId="77777777" w:rsidR="00B93A94" w:rsidRPr="0047058F" w:rsidRDefault="00B93A94" w:rsidP="00FD21C0">
            <w:pPr>
              <w:pStyle w:val="TableText"/>
              <w:jc w:val="center"/>
            </w:pPr>
            <w:r w:rsidRPr="0047058F">
              <w:t>Not in the last month</w:t>
            </w:r>
          </w:p>
        </w:tc>
        <w:tc>
          <w:tcPr>
            <w:tcW w:w="1444" w:type="dxa"/>
            <w:gridSpan w:val="2"/>
          </w:tcPr>
          <w:p w14:paraId="41B02C32" w14:textId="77777777" w:rsidR="00B93A94" w:rsidRPr="0047058F" w:rsidRDefault="00B93A94" w:rsidP="00FD21C0">
            <w:pPr>
              <w:pStyle w:val="TableText"/>
              <w:jc w:val="center"/>
            </w:pPr>
            <w:r w:rsidRPr="0047058F">
              <w:t>One or more times</w:t>
            </w:r>
          </w:p>
        </w:tc>
      </w:tr>
      <w:tr w:rsidR="00B93A94" w:rsidRPr="0047058F" w14:paraId="6AE05AA2"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6ECDF658" w14:textId="77777777" w:rsidR="00B93A94" w:rsidRPr="0047058F" w:rsidRDefault="00B93A94" w:rsidP="00FD21C0">
            <w:pPr>
              <w:pStyle w:val="TableText"/>
            </w:pPr>
            <w:r w:rsidRPr="0047058F">
              <w:rPr>
                <w:rFonts w:cs="Arial"/>
              </w:rPr>
              <w:t>Threaten someone with physical violence in the last month</w:t>
            </w:r>
          </w:p>
        </w:tc>
        <w:tc>
          <w:tcPr>
            <w:tcW w:w="720" w:type="dxa"/>
          </w:tcPr>
          <w:p w14:paraId="6E7071D8" w14:textId="77777777" w:rsidR="00B93A94" w:rsidRPr="0047058F" w:rsidRDefault="00B93A94" w:rsidP="00FD21C0">
            <w:pPr>
              <w:pStyle w:val="TableText"/>
              <w:jc w:val="right"/>
              <w:rPr>
                <w:rFonts w:cs="Arial"/>
              </w:rPr>
            </w:pPr>
            <w:r w:rsidRPr="0047058F">
              <w:rPr>
                <w:rFonts w:cs="Arial"/>
              </w:rPr>
              <w:t>n</w:t>
            </w:r>
          </w:p>
        </w:tc>
        <w:tc>
          <w:tcPr>
            <w:tcW w:w="720" w:type="dxa"/>
          </w:tcPr>
          <w:p w14:paraId="6ACC709D" w14:textId="77777777" w:rsidR="00B93A94" w:rsidRPr="0047058F" w:rsidRDefault="00B93A94" w:rsidP="00FD21C0">
            <w:pPr>
              <w:pStyle w:val="TableText"/>
              <w:jc w:val="right"/>
              <w:rPr>
                <w:rFonts w:cs="Arial"/>
              </w:rPr>
            </w:pPr>
            <w:r w:rsidRPr="0047058F">
              <w:rPr>
                <w:rFonts w:cs="Arial"/>
              </w:rPr>
              <w:t>%</w:t>
            </w:r>
          </w:p>
        </w:tc>
        <w:tc>
          <w:tcPr>
            <w:tcW w:w="721" w:type="dxa"/>
          </w:tcPr>
          <w:p w14:paraId="40092EB2" w14:textId="77777777" w:rsidR="00B93A94" w:rsidRPr="0047058F" w:rsidRDefault="00B93A94" w:rsidP="00FD21C0">
            <w:pPr>
              <w:pStyle w:val="TableText"/>
              <w:jc w:val="right"/>
              <w:rPr>
                <w:rFonts w:cs="Arial"/>
              </w:rPr>
            </w:pPr>
            <w:r w:rsidRPr="0047058F">
              <w:rPr>
                <w:rFonts w:cs="Arial"/>
              </w:rPr>
              <w:t>n</w:t>
            </w:r>
          </w:p>
        </w:tc>
        <w:tc>
          <w:tcPr>
            <w:tcW w:w="722" w:type="dxa"/>
          </w:tcPr>
          <w:p w14:paraId="3B513FA7" w14:textId="77777777" w:rsidR="00B93A94" w:rsidRPr="0047058F" w:rsidRDefault="00B93A94" w:rsidP="00FD21C0">
            <w:pPr>
              <w:pStyle w:val="TableText"/>
              <w:jc w:val="right"/>
              <w:rPr>
                <w:rFonts w:cs="Arial"/>
              </w:rPr>
            </w:pPr>
            <w:r w:rsidRPr="0047058F">
              <w:rPr>
                <w:rFonts w:cs="Arial"/>
              </w:rPr>
              <w:t>%</w:t>
            </w:r>
          </w:p>
        </w:tc>
        <w:tc>
          <w:tcPr>
            <w:tcW w:w="722" w:type="dxa"/>
          </w:tcPr>
          <w:p w14:paraId="3703AD1B" w14:textId="77777777" w:rsidR="00B93A94" w:rsidRPr="0047058F" w:rsidRDefault="00B93A94" w:rsidP="00FD21C0">
            <w:pPr>
              <w:pStyle w:val="TableText"/>
              <w:jc w:val="right"/>
              <w:rPr>
                <w:rFonts w:cs="Arial"/>
              </w:rPr>
            </w:pPr>
            <w:r w:rsidRPr="0047058F">
              <w:rPr>
                <w:rFonts w:cs="Arial"/>
              </w:rPr>
              <w:t>n</w:t>
            </w:r>
          </w:p>
        </w:tc>
        <w:tc>
          <w:tcPr>
            <w:tcW w:w="722" w:type="dxa"/>
          </w:tcPr>
          <w:p w14:paraId="2314AA92" w14:textId="77777777" w:rsidR="00B93A94" w:rsidRPr="0047058F" w:rsidRDefault="00B93A94" w:rsidP="00FD21C0">
            <w:pPr>
              <w:pStyle w:val="TableText"/>
              <w:jc w:val="right"/>
              <w:rPr>
                <w:rFonts w:cs="Arial"/>
              </w:rPr>
            </w:pPr>
            <w:r w:rsidRPr="0047058F">
              <w:rPr>
                <w:rFonts w:cs="Arial"/>
              </w:rPr>
              <w:t>%</w:t>
            </w:r>
          </w:p>
        </w:tc>
      </w:tr>
      <w:tr w:rsidR="00B93A94" w:rsidRPr="0047058F" w14:paraId="119E6034"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3C01F083" w14:textId="77777777" w:rsidR="00B93A94" w:rsidRPr="0047058F" w:rsidRDefault="00B93A94" w:rsidP="00FD21C0">
            <w:pPr>
              <w:pStyle w:val="TableText"/>
              <w:rPr>
                <w:rFonts w:cs="Calibri"/>
                <w:szCs w:val="14"/>
              </w:rPr>
            </w:pPr>
            <w:r w:rsidRPr="0047058F">
              <w:rPr>
                <w:rFonts w:cs="Calibri"/>
                <w:szCs w:val="14"/>
              </w:rPr>
              <w:t>Not in the last month</w:t>
            </w:r>
          </w:p>
        </w:tc>
        <w:tc>
          <w:tcPr>
            <w:tcW w:w="720" w:type="dxa"/>
          </w:tcPr>
          <w:p w14:paraId="3174AE94" w14:textId="77777777" w:rsidR="00B93A94" w:rsidRPr="0047058F" w:rsidRDefault="00B93A94" w:rsidP="00FD21C0">
            <w:pPr>
              <w:pStyle w:val="TableText"/>
              <w:jc w:val="right"/>
            </w:pPr>
            <w:r w:rsidRPr="0047058F">
              <w:rPr>
                <w:rFonts w:eastAsia="Times New Roman" w:cs="Arial"/>
              </w:rPr>
              <w:t>1945</w:t>
            </w:r>
          </w:p>
        </w:tc>
        <w:tc>
          <w:tcPr>
            <w:tcW w:w="720" w:type="dxa"/>
          </w:tcPr>
          <w:p w14:paraId="645A2733" w14:textId="77777777" w:rsidR="00B93A94" w:rsidRPr="0047058F" w:rsidRDefault="00B93A94" w:rsidP="00FD21C0">
            <w:pPr>
              <w:pStyle w:val="TableText"/>
              <w:jc w:val="right"/>
              <w:rPr>
                <w:rFonts w:eastAsia="Times New Roman" w:cs="Arial"/>
              </w:rPr>
            </w:pPr>
            <w:r w:rsidRPr="0047058F">
              <w:rPr>
                <w:rFonts w:eastAsia="Times New Roman" w:cs="Arial"/>
              </w:rPr>
              <w:t>90.8</w:t>
            </w:r>
          </w:p>
        </w:tc>
        <w:tc>
          <w:tcPr>
            <w:tcW w:w="721" w:type="dxa"/>
          </w:tcPr>
          <w:p w14:paraId="719EBBA5" w14:textId="77777777" w:rsidR="00B93A94" w:rsidRPr="0047058F" w:rsidRDefault="00B93A94" w:rsidP="00FD21C0">
            <w:pPr>
              <w:pStyle w:val="TableText"/>
              <w:jc w:val="right"/>
            </w:pPr>
            <w:r w:rsidRPr="0047058F">
              <w:rPr>
                <w:rFonts w:eastAsia="Times New Roman" w:cs="Arial"/>
              </w:rPr>
              <w:t>1791</w:t>
            </w:r>
          </w:p>
        </w:tc>
        <w:tc>
          <w:tcPr>
            <w:tcW w:w="722" w:type="dxa"/>
          </w:tcPr>
          <w:p w14:paraId="7191AD43" w14:textId="77777777" w:rsidR="00B93A94" w:rsidRPr="0047058F" w:rsidRDefault="00B93A94" w:rsidP="00FD21C0">
            <w:pPr>
              <w:pStyle w:val="TableText"/>
              <w:jc w:val="right"/>
            </w:pPr>
            <w:r w:rsidRPr="0047058F">
              <w:rPr>
                <w:rFonts w:eastAsia="Times New Roman" w:cs="Arial"/>
              </w:rPr>
              <w:t>92.1</w:t>
            </w:r>
          </w:p>
        </w:tc>
        <w:tc>
          <w:tcPr>
            <w:tcW w:w="722" w:type="dxa"/>
          </w:tcPr>
          <w:p w14:paraId="7CB0DB26" w14:textId="77777777" w:rsidR="00B93A94" w:rsidRPr="0047058F" w:rsidRDefault="00B93A94" w:rsidP="00FD21C0">
            <w:pPr>
              <w:pStyle w:val="TableText"/>
              <w:jc w:val="right"/>
            </w:pPr>
            <w:r w:rsidRPr="0047058F">
              <w:rPr>
                <w:rFonts w:eastAsia="Times New Roman" w:cs="Arial"/>
              </w:rPr>
              <w:t>154</w:t>
            </w:r>
          </w:p>
        </w:tc>
        <w:tc>
          <w:tcPr>
            <w:tcW w:w="722" w:type="dxa"/>
          </w:tcPr>
          <w:p w14:paraId="27D42BBB" w14:textId="77777777" w:rsidR="00B93A94" w:rsidRPr="0047058F" w:rsidRDefault="00B93A94" w:rsidP="00FD21C0">
            <w:pPr>
              <w:pStyle w:val="TableText"/>
              <w:jc w:val="right"/>
            </w:pPr>
            <w:r w:rsidRPr="0047058F">
              <w:rPr>
                <w:rFonts w:eastAsia="Times New Roman" w:cs="Arial"/>
              </w:rPr>
              <w:t>7.9</w:t>
            </w:r>
          </w:p>
        </w:tc>
      </w:tr>
      <w:tr w:rsidR="00B93A94" w:rsidRPr="0047058F" w14:paraId="79E9C9BA" w14:textId="77777777" w:rsidTr="00FD21C0">
        <w:trPr>
          <w:cantSplit/>
        </w:trPr>
        <w:tc>
          <w:tcPr>
            <w:tcW w:w="2988" w:type="dxa"/>
          </w:tcPr>
          <w:p w14:paraId="03DD785F" w14:textId="77777777" w:rsidR="00B93A94" w:rsidRPr="0047058F" w:rsidRDefault="00B93A94" w:rsidP="00FD21C0">
            <w:pPr>
              <w:pStyle w:val="TableText"/>
              <w:rPr>
                <w:rFonts w:cs="Calibri"/>
                <w:szCs w:val="14"/>
              </w:rPr>
            </w:pPr>
            <w:r w:rsidRPr="0047058F">
              <w:rPr>
                <w:rFonts w:cs="Calibri"/>
                <w:szCs w:val="14"/>
              </w:rPr>
              <w:t>One or more times</w:t>
            </w:r>
          </w:p>
        </w:tc>
        <w:tc>
          <w:tcPr>
            <w:tcW w:w="720" w:type="dxa"/>
          </w:tcPr>
          <w:p w14:paraId="625F80F1" w14:textId="77777777" w:rsidR="00B93A94" w:rsidRPr="0047058F" w:rsidRDefault="00B93A94" w:rsidP="00FD21C0">
            <w:pPr>
              <w:pStyle w:val="TableText"/>
              <w:jc w:val="right"/>
            </w:pPr>
            <w:r w:rsidRPr="0047058F">
              <w:rPr>
                <w:rFonts w:eastAsia="Times New Roman" w:cs="Arial"/>
              </w:rPr>
              <w:t>196</w:t>
            </w:r>
          </w:p>
        </w:tc>
        <w:tc>
          <w:tcPr>
            <w:tcW w:w="720" w:type="dxa"/>
          </w:tcPr>
          <w:p w14:paraId="04E292BE" w14:textId="77777777" w:rsidR="00B93A94" w:rsidRPr="0047058F" w:rsidRDefault="00B93A94" w:rsidP="00FD21C0">
            <w:pPr>
              <w:pStyle w:val="TableText"/>
              <w:jc w:val="right"/>
              <w:rPr>
                <w:rFonts w:eastAsia="Times New Roman" w:cs="Arial"/>
              </w:rPr>
            </w:pPr>
            <w:r w:rsidRPr="0047058F">
              <w:rPr>
                <w:rFonts w:eastAsia="Times New Roman" w:cs="Arial"/>
              </w:rPr>
              <w:t>9.2</w:t>
            </w:r>
          </w:p>
        </w:tc>
        <w:tc>
          <w:tcPr>
            <w:tcW w:w="721" w:type="dxa"/>
          </w:tcPr>
          <w:p w14:paraId="032439CD" w14:textId="77777777" w:rsidR="00B93A94" w:rsidRPr="0047058F" w:rsidRDefault="00B93A94" w:rsidP="00FD21C0">
            <w:pPr>
              <w:pStyle w:val="TableText"/>
              <w:jc w:val="right"/>
            </w:pPr>
            <w:r w:rsidRPr="0047058F">
              <w:rPr>
                <w:rFonts w:eastAsia="Times New Roman" w:cs="Arial"/>
              </w:rPr>
              <w:t>112</w:t>
            </w:r>
          </w:p>
        </w:tc>
        <w:tc>
          <w:tcPr>
            <w:tcW w:w="722" w:type="dxa"/>
          </w:tcPr>
          <w:p w14:paraId="1FCA187C" w14:textId="77777777" w:rsidR="00B93A94" w:rsidRPr="0047058F" w:rsidRDefault="00B93A94" w:rsidP="00FD21C0">
            <w:pPr>
              <w:pStyle w:val="TableText"/>
              <w:jc w:val="right"/>
            </w:pPr>
            <w:r w:rsidRPr="0047058F">
              <w:rPr>
                <w:rFonts w:eastAsia="Times New Roman" w:cs="Arial"/>
              </w:rPr>
              <w:t>57.1</w:t>
            </w:r>
          </w:p>
        </w:tc>
        <w:tc>
          <w:tcPr>
            <w:tcW w:w="722" w:type="dxa"/>
          </w:tcPr>
          <w:p w14:paraId="271A0A91" w14:textId="77777777" w:rsidR="00B93A94" w:rsidRPr="0047058F" w:rsidRDefault="00B93A94" w:rsidP="00FD21C0">
            <w:pPr>
              <w:pStyle w:val="TableText"/>
              <w:jc w:val="right"/>
            </w:pPr>
            <w:r w:rsidRPr="0047058F">
              <w:rPr>
                <w:rFonts w:eastAsia="Times New Roman" w:cs="Arial"/>
              </w:rPr>
              <w:t>84</w:t>
            </w:r>
          </w:p>
        </w:tc>
        <w:tc>
          <w:tcPr>
            <w:tcW w:w="722" w:type="dxa"/>
          </w:tcPr>
          <w:p w14:paraId="2D142C07" w14:textId="77777777" w:rsidR="00B93A94" w:rsidRPr="0047058F" w:rsidRDefault="00B93A94" w:rsidP="00FD21C0">
            <w:pPr>
              <w:pStyle w:val="TableText"/>
              <w:jc w:val="right"/>
            </w:pPr>
            <w:r w:rsidRPr="0047058F">
              <w:rPr>
                <w:rFonts w:eastAsia="Times New Roman" w:cs="Arial"/>
              </w:rPr>
              <w:t>42.9</w:t>
            </w:r>
          </w:p>
        </w:tc>
      </w:tr>
      <w:tr w:rsidR="00B93A94" w:rsidRPr="0047058F" w14:paraId="2EE840BA"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18ECE5D3" w14:textId="77777777" w:rsidR="00B93A94" w:rsidRPr="0047058F" w:rsidRDefault="00B93A94" w:rsidP="00FD21C0">
            <w:pPr>
              <w:pStyle w:val="TableText"/>
              <w:rPr>
                <w:rFonts w:cs="Arial"/>
                <w:b/>
              </w:rPr>
            </w:pPr>
            <w:r w:rsidRPr="0047058F">
              <w:rPr>
                <w:rFonts w:cs="Arial"/>
                <w:b/>
              </w:rPr>
              <w:t>Total</w:t>
            </w:r>
          </w:p>
        </w:tc>
        <w:tc>
          <w:tcPr>
            <w:tcW w:w="720" w:type="dxa"/>
          </w:tcPr>
          <w:p w14:paraId="53398FDD" w14:textId="77777777" w:rsidR="00B93A94" w:rsidRPr="0047058F" w:rsidRDefault="00B93A94" w:rsidP="00FD21C0">
            <w:pPr>
              <w:pStyle w:val="TableText"/>
              <w:jc w:val="right"/>
              <w:rPr>
                <w:rFonts w:cs="Arial"/>
                <w:b/>
              </w:rPr>
            </w:pPr>
            <w:r w:rsidRPr="0047058F">
              <w:rPr>
                <w:rFonts w:cs="Arial"/>
                <w:b/>
              </w:rPr>
              <w:t>2141</w:t>
            </w:r>
          </w:p>
        </w:tc>
        <w:tc>
          <w:tcPr>
            <w:tcW w:w="720" w:type="dxa"/>
          </w:tcPr>
          <w:p w14:paraId="625104AC" w14:textId="77777777" w:rsidR="00B93A94" w:rsidRPr="0047058F" w:rsidRDefault="00B93A94" w:rsidP="00FD21C0">
            <w:pPr>
              <w:pStyle w:val="TableText"/>
              <w:jc w:val="right"/>
              <w:rPr>
                <w:rFonts w:eastAsia="Times New Roman" w:cs="Arial"/>
                <w:b/>
              </w:rPr>
            </w:pPr>
            <w:r w:rsidRPr="0047058F">
              <w:rPr>
                <w:rFonts w:eastAsia="Times New Roman" w:cs="Arial"/>
                <w:b/>
              </w:rPr>
              <w:t>100.0</w:t>
            </w:r>
          </w:p>
        </w:tc>
        <w:tc>
          <w:tcPr>
            <w:tcW w:w="721" w:type="dxa"/>
          </w:tcPr>
          <w:p w14:paraId="592D3032" w14:textId="77777777" w:rsidR="00B93A94" w:rsidRPr="0047058F" w:rsidRDefault="00B93A94" w:rsidP="00FD21C0">
            <w:pPr>
              <w:pStyle w:val="TableText"/>
              <w:jc w:val="right"/>
              <w:rPr>
                <w:rFonts w:cs="Arial"/>
                <w:b/>
              </w:rPr>
            </w:pPr>
            <w:r w:rsidRPr="0047058F">
              <w:rPr>
                <w:rFonts w:eastAsia="Times New Roman" w:cs="Arial"/>
                <w:b/>
              </w:rPr>
              <w:t>1903</w:t>
            </w:r>
          </w:p>
        </w:tc>
        <w:tc>
          <w:tcPr>
            <w:tcW w:w="722" w:type="dxa"/>
          </w:tcPr>
          <w:p w14:paraId="359ED5B7" w14:textId="77777777" w:rsidR="00B93A94" w:rsidRPr="0047058F" w:rsidRDefault="00B93A94" w:rsidP="00FD21C0">
            <w:pPr>
              <w:pStyle w:val="TableText"/>
              <w:jc w:val="right"/>
              <w:rPr>
                <w:rFonts w:cs="Arial"/>
                <w:b/>
              </w:rPr>
            </w:pPr>
            <w:r w:rsidRPr="0047058F">
              <w:rPr>
                <w:rFonts w:eastAsia="Times New Roman" w:cs="Arial"/>
                <w:b/>
              </w:rPr>
              <w:t>88.9</w:t>
            </w:r>
          </w:p>
        </w:tc>
        <w:tc>
          <w:tcPr>
            <w:tcW w:w="722" w:type="dxa"/>
          </w:tcPr>
          <w:p w14:paraId="2979A85F" w14:textId="77777777" w:rsidR="00B93A94" w:rsidRPr="0047058F" w:rsidRDefault="00B93A94" w:rsidP="00FD21C0">
            <w:pPr>
              <w:pStyle w:val="TableText"/>
              <w:jc w:val="right"/>
              <w:rPr>
                <w:rFonts w:cs="Arial"/>
                <w:b/>
              </w:rPr>
            </w:pPr>
            <w:r w:rsidRPr="0047058F">
              <w:rPr>
                <w:rFonts w:eastAsia="Times New Roman" w:cs="Arial"/>
                <w:b/>
              </w:rPr>
              <w:t>238</w:t>
            </w:r>
          </w:p>
        </w:tc>
        <w:tc>
          <w:tcPr>
            <w:tcW w:w="722" w:type="dxa"/>
          </w:tcPr>
          <w:p w14:paraId="3B3D04A7" w14:textId="77777777" w:rsidR="00B93A94" w:rsidRPr="0047058F" w:rsidRDefault="00B93A94" w:rsidP="00FD21C0">
            <w:pPr>
              <w:pStyle w:val="TableText"/>
              <w:jc w:val="right"/>
              <w:rPr>
                <w:rFonts w:cs="Arial"/>
                <w:b/>
              </w:rPr>
            </w:pPr>
            <w:r w:rsidRPr="0047058F">
              <w:rPr>
                <w:rFonts w:eastAsia="Times New Roman" w:cs="Arial"/>
                <w:b/>
              </w:rPr>
              <w:t>11.1</w:t>
            </w:r>
          </w:p>
        </w:tc>
      </w:tr>
    </w:tbl>
    <w:p w14:paraId="1F07F30B" w14:textId="77777777" w:rsidR="00B93A94" w:rsidRPr="0047058F" w:rsidRDefault="00B93A94" w:rsidP="00381CF9">
      <w:pPr>
        <w:pStyle w:val="TableNotes"/>
        <w:keepNext/>
      </w:pPr>
      <w:r w:rsidRPr="0047058F">
        <w:t>Note: Unweighted data.</w:t>
      </w:r>
    </w:p>
    <w:p w14:paraId="088E6CA0" w14:textId="26E14C41" w:rsidR="00FD4A9E" w:rsidRPr="0047058F" w:rsidRDefault="00FD4A9E" w:rsidP="00FD4A9E">
      <w:pPr>
        <w:pStyle w:val="FigureName"/>
      </w:pPr>
      <w:bookmarkStart w:id="436" w:name="_Ref387057839"/>
      <w:bookmarkStart w:id="437" w:name="_Toc529117593"/>
      <w:bookmarkStart w:id="438" w:name="_Toc532473666"/>
      <w:r w:rsidRPr="0047058F">
        <w:t>Figure 5.29</w:t>
      </w:r>
      <w:bookmarkEnd w:id="436"/>
      <w:r w:rsidRPr="0047058F">
        <w:tab/>
        <w:t xml:space="preserve">Proportion of </w:t>
      </w:r>
      <w:r w:rsidRPr="0047058F">
        <w:rPr>
          <w:u w:val="single"/>
        </w:rPr>
        <w:t>Transitioned ADF in the longitudinal cohort</w:t>
      </w:r>
      <w:r w:rsidRPr="0047058F">
        <w:t xml:space="preserve"> who ‘threatened someone with physical violence in the last month’ in 2010 and 2015 based on self-reported measures</w:t>
      </w:r>
      <w:bookmarkEnd w:id="437"/>
      <w:bookmarkEnd w:id="438"/>
    </w:p>
    <w:p w14:paraId="5AE9FCB5" w14:textId="77777777" w:rsidR="00FD4A9E" w:rsidRPr="0047058F" w:rsidRDefault="00FD4A9E" w:rsidP="00FD4A9E">
      <w:r w:rsidRPr="0047058F">
        <w:rPr>
          <w:noProof/>
          <w:lang w:eastAsia="en-AU"/>
        </w:rPr>
        <w:drawing>
          <wp:inline distT="0" distB="0" distL="0" distR="0" wp14:anchorId="5D90A0A2" wp14:editId="76948360">
            <wp:extent cx="4572000" cy="2743200"/>
            <wp:effectExtent l="0" t="0" r="0" b="0"/>
            <wp:docPr id="42" name="Chart 42" descr="Figure 5.29 Proportion of Transitioned ADF in the longitudinal cohort who ‘threatened someone with physical violenc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163816B" w14:textId="77777777" w:rsidR="00B93A94" w:rsidRPr="0047058F" w:rsidRDefault="00B93A94" w:rsidP="00B93A94">
      <w:pPr>
        <w:pStyle w:val="TableName"/>
      </w:pPr>
      <w:bookmarkStart w:id="439" w:name="_Ref387319442"/>
      <w:bookmarkStart w:id="440" w:name="_Toc529117542"/>
      <w:bookmarkStart w:id="441" w:name="_Toc532473612"/>
      <w:r w:rsidRPr="0047058F">
        <w:t>Table 5.30</w:t>
      </w:r>
      <w:bookmarkEnd w:id="439"/>
      <w:r w:rsidRPr="0047058F">
        <w:tab/>
        <w:t xml:space="preserve">Proportion of </w:t>
      </w:r>
      <w:r w:rsidRPr="0047058F">
        <w:rPr>
          <w:u w:val="single"/>
        </w:rPr>
        <w:t>2015 Regular ADF in the longitudinal cohort</w:t>
      </w:r>
      <w:r w:rsidRPr="0047058F">
        <w:t xml:space="preserve"> who ‘threatened someone with physical violence in the last month’ in 2010 and 2015 based on self-reported measures</w:t>
      </w:r>
      <w:bookmarkEnd w:id="440"/>
      <w:bookmarkEnd w:id="441"/>
    </w:p>
    <w:tbl>
      <w:tblPr>
        <w:tblStyle w:val="TWRPTable"/>
        <w:tblW w:w="5000" w:type="pct"/>
        <w:tblLayout w:type="fixed"/>
        <w:tblLook w:val="04A0" w:firstRow="1" w:lastRow="0" w:firstColumn="1" w:lastColumn="0" w:noHBand="0" w:noVBand="1"/>
        <w:tblDescription w:val="Table 5.30 Proportion of 2015 Regular ADF in the longitudinal cohort who ‘threatened someone with physical violence in the last month’ in 2010 and 2015 based on self-reported measures"/>
      </w:tblPr>
      <w:tblGrid>
        <w:gridCol w:w="2988"/>
        <w:gridCol w:w="720"/>
        <w:gridCol w:w="720"/>
        <w:gridCol w:w="721"/>
        <w:gridCol w:w="722"/>
        <w:gridCol w:w="722"/>
        <w:gridCol w:w="722"/>
      </w:tblGrid>
      <w:tr w:rsidR="00B93A94" w:rsidRPr="0047058F" w14:paraId="0FE8E660"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val="restart"/>
          </w:tcPr>
          <w:p w14:paraId="3168AA0F" w14:textId="77777777" w:rsidR="00B93A94" w:rsidRPr="0047058F" w:rsidRDefault="00B93A94" w:rsidP="00FD21C0">
            <w:pPr>
              <w:pStyle w:val="TableText"/>
            </w:pPr>
            <w:r w:rsidRPr="0047058F">
              <w:t>2010 ADF Mental Health Prevalence and Wellbeing Study</w:t>
            </w:r>
          </w:p>
        </w:tc>
        <w:tc>
          <w:tcPr>
            <w:tcW w:w="2887" w:type="dxa"/>
            <w:gridSpan w:val="4"/>
          </w:tcPr>
          <w:p w14:paraId="1750C02B" w14:textId="77777777" w:rsidR="00B93A94" w:rsidRPr="0047058F" w:rsidRDefault="00B93A94" w:rsidP="00FD21C0">
            <w:pPr>
              <w:pStyle w:val="TableText"/>
              <w:jc w:val="center"/>
            </w:pPr>
            <w:r w:rsidRPr="0047058F">
              <w:t>2015 Transition and Wellbeing Research Programme</w:t>
            </w:r>
          </w:p>
        </w:tc>
      </w:tr>
      <w:tr w:rsidR="00B93A94" w:rsidRPr="0047058F" w14:paraId="49F87420"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4428" w:type="dxa"/>
            <w:gridSpan w:val="3"/>
            <w:vMerge/>
          </w:tcPr>
          <w:p w14:paraId="74DA9F8D" w14:textId="77777777" w:rsidR="00B93A94" w:rsidRPr="0047058F" w:rsidRDefault="00B93A94" w:rsidP="00FD21C0">
            <w:pPr>
              <w:pStyle w:val="TableText"/>
            </w:pPr>
          </w:p>
        </w:tc>
        <w:tc>
          <w:tcPr>
            <w:tcW w:w="1443" w:type="dxa"/>
            <w:gridSpan w:val="2"/>
            <w:hideMark/>
          </w:tcPr>
          <w:p w14:paraId="0227EAA6" w14:textId="77777777" w:rsidR="00B93A94" w:rsidRPr="0047058F" w:rsidRDefault="00B93A94" w:rsidP="00FD21C0">
            <w:pPr>
              <w:pStyle w:val="TableText"/>
              <w:jc w:val="center"/>
            </w:pPr>
            <w:r w:rsidRPr="0047058F">
              <w:t>Not in the last month</w:t>
            </w:r>
          </w:p>
        </w:tc>
        <w:tc>
          <w:tcPr>
            <w:tcW w:w="1444" w:type="dxa"/>
            <w:gridSpan w:val="2"/>
          </w:tcPr>
          <w:p w14:paraId="506190AF" w14:textId="77777777" w:rsidR="00B93A94" w:rsidRPr="0047058F" w:rsidRDefault="00B93A94" w:rsidP="00FD21C0">
            <w:pPr>
              <w:pStyle w:val="TableText"/>
              <w:jc w:val="center"/>
            </w:pPr>
            <w:r w:rsidRPr="0047058F">
              <w:t>One or more times</w:t>
            </w:r>
          </w:p>
        </w:tc>
      </w:tr>
      <w:tr w:rsidR="00B93A94" w:rsidRPr="0047058F" w14:paraId="29B54666" w14:textId="77777777" w:rsidTr="00FD21C0">
        <w:trPr>
          <w:cnfStyle w:val="100000000000" w:firstRow="1" w:lastRow="0" w:firstColumn="0" w:lastColumn="0" w:oddVBand="0" w:evenVBand="0" w:oddHBand="0" w:evenHBand="0" w:firstRowFirstColumn="0" w:firstRowLastColumn="0" w:lastRowFirstColumn="0" w:lastRowLastColumn="0"/>
          <w:cantSplit/>
          <w:tblHeader/>
        </w:trPr>
        <w:tc>
          <w:tcPr>
            <w:tcW w:w="2988" w:type="dxa"/>
          </w:tcPr>
          <w:p w14:paraId="5B8BC557" w14:textId="77777777" w:rsidR="00B93A94" w:rsidRPr="0047058F" w:rsidRDefault="00B93A94" w:rsidP="00FD21C0">
            <w:pPr>
              <w:pStyle w:val="TableText"/>
            </w:pPr>
            <w:r w:rsidRPr="0047058F">
              <w:rPr>
                <w:rFonts w:cs="Arial"/>
              </w:rPr>
              <w:t>Threaten someone with physical violence in the last month</w:t>
            </w:r>
          </w:p>
        </w:tc>
        <w:tc>
          <w:tcPr>
            <w:tcW w:w="720" w:type="dxa"/>
          </w:tcPr>
          <w:p w14:paraId="1C1E9305" w14:textId="77777777" w:rsidR="00B93A94" w:rsidRPr="0047058F" w:rsidRDefault="00B93A94" w:rsidP="00FD21C0">
            <w:pPr>
              <w:pStyle w:val="TableText"/>
              <w:jc w:val="right"/>
              <w:rPr>
                <w:rFonts w:cs="Arial"/>
              </w:rPr>
            </w:pPr>
            <w:r w:rsidRPr="0047058F">
              <w:rPr>
                <w:rFonts w:cs="Arial"/>
              </w:rPr>
              <w:t>n</w:t>
            </w:r>
          </w:p>
        </w:tc>
        <w:tc>
          <w:tcPr>
            <w:tcW w:w="720" w:type="dxa"/>
          </w:tcPr>
          <w:p w14:paraId="5BFAD652" w14:textId="77777777" w:rsidR="00B93A94" w:rsidRPr="0047058F" w:rsidRDefault="00B93A94" w:rsidP="00FD21C0">
            <w:pPr>
              <w:pStyle w:val="TableText"/>
              <w:jc w:val="right"/>
              <w:rPr>
                <w:rFonts w:cs="Arial"/>
              </w:rPr>
            </w:pPr>
            <w:r w:rsidRPr="0047058F">
              <w:rPr>
                <w:rFonts w:cs="Arial"/>
              </w:rPr>
              <w:t>%</w:t>
            </w:r>
          </w:p>
        </w:tc>
        <w:tc>
          <w:tcPr>
            <w:tcW w:w="721" w:type="dxa"/>
          </w:tcPr>
          <w:p w14:paraId="40FCE7C6" w14:textId="77777777" w:rsidR="00B93A94" w:rsidRPr="0047058F" w:rsidRDefault="00B93A94" w:rsidP="00FD21C0">
            <w:pPr>
              <w:pStyle w:val="TableText"/>
              <w:jc w:val="right"/>
              <w:rPr>
                <w:rFonts w:cs="Arial"/>
              </w:rPr>
            </w:pPr>
            <w:r w:rsidRPr="0047058F">
              <w:rPr>
                <w:rFonts w:cs="Arial"/>
              </w:rPr>
              <w:t>n</w:t>
            </w:r>
          </w:p>
        </w:tc>
        <w:tc>
          <w:tcPr>
            <w:tcW w:w="722" w:type="dxa"/>
          </w:tcPr>
          <w:p w14:paraId="4154648E" w14:textId="77777777" w:rsidR="00B93A94" w:rsidRPr="0047058F" w:rsidRDefault="00B93A94" w:rsidP="00FD21C0">
            <w:pPr>
              <w:pStyle w:val="TableText"/>
              <w:jc w:val="right"/>
              <w:rPr>
                <w:rFonts w:cs="Arial"/>
              </w:rPr>
            </w:pPr>
            <w:r w:rsidRPr="0047058F">
              <w:rPr>
                <w:rFonts w:cs="Arial"/>
              </w:rPr>
              <w:t>%</w:t>
            </w:r>
          </w:p>
        </w:tc>
        <w:tc>
          <w:tcPr>
            <w:tcW w:w="722" w:type="dxa"/>
          </w:tcPr>
          <w:p w14:paraId="5DA27C51" w14:textId="77777777" w:rsidR="00B93A94" w:rsidRPr="0047058F" w:rsidRDefault="00B93A94" w:rsidP="00FD21C0">
            <w:pPr>
              <w:pStyle w:val="TableText"/>
              <w:jc w:val="right"/>
              <w:rPr>
                <w:rFonts w:cs="Arial"/>
              </w:rPr>
            </w:pPr>
            <w:r w:rsidRPr="0047058F">
              <w:rPr>
                <w:rFonts w:cs="Arial"/>
              </w:rPr>
              <w:t>n</w:t>
            </w:r>
          </w:p>
        </w:tc>
        <w:tc>
          <w:tcPr>
            <w:tcW w:w="722" w:type="dxa"/>
          </w:tcPr>
          <w:p w14:paraId="3D881C5F" w14:textId="77777777" w:rsidR="00B93A94" w:rsidRPr="0047058F" w:rsidRDefault="00B93A94" w:rsidP="00FD21C0">
            <w:pPr>
              <w:pStyle w:val="TableText"/>
              <w:jc w:val="right"/>
              <w:rPr>
                <w:rFonts w:cs="Arial"/>
              </w:rPr>
            </w:pPr>
            <w:r w:rsidRPr="0047058F">
              <w:rPr>
                <w:rFonts w:cs="Arial"/>
              </w:rPr>
              <w:t>%</w:t>
            </w:r>
          </w:p>
        </w:tc>
      </w:tr>
      <w:tr w:rsidR="00B93A94" w:rsidRPr="0047058F" w14:paraId="412996D9"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2A5A8163" w14:textId="77777777" w:rsidR="00B93A94" w:rsidRPr="0047058F" w:rsidRDefault="00B93A94" w:rsidP="00FD21C0">
            <w:pPr>
              <w:pStyle w:val="TableText"/>
              <w:rPr>
                <w:rFonts w:cs="Calibri"/>
                <w:szCs w:val="14"/>
              </w:rPr>
            </w:pPr>
            <w:r w:rsidRPr="0047058F">
              <w:rPr>
                <w:rFonts w:cs="Calibri"/>
                <w:szCs w:val="14"/>
              </w:rPr>
              <w:t>Not in the last month</w:t>
            </w:r>
          </w:p>
        </w:tc>
        <w:tc>
          <w:tcPr>
            <w:tcW w:w="720" w:type="dxa"/>
          </w:tcPr>
          <w:p w14:paraId="6D226DA2" w14:textId="77777777" w:rsidR="00B93A94" w:rsidRPr="0047058F" w:rsidRDefault="00B93A94" w:rsidP="00FD21C0">
            <w:pPr>
              <w:pStyle w:val="TableText"/>
              <w:jc w:val="right"/>
            </w:pPr>
            <w:r w:rsidRPr="0047058F">
              <w:rPr>
                <w:rFonts w:eastAsia="Times New Roman" w:cs="Arial"/>
              </w:rPr>
              <w:t>5388</w:t>
            </w:r>
          </w:p>
        </w:tc>
        <w:tc>
          <w:tcPr>
            <w:tcW w:w="720" w:type="dxa"/>
          </w:tcPr>
          <w:p w14:paraId="5CD4C24E" w14:textId="77777777" w:rsidR="00B93A94" w:rsidRPr="0047058F" w:rsidRDefault="00B93A94" w:rsidP="00FD21C0">
            <w:pPr>
              <w:pStyle w:val="TableText"/>
              <w:jc w:val="right"/>
              <w:rPr>
                <w:rFonts w:eastAsia="Times New Roman" w:cs="Arial"/>
              </w:rPr>
            </w:pPr>
            <w:r w:rsidRPr="0047058F">
              <w:rPr>
                <w:rFonts w:eastAsia="Times New Roman" w:cs="Arial"/>
              </w:rPr>
              <w:t>94.5</w:t>
            </w:r>
          </w:p>
        </w:tc>
        <w:tc>
          <w:tcPr>
            <w:tcW w:w="721" w:type="dxa"/>
          </w:tcPr>
          <w:p w14:paraId="692F1E3F" w14:textId="77777777" w:rsidR="00B93A94" w:rsidRPr="0047058F" w:rsidRDefault="00B93A94" w:rsidP="00FD21C0">
            <w:pPr>
              <w:pStyle w:val="TableText"/>
              <w:jc w:val="right"/>
            </w:pPr>
            <w:r w:rsidRPr="0047058F">
              <w:rPr>
                <w:rFonts w:eastAsia="Times New Roman" w:cs="Arial"/>
              </w:rPr>
              <w:t>5198</w:t>
            </w:r>
          </w:p>
        </w:tc>
        <w:tc>
          <w:tcPr>
            <w:tcW w:w="722" w:type="dxa"/>
          </w:tcPr>
          <w:p w14:paraId="4FA85703" w14:textId="77777777" w:rsidR="00B93A94" w:rsidRPr="0047058F" w:rsidRDefault="00B93A94" w:rsidP="00FD21C0">
            <w:pPr>
              <w:pStyle w:val="TableText"/>
              <w:jc w:val="right"/>
            </w:pPr>
            <w:r w:rsidRPr="0047058F">
              <w:rPr>
                <w:rFonts w:eastAsia="Times New Roman" w:cs="Arial"/>
              </w:rPr>
              <w:t>96.5</w:t>
            </w:r>
          </w:p>
        </w:tc>
        <w:tc>
          <w:tcPr>
            <w:tcW w:w="722" w:type="dxa"/>
          </w:tcPr>
          <w:p w14:paraId="081EFF29" w14:textId="77777777" w:rsidR="00B93A94" w:rsidRPr="0047058F" w:rsidRDefault="00B93A94" w:rsidP="00FD21C0">
            <w:pPr>
              <w:pStyle w:val="TableText"/>
              <w:jc w:val="right"/>
            </w:pPr>
            <w:r w:rsidRPr="0047058F">
              <w:rPr>
                <w:rFonts w:eastAsia="Times New Roman" w:cs="Arial"/>
              </w:rPr>
              <w:t>190</w:t>
            </w:r>
          </w:p>
        </w:tc>
        <w:tc>
          <w:tcPr>
            <w:tcW w:w="722" w:type="dxa"/>
          </w:tcPr>
          <w:p w14:paraId="282F7F0B" w14:textId="77777777" w:rsidR="00B93A94" w:rsidRPr="0047058F" w:rsidRDefault="00B93A94" w:rsidP="00FD21C0">
            <w:pPr>
              <w:pStyle w:val="TableText"/>
              <w:jc w:val="right"/>
            </w:pPr>
            <w:r w:rsidRPr="0047058F">
              <w:rPr>
                <w:rFonts w:eastAsia="Times New Roman" w:cs="Arial"/>
              </w:rPr>
              <w:t>3.5</w:t>
            </w:r>
          </w:p>
        </w:tc>
      </w:tr>
      <w:tr w:rsidR="00B93A94" w:rsidRPr="0047058F" w14:paraId="25FF1782" w14:textId="77777777" w:rsidTr="00FD21C0">
        <w:trPr>
          <w:cantSplit/>
        </w:trPr>
        <w:tc>
          <w:tcPr>
            <w:tcW w:w="2988" w:type="dxa"/>
          </w:tcPr>
          <w:p w14:paraId="738CD21A" w14:textId="77777777" w:rsidR="00B93A94" w:rsidRPr="0047058F" w:rsidRDefault="00B93A94" w:rsidP="00FD21C0">
            <w:pPr>
              <w:pStyle w:val="TableText"/>
              <w:rPr>
                <w:rFonts w:cs="Calibri"/>
                <w:szCs w:val="14"/>
              </w:rPr>
            </w:pPr>
            <w:r w:rsidRPr="0047058F">
              <w:rPr>
                <w:rFonts w:cs="Calibri"/>
                <w:szCs w:val="14"/>
              </w:rPr>
              <w:t>One or more times</w:t>
            </w:r>
          </w:p>
        </w:tc>
        <w:tc>
          <w:tcPr>
            <w:tcW w:w="720" w:type="dxa"/>
          </w:tcPr>
          <w:p w14:paraId="7C653663" w14:textId="77777777" w:rsidR="00B93A94" w:rsidRPr="0047058F" w:rsidRDefault="00B93A94" w:rsidP="00FD21C0">
            <w:pPr>
              <w:pStyle w:val="TableText"/>
              <w:jc w:val="right"/>
            </w:pPr>
            <w:r w:rsidRPr="0047058F">
              <w:rPr>
                <w:rFonts w:eastAsia="Times New Roman" w:cs="Arial"/>
              </w:rPr>
              <w:t>313</w:t>
            </w:r>
          </w:p>
        </w:tc>
        <w:tc>
          <w:tcPr>
            <w:tcW w:w="720" w:type="dxa"/>
          </w:tcPr>
          <w:p w14:paraId="51E47969" w14:textId="77777777" w:rsidR="00B93A94" w:rsidRPr="0047058F" w:rsidRDefault="00B93A94" w:rsidP="00FD21C0">
            <w:pPr>
              <w:pStyle w:val="TableText"/>
              <w:jc w:val="right"/>
              <w:rPr>
                <w:rFonts w:eastAsia="Times New Roman" w:cs="Arial"/>
              </w:rPr>
            </w:pPr>
            <w:r w:rsidRPr="0047058F">
              <w:rPr>
                <w:rFonts w:eastAsia="Times New Roman" w:cs="Arial"/>
              </w:rPr>
              <w:t>5.5</w:t>
            </w:r>
          </w:p>
        </w:tc>
        <w:tc>
          <w:tcPr>
            <w:tcW w:w="721" w:type="dxa"/>
          </w:tcPr>
          <w:p w14:paraId="45129E51" w14:textId="77777777" w:rsidR="00B93A94" w:rsidRPr="0047058F" w:rsidRDefault="00B93A94" w:rsidP="00FD21C0">
            <w:pPr>
              <w:pStyle w:val="TableText"/>
              <w:jc w:val="right"/>
            </w:pPr>
            <w:r w:rsidRPr="0047058F">
              <w:rPr>
                <w:rFonts w:eastAsia="Times New Roman" w:cs="Arial"/>
              </w:rPr>
              <w:t>245</w:t>
            </w:r>
          </w:p>
        </w:tc>
        <w:tc>
          <w:tcPr>
            <w:tcW w:w="722" w:type="dxa"/>
          </w:tcPr>
          <w:p w14:paraId="765055DA" w14:textId="77777777" w:rsidR="00B93A94" w:rsidRPr="0047058F" w:rsidRDefault="00B93A94" w:rsidP="00FD21C0">
            <w:pPr>
              <w:pStyle w:val="TableText"/>
              <w:jc w:val="right"/>
            </w:pPr>
            <w:r w:rsidRPr="0047058F">
              <w:rPr>
                <w:rFonts w:eastAsia="Times New Roman" w:cs="Arial"/>
              </w:rPr>
              <w:t>78.3</w:t>
            </w:r>
          </w:p>
        </w:tc>
        <w:tc>
          <w:tcPr>
            <w:tcW w:w="722" w:type="dxa"/>
          </w:tcPr>
          <w:p w14:paraId="02FA7087" w14:textId="77777777" w:rsidR="00B93A94" w:rsidRPr="0047058F" w:rsidRDefault="00B93A94" w:rsidP="00FD21C0">
            <w:pPr>
              <w:pStyle w:val="TableText"/>
              <w:jc w:val="right"/>
            </w:pPr>
            <w:r w:rsidRPr="0047058F">
              <w:rPr>
                <w:rFonts w:eastAsia="Times New Roman" w:cs="Arial"/>
              </w:rPr>
              <w:t>68</w:t>
            </w:r>
          </w:p>
        </w:tc>
        <w:tc>
          <w:tcPr>
            <w:tcW w:w="722" w:type="dxa"/>
          </w:tcPr>
          <w:p w14:paraId="5CBBA6E9" w14:textId="77777777" w:rsidR="00B93A94" w:rsidRPr="0047058F" w:rsidRDefault="00B93A94" w:rsidP="00FD21C0">
            <w:pPr>
              <w:pStyle w:val="TableText"/>
              <w:jc w:val="right"/>
            </w:pPr>
            <w:r w:rsidRPr="0047058F">
              <w:rPr>
                <w:rFonts w:eastAsia="Times New Roman" w:cs="Arial"/>
              </w:rPr>
              <w:t>21.7</w:t>
            </w:r>
          </w:p>
        </w:tc>
      </w:tr>
      <w:tr w:rsidR="00B93A94" w:rsidRPr="0047058F" w14:paraId="1EB784B1" w14:textId="77777777" w:rsidTr="00FD21C0">
        <w:trPr>
          <w:cnfStyle w:val="000000100000" w:firstRow="0" w:lastRow="0" w:firstColumn="0" w:lastColumn="0" w:oddVBand="0" w:evenVBand="0" w:oddHBand="1" w:evenHBand="0" w:firstRowFirstColumn="0" w:firstRowLastColumn="0" w:lastRowFirstColumn="0" w:lastRowLastColumn="0"/>
          <w:cantSplit/>
        </w:trPr>
        <w:tc>
          <w:tcPr>
            <w:tcW w:w="2988" w:type="dxa"/>
          </w:tcPr>
          <w:p w14:paraId="46359F0F" w14:textId="77777777" w:rsidR="00B93A94" w:rsidRPr="0047058F" w:rsidRDefault="00B93A94" w:rsidP="00FD21C0">
            <w:pPr>
              <w:pStyle w:val="TableText"/>
              <w:rPr>
                <w:rFonts w:cs="Arial"/>
                <w:b/>
              </w:rPr>
            </w:pPr>
            <w:r w:rsidRPr="0047058F">
              <w:rPr>
                <w:rFonts w:cs="Arial"/>
                <w:b/>
              </w:rPr>
              <w:t>Total</w:t>
            </w:r>
          </w:p>
        </w:tc>
        <w:tc>
          <w:tcPr>
            <w:tcW w:w="720" w:type="dxa"/>
          </w:tcPr>
          <w:p w14:paraId="1223CB35" w14:textId="77777777" w:rsidR="00B93A94" w:rsidRPr="0047058F" w:rsidRDefault="00B93A94" w:rsidP="00FD21C0">
            <w:pPr>
              <w:pStyle w:val="TableText"/>
              <w:jc w:val="right"/>
              <w:rPr>
                <w:rFonts w:cs="Arial"/>
                <w:b/>
              </w:rPr>
            </w:pPr>
            <w:r w:rsidRPr="0047058F">
              <w:rPr>
                <w:rFonts w:cs="Arial"/>
                <w:b/>
              </w:rPr>
              <w:t>5701</w:t>
            </w:r>
          </w:p>
        </w:tc>
        <w:tc>
          <w:tcPr>
            <w:tcW w:w="720" w:type="dxa"/>
          </w:tcPr>
          <w:p w14:paraId="0237720C" w14:textId="77777777" w:rsidR="00B93A94" w:rsidRPr="0047058F" w:rsidRDefault="00B93A94" w:rsidP="00FD21C0">
            <w:pPr>
              <w:pStyle w:val="TableText"/>
              <w:jc w:val="right"/>
              <w:rPr>
                <w:rFonts w:eastAsia="Times New Roman" w:cs="Arial"/>
                <w:b/>
              </w:rPr>
            </w:pPr>
            <w:r w:rsidRPr="0047058F">
              <w:rPr>
                <w:rFonts w:eastAsia="Times New Roman" w:cs="Arial"/>
                <w:b/>
              </w:rPr>
              <w:t>100.0</w:t>
            </w:r>
          </w:p>
        </w:tc>
        <w:tc>
          <w:tcPr>
            <w:tcW w:w="721" w:type="dxa"/>
          </w:tcPr>
          <w:p w14:paraId="241ED5E8" w14:textId="77777777" w:rsidR="00B93A94" w:rsidRPr="0047058F" w:rsidRDefault="00B93A94" w:rsidP="00FD21C0">
            <w:pPr>
              <w:pStyle w:val="TableText"/>
              <w:jc w:val="right"/>
              <w:rPr>
                <w:rFonts w:cs="Arial"/>
                <w:b/>
              </w:rPr>
            </w:pPr>
            <w:r w:rsidRPr="0047058F">
              <w:rPr>
                <w:rFonts w:eastAsia="Times New Roman" w:cs="Arial"/>
                <w:b/>
              </w:rPr>
              <w:t>5443</w:t>
            </w:r>
          </w:p>
        </w:tc>
        <w:tc>
          <w:tcPr>
            <w:tcW w:w="722" w:type="dxa"/>
          </w:tcPr>
          <w:p w14:paraId="4E00EAD1" w14:textId="77777777" w:rsidR="00B93A94" w:rsidRPr="0047058F" w:rsidRDefault="00B93A94" w:rsidP="00FD21C0">
            <w:pPr>
              <w:pStyle w:val="TableText"/>
              <w:jc w:val="right"/>
              <w:rPr>
                <w:rFonts w:cs="Arial"/>
                <w:b/>
              </w:rPr>
            </w:pPr>
            <w:r w:rsidRPr="0047058F">
              <w:rPr>
                <w:rFonts w:eastAsia="Times New Roman" w:cs="Arial"/>
                <w:b/>
              </w:rPr>
              <w:t>95.5</w:t>
            </w:r>
          </w:p>
        </w:tc>
        <w:tc>
          <w:tcPr>
            <w:tcW w:w="722" w:type="dxa"/>
          </w:tcPr>
          <w:p w14:paraId="143D33FD" w14:textId="77777777" w:rsidR="00B93A94" w:rsidRPr="0047058F" w:rsidRDefault="00B93A94" w:rsidP="00FD21C0">
            <w:pPr>
              <w:pStyle w:val="TableText"/>
              <w:jc w:val="right"/>
              <w:rPr>
                <w:rFonts w:cs="Arial"/>
                <w:b/>
              </w:rPr>
            </w:pPr>
            <w:r w:rsidRPr="0047058F">
              <w:rPr>
                <w:rFonts w:eastAsia="Times New Roman" w:cs="Arial"/>
                <w:b/>
              </w:rPr>
              <w:t>258</w:t>
            </w:r>
          </w:p>
        </w:tc>
        <w:tc>
          <w:tcPr>
            <w:tcW w:w="722" w:type="dxa"/>
          </w:tcPr>
          <w:p w14:paraId="0B001F25" w14:textId="77777777" w:rsidR="00B93A94" w:rsidRPr="0047058F" w:rsidRDefault="00B93A94" w:rsidP="00FD21C0">
            <w:pPr>
              <w:pStyle w:val="TableText"/>
              <w:jc w:val="right"/>
              <w:rPr>
                <w:rFonts w:cs="Arial"/>
                <w:b/>
              </w:rPr>
            </w:pPr>
            <w:r w:rsidRPr="0047058F">
              <w:rPr>
                <w:rFonts w:eastAsia="Times New Roman" w:cs="Arial"/>
                <w:b/>
              </w:rPr>
              <w:t>4.5</w:t>
            </w:r>
          </w:p>
        </w:tc>
      </w:tr>
    </w:tbl>
    <w:p w14:paraId="016A4143" w14:textId="77777777" w:rsidR="00B93A94" w:rsidRPr="0047058F" w:rsidRDefault="00B93A94" w:rsidP="00381CF9">
      <w:pPr>
        <w:pStyle w:val="TableNotes"/>
        <w:keepNext/>
      </w:pPr>
      <w:r w:rsidRPr="0047058F">
        <w:t>Note: Unweighted data.</w:t>
      </w:r>
    </w:p>
    <w:p w14:paraId="398A18AC" w14:textId="77777777" w:rsidR="00B93A94" w:rsidRPr="0047058F" w:rsidRDefault="00B93A94" w:rsidP="00B93A94">
      <w:pPr>
        <w:pStyle w:val="FigureName"/>
      </w:pPr>
      <w:bookmarkStart w:id="442" w:name="_Ref387057857"/>
      <w:bookmarkStart w:id="443" w:name="_Toc529117594"/>
      <w:bookmarkStart w:id="444" w:name="_Toc532473667"/>
      <w:r w:rsidRPr="0047058F">
        <w:t>Figure 5.30</w:t>
      </w:r>
      <w:bookmarkEnd w:id="442"/>
      <w:r w:rsidRPr="0047058F">
        <w:tab/>
        <w:t xml:space="preserve">Proportion of </w:t>
      </w:r>
      <w:r w:rsidRPr="0047058F">
        <w:rPr>
          <w:u w:val="single"/>
        </w:rPr>
        <w:t>2015 Regular ADF in the longitudinal cohort</w:t>
      </w:r>
      <w:r w:rsidRPr="0047058F">
        <w:t xml:space="preserve"> who ‘threatened someone with physical violence in the last month’ in 2010 and 2015 based on self-reported measures</w:t>
      </w:r>
      <w:bookmarkEnd w:id="443"/>
      <w:bookmarkEnd w:id="444"/>
    </w:p>
    <w:p w14:paraId="01E14752" w14:textId="77777777" w:rsidR="00B93A94" w:rsidRPr="0047058F" w:rsidRDefault="00B93A94" w:rsidP="00B93A94">
      <w:r w:rsidRPr="0047058F">
        <w:rPr>
          <w:noProof/>
          <w:lang w:eastAsia="en-AU"/>
        </w:rPr>
        <w:drawing>
          <wp:inline distT="0" distB="0" distL="0" distR="0" wp14:anchorId="427022A7" wp14:editId="4031B0D6">
            <wp:extent cx="4572000" cy="2743200"/>
            <wp:effectExtent l="0" t="0" r="0" b="0"/>
            <wp:docPr id="43" name="Chart 43" descr="Figure 5.30 Proportion of 2015 Regular ADF in the longitudinal cohort who ‘threatened someone with physical violence in the last month’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79B72F" w14:textId="77777777" w:rsidR="00B93A94" w:rsidRPr="0047058F" w:rsidRDefault="00B93A94" w:rsidP="00B93A94"/>
    <w:p w14:paraId="6A7547DD" w14:textId="77777777" w:rsidR="00B93A94" w:rsidRPr="0047058F" w:rsidRDefault="00B93A94" w:rsidP="00B93A94">
      <w:pPr>
        <w:sectPr w:rsidR="00B93A94" w:rsidRPr="0047058F" w:rsidSect="003B5AB8">
          <w:footerReference w:type="even" r:id="rId72"/>
          <w:footerReference w:type="default" r:id="rId73"/>
          <w:pgSz w:w="9979" w:h="14170" w:code="243"/>
          <w:pgMar w:top="1440" w:right="1152" w:bottom="1440" w:left="1728" w:header="576" w:footer="576" w:gutter="0"/>
          <w:cols w:space="708"/>
          <w:docGrid w:linePitch="360"/>
        </w:sectPr>
      </w:pPr>
    </w:p>
    <w:p w14:paraId="3052C633" w14:textId="77777777" w:rsidR="00FD3AB7" w:rsidRPr="0047058F" w:rsidRDefault="004F7DC6" w:rsidP="004F7DC6">
      <w:pPr>
        <w:pStyle w:val="Heading1"/>
      </w:pPr>
      <w:bookmarkStart w:id="445" w:name="_Toc532474382"/>
      <w:r w:rsidRPr="0047058F">
        <w:t>Longitudinal course of probable mental disorder in the MHPWS population</w:t>
      </w:r>
      <w:bookmarkEnd w:id="445"/>
    </w:p>
    <w:p w14:paraId="728A4EFE" w14:textId="77777777" w:rsidR="00544CE5" w:rsidRPr="0047058F" w:rsidRDefault="00544CE5" w:rsidP="00544CE5">
      <w:pPr>
        <w:pStyle w:val="ShadedBullet"/>
      </w:pPr>
      <w:r w:rsidRPr="0047058F">
        <w:t>Longitudinal cohort members were more likely to worsen from no disorder in 2010 to subsyndromal disorder or probable disorder in 2015 if they:</w:t>
      </w:r>
    </w:p>
    <w:p w14:paraId="3F055684" w14:textId="77777777" w:rsidR="00544CE5" w:rsidRPr="0047058F" w:rsidRDefault="00544CE5" w:rsidP="00544CE5">
      <w:pPr>
        <w:pStyle w:val="ShadedDash"/>
      </w:pPr>
      <w:r w:rsidRPr="0047058F">
        <w:tab/>
        <w:t>–</w:t>
      </w:r>
      <w:r w:rsidRPr="0047058F">
        <w:tab/>
        <w:t>were not Officers</w:t>
      </w:r>
    </w:p>
    <w:p w14:paraId="4AD4E3B0" w14:textId="77777777" w:rsidR="00544CE5" w:rsidRPr="0047058F" w:rsidRDefault="00544CE5" w:rsidP="00544CE5">
      <w:pPr>
        <w:pStyle w:val="ShadedDash"/>
      </w:pPr>
      <w:r w:rsidRPr="0047058F">
        <w:tab/>
        <w:t>–</w:t>
      </w:r>
      <w:r w:rsidRPr="0047058F">
        <w:tab/>
        <w:t>were Navy members (compared to Air Force)</w:t>
      </w:r>
    </w:p>
    <w:p w14:paraId="642FB9B1" w14:textId="77777777" w:rsidR="00544CE5" w:rsidRPr="0047058F" w:rsidRDefault="00544CE5" w:rsidP="00544CE5">
      <w:pPr>
        <w:pStyle w:val="ShadedDash"/>
      </w:pPr>
      <w:r w:rsidRPr="0047058F">
        <w:tab/>
        <w:t>–</w:t>
      </w:r>
      <w:r w:rsidRPr="0047058F">
        <w:tab/>
        <w:t>reported problematic anger in 2010, or</w:t>
      </w:r>
    </w:p>
    <w:p w14:paraId="15F3A494" w14:textId="77777777" w:rsidR="00544CE5" w:rsidRPr="0047058F" w:rsidRDefault="00544CE5" w:rsidP="00544CE5">
      <w:pPr>
        <w:pStyle w:val="ShadedDash"/>
      </w:pPr>
      <w:r w:rsidRPr="0047058F">
        <w:tab/>
        <w:t>–</w:t>
      </w:r>
      <w:r w:rsidRPr="0047058F">
        <w:tab/>
        <w:t>reported higher levels of deployment exposures or lifetime trauma.</w:t>
      </w:r>
    </w:p>
    <w:p w14:paraId="3EFD7D1C" w14:textId="77777777" w:rsidR="00544CE5" w:rsidRPr="0047058F" w:rsidRDefault="00544CE5" w:rsidP="00544CE5">
      <w:pPr>
        <w:pStyle w:val="ShadedBullet"/>
      </w:pPr>
      <w:r w:rsidRPr="0047058F">
        <w:t>Those reporting higher resilience were less likely to move from no disorder to subsyndromal disorder.</w:t>
      </w:r>
    </w:p>
    <w:p w14:paraId="1DB56F9E" w14:textId="77777777" w:rsidR="00544CE5" w:rsidRPr="0047058F" w:rsidRDefault="00544CE5" w:rsidP="00544CE5">
      <w:pPr>
        <w:pStyle w:val="ShadedBullet"/>
      </w:pPr>
      <w:r w:rsidRPr="0047058F">
        <w:t>Reported suicidality in 2010 predicted progression from no disorder in 2010 to probable disorder in 2015.</w:t>
      </w:r>
    </w:p>
    <w:p w14:paraId="5487CF12" w14:textId="40F62DEF" w:rsidR="00544CE5" w:rsidRPr="0047058F" w:rsidRDefault="00544CE5" w:rsidP="00544CE5">
      <w:pPr>
        <w:pStyle w:val="ShadedBullet"/>
      </w:pPr>
      <w:r w:rsidRPr="0047058F">
        <w:t>Longitudinal cohort members were more likely to worsen from subsyndromal disorder in 2010 to probable disorder in 2015 if</w:t>
      </w:r>
      <w:r w:rsidR="0059767D">
        <w:t>,</w:t>
      </w:r>
      <w:r w:rsidRPr="0047058F">
        <w:t xml:space="preserve"> in 2010</w:t>
      </w:r>
      <w:r w:rsidR="0059767D">
        <w:t>,</w:t>
      </w:r>
      <w:r w:rsidRPr="0047058F">
        <w:t xml:space="preserve"> they were not Officers, had problematic anger, or had </w:t>
      </w:r>
      <w:r w:rsidR="00A6791F">
        <w:t xml:space="preserve">a </w:t>
      </w:r>
      <w:r w:rsidRPr="0047058F">
        <w:t>greater number of deployment exposures or lifetime traumatic event types.</w:t>
      </w:r>
    </w:p>
    <w:p w14:paraId="791FDB19" w14:textId="77777777" w:rsidR="00544CE5" w:rsidRPr="0047058F" w:rsidRDefault="00544CE5" w:rsidP="00544CE5">
      <w:pPr>
        <w:pStyle w:val="ShadedBullet"/>
      </w:pPr>
      <w:r w:rsidRPr="0047058F">
        <w:t>In terms of those with probable disorder in 2010, having more lifetime traumatic event types predicted shifting towards subsyndromal disorder or maintaining probable disorder in 2015. Older age predicted the shift to subsyndromal disorder; and problem anger, help seeking and deployment exposures predicted the maintenance of probable disorder.</w:t>
      </w:r>
    </w:p>
    <w:p w14:paraId="56254E0F" w14:textId="300A3DDD" w:rsidR="00544CE5" w:rsidRPr="0047058F" w:rsidRDefault="00544CE5" w:rsidP="00544CE5">
      <w:pPr>
        <w:pStyle w:val="ShadedBoxText"/>
      </w:pPr>
      <w:r w:rsidRPr="0047058F">
        <w:t xml:space="preserve">Refer to the glossary for definitions of key terms used in this </w:t>
      </w:r>
      <w:r w:rsidR="00B31C86">
        <w:t>chapter</w:t>
      </w:r>
      <w:r w:rsidRPr="0047058F">
        <w:t>.</w:t>
      </w:r>
    </w:p>
    <w:p w14:paraId="70307894" w14:textId="77777777" w:rsidR="004F7DC6" w:rsidRPr="0047058F" w:rsidRDefault="004F7DC6" w:rsidP="007F4D9C">
      <w:r w:rsidRPr="0047058F">
        <w:t>This chapter examines the longitudinal course of mental symptoms and probable disorder – defined as above the epidemiological cut-off on either the Kessler Psychological Distress 10-item scale (K10) or Posttraumatic Stress Disorder Checklist – civilian version (PCL-C) – in the 2010 ADF Mental Health Prevalence and Wellbeing Study (MHPWS) population. Analyses were performed on the entire longitudinal cohort (Transitioned and Regular ADF combined), with priority given to time point 1 predictor variables (2010) where possible, except for lifetime trauma and deployment exposures, which were only measured for the entire cohort at time point 2. Separate models were performed for the following three mutually exclusive subsets: those with no disorder in 2010, those who were subsyndromal in 2010, and those who had probable disorder in 2010. Analyses examined the odds of being subsyndromal or having probable disorder compared to being disorder free in 2015.</w:t>
      </w:r>
    </w:p>
    <w:p w14:paraId="0E8EAB86" w14:textId="13F406E7" w:rsidR="004F7DC6" w:rsidRPr="0047058F" w:rsidRDefault="004F7DC6" w:rsidP="007F4D9C">
      <w:r w:rsidRPr="0047058F">
        <w:t xml:space="preserve">The results are reported as odds ratios with 95% confidence intervals as obtained from logistic regression models. A multinomial distribution was applied with a generalised logit link function. Univariate modelling was first performed for all potential predictors. Multivariate modelling started with a fully saturated model, which included all variables with a </w:t>
      </w:r>
      <w:r w:rsidRPr="0047058F">
        <w:rPr>
          <w:i/>
        </w:rPr>
        <w:t>p</w:t>
      </w:r>
      <w:r w:rsidRPr="0047058F">
        <w:t xml:space="preserve">-value less than 0.20. Variables were systematically removed from the model using the following approach. First, the variable with the largest </w:t>
      </w:r>
      <w:r w:rsidRPr="0047058F">
        <w:rPr>
          <w:i/>
        </w:rPr>
        <w:t>p</w:t>
      </w:r>
      <w:r w:rsidRPr="0047058F">
        <w:t>-value was removed from the model. The reduced model was then compared to the preceding model to determine whether removal of the variable negatively impacted on model fit. This was assessed using scaled deviance (a value close to 1 indicating good fit), Pearson’s goodness-of-fit test and the log-likelihood ratio test (</w:t>
      </w:r>
      <w:r w:rsidRPr="0047058F">
        <w:rPr>
          <w:i/>
        </w:rPr>
        <w:t>G</w:t>
      </w:r>
      <w:r w:rsidRPr="0047058F">
        <w:rPr>
          <w:vertAlign w:val="superscript"/>
        </w:rPr>
        <w:t>2</w:t>
      </w:r>
      <w:r w:rsidRPr="0047058F">
        <w:t>). The model odds ratios were also evaluated to determine whether removal of the variable led to substantial changes that might indicate that the variable is an important confounder. Model reduction continued with this approach until only significant variables remained. The analyses were completed using SAS version 9.2 or 9.4 (SAS Institute Inc., Cary, NC, United States).</w:t>
      </w:r>
    </w:p>
    <w:p w14:paraId="1256DA92" w14:textId="77777777" w:rsidR="00544CE5" w:rsidRPr="0047058F" w:rsidRDefault="00544CE5" w:rsidP="00860F45">
      <w:pPr>
        <w:pStyle w:val="Heading2"/>
      </w:pPr>
      <w:bookmarkStart w:id="446" w:name="_Toc532474383"/>
      <w:r w:rsidRPr="0047058F">
        <w:t>Interpreting the odds ratios</w:t>
      </w:r>
      <w:bookmarkEnd w:id="446"/>
    </w:p>
    <w:p w14:paraId="290BD0EE" w14:textId="77777777" w:rsidR="004F7DC6" w:rsidRPr="0047058F" w:rsidRDefault="004F7DC6" w:rsidP="00544CE5">
      <w:r w:rsidRPr="0047058F">
        <w:t>Interpretation of the odds ratios is in the following multinomial models. The multinomial model essentially fits two models simultaneously, with each model comparing a separate level to a reference category. In our data, ‘No disorder (1)’ was the reference category in all models. The resulting models compare the odds of being in the ‘Subsyndromal (2)’ category relative to the odds of being in the ‘No disorder’ category; the second compares the odds of being in the ‘Probable disorder (3)’ category relative to the odds of being in the ‘No disorder’ category.</w:t>
      </w:r>
    </w:p>
    <w:p w14:paraId="455B15A6" w14:textId="77777777" w:rsidR="004F7DC6" w:rsidRPr="0047058F" w:rsidRDefault="004F7DC6" w:rsidP="00860F45">
      <w:pPr>
        <w:pStyle w:val="Heading3"/>
      </w:pPr>
      <w:bookmarkStart w:id="447" w:name="_Toc532474384"/>
      <w:r w:rsidRPr="0047058F">
        <w:t>Predictors included in the longitudinal cohort model</w:t>
      </w:r>
      <w:bookmarkEnd w:id="447"/>
    </w:p>
    <w:p w14:paraId="525A5D51" w14:textId="77777777" w:rsidR="004F7DC6" w:rsidRPr="0047058F" w:rsidRDefault="004F7DC6" w:rsidP="00544CE5">
      <w:pPr>
        <w:pStyle w:val="Heading4"/>
      </w:pPr>
      <w:r w:rsidRPr="0047058F">
        <w:t>Time point 1 measures – 2010 ADF Mental Health Prevalence and Wellbeing Study</w:t>
      </w:r>
    </w:p>
    <w:p w14:paraId="6FBAC85C" w14:textId="77777777" w:rsidR="004F7DC6" w:rsidRPr="0047058F" w:rsidRDefault="004F7DC6" w:rsidP="00544CE5">
      <w:pPr>
        <w:pStyle w:val="Heading5"/>
        <w:rPr>
          <w:lang w:val="en-AU"/>
        </w:rPr>
      </w:pPr>
      <w:r w:rsidRPr="0047058F">
        <w:rPr>
          <w:lang w:val="en-AU"/>
        </w:rPr>
        <w:t>Demographic factors</w:t>
      </w:r>
    </w:p>
    <w:p w14:paraId="6BA56CC0" w14:textId="77777777" w:rsidR="004F7DC6" w:rsidRPr="0047058F" w:rsidRDefault="004F7DC6" w:rsidP="00544CE5">
      <w:pPr>
        <w:pStyle w:val="Bullet"/>
        <w:spacing w:after="120"/>
      </w:pPr>
      <w:r w:rsidRPr="0047058F">
        <w:t>Age (mean)</w:t>
      </w:r>
    </w:p>
    <w:p w14:paraId="444A015A" w14:textId="77777777" w:rsidR="004F7DC6" w:rsidRPr="0047058F" w:rsidRDefault="004F7DC6" w:rsidP="00544CE5">
      <w:pPr>
        <w:pStyle w:val="Bullet"/>
      </w:pPr>
      <w:r w:rsidRPr="0047058F">
        <w:t>Sex (female, male)</w:t>
      </w:r>
    </w:p>
    <w:p w14:paraId="6622C06C" w14:textId="77777777" w:rsidR="004F7DC6" w:rsidRPr="0047058F" w:rsidRDefault="004F7DC6" w:rsidP="00544CE5">
      <w:pPr>
        <w:pStyle w:val="Heading5"/>
        <w:rPr>
          <w:lang w:val="en-AU"/>
        </w:rPr>
      </w:pPr>
      <w:r w:rsidRPr="0047058F">
        <w:rPr>
          <w:lang w:val="en-AU"/>
        </w:rPr>
        <w:t>Service factors</w:t>
      </w:r>
    </w:p>
    <w:p w14:paraId="5E3CCA32" w14:textId="77777777" w:rsidR="004F7DC6" w:rsidRPr="0047058F" w:rsidRDefault="004F7DC6" w:rsidP="00031ACA">
      <w:pPr>
        <w:pStyle w:val="Bullet"/>
        <w:numPr>
          <w:ilvl w:val="0"/>
          <w:numId w:val="1"/>
        </w:numPr>
        <w:spacing w:after="120"/>
        <w:ind w:left="360"/>
      </w:pPr>
      <w:r w:rsidRPr="0047058F">
        <w:t>Rank (Officer, Non-Commissioned Officer, Other)</w:t>
      </w:r>
    </w:p>
    <w:p w14:paraId="5D25CDA2" w14:textId="77777777" w:rsidR="004F7DC6" w:rsidRPr="0047058F" w:rsidRDefault="004F7DC6" w:rsidP="00031ACA">
      <w:pPr>
        <w:pStyle w:val="Bullet"/>
        <w:numPr>
          <w:ilvl w:val="0"/>
          <w:numId w:val="1"/>
        </w:numPr>
        <w:spacing w:after="120"/>
        <w:ind w:left="360"/>
      </w:pPr>
      <w:r w:rsidRPr="0047058F">
        <w:t>Service (Navy, Army, Air Force)</w:t>
      </w:r>
    </w:p>
    <w:p w14:paraId="0E4EA828" w14:textId="77777777" w:rsidR="004F7DC6" w:rsidRPr="0047058F" w:rsidRDefault="004F7DC6" w:rsidP="00031ACA">
      <w:pPr>
        <w:pStyle w:val="Bullet"/>
        <w:numPr>
          <w:ilvl w:val="0"/>
          <w:numId w:val="1"/>
        </w:numPr>
        <w:ind w:left="360"/>
      </w:pPr>
      <w:r w:rsidRPr="0047058F">
        <w:t>Length of service (1 month – 3.9 years, 4 – 7.9 years, 8 – 11.9 years, 12 – 19.9 years, 20+ years)</w:t>
      </w:r>
    </w:p>
    <w:p w14:paraId="7A95B402" w14:textId="77777777" w:rsidR="004F7DC6" w:rsidRPr="0047058F" w:rsidRDefault="004F7DC6" w:rsidP="00544CE5">
      <w:pPr>
        <w:pStyle w:val="Heading5"/>
        <w:rPr>
          <w:lang w:val="en-AU"/>
        </w:rPr>
      </w:pPr>
      <w:r w:rsidRPr="0047058F">
        <w:rPr>
          <w:lang w:val="en-AU"/>
        </w:rPr>
        <w:t>Relationship status and satisfaction</w:t>
      </w:r>
    </w:p>
    <w:p w14:paraId="5C27BABE" w14:textId="77777777" w:rsidR="004F7DC6" w:rsidRPr="0047058F" w:rsidRDefault="004F7DC6" w:rsidP="00031ACA">
      <w:pPr>
        <w:pStyle w:val="Bullet"/>
        <w:numPr>
          <w:ilvl w:val="0"/>
          <w:numId w:val="1"/>
        </w:numPr>
        <w:spacing w:after="120"/>
        <w:ind w:left="360"/>
      </w:pPr>
      <w:r w:rsidRPr="0047058F">
        <w:t>In a significant intimate relationship (no, yes)</w:t>
      </w:r>
    </w:p>
    <w:p w14:paraId="7B33FB56" w14:textId="0F2C25AB" w:rsidR="00790911" w:rsidRPr="00E1116D" w:rsidRDefault="00790911" w:rsidP="003876A3">
      <w:pPr>
        <w:pStyle w:val="Bullet"/>
      </w:pPr>
      <w:r w:rsidRPr="00E1116D">
        <w:t>Satisfaction with marriage (very dissatisfied/dissatisfied/neither</w:t>
      </w:r>
      <w:r>
        <w:t>,</w:t>
      </w:r>
      <w:r w:rsidRPr="00E1116D" w:rsidDel="002908D1">
        <w:t xml:space="preserve"> </w:t>
      </w:r>
      <w:r w:rsidRPr="00E1116D">
        <w:t>satisfied/very satisfied</w:t>
      </w:r>
      <w:r>
        <w:t>)</w:t>
      </w:r>
    </w:p>
    <w:p w14:paraId="143E1D2A" w14:textId="77777777" w:rsidR="004F7DC6" w:rsidRPr="0047058F" w:rsidRDefault="004F7DC6" w:rsidP="00544CE5">
      <w:pPr>
        <w:pStyle w:val="Heading5"/>
        <w:rPr>
          <w:lang w:val="en-AU"/>
        </w:rPr>
      </w:pPr>
      <w:r w:rsidRPr="0047058F">
        <w:rPr>
          <w:lang w:val="en-AU"/>
        </w:rPr>
        <w:t>Suicidality, anger and resilience</w:t>
      </w:r>
    </w:p>
    <w:p w14:paraId="2DF17EBE" w14:textId="77777777" w:rsidR="004F7DC6" w:rsidRPr="0047058F" w:rsidRDefault="004F7DC6" w:rsidP="00031ACA">
      <w:pPr>
        <w:pStyle w:val="Bullet"/>
        <w:numPr>
          <w:ilvl w:val="0"/>
          <w:numId w:val="1"/>
        </w:numPr>
        <w:spacing w:after="120"/>
        <w:ind w:left="360"/>
      </w:pPr>
      <w:r w:rsidRPr="0047058F">
        <w:t>Any 12-month suicidality (no, yes)</w:t>
      </w:r>
    </w:p>
    <w:p w14:paraId="2498187D" w14:textId="77777777" w:rsidR="004F7DC6" w:rsidRPr="0047058F" w:rsidRDefault="004F7DC6" w:rsidP="00031ACA">
      <w:pPr>
        <w:pStyle w:val="Bullet"/>
        <w:numPr>
          <w:ilvl w:val="0"/>
          <w:numId w:val="1"/>
        </w:numPr>
        <w:spacing w:after="120"/>
        <w:ind w:left="360"/>
      </w:pPr>
      <w:r w:rsidRPr="0047058F">
        <w:t xml:space="preserve">Problematic anger: </w:t>
      </w:r>
      <w:r w:rsidRPr="0047058F">
        <w:sym w:font="Symbol" w:char="F0B3"/>
      </w:r>
      <w:r w:rsidRPr="0047058F">
        <w:t> 12 on Dimensions of Anger Reactions 5-item scale (DAR-5) (no, yes)</w:t>
      </w:r>
    </w:p>
    <w:p w14:paraId="79F0489A" w14:textId="77777777" w:rsidR="004F7DC6" w:rsidRPr="0047058F" w:rsidRDefault="004F7DC6" w:rsidP="00031ACA">
      <w:pPr>
        <w:pStyle w:val="Bullet"/>
        <w:numPr>
          <w:ilvl w:val="0"/>
          <w:numId w:val="1"/>
        </w:numPr>
        <w:ind w:left="360"/>
      </w:pPr>
      <w:r w:rsidRPr="0047058F">
        <w:t>Resilience: two-item Connor-Davidson Resilience Scale (CD-RISC 2) (mean)</w:t>
      </w:r>
    </w:p>
    <w:p w14:paraId="121E29F1" w14:textId="77777777" w:rsidR="004F7DC6" w:rsidRPr="0047058F" w:rsidRDefault="004F7DC6" w:rsidP="00544CE5">
      <w:pPr>
        <w:pStyle w:val="Heading5"/>
        <w:rPr>
          <w:lang w:val="en-AU"/>
        </w:rPr>
      </w:pPr>
      <w:r w:rsidRPr="0047058F">
        <w:rPr>
          <w:lang w:val="en-AU"/>
        </w:rPr>
        <w:t>Help seeking (K10 Plus)</w:t>
      </w:r>
    </w:p>
    <w:p w14:paraId="2A3BCEE8" w14:textId="77777777" w:rsidR="004F7DC6" w:rsidRPr="0047058F" w:rsidRDefault="004F7DC6" w:rsidP="00031ACA">
      <w:pPr>
        <w:pStyle w:val="Bullet"/>
        <w:numPr>
          <w:ilvl w:val="0"/>
          <w:numId w:val="1"/>
        </w:numPr>
        <w:ind w:left="360"/>
      </w:pPr>
      <w:r w:rsidRPr="0047058F">
        <w:t>Seen any health professional in last month for feelings of psychological distress (no, yes)</w:t>
      </w:r>
    </w:p>
    <w:p w14:paraId="537D5147" w14:textId="77777777" w:rsidR="004F7DC6" w:rsidRPr="0047058F" w:rsidRDefault="004F7DC6" w:rsidP="00544CE5">
      <w:pPr>
        <w:pStyle w:val="Heading4"/>
      </w:pPr>
      <w:r w:rsidRPr="0047058F">
        <w:t>Time point 2 measures – 2015 Transition and Wellbeing Research Programme</w:t>
      </w:r>
    </w:p>
    <w:p w14:paraId="09A3F713" w14:textId="77777777" w:rsidR="004F7DC6" w:rsidRPr="0047058F" w:rsidRDefault="004F7DC6" w:rsidP="00544CE5">
      <w:pPr>
        <w:pStyle w:val="Heading5"/>
        <w:rPr>
          <w:lang w:val="en-AU"/>
        </w:rPr>
      </w:pPr>
      <w:r w:rsidRPr="0047058F">
        <w:rPr>
          <w:lang w:val="en-AU"/>
        </w:rPr>
        <w:t>Lifetime trauma and deployment exposures</w:t>
      </w:r>
    </w:p>
    <w:p w14:paraId="724A450D" w14:textId="77777777" w:rsidR="004F7DC6" w:rsidRPr="0047058F" w:rsidRDefault="004F7DC6" w:rsidP="00031ACA">
      <w:pPr>
        <w:pStyle w:val="Bullet"/>
        <w:numPr>
          <w:ilvl w:val="0"/>
          <w:numId w:val="1"/>
        </w:numPr>
        <w:spacing w:after="120"/>
        <w:ind w:left="360"/>
      </w:pPr>
      <w:r w:rsidRPr="0047058F">
        <w:t>Number of different lifetime traumatic event types (0–1, 2–3, 4+)</w:t>
      </w:r>
    </w:p>
    <w:p w14:paraId="264809EC" w14:textId="77777777" w:rsidR="004F7DC6" w:rsidRPr="0047058F" w:rsidRDefault="004F7DC6" w:rsidP="00031ACA">
      <w:pPr>
        <w:pStyle w:val="Bullet"/>
        <w:numPr>
          <w:ilvl w:val="0"/>
          <w:numId w:val="1"/>
        </w:numPr>
        <w:ind w:left="360"/>
      </w:pPr>
      <w:r w:rsidRPr="0047058F">
        <w:t>Number of career traumatic deployment exposures (low, moderate, high)</w:t>
      </w:r>
    </w:p>
    <w:p w14:paraId="34B16280" w14:textId="77777777" w:rsidR="004F7DC6" w:rsidRPr="0047058F" w:rsidRDefault="004F7DC6" w:rsidP="00860F45">
      <w:pPr>
        <w:pStyle w:val="Heading3"/>
      </w:pPr>
      <w:bookmarkStart w:id="448" w:name="_Toc532474385"/>
      <w:r w:rsidRPr="0047058F">
        <w:t>Outcome variables</w:t>
      </w:r>
      <w:bookmarkEnd w:id="448"/>
    </w:p>
    <w:p w14:paraId="141C9215" w14:textId="77777777" w:rsidR="004F7DC6" w:rsidRPr="0047058F" w:rsidRDefault="004F7DC6" w:rsidP="00544CE5">
      <w:r w:rsidRPr="0047058F">
        <w:t>The term ‘disorder’ in this chapter is defined in relation to scores on the K10 and PCL-C as follows:</w:t>
      </w:r>
    </w:p>
    <w:p w14:paraId="271CF158" w14:textId="77777777" w:rsidR="004F7DC6" w:rsidRPr="0047058F" w:rsidRDefault="004F7DC6" w:rsidP="00031ACA">
      <w:pPr>
        <w:pStyle w:val="Bullet"/>
        <w:numPr>
          <w:ilvl w:val="0"/>
          <w:numId w:val="1"/>
        </w:numPr>
        <w:ind w:left="360"/>
      </w:pPr>
      <w:r w:rsidRPr="0047058F">
        <w:rPr>
          <w:i/>
        </w:rPr>
        <w:t>No disorder (ref)</w:t>
      </w:r>
      <w:r w:rsidRPr="0047058F">
        <w:t>: Below screening cut-off on K10 and PCL-C</w:t>
      </w:r>
    </w:p>
    <w:p w14:paraId="1C637BE9" w14:textId="77777777" w:rsidR="004F7DC6" w:rsidRPr="0047058F" w:rsidRDefault="004F7DC6" w:rsidP="00031ACA">
      <w:pPr>
        <w:pStyle w:val="Bullet"/>
        <w:numPr>
          <w:ilvl w:val="0"/>
          <w:numId w:val="1"/>
        </w:numPr>
        <w:ind w:left="360"/>
      </w:pPr>
      <w:r w:rsidRPr="0047058F">
        <w:rPr>
          <w:i/>
        </w:rPr>
        <w:t>Subsyndromal disorder</w:t>
      </w:r>
      <w:r w:rsidRPr="0047058F">
        <w:t>: Above the optimal screening cut-off on either the K10 or PCL-C, but below the optimal epidemiological cut-off on both K10 and PCL-C</w:t>
      </w:r>
    </w:p>
    <w:p w14:paraId="2F95634D" w14:textId="77777777" w:rsidR="004F7DC6" w:rsidRPr="0047058F" w:rsidRDefault="004F7DC6" w:rsidP="00031ACA">
      <w:pPr>
        <w:pStyle w:val="Bullet"/>
        <w:numPr>
          <w:ilvl w:val="0"/>
          <w:numId w:val="1"/>
        </w:numPr>
        <w:ind w:left="360"/>
      </w:pPr>
      <w:r w:rsidRPr="0047058F">
        <w:rPr>
          <w:i/>
        </w:rPr>
        <w:t>Probable disorder</w:t>
      </w:r>
      <w:r w:rsidRPr="0047058F">
        <w:t>: Above the epidemiological cut-off on either the K10 or PCL-C.</w:t>
      </w:r>
    </w:p>
    <w:p w14:paraId="110F49A8" w14:textId="13B98790" w:rsidR="004F7DC6" w:rsidRPr="0047058F" w:rsidRDefault="004F7DC6" w:rsidP="00544CE5">
      <w:r w:rsidRPr="0047058F">
        <w:t>A number of predictors were measured as part of the 2010 ADF Mental Health Prevalence and Wellbeing Study (MHPWS)</w:t>
      </w:r>
      <w:r w:rsidR="004E2F54">
        <w:t>, as outlined below.</w:t>
      </w:r>
    </w:p>
    <w:p w14:paraId="12896CDA" w14:textId="77777777" w:rsidR="004F7DC6" w:rsidRPr="0047058F" w:rsidRDefault="004F7DC6" w:rsidP="00544CE5">
      <w:r w:rsidRPr="0047058F">
        <w:t>To assess length of service, participants were asked, ‘To the nearest year, how long have you served with the Australian Defence Force as a Regular?’ They entered the number of years they had served. This was then categorised into 1 month to 3.9 years, 4 to 7.9 years, 8 to 11.9 years, 12 to 19.9 years, and 20+ years.</w:t>
      </w:r>
    </w:p>
    <w:p w14:paraId="3D21B13A" w14:textId="77777777" w:rsidR="004F7DC6" w:rsidRPr="0047058F" w:rsidRDefault="004F7DC6" w:rsidP="00544CE5">
      <w:r w:rsidRPr="0047058F">
        <w:t>To ascertain whether participants were in a significant intimate relationship, they were asked, ‘Are you currently in a significant intimate relationship?’ Response options were ‘yes’ or ‘no’.</w:t>
      </w:r>
    </w:p>
    <w:p w14:paraId="5098C33A" w14:textId="4F926944" w:rsidR="004F7DC6" w:rsidRPr="0047058F" w:rsidRDefault="004F7DC6" w:rsidP="00544CE5">
      <w:r w:rsidRPr="0047058F">
        <w:t>To assess satisfaction with marriage, participants were asked, ‘How satisfied are you with your marriage/relationship?’ They responded on a 5-point scale from extremely satisfied to extremely dissatisfied</w:t>
      </w:r>
      <w:r w:rsidR="004E2F54">
        <w:t>.</w:t>
      </w:r>
      <w:r w:rsidR="005F7A33" w:rsidRPr="005F7A33">
        <w:rPr>
          <w:rFonts w:asciiTheme="minorHAnsi" w:eastAsiaTheme="minorEastAsia" w:hAnsiTheme="minorHAnsi" w:cs="Times"/>
          <w:lang w:val="en-US"/>
        </w:rPr>
        <w:t xml:space="preserve"> </w:t>
      </w:r>
      <w:r w:rsidR="005F7A33">
        <w:rPr>
          <w:rFonts w:asciiTheme="minorHAnsi" w:eastAsiaTheme="minorEastAsia" w:hAnsiTheme="minorHAnsi" w:cs="Times"/>
          <w:lang w:val="en-US"/>
        </w:rPr>
        <w:t>This was then dichot</w:t>
      </w:r>
      <w:r w:rsidR="001214AA">
        <w:rPr>
          <w:rFonts w:asciiTheme="minorHAnsi" w:eastAsiaTheme="minorEastAsia" w:hAnsiTheme="minorHAnsi" w:cs="Times"/>
          <w:lang w:val="en-US"/>
        </w:rPr>
        <w:t>o</w:t>
      </w:r>
      <w:r w:rsidR="005F7A33">
        <w:rPr>
          <w:rFonts w:asciiTheme="minorHAnsi" w:eastAsiaTheme="minorEastAsia" w:hAnsiTheme="minorHAnsi" w:cs="Times"/>
          <w:lang w:val="en-US"/>
        </w:rPr>
        <w:t>mised into ‘</w:t>
      </w:r>
      <w:r w:rsidR="005F7A33" w:rsidRPr="00E1116D">
        <w:rPr>
          <w:rFonts w:asciiTheme="minorHAnsi" w:eastAsiaTheme="minorEastAsia" w:hAnsiTheme="minorHAnsi" w:cs="Times"/>
        </w:rPr>
        <w:t>very dissatisfied/dissatisfied/neither</w:t>
      </w:r>
      <w:r w:rsidR="005F7A33">
        <w:rPr>
          <w:rFonts w:asciiTheme="minorHAnsi" w:eastAsiaTheme="minorEastAsia" w:hAnsiTheme="minorHAnsi" w:cs="Times"/>
        </w:rPr>
        <w:t>’ and</w:t>
      </w:r>
      <w:r w:rsidR="005F7A33" w:rsidRPr="00E1116D" w:rsidDel="002908D1">
        <w:rPr>
          <w:rFonts w:asciiTheme="minorHAnsi" w:eastAsiaTheme="minorEastAsia" w:hAnsiTheme="minorHAnsi" w:cs="Times"/>
        </w:rPr>
        <w:t xml:space="preserve"> </w:t>
      </w:r>
      <w:r w:rsidR="005F7A33">
        <w:rPr>
          <w:rFonts w:asciiTheme="minorHAnsi" w:eastAsiaTheme="minorEastAsia" w:hAnsiTheme="minorHAnsi" w:cs="Times"/>
        </w:rPr>
        <w:t>‘</w:t>
      </w:r>
      <w:r w:rsidR="005F7A33" w:rsidRPr="00E1116D">
        <w:rPr>
          <w:rFonts w:asciiTheme="minorHAnsi" w:eastAsiaTheme="minorEastAsia" w:hAnsiTheme="minorHAnsi" w:cs="Times"/>
        </w:rPr>
        <w:t>satisfied/very satisfied</w:t>
      </w:r>
      <w:r w:rsidR="005F7A33">
        <w:rPr>
          <w:rFonts w:asciiTheme="minorHAnsi" w:eastAsiaTheme="minorEastAsia" w:hAnsiTheme="minorHAnsi" w:cs="Times"/>
        </w:rPr>
        <w:t>’.</w:t>
      </w:r>
    </w:p>
    <w:p w14:paraId="0F867B03" w14:textId="77777777" w:rsidR="004F7DC6" w:rsidRPr="0047058F" w:rsidRDefault="004F7DC6" w:rsidP="00544CE5">
      <w:r w:rsidRPr="0047058F">
        <w:t>Twelve-month suicidality and problematic anger have been discussed in detail in Chapter 5.</w:t>
      </w:r>
    </w:p>
    <w:p w14:paraId="3529EDFE" w14:textId="77777777" w:rsidR="004F7DC6" w:rsidRPr="0047058F" w:rsidRDefault="004F7DC6" w:rsidP="00544CE5">
      <w:r w:rsidRPr="0047058F">
        <w:t>Resilience was assessed using two questions from the two-item Connor-Davidson Resilience Scale (CD-RISC 2) (Connor &amp; Davidson, 2003). These items asked how often the participants felt they were able to adapt to change and tended to bounce back after hardship in the past 30 days. Statements are rated on a 5-point scale from ‘not true at all’ to ‘true nearly all the time’. Scores on these items were summed to create a total resilience score.</w:t>
      </w:r>
    </w:p>
    <w:p w14:paraId="249C0330" w14:textId="3EDD3A42" w:rsidR="004F7DC6" w:rsidRPr="0047058F" w:rsidRDefault="004F7DC6" w:rsidP="00544CE5">
      <w:r w:rsidRPr="0047058F">
        <w:t xml:space="preserve">Help seeking was assessed using the K10 Plus </w:t>
      </w:r>
      <w:r w:rsidRPr="0047058F">
        <w:rPr>
          <w:rFonts w:cs="Calibri"/>
        </w:rPr>
        <w:t>(Kessler et al., 2002)</w:t>
      </w:r>
      <w:r w:rsidRPr="0047058F">
        <w:t xml:space="preserve">, </w:t>
      </w:r>
      <w:r w:rsidRPr="0047058F">
        <w:rPr>
          <w:rFonts w:asciiTheme="minorHAnsi" w:eastAsia="Times New Roman" w:hAnsiTheme="minorHAnsi" w:cstheme="minorHAnsi"/>
          <w:color w:val="auto"/>
          <w:lang w:eastAsia="en-AU"/>
        </w:rPr>
        <w:t>which comprises four questions asked after the K10 to assess functioning and related factors</w:t>
      </w:r>
      <w:r w:rsidRPr="0047058F">
        <w:t xml:space="preserve">. One K10 Plus item was used to assess help seeking – ‘In the past four weeks, how many times have you seen a doctor or any other health professional about these feelings?’ Participants entered the number of times. </w:t>
      </w:r>
      <w:r w:rsidRPr="0047058F">
        <w:rPr>
          <w:rFonts w:asciiTheme="minorHAnsi" w:eastAsiaTheme="minorEastAsia" w:hAnsiTheme="minorHAnsi" w:cs="Times"/>
        </w:rPr>
        <w:t>This was then dichot</w:t>
      </w:r>
      <w:r w:rsidR="000A11E6">
        <w:rPr>
          <w:rFonts w:asciiTheme="minorHAnsi" w:eastAsiaTheme="minorEastAsia" w:hAnsiTheme="minorHAnsi" w:cs="Times"/>
        </w:rPr>
        <w:t>o</w:t>
      </w:r>
      <w:r w:rsidRPr="0047058F">
        <w:rPr>
          <w:rFonts w:asciiTheme="minorHAnsi" w:eastAsiaTheme="minorEastAsia" w:hAnsiTheme="minorHAnsi" w:cs="Times"/>
        </w:rPr>
        <w:t>mised into a yes/no variable indicating whether or not the participant had seen any health professional in the last month for feelings of psychological distress.</w:t>
      </w:r>
    </w:p>
    <w:p w14:paraId="10332115" w14:textId="77777777" w:rsidR="004F7DC6" w:rsidRPr="0047058F" w:rsidRDefault="004F7DC6" w:rsidP="00544CE5">
      <w:r w:rsidRPr="0047058F">
        <w:t>Lifetime exposure to traumatic events and traumatic deployment exposures were assessed as part of the 2015 Transition and Wellbeing Research Programme. The measure to assess lifetime exposure to traumatic events was taken from the PTSD module of the Composite International Diagnostic Interview Version 3 (CIDI 3.0) (Haro et al., 2006). Participants were asked to indicate whether or not they had experienced the following traumatic events:</w:t>
      </w:r>
    </w:p>
    <w:p w14:paraId="1488D189" w14:textId="77777777" w:rsidR="004F7DC6" w:rsidRPr="0047058F" w:rsidRDefault="004F7DC6" w:rsidP="00544CE5">
      <w:pPr>
        <w:pStyle w:val="Bullet"/>
        <w:spacing w:after="120"/>
      </w:pPr>
      <w:r w:rsidRPr="0047058F">
        <w:t>combat (military or organised non-military group)</w:t>
      </w:r>
    </w:p>
    <w:p w14:paraId="5FDB435E" w14:textId="77777777" w:rsidR="004F7DC6" w:rsidRPr="0047058F" w:rsidRDefault="004F7DC6" w:rsidP="00544CE5">
      <w:pPr>
        <w:pStyle w:val="Bullet"/>
        <w:spacing w:after="120"/>
      </w:pPr>
      <w:r w:rsidRPr="0047058F">
        <w:t>being a peacekeeper in a war zone or a place of ongoing terror</w:t>
      </w:r>
    </w:p>
    <w:p w14:paraId="79B45BBD" w14:textId="77777777" w:rsidR="004F7DC6" w:rsidRPr="0047058F" w:rsidRDefault="004F7DC6" w:rsidP="00544CE5">
      <w:pPr>
        <w:pStyle w:val="Bullet"/>
        <w:spacing w:after="120"/>
      </w:pPr>
      <w:r w:rsidRPr="0047058F">
        <w:t>being an unarmed civilian in a place of war, revolution, military coup or invasion</w:t>
      </w:r>
    </w:p>
    <w:p w14:paraId="173065C3" w14:textId="77777777" w:rsidR="004F7DC6" w:rsidRPr="0047058F" w:rsidRDefault="004F7DC6" w:rsidP="00544CE5">
      <w:pPr>
        <w:pStyle w:val="Bullet"/>
        <w:spacing w:after="120"/>
      </w:pPr>
      <w:r w:rsidRPr="0047058F">
        <w:t>living as a civilian in a place of ongoing terror for political, ethnic, religious or other reasons</w:t>
      </w:r>
    </w:p>
    <w:p w14:paraId="36BCA64F" w14:textId="77777777" w:rsidR="004F7DC6" w:rsidRPr="0047058F" w:rsidRDefault="004F7DC6" w:rsidP="00544CE5">
      <w:pPr>
        <w:pStyle w:val="Bullet"/>
        <w:spacing w:after="120"/>
      </w:pPr>
      <w:r w:rsidRPr="0047058F">
        <w:t>being a refugee</w:t>
      </w:r>
    </w:p>
    <w:p w14:paraId="7E44EE93" w14:textId="77777777" w:rsidR="004F7DC6" w:rsidRPr="0047058F" w:rsidRDefault="004F7DC6" w:rsidP="00544CE5">
      <w:pPr>
        <w:pStyle w:val="Bullet"/>
        <w:spacing w:after="120"/>
      </w:pPr>
      <w:r w:rsidRPr="0047058F">
        <w:t>being kidnapped or held captive</w:t>
      </w:r>
    </w:p>
    <w:p w14:paraId="3581815A" w14:textId="77777777" w:rsidR="004F7DC6" w:rsidRPr="0047058F" w:rsidRDefault="004F7DC6" w:rsidP="00544CE5">
      <w:pPr>
        <w:pStyle w:val="Bullet"/>
        <w:spacing w:after="120"/>
      </w:pPr>
      <w:r w:rsidRPr="0047058F">
        <w:t>being exposed to a toxic chemical that could cause serious harm</w:t>
      </w:r>
    </w:p>
    <w:p w14:paraId="444C2E97" w14:textId="77777777" w:rsidR="004F7DC6" w:rsidRPr="0047058F" w:rsidRDefault="004F7DC6" w:rsidP="00544CE5">
      <w:pPr>
        <w:pStyle w:val="Bullet"/>
        <w:spacing w:after="120"/>
      </w:pPr>
      <w:r w:rsidRPr="0047058F">
        <w:t>being in a life-threatening automobile accident</w:t>
      </w:r>
    </w:p>
    <w:p w14:paraId="39A428FA" w14:textId="77777777" w:rsidR="004F7DC6" w:rsidRPr="0047058F" w:rsidRDefault="004F7DC6" w:rsidP="00544CE5">
      <w:pPr>
        <w:pStyle w:val="Bullet"/>
        <w:spacing w:after="120"/>
      </w:pPr>
      <w:r w:rsidRPr="0047058F">
        <w:t>being in any other life-threatening accident</w:t>
      </w:r>
    </w:p>
    <w:p w14:paraId="69C4DBA7" w14:textId="77777777" w:rsidR="004F7DC6" w:rsidRPr="0047058F" w:rsidRDefault="004F7DC6" w:rsidP="00544CE5">
      <w:pPr>
        <w:pStyle w:val="Bullet"/>
        <w:spacing w:after="120"/>
      </w:pPr>
      <w:r w:rsidRPr="0047058F">
        <w:t>being in a major natural disaster</w:t>
      </w:r>
    </w:p>
    <w:p w14:paraId="402B97E5" w14:textId="77777777" w:rsidR="004F7DC6" w:rsidRPr="0047058F" w:rsidRDefault="004F7DC6" w:rsidP="00544CE5">
      <w:pPr>
        <w:pStyle w:val="Bullet"/>
        <w:spacing w:after="120"/>
      </w:pPr>
      <w:r w:rsidRPr="0047058F">
        <w:t>being in a man-made disaster</w:t>
      </w:r>
    </w:p>
    <w:p w14:paraId="636EFA31" w14:textId="77777777" w:rsidR="004F7DC6" w:rsidRPr="0047058F" w:rsidRDefault="004F7DC6" w:rsidP="00544CE5">
      <w:pPr>
        <w:pStyle w:val="Bullet"/>
        <w:spacing w:after="120"/>
      </w:pPr>
      <w:r w:rsidRPr="0047058F">
        <w:t>having a life-threatening illness</w:t>
      </w:r>
    </w:p>
    <w:p w14:paraId="33810703" w14:textId="77777777" w:rsidR="004F7DC6" w:rsidRPr="0047058F" w:rsidRDefault="004F7DC6" w:rsidP="00544CE5">
      <w:pPr>
        <w:pStyle w:val="Bullet"/>
        <w:spacing w:after="120"/>
      </w:pPr>
      <w:r w:rsidRPr="0047058F">
        <w:t>being beaten by a spouse or romantic partner</w:t>
      </w:r>
    </w:p>
    <w:p w14:paraId="77F6D66D" w14:textId="77777777" w:rsidR="004F7DC6" w:rsidRPr="0047058F" w:rsidRDefault="004F7DC6" w:rsidP="00544CE5">
      <w:pPr>
        <w:pStyle w:val="Bullet"/>
        <w:spacing w:after="120"/>
      </w:pPr>
      <w:r w:rsidRPr="0047058F">
        <w:t>being badly beaten by anyone else</w:t>
      </w:r>
    </w:p>
    <w:p w14:paraId="538D19B8" w14:textId="77777777" w:rsidR="004F7DC6" w:rsidRPr="0047058F" w:rsidRDefault="004F7DC6" w:rsidP="00544CE5">
      <w:pPr>
        <w:pStyle w:val="Bullet"/>
        <w:spacing w:after="120"/>
      </w:pPr>
      <w:r w:rsidRPr="0047058F">
        <w:t>being mugged, held up, or threatened with a weapon</w:t>
      </w:r>
    </w:p>
    <w:p w14:paraId="67208713" w14:textId="77777777" w:rsidR="004F7DC6" w:rsidRPr="0047058F" w:rsidRDefault="004F7DC6" w:rsidP="00544CE5">
      <w:pPr>
        <w:pStyle w:val="Bullet"/>
        <w:spacing w:after="120"/>
      </w:pPr>
      <w:r w:rsidRPr="0047058F">
        <w:t>being raped</w:t>
      </w:r>
    </w:p>
    <w:p w14:paraId="65EADEEF" w14:textId="77777777" w:rsidR="004F7DC6" w:rsidRPr="0047058F" w:rsidRDefault="004F7DC6" w:rsidP="00544CE5">
      <w:pPr>
        <w:pStyle w:val="Bullet"/>
        <w:spacing w:after="120"/>
      </w:pPr>
      <w:r w:rsidRPr="0047058F">
        <w:t>being sexually assaulted</w:t>
      </w:r>
    </w:p>
    <w:p w14:paraId="7E775A67" w14:textId="77777777" w:rsidR="004F7DC6" w:rsidRPr="0047058F" w:rsidRDefault="004F7DC6" w:rsidP="00544CE5">
      <w:pPr>
        <w:pStyle w:val="Bullet"/>
        <w:spacing w:after="120"/>
      </w:pPr>
      <w:r w:rsidRPr="0047058F">
        <w:t>being stalked</w:t>
      </w:r>
    </w:p>
    <w:p w14:paraId="43D40A9E" w14:textId="77777777" w:rsidR="004F7DC6" w:rsidRPr="0047058F" w:rsidRDefault="004F7DC6" w:rsidP="00544CE5">
      <w:pPr>
        <w:pStyle w:val="Bullet"/>
        <w:spacing w:after="120"/>
      </w:pPr>
      <w:r w:rsidRPr="0047058F">
        <w:t>having someone close to you die</w:t>
      </w:r>
    </w:p>
    <w:p w14:paraId="38A82A23" w14:textId="77777777" w:rsidR="004F7DC6" w:rsidRPr="0047058F" w:rsidRDefault="004F7DC6" w:rsidP="00544CE5">
      <w:pPr>
        <w:pStyle w:val="Bullet"/>
        <w:spacing w:after="120"/>
      </w:pPr>
      <w:r w:rsidRPr="0047058F">
        <w:t>having a child with a life-threatening illness or injury</w:t>
      </w:r>
    </w:p>
    <w:p w14:paraId="26655948" w14:textId="77777777" w:rsidR="004F7DC6" w:rsidRPr="0047058F" w:rsidRDefault="004F7DC6" w:rsidP="00544CE5">
      <w:pPr>
        <w:pStyle w:val="Bullet"/>
        <w:spacing w:after="120"/>
      </w:pPr>
      <w:r w:rsidRPr="0047058F">
        <w:t>witnessing serious physical fights at home as a child</w:t>
      </w:r>
    </w:p>
    <w:p w14:paraId="191EED76" w14:textId="77777777" w:rsidR="004F7DC6" w:rsidRPr="0047058F" w:rsidRDefault="004F7DC6" w:rsidP="00544CE5">
      <w:pPr>
        <w:pStyle w:val="Bullet"/>
        <w:spacing w:after="120"/>
      </w:pPr>
      <w:r w:rsidRPr="0047058F">
        <w:t>having someone close experience a traumatic event</w:t>
      </w:r>
    </w:p>
    <w:p w14:paraId="52887439" w14:textId="77777777" w:rsidR="004F7DC6" w:rsidRPr="0047058F" w:rsidRDefault="004F7DC6" w:rsidP="00544CE5">
      <w:pPr>
        <w:pStyle w:val="Bullet"/>
        <w:spacing w:after="120"/>
      </w:pPr>
      <w:r w:rsidRPr="0047058F">
        <w:t>witnessing someone badly injured or killed or unexpectedly seeing a dead body</w:t>
      </w:r>
    </w:p>
    <w:p w14:paraId="57DF9CED" w14:textId="77777777" w:rsidR="004F7DC6" w:rsidRPr="0047058F" w:rsidRDefault="004F7DC6" w:rsidP="00544CE5">
      <w:pPr>
        <w:pStyle w:val="Bullet"/>
        <w:spacing w:after="120"/>
      </w:pPr>
      <w:r w:rsidRPr="0047058F">
        <w:t>accidentally injuring or killing someone</w:t>
      </w:r>
    </w:p>
    <w:p w14:paraId="3894115B" w14:textId="77777777" w:rsidR="004F7DC6" w:rsidRPr="0047058F" w:rsidRDefault="004F7DC6" w:rsidP="00544CE5">
      <w:pPr>
        <w:pStyle w:val="Bullet"/>
        <w:spacing w:after="120"/>
      </w:pPr>
      <w:r w:rsidRPr="0047058F">
        <w:t>purposefully injuring, torturing or killing someone</w:t>
      </w:r>
    </w:p>
    <w:p w14:paraId="236AA10F" w14:textId="77777777" w:rsidR="004F7DC6" w:rsidRPr="0047058F" w:rsidRDefault="004F7DC6" w:rsidP="00544CE5">
      <w:pPr>
        <w:pStyle w:val="Bullet"/>
        <w:spacing w:after="120"/>
      </w:pPr>
      <w:r w:rsidRPr="0047058F">
        <w:t>seeing atrocities or carnage such as mutilated bodies or mass killings</w:t>
      </w:r>
    </w:p>
    <w:p w14:paraId="4CB17D7D" w14:textId="77777777" w:rsidR="004F7DC6" w:rsidRPr="0047058F" w:rsidRDefault="004F7DC6" w:rsidP="00544CE5">
      <w:pPr>
        <w:pStyle w:val="Bullet"/>
      </w:pPr>
      <w:r w:rsidRPr="0047058F">
        <w:t>experiencing any other traumatic event.</w:t>
      </w:r>
    </w:p>
    <w:p w14:paraId="5027F15C" w14:textId="77777777" w:rsidR="004F7DC6" w:rsidRPr="0047058F" w:rsidRDefault="004F7DC6" w:rsidP="00544CE5">
      <w:r w:rsidRPr="0047058F">
        <w:t>The number of items endorsed was summed to create a total number of trauma types experienced by the participant, and was then categorised into 0 to 1, 2 to 3, and 4+ types.</w:t>
      </w:r>
    </w:p>
    <w:p w14:paraId="2763452B" w14:textId="77777777" w:rsidR="004F7DC6" w:rsidRPr="0047058F" w:rsidRDefault="004F7DC6" w:rsidP="00544CE5">
      <w:r w:rsidRPr="0047058F">
        <w:t>Participants were asked about traumatic deployment exposures using items drawn from the Middle East Area of Operations Census Study (Dobson et al., 2012). They were presented with a list of exposures and asked to indicate how many times they had experienced each one on deployment during their military career and since 2011. Response categories were 0 (‘never’), 1 (‘once’), 2 (‘2–4 times’), 3 (‘5–9 times’) and 4 (‘10+ times’).</w:t>
      </w:r>
    </w:p>
    <w:p w14:paraId="266147EF" w14:textId="77777777" w:rsidR="004F7DC6" w:rsidRPr="0047058F" w:rsidRDefault="004F7DC6" w:rsidP="00544CE5">
      <w:pPr>
        <w:keepNext/>
      </w:pPr>
      <w:r w:rsidRPr="0047058F">
        <w:t>Traumatic deployment exposure items included:</w:t>
      </w:r>
    </w:p>
    <w:p w14:paraId="7D114FF9" w14:textId="77777777" w:rsidR="004F7DC6" w:rsidRPr="0047058F" w:rsidRDefault="004F7DC6" w:rsidP="00F97EE1">
      <w:pPr>
        <w:pStyle w:val="Bullet"/>
        <w:keepNext/>
        <w:spacing w:after="180"/>
      </w:pPr>
      <w:r w:rsidRPr="0047058F">
        <w:t>Seriously fear you would encounter an improvised explosive device?</w:t>
      </w:r>
    </w:p>
    <w:p w14:paraId="1C35ED7C" w14:textId="77777777" w:rsidR="004F7DC6" w:rsidRPr="0047058F" w:rsidRDefault="004F7DC6" w:rsidP="00F97EE1">
      <w:pPr>
        <w:pStyle w:val="Bullet"/>
        <w:numPr>
          <w:ilvl w:val="0"/>
          <w:numId w:val="1"/>
        </w:numPr>
        <w:spacing w:after="180"/>
        <w:ind w:left="360"/>
      </w:pPr>
      <w:r w:rsidRPr="0047058F">
        <w:t>Go on combat patrols/missions or participate in support convoys?</w:t>
      </w:r>
    </w:p>
    <w:p w14:paraId="5BE4626C" w14:textId="77777777" w:rsidR="004F7DC6" w:rsidRPr="0047058F" w:rsidRDefault="004F7DC6" w:rsidP="00F97EE1">
      <w:pPr>
        <w:pStyle w:val="Bullet"/>
        <w:numPr>
          <w:ilvl w:val="0"/>
          <w:numId w:val="1"/>
        </w:numPr>
        <w:spacing w:after="180"/>
        <w:ind w:left="360"/>
      </w:pPr>
      <w:r w:rsidRPr="0047058F">
        <w:t>Concerned about yourself or others (including allies) having an unauthorised discharge of a weapon?</w:t>
      </w:r>
    </w:p>
    <w:p w14:paraId="63A0A1CC" w14:textId="77777777" w:rsidR="004F7DC6" w:rsidRPr="0047058F" w:rsidRDefault="004F7DC6" w:rsidP="00F97EE1">
      <w:pPr>
        <w:pStyle w:val="Bullet"/>
        <w:numPr>
          <w:ilvl w:val="0"/>
          <w:numId w:val="1"/>
        </w:numPr>
        <w:spacing w:after="180"/>
        <w:ind w:left="360"/>
      </w:pPr>
      <w:r w:rsidRPr="0047058F">
        <w:t>Clear/search buildings, caves, vessel, etc.?</w:t>
      </w:r>
    </w:p>
    <w:p w14:paraId="246C03C6" w14:textId="77777777" w:rsidR="004F7DC6" w:rsidRPr="0047058F" w:rsidRDefault="004F7DC6" w:rsidP="00F97EE1">
      <w:pPr>
        <w:pStyle w:val="Bullet"/>
        <w:numPr>
          <w:ilvl w:val="0"/>
          <w:numId w:val="1"/>
        </w:numPr>
        <w:spacing w:after="180"/>
        <w:ind w:left="360"/>
      </w:pPr>
      <w:r w:rsidRPr="0047058F">
        <w:t>Come under fire (i.e. small arms or anti-aircraft fire, guided or directed mortar/artillery fire or missile attack, indirect fire (e.g. rocket attack), improvised explosive device/explosive ordnance disposal detonation, suicide bombing, landmine strike, small arms fire from an unknown enemy combatant)?</w:t>
      </w:r>
    </w:p>
    <w:p w14:paraId="5ED995A6" w14:textId="77777777" w:rsidR="004F7DC6" w:rsidRPr="0047058F" w:rsidRDefault="004F7DC6" w:rsidP="00F97EE1">
      <w:pPr>
        <w:pStyle w:val="Bullet"/>
        <w:numPr>
          <w:ilvl w:val="0"/>
          <w:numId w:val="1"/>
        </w:numPr>
        <w:spacing w:after="180"/>
        <w:ind w:left="360"/>
      </w:pPr>
      <w:r w:rsidRPr="0047058F">
        <w:t>In danger of being killed or injured?</w:t>
      </w:r>
    </w:p>
    <w:p w14:paraId="5C4EEF86" w14:textId="77777777" w:rsidR="004F7DC6" w:rsidRPr="0047058F" w:rsidRDefault="004F7DC6" w:rsidP="00F97EE1">
      <w:pPr>
        <w:pStyle w:val="Bullet"/>
        <w:numPr>
          <w:ilvl w:val="0"/>
          <w:numId w:val="1"/>
        </w:numPr>
        <w:spacing w:after="180"/>
        <w:ind w:left="360"/>
      </w:pPr>
      <w:r w:rsidRPr="0047058F">
        <w:t>Have casualties among people close to you (i.e. were present or heard of a close friend, co-worker or loved one who had been injured or killed)?</w:t>
      </w:r>
    </w:p>
    <w:p w14:paraId="5B47C8EF" w14:textId="77777777" w:rsidR="004F7DC6" w:rsidRPr="0047058F" w:rsidRDefault="004F7DC6" w:rsidP="00F97EE1">
      <w:pPr>
        <w:pStyle w:val="Bullet"/>
        <w:numPr>
          <w:ilvl w:val="0"/>
          <w:numId w:val="1"/>
        </w:numPr>
        <w:spacing w:after="180"/>
        <w:ind w:left="360"/>
      </w:pPr>
      <w:r w:rsidRPr="0047058F">
        <w:t>Handle or see dead bodies?</w:t>
      </w:r>
    </w:p>
    <w:p w14:paraId="6BF4702F" w14:textId="77777777" w:rsidR="004F7DC6" w:rsidRPr="0047058F" w:rsidRDefault="004F7DC6" w:rsidP="00F97EE1">
      <w:pPr>
        <w:pStyle w:val="Bullet"/>
        <w:numPr>
          <w:ilvl w:val="0"/>
          <w:numId w:val="1"/>
        </w:numPr>
        <w:spacing w:after="180"/>
        <w:ind w:left="360"/>
      </w:pPr>
      <w:r w:rsidRPr="0047058F">
        <w:t>Experience a threatening situation where you were unable to respond due to the rules of engagement?</w:t>
      </w:r>
    </w:p>
    <w:p w14:paraId="1B80A27A" w14:textId="77777777" w:rsidR="004F7DC6" w:rsidRPr="0047058F" w:rsidRDefault="004F7DC6" w:rsidP="00F97EE1">
      <w:pPr>
        <w:pStyle w:val="Bullet"/>
        <w:numPr>
          <w:ilvl w:val="0"/>
          <w:numId w:val="1"/>
        </w:numPr>
        <w:spacing w:after="180"/>
        <w:ind w:left="360"/>
      </w:pPr>
      <w:r w:rsidRPr="0047058F">
        <w:t>Witness human degradation and misery on a large scale?</w:t>
      </w:r>
    </w:p>
    <w:p w14:paraId="30E5EF46" w14:textId="77777777" w:rsidR="004F7DC6" w:rsidRPr="0047058F" w:rsidRDefault="004F7DC6" w:rsidP="00F97EE1">
      <w:pPr>
        <w:pStyle w:val="Bullet"/>
        <w:numPr>
          <w:ilvl w:val="0"/>
          <w:numId w:val="1"/>
        </w:numPr>
        <w:spacing w:after="180"/>
        <w:ind w:left="360"/>
      </w:pPr>
      <w:r w:rsidRPr="0047058F">
        <w:t>Discharge your weapon in direct combat?</w:t>
      </w:r>
    </w:p>
    <w:p w14:paraId="001918D1" w14:textId="77777777" w:rsidR="004F7DC6" w:rsidRPr="0047058F" w:rsidRDefault="004F7DC6" w:rsidP="00031ACA">
      <w:pPr>
        <w:pStyle w:val="Bullet"/>
        <w:numPr>
          <w:ilvl w:val="0"/>
          <w:numId w:val="1"/>
        </w:numPr>
        <w:ind w:left="360"/>
      </w:pPr>
      <w:r w:rsidRPr="0047058F">
        <w:t>Believe your action or inaction resulted in someone being seriously injured or killed?</w:t>
      </w:r>
    </w:p>
    <w:p w14:paraId="5DD9A8DF" w14:textId="77777777" w:rsidR="004F7DC6" w:rsidRPr="0047058F" w:rsidRDefault="004F7DC6" w:rsidP="00544CE5">
      <w:r w:rsidRPr="0047058F">
        <w:t>Traumatic deployment exposures were summed and then categorised into low (0–4), moderate (5–12), and high (13–48).</w:t>
      </w:r>
    </w:p>
    <w:p w14:paraId="02304D88" w14:textId="77777777" w:rsidR="004F7DC6" w:rsidRPr="0047058F" w:rsidRDefault="004F7DC6" w:rsidP="00544CE5">
      <w:r w:rsidRPr="0047058F">
        <w:t>The outcome variables (K10 and PCL-C) have been discussed in detail in Chapter 5.</w:t>
      </w:r>
    </w:p>
    <w:p w14:paraId="121B0558" w14:textId="77777777" w:rsidR="004F7DC6" w:rsidRPr="0047058F" w:rsidRDefault="004F7DC6" w:rsidP="00860F45">
      <w:pPr>
        <w:pStyle w:val="Heading2"/>
      </w:pPr>
      <w:bookmarkStart w:id="449" w:name="_Toc529117481"/>
      <w:bookmarkStart w:id="450" w:name="_Toc532474386"/>
      <w:r w:rsidRPr="0047058F">
        <w:t>Rates of probable disorder, subsyndromal disorder and no disorder in the longitudinal cohort</w:t>
      </w:r>
      <w:bookmarkEnd w:id="449"/>
      <w:bookmarkEnd w:id="450"/>
    </w:p>
    <w:p w14:paraId="31A8B785" w14:textId="77777777" w:rsidR="004F7DC6" w:rsidRPr="0047058F" w:rsidRDefault="004F7DC6" w:rsidP="00544CE5">
      <w:r w:rsidRPr="0047058F">
        <w:t>Table 6.1 and Figure 6.1, Table 6.2 and Figure 6.2, and Table 6.3 and Figure 6.3 show the proportion of those with no disorder, subsyndromal disorder and probable disorder in 2010 cross-tabulated by the same groupings in 2015, among the entire longitudinal cohort, and according to whether they had transitioned or remained in the Regular ADF in 2015.</w:t>
      </w:r>
    </w:p>
    <w:p w14:paraId="30953CCA" w14:textId="77777777" w:rsidR="004F7DC6" w:rsidRPr="0047058F" w:rsidRDefault="004F7DC6" w:rsidP="00544CE5">
      <w:r w:rsidRPr="0047058F">
        <w:t>In 2010, 27.2% of the cohort reported subsyndromal disorder and 8.8% reported probable disorder. In 2015, subsyndromal disorder decreased to 23.1%, but probable disorder almost doubled to 16.0%. Among those with no disorder in 2010, 15.7% became new cases of subsyndromal disorder in 2015 and 10.1% became new cases of probable disorder. Of those with subsyndromal disorder in 2010, 36.9% remained subsyndromal in 2015, 21.0% became probable cases and 42.1% no longer reported a disorder. There were 43.4% of those with probable disorder in 2010 who also reported this in 2015, with 34.1% becoming subsyndromal and 22.5% no longer reporting a disorder.</w:t>
      </w:r>
    </w:p>
    <w:p w14:paraId="01625078" w14:textId="77777777" w:rsidR="00F97EE1" w:rsidRPr="0047058F" w:rsidRDefault="00F97EE1" w:rsidP="00544CE5">
      <w:bookmarkStart w:id="451" w:name="_Ref384558971"/>
      <w:bookmarkStart w:id="452" w:name="_Toc529117543"/>
      <w:r w:rsidRPr="0047058F">
        <w:t>Among those who had transitioned, 30.3% had subsyndromal disorder in 2010 and 13.1% had probable disorder. In 2015, subsyndromal disorder decreased to 25.8% and probable disorder increased to 24.4%. Of those with no disorder in 2010, 19.9% became new cases of subsyndromal disorder and 14.7% became new cases of probable disorder. Among those with subsyndromal disorder in 2010, 36.8% remained subsyndromal, 27.6% were now probable cases and 35.7% were no longer cases. A substantial 59.1% of those who were probable cases in 2010 were still probable cases in 2015, with 25.5% dropping to subsyndromal and 15.3% no longer cases at all.</w:t>
      </w:r>
    </w:p>
    <w:p w14:paraId="6926377C" w14:textId="77777777" w:rsidR="00F97EE1" w:rsidRPr="0047058F" w:rsidRDefault="00F97EE1" w:rsidP="00544CE5">
      <w:r w:rsidRPr="0047058F">
        <w:t>Those who remained in the Regular ADF reported lower rates of disorder compared to those who had transitioned at both time points. In 2010, 26.0% reported subsyndromal disorder, and 7.1% reported probable disorder. In 2015, subsyndromal decreased to 22.1% and probable disorder to 12.8%. Of those with no disorder in 2010, 14.4% were new cases of subsyndromal disorder in 2015 and 8.6% were new cases of probable disorder. Among those who were subsyndromal in 2010, 37.0% remained subsyndromal, 18.1% became cases of probable disorder and 44.9% no longer reported a disorder. There were 32.4% of participants who were cases of probable disorder in 2010 and who also reported probable disorder in 2015. Subsyndromal disorder was reported by 40.1% of this subsample and 27.6% were no longer cases in 2015.</w:t>
      </w:r>
    </w:p>
    <w:p w14:paraId="7A2B7CC4" w14:textId="77777777" w:rsidR="00F97EE1" w:rsidRPr="0047058F" w:rsidRDefault="00F97EE1" w:rsidP="00544CE5">
      <w:r w:rsidRPr="0047058F">
        <w:t>When comparing Transitioned ADF and 2015 Regular ADF, more 2015 Regular ADF who had no disorder in 2010 remained disorder free in 2015 (77.0% vs 65.4%). Conversely, more Transitioned ADF who had probable disorder in 2010 remained cases of probable disorder in 2015 (59.1% vs 32.4%).</w:t>
      </w:r>
    </w:p>
    <w:p w14:paraId="6849D232" w14:textId="77777777" w:rsidR="004F7DC6" w:rsidRPr="0047058F" w:rsidRDefault="004F7DC6" w:rsidP="004F7DC6">
      <w:pPr>
        <w:pStyle w:val="TableName"/>
      </w:pPr>
      <w:bookmarkStart w:id="453" w:name="_Toc532473613"/>
      <w:r w:rsidRPr="0047058F">
        <w:t>Table 6.1</w:t>
      </w:r>
      <w:bookmarkEnd w:id="451"/>
      <w:r w:rsidRPr="0047058F">
        <w:tab/>
        <w:t xml:space="preserve">Proportion of </w:t>
      </w:r>
      <w:r w:rsidRPr="0047058F">
        <w:rPr>
          <w:u w:val="single"/>
        </w:rPr>
        <w:t>entire longitudinal cohort</w:t>
      </w:r>
      <w:r w:rsidRPr="0047058F">
        <w:t xml:space="preserve"> with no disorder, subsyndromal disorder and probable disorder in 2010 and 2015 based on self-reported measures</w:t>
      </w:r>
      <w:bookmarkEnd w:id="452"/>
      <w:bookmarkEnd w:id="453"/>
    </w:p>
    <w:tbl>
      <w:tblPr>
        <w:tblStyle w:val="TWRPTable"/>
        <w:tblW w:w="5000" w:type="pct"/>
        <w:tblLayout w:type="fixed"/>
        <w:tblLook w:val="04A0" w:firstRow="1" w:lastRow="0" w:firstColumn="1" w:lastColumn="0" w:noHBand="0" w:noVBand="1"/>
        <w:tblDescription w:val="Table 6.1 Proportion of entire longitudinal cohort with no disorder, subsyndromal disorder and probable disorder in 2010 and 2015 based on self-reported measures"/>
      </w:tblPr>
      <w:tblGrid>
        <w:gridCol w:w="2718"/>
        <w:gridCol w:w="582"/>
        <w:gridCol w:w="585"/>
        <w:gridCol w:w="571"/>
        <w:gridCol w:w="572"/>
        <w:gridCol w:w="572"/>
        <w:gridCol w:w="571"/>
        <w:gridCol w:w="572"/>
        <w:gridCol w:w="572"/>
      </w:tblGrid>
      <w:tr w:rsidR="004F7DC6" w:rsidRPr="0047058F" w14:paraId="5DCDB810"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2656" w:type="pct"/>
            <w:gridSpan w:val="3"/>
            <w:vMerge w:val="restart"/>
          </w:tcPr>
          <w:p w14:paraId="7311A692" w14:textId="77777777" w:rsidR="004F7DC6" w:rsidRPr="0047058F" w:rsidRDefault="004F7DC6" w:rsidP="007A0888">
            <w:pPr>
              <w:pStyle w:val="TableText"/>
            </w:pPr>
            <w:r w:rsidRPr="0047058F">
              <w:t>2010 ADF Mental Health Prevalence and Wellbeing Study</w:t>
            </w:r>
          </w:p>
        </w:tc>
        <w:tc>
          <w:tcPr>
            <w:tcW w:w="2344" w:type="pct"/>
            <w:gridSpan w:val="6"/>
          </w:tcPr>
          <w:p w14:paraId="07302A26" w14:textId="77777777" w:rsidR="004F7DC6" w:rsidRPr="0047058F" w:rsidRDefault="004F7DC6" w:rsidP="007A0888">
            <w:pPr>
              <w:pStyle w:val="TableText"/>
              <w:jc w:val="center"/>
            </w:pPr>
            <w:r w:rsidRPr="0047058F">
              <w:t>2015 Transition and Wellbeing Research Programme</w:t>
            </w:r>
          </w:p>
        </w:tc>
      </w:tr>
      <w:tr w:rsidR="004F7DC6" w:rsidRPr="0047058F" w14:paraId="10033DC8"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2656" w:type="pct"/>
            <w:gridSpan w:val="3"/>
            <w:vMerge/>
          </w:tcPr>
          <w:p w14:paraId="381B29DC" w14:textId="77777777" w:rsidR="004F7DC6" w:rsidRPr="0047058F" w:rsidRDefault="004F7DC6" w:rsidP="007A0888">
            <w:pPr>
              <w:pStyle w:val="TableText"/>
            </w:pPr>
          </w:p>
        </w:tc>
        <w:tc>
          <w:tcPr>
            <w:tcW w:w="781" w:type="pct"/>
            <w:gridSpan w:val="2"/>
            <w:hideMark/>
          </w:tcPr>
          <w:p w14:paraId="0521B3EB" w14:textId="77777777" w:rsidR="004F7DC6" w:rsidRPr="0047058F" w:rsidRDefault="004F7DC6" w:rsidP="007A0888">
            <w:pPr>
              <w:pStyle w:val="TableText"/>
              <w:jc w:val="center"/>
            </w:pPr>
            <w:r w:rsidRPr="0047058F">
              <w:t>No disorder</w:t>
            </w:r>
          </w:p>
        </w:tc>
        <w:tc>
          <w:tcPr>
            <w:tcW w:w="781" w:type="pct"/>
            <w:gridSpan w:val="2"/>
          </w:tcPr>
          <w:p w14:paraId="78FFED6C" w14:textId="77777777" w:rsidR="004F7DC6" w:rsidRPr="0047058F" w:rsidRDefault="004F7DC6" w:rsidP="007A0888">
            <w:pPr>
              <w:pStyle w:val="TableText"/>
              <w:jc w:val="center"/>
            </w:pPr>
            <w:r w:rsidRPr="0047058F">
              <w:t>Subsyndromal disorder</w:t>
            </w:r>
          </w:p>
        </w:tc>
        <w:tc>
          <w:tcPr>
            <w:tcW w:w="782" w:type="pct"/>
            <w:gridSpan w:val="2"/>
          </w:tcPr>
          <w:p w14:paraId="0D444B23" w14:textId="77777777" w:rsidR="004F7DC6" w:rsidRPr="0047058F" w:rsidRDefault="004F7DC6" w:rsidP="007A0888">
            <w:pPr>
              <w:pStyle w:val="TableText"/>
              <w:jc w:val="center"/>
            </w:pPr>
            <w:r w:rsidRPr="0047058F">
              <w:t>Probable disorder</w:t>
            </w:r>
          </w:p>
        </w:tc>
      </w:tr>
      <w:tr w:rsidR="004F7DC6" w:rsidRPr="0047058F" w14:paraId="6EBAB42B"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1858" w:type="pct"/>
          </w:tcPr>
          <w:p w14:paraId="6765E0BE" w14:textId="77777777" w:rsidR="004F7DC6" w:rsidRPr="0047058F" w:rsidRDefault="004F7DC6" w:rsidP="007A0888">
            <w:pPr>
              <w:pStyle w:val="TableText"/>
            </w:pPr>
            <w:r w:rsidRPr="0047058F">
              <w:rPr>
                <w:rFonts w:cs="Arial"/>
              </w:rPr>
              <w:t>K10 and PCL-C</w:t>
            </w:r>
          </w:p>
        </w:tc>
        <w:tc>
          <w:tcPr>
            <w:tcW w:w="398" w:type="pct"/>
          </w:tcPr>
          <w:p w14:paraId="4A6BD6FA" w14:textId="77777777" w:rsidR="004F7DC6" w:rsidRPr="0047058F" w:rsidRDefault="004F7DC6" w:rsidP="007A0888">
            <w:pPr>
              <w:pStyle w:val="TableText"/>
              <w:jc w:val="right"/>
              <w:rPr>
                <w:rFonts w:cs="Arial"/>
              </w:rPr>
            </w:pPr>
            <w:r w:rsidRPr="0047058F">
              <w:rPr>
                <w:rFonts w:cs="Arial"/>
              </w:rPr>
              <w:t>n</w:t>
            </w:r>
          </w:p>
        </w:tc>
        <w:tc>
          <w:tcPr>
            <w:tcW w:w="400" w:type="pct"/>
          </w:tcPr>
          <w:p w14:paraId="26231BA0" w14:textId="77777777" w:rsidR="004F7DC6" w:rsidRPr="0047058F" w:rsidRDefault="004F7DC6" w:rsidP="007A0888">
            <w:pPr>
              <w:pStyle w:val="TableText"/>
              <w:jc w:val="right"/>
              <w:rPr>
                <w:rFonts w:cs="Arial"/>
              </w:rPr>
            </w:pPr>
            <w:r w:rsidRPr="0047058F">
              <w:rPr>
                <w:rFonts w:cs="Arial"/>
              </w:rPr>
              <w:t>%</w:t>
            </w:r>
          </w:p>
        </w:tc>
        <w:tc>
          <w:tcPr>
            <w:tcW w:w="390" w:type="pct"/>
          </w:tcPr>
          <w:p w14:paraId="2BE784B2" w14:textId="77777777" w:rsidR="004F7DC6" w:rsidRPr="0047058F" w:rsidRDefault="004F7DC6" w:rsidP="007A0888">
            <w:pPr>
              <w:pStyle w:val="TableText"/>
              <w:jc w:val="right"/>
              <w:rPr>
                <w:rFonts w:cs="Arial"/>
              </w:rPr>
            </w:pPr>
            <w:r w:rsidRPr="0047058F">
              <w:rPr>
                <w:rFonts w:cs="Arial"/>
              </w:rPr>
              <w:t>n</w:t>
            </w:r>
          </w:p>
        </w:tc>
        <w:tc>
          <w:tcPr>
            <w:tcW w:w="391" w:type="pct"/>
          </w:tcPr>
          <w:p w14:paraId="6BDA63A6" w14:textId="77777777" w:rsidR="004F7DC6" w:rsidRPr="0047058F" w:rsidRDefault="004F7DC6" w:rsidP="007A0888">
            <w:pPr>
              <w:pStyle w:val="TableText"/>
              <w:jc w:val="right"/>
              <w:rPr>
                <w:rFonts w:cs="Arial"/>
              </w:rPr>
            </w:pPr>
            <w:r w:rsidRPr="0047058F">
              <w:rPr>
                <w:rFonts w:cs="Arial"/>
              </w:rPr>
              <w:t>%</w:t>
            </w:r>
          </w:p>
        </w:tc>
        <w:tc>
          <w:tcPr>
            <w:tcW w:w="391" w:type="pct"/>
          </w:tcPr>
          <w:p w14:paraId="342DBFFB" w14:textId="77777777" w:rsidR="004F7DC6" w:rsidRPr="0047058F" w:rsidRDefault="004F7DC6" w:rsidP="007A0888">
            <w:pPr>
              <w:pStyle w:val="TableText"/>
              <w:jc w:val="right"/>
              <w:rPr>
                <w:rFonts w:cs="Arial"/>
              </w:rPr>
            </w:pPr>
            <w:r w:rsidRPr="0047058F">
              <w:rPr>
                <w:rFonts w:cs="Arial"/>
              </w:rPr>
              <w:t>n</w:t>
            </w:r>
          </w:p>
        </w:tc>
        <w:tc>
          <w:tcPr>
            <w:tcW w:w="390" w:type="pct"/>
          </w:tcPr>
          <w:p w14:paraId="5A2AD095" w14:textId="77777777" w:rsidR="004F7DC6" w:rsidRPr="0047058F" w:rsidRDefault="004F7DC6" w:rsidP="007A0888">
            <w:pPr>
              <w:pStyle w:val="TableText"/>
              <w:jc w:val="right"/>
              <w:rPr>
                <w:rFonts w:cs="Arial"/>
              </w:rPr>
            </w:pPr>
            <w:r w:rsidRPr="0047058F">
              <w:rPr>
                <w:rFonts w:cs="Arial"/>
              </w:rPr>
              <w:t>%</w:t>
            </w:r>
          </w:p>
        </w:tc>
        <w:tc>
          <w:tcPr>
            <w:tcW w:w="391" w:type="pct"/>
          </w:tcPr>
          <w:p w14:paraId="3790BA26" w14:textId="77777777" w:rsidR="004F7DC6" w:rsidRPr="0047058F" w:rsidRDefault="004F7DC6" w:rsidP="007A0888">
            <w:pPr>
              <w:pStyle w:val="TableText"/>
              <w:jc w:val="right"/>
              <w:rPr>
                <w:rFonts w:cs="Arial"/>
              </w:rPr>
            </w:pPr>
            <w:r w:rsidRPr="0047058F">
              <w:rPr>
                <w:rFonts w:cs="Arial"/>
              </w:rPr>
              <w:t>n</w:t>
            </w:r>
          </w:p>
        </w:tc>
        <w:tc>
          <w:tcPr>
            <w:tcW w:w="391" w:type="pct"/>
          </w:tcPr>
          <w:p w14:paraId="46420B5C" w14:textId="77777777" w:rsidR="004F7DC6" w:rsidRPr="0047058F" w:rsidRDefault="004F7DC6" w:rsidP="007A0888">
            <w:pPr>
              <w:pStyle w:val="TableText"/>
              <w:jc w:val="right"/>
              <w:rPr>
                <w:rFonts w:cs="Arial"/>
              </w:rPr>
            </w:pPr>
            <w:r w:rsidRPr="0047058F">
              <w:rPr>
                <w:rFonts w:cs="Arial"/>
              </w:rPr>
              <w:t>%</w:t>
            </w:r>
          </w:p>
        </w:tc>
      </w:tr>
      <w:tr w:rsidR="00544CE5" w:rsidRPr="0047058F" w14:paraId="6A8C1E52" w14:textId="77777777" w:rsidTr="007A0888">
        <w:trPr>
          <w:cnfStyle w:val="000000100000" w:firstRow="0" w:lastRow="0" w:firstColumn="0" w:lastColumn="0" w:oddVBand="0" w:evenVBand="0" w:oddHBand="1" w:evenHBand="0" w:firstRowFirstColumn="0" w:firstRowLastColumn="0" w:lastRowFirstColumn="0" w:lastRowLastColumn="0"/>
          <w:cantSplit/>
        </w:trPr>
        <w:tc>
          <w:tcPr>
            <w:tcW w:w="1858" w:type="pct"/>
          </w:tcPr>
          <w:p w14:paraId="0B9EB71B" w14:textId="77777777" w:rsidR="004F7DC6" w:rsidRPr="0047058F" w:rsidRDefault="004F7DC6" w:rsidP="007A0888">
            <w:pPr>
              <w:pStyle w:val="TableText"/>
            </w:pPr>
            <w:r w:rsidRPr="0047058F">
              <w:t>No disorder: Below both screening and epidemiological cut-offs</w:t>
            </w:r>
          </w:p>
        </w:tc>
        <w:tc>
          <w:tcPr>
            <w:tcW w:w="398" w:type="pct"/>
          </w:tcPr>
          <w:p w14:paraId="62E3466C" w14:textId="77777777" w:rsidR="004F7DC6" w:rsidRPr="0047058F" w:rsidRDefault="004F7DC6" w:rsidP="007A0888">
            <w:pPr>
              <w:pStyle w:val="TableText"/>
              <w:jc w:val="right"/>
            </w:pPr>
            <w:r w:rsidRPr="0047058F">
              <w:t>4864</w:t>
            </w:r>
          </w:p>
        </w:tc>
        <w:tc>
          <w:tcPr>
            <w:tcW w:w="400" w:type="pct"/>
          </w:tcPr>
          <w:p w14:paraId="44117F3E" w14:textId="77777777" w:rsidR="004F7DC6" w:rsidRPr="0047058F" w:rsidRDefault="004F7DC6" w:rsidP="007A0888">
            <w:pPr>
              <w:pStyle w:val="TableText"/>
              <w:jc w:val="right"/>
            </w:pPr>
            <w:r w:rsidRPr="0047058F">
              <w:t>64.0</w:t>
            </w:r>
          </w:p>
        </w:tc>
        <w:tc>
          <w:tcPr>
            <w:tcW w:w="390" w:type="pct"/>
          </w:tcPr>
          <w:p w14:paraId="6E4B377A" w14:textId="77777777" w:rsidR="004F7DC6" w:rsidRPr="0047058F" w:rsidRDefault="004F7DC6" w:rsidP="007A0888">
            <w:pPr>
              <w:pStyle w:val="TableText"/>
              <w:jc w:val="right"/>
            </w:pPr>
            <w:r w:rsidRPr="0047058F">
              <w:t>3610</w:t>
            </w:r>
          </w:p>
        </w:tc>
        <w:tc>
          <w:tcPr>
            <w:tcW w:w="391" w:type="pct"/>
          </w:tcPr>
          <w:p w14:paraId="569C27DF" w14:textId="77777777" w:rsidR="004F7DC6" w:rsidRPr="0047058F" w:rsidRDefault="004F7DC6" w:rsidP="007A0888">
            <w:pPr>
              <w:pStyle w:val="TableText"/>
              <w:jc w:val="right"/>
            </w:pPr>
            <w:r w:rsidRPr="0047058F">
              <w:t>74.2</w:t>
            </w:r>
          </w:p>
        </w:tc>
        <w:tc>
          <w:tcPr>
            <w:tcW w:w="391" w:type="pct"/>
          </w:tcPr>
          <w:p w14:paraId="3FB28D39" w14:textId="77777777" w:rsidR="004F7DC6" w:rsidRPr="0047058F" w:rsidRDefault="004F7DC6" w:rsidP="007A0888">
            <w:pPr>
              <w:pStyle w:val="TableText"/>
              <w:jc w:val="right"/>
            </w:pPr>
            <w:r w:rsidRPr="0047058F">
              <w:t>764</w:t>
            </w:r>
          </w:p>
        </w:tc>
        <w:tc>
          <w:tcPr>
            <w:tcW w:w="390" w:type="pct"/>
          </w:tcPr>
          <w:p w14:paraId="3FE09D2C" w14:textId="77777777" w:rsidR="004F7DC6" w:rsidRPr="0047058F" w:rsidRDefault="004F7DC6" w:rsidP="007A0888">
            <w:pPr>
              <w:pStyle w:val="TableText"/>
              <w:jc w:val="right"/>
            </w:pPr>
            <w:r w:rsidRPr="0047058F">
              <w:t>15.7</w:t>
            </w:r>
          </w:p>
        </w:tc>
        <w:tc>
          <w:tcPr>
            <w:tcW w:w="391" w:type="pct"/>
          </w:tcPr>
          <w:p w14:paraId="26FA762E" w14:textId="77777777" w:rsidR="004F7DC6" w:rsidRPr="0047058F" w:rsidRDefault="004F7DC6" w:rsidP="007A0888">
            <w:pPr>
              <w:pStyle w:val="TableText"/>
              <w:jc w:val="right"/>
            </w:pPr>
            <w:r w:rsidRPr="0047058F">
              <w:t>490</w:t>
            </w:r>
          </w:p>
        </w:tc>
        <w:tc>
          <w:tcPr>
            <w:tcW w:w="391" w:type="pct"/>
          </w:tcPr>
          <w:p w14:paraId="71948A57" w14:textId="77777777" w:rsidR="004F7DC6" w:rsidRPr="0047058F" w:rsidRDefault="004F7DC6" w:rsidP="007A0888">
            <w:pPr>
              <w:pStyle w:val="TableText"/>
              <w:jc w:val="right"/>
            </w:pPr>
            <w:r w:rsidRPr="0047058F">
              <w:t>10.1</w:t>
            </w:r>
          </w:p>
        </w:tc>
      </w:tr>
      <w:tr w:rsidR="004F7DC6" w:rsidRPr="0047058F" w14:paraId="1BA66101" w14:textId="77777777" w:rsidTr="007A0888">
        <w:trPr>
          <w:cantSplit/>
        </w:trPr>
        <w:tc>
          <w:tcPr>
            <w:tcW w:w="1858" w:type="pct"/>
          </w:tcPr>
          <w:p w14:paraId="1C740D3A" w14:textId="77777777" w:rsidR="004F7DC6" w:rsidRPr="0047058F" w:rsidRDefault="004F7DC6" w:rsidP="007A0888">
            <w:pPr>
              <w:pStyle w:val="TableText"/>
            </w:pPr>
            <w:r w:rsidRPr="0047058F">
              <w:t>Subsyndromal disorder: Above screening cut-off but below epidemiological cut-off</w:t>
            </w:r>
          </w:p>
        </w:tc>
        <w:tc>
          <w:tcPr>
            <w:tcW w:w="398" w:type="pct"/>
          </w:tcPr>
          <w:p w14:paraId="2B2C30F4" w14:textId="77777777" w:rsidR="004F7DC6" w:rsidRPr="0047058F" w:rsidRDefault="004F7DC6" w:rsidP="007A0888">
            <w:pPr>
              <w:pStyle w:val="TableText"/>
              <w:jc w:val="right"/>
            </w:pPr>
            <w:r w:rsidRPr="0047058F">
              <w:t>2065</w:t>
            </w:r>
          </w:p>
        </w:tc>
        <w:tc>
          <w:tcPr>
            <w:tcW w:w="400" w:type="pct"/>
          </w:tcPr>
          <w:p w14:paraId="595ED409" w14:textId="77777777" w:rsidR="004F7DC6" w:rsidRPr="0047058F" w:rsidRDefault="004F7DC6" w:rsidP="007A0888">
            <w:pPr>
              <w:pStyle w:val="TableText"/>
              <w:jc w:val="right"/>
            </w:pPr>
            <w:r w:rsidRPr="0047058F">
              <w:t>27.2</w:t>
            </w:r>
          </w:p>
        </w:tc>
        <w:tc>
          <w:tcPr>
            <w:tcW w:w="390" w:type="pct"/>
          </w:tcPr>
          <w:p w14:paraId="25F93D7B" w14:textId="77777777" w:rsidR="004F7DC6" w:rsidRPr="0047058F" w:rsidRDefault="004F7DC6" w:rsidP="007A0888">
            <w:pPr>
              <w:pStyle w:val="TableText"/>
              <w:jc w:val="right"/>
            </w:pPr>
            <w:r w:rsidRPr="0047058F">
              <w:t>869</w:t>
            </w:r>
          </w:p>
        </w:tc>
        <w:tc>
          <w:tcPr>
            <w:tcW w:w="391" w:type="pct"/>
          </w:tcPr>
          <w:p w14:paraId="65B853D9" w14:textId="77777777" w:rsidR="004F7DC6" w:rsidRPr="0047058F" w:rsidRDefault="004F7DC6" w:rsidP="007A0888">
            <w:pPr>
              <w:pStyle w:val="TableText"/>
              <w:jc w:val="right"/>
            </w:pPr>
            <w:r w:rsidRPr="0047058F">
              <w:t>42.1</w:t>
            </w:r>
          </w:p>
        </w:tc>
        <w:tc>
          <w:tcPr>
            <w:tcW w:w="391" w:type="pct"/>
          </w:tcPr>
          <w:p w14:paraId="6B75A690" w14:textId="77777777" w:rsidR="004F7DC6" w:rsidRPr="0047058F" w:rsidRDefault="004F7DC6" w:rsidP="007A0888">
            <w:pPr>
              <w:pStyle w:val="TableText"/>
              <w:jc w:val="right"/>
            </w:pPr>
            <w:r w:rsidRPr="0047058F">
              <w:t>763</w:t>
            </w:r>
          </w:p>
        </w:tc>
        <w:tc>
          <w:tcPr>
            <w:tcW w:w="390" w:type="pct"/>
          </w:tcPr>
          <w:p w14:paraId="1B83D062" w14:textId="77777777" w:rsidR="004F7DC6" w:rsidRPr="0047058F" w:rsidRDefault="004F7DC6" w:rsidP="007A0888">
            <w:pPr>
              <w:pStyle w:val="TableText"/>
              <w:jc w:val="right"/>
            </w:pPr>
            <w:r w:rsidRPr="0047058F">
              <w:t>36.9</w:t>
            </w:r>
          </w:p>
        </w:tc>
        <w:tc>
          <w:tcPr>
            <w:tcW w:w="391" w:type="pct"/>
          </w:tcPr>
          <w:p w14:paraId="2ADE1300" w14:textId="77777777" w:rsidR="004F7DC6" w:rsidRPr="0047058F" w:rsidRDefault="004F7DC6" w:rsidP="007A0888">
            <w:pPr>
              <w:pStyle w:val="TableText"/>
              <w:jc w:val="right"/>
            </w:pPr>
            <w:r w:rsidRPr="0047058F">
              <w:t>433</w:t>
            </w:r>
          </w:p>
        </w:tc>
        <w:tc>
          <w:tcPr>
            <w:tcW w:w="391" w:type="pct"/>
          </w:tcPr>
          <w:p w14:paraId="248BA0D9" w14:textId="77777777" w:rsidR="004F7DC6" w:rsidRPr="0047058F" w:rsidRDefault="004F7DC6" w:rsidP="007A0888">
            <w:pPr>
              <w:pStyle w:val="TableText"/>
              <w:jc w:val="right"/>
            </w:pPr>
            <w:r w:rsidRPr="0047058F">
              <w:t>21.0</w:t>
            </w:r>
          </w:p>
        </w:tc>
      </w:tr>
      <w:tr w:rsidR="00544CE5" w:rsidRPr="0047058F" w14:paraId="034DD177" w14:textId="77777777" w:rsidTr="007A0888">
        <w:trPr>
          <w:cnfStyle w:val="000000100000" w:firstRow="0" w:lastRow="0" w:firstColumn="0" w:lastColumn="0" w:oddVBand="0" w:evenVBand="0" w:oddHBand="1" w:evenHBand="0" w:firstRowFirstColumn="0" w:firstRowLastColumn="0" w:lastRowFirstColumn="0" w:lastRowLastColumn="0"/>
          <w:cantSplit/>
        </w:trPr>
        <w:tc>
          <w:tcPr>
            <w:tcW w:w="1858" w:type="pct"/>
          </w:tcPr>
          <w:p w14:paraId="58E4115E" w14:textId="77777777" w:rsidR="004F7DC6" w:rsidRPr="0047058F" w:rsidRDefault="004F7DC6" w:rsidP="007A0888">
            <w:pPr>
              <w:pStyle w:val="TableText"/>
            </w:pPr>
            <w:r w:rsidRPr="0047058F">
              <w:t>Probable disorder: Above both screening and epidemiological cut-offs</w:t>
            </w:r>
          </w:p>
        </w:tc>
        <w:tc>
          <w:tcPr>
            <w:tcW w:w="398" w:type="pct"/>
          </w:tcPr>
          <w:p w14:paraId="407B3138" w14:textId="77777777" w:rsidR="004F7DC6" w:rsidRPr="0047058F" w:rsidRDefault="004F7DC6" w:rsidP="007A0888">
            <w:pPr>
              <w:pStyle w:val="TableText"/>
              <w:jc w:val="right"/>
            </w:pPr>
            <w:r w:rsidRPr="0047058F">
              <w:t>666</w:t>
            </w:r>
          </w:p>
        </w:tc>
        <w:tc>
          <w:tcPr>
            <w:tcW w:w="400" w:type="pct"/>
          </w:tcPr>
          <w:p w14:paraId="511C04AA" w14:textId="77777777" w:rsidR="004F7DC6" w:rsidRPr="0047058F" w:rsidRDefault="004F7DC6" w:rsidP="007A0888">
            <w:pPr>
              <w:pStyle w:val="TableText"/>
              <w:jc w:val="right"/>
            </w:pPr>
            <w:r w:rsidRPr="0047058F">
              <w:t>8.8</w:t>
            </w:r>
          </w:p>
        </w:tc>
        <w:tc>
          <w:tcPr>
            <w:tcW w:w="390" w:type="pct"/>
          </w:tcPr>
          <w:p w14:paraId="3AEBC6FF" w14:textId="77777777" w:rsidR="004F7DC6" w:rsidRPr="0047058F" w:rsidRDefault="004F7DC6" w:rsidP="007A0888">
            <w:pPr>
              <w:pStyle w:val="TableText"/>
              <w:jc w:val="right"/>
            </w:pPr>
            <w:r w:rsidRPr="0047058F">
              <w:t>150</w:t>
            </w:r>
          </w:p>
        </w:tc>
        <w:tc>
          <w:tcPr>
            <w:tcW w:w="391" w:type="pct"/>
          </w:tcPr>
          <w:p w14:paraId="023E0B4B" w14:textId="77777777" w:rsidR="004F7DC6" w:rsidRPr="0047058F" w:rsidRDefault="004F7DC6" w:rsidP="007A0888">
            <w:pPr>
              <w:pStyle w:val="TableText"/>
              <w:jc w:val="right"/>
            </w:pPr>
            <w:r w:rsidRPr="0047058F">
              <w:t>22.5</w:t>
            </w:r>
          </w:p>
        </w:tc>
        <w:tc>
          <w:tcPr>
            <w:tcW w:w="391" w:type="pct"/>
          </w:tcPr>
          <w:p w14:paraId="2143E9E1" w14:textId="77777777" w:rsidR="004F7DC6" w:rsidRPr="0047058F" w:rsidRDefault="004F7DC6" w:rsidP="007A0888">
            <w:pPr>
              <w:pStyle w:val="TableText"/>
              <w:jc w:val="right"/>
            </w:pPr>
            <w:r w:rsidRPr="0047058F">
              <w:t>227</w:t>
            </w:r>
          </w:p>
        </w:tc>
        <w:tc>
          <w:tcPr>
            <w:tcW w:w="390" w:type="pct"/>
          </w:tcPr>
          <w:p w14:paraId="457027F8" w14:textId="77777777" w:rsidR="004F7DC6" w:rsidRPr="0047058F" w:rsidRDefault="004F7DC6" w:rsidP="007A0888">
            <w:pPr>
              <w:pStyle w:val="TableText"/>
              <w:jc w:val="right"/>
            </w:pPr>
            <w:r w:rsidRPr="0047058F">
              <w:t>34.1</w:t>
            </w:r>
          </w:p>
        </w:tc>
        <w:tc>
          <w:tcPr>
            <w:tcW w:w="391" w:type="pct"/>
          </w:tcPr>
          <w:p w14:paraId="7ABA2DA8" w14:textId="77777777" w:rsidR="004F7DC6" w:rsidRPr="0047058F" w:rsidRDefault="004F7DC6" w:rsidP="007A0888">
            <w:pPr>
              <w:pStyle w:val="TableText"/>
              <w:jc w:val="right"/>
            </w:pPr>
            <w:r w:rsidRPr="0047058F">
              <w:t>289</w:t>
            </w:r>
          </w:p>
        </w:tc>
        <w:tc>
          <w:tcPr>
            <w:tcW w:w="391" w:type="pct"/>
          </w:tcPr>
          <w:p w14:paraId="53767AB2" w14:textId="77777777" w:rsidR="004F7DC6" w:rsidRPr="0047058F" w:rsidRDefault="004F7DC6" w:rsidP="007A0888">
            <w:pPr>
              <w:pStyle w:val="TableText"/>
              <w:jc w:val="right"/>
            </w:pPr>
            <w:r w:rsidRPr="0047058F">
              <w:t>43.4</w:t>
            </w:r>
          </w:p>
        </w:tc>
      </w:tr>
      <w:tr w:rsidR="004F7DC6" w:rsidRPr="0047058F" w14:paraId="7256626F" w14:textId="77777777" w:rsidTr="007A0888">
        <w:trPr>
          <w:cantSplit/>
        </w:trPr>
        <w:tc>
          <w:tcPr>
            <w:tcW w:w="1858" w:type="pct"/>
          </w:tcPr>
          <w:p w14:paraId="5B696AB1" w14:textId="77777777" w:rsidR="004F7DC6" w:rsidRPr="0047058F" w:rsidRDefault="004F7DC6" w:rsidP="007A0888">
            <w:pPr>
              <w:pStyle w:val="TableText"/>
              <w:rPr>
                <w:rFonts w:cs="Arial"/>
                <w:b/>
              </w:rPr>
            </w:pPr>
            <w:r w:rsidRPr="0047058F">
              <w:rPr>
                <w:rFonts w:cs="Arial"/>
                <w:b/>
              </w:rPr>
              <w:t>Total</w:t>
            </w:r>
          </w:p>
        </w:tc>
        <w:tc>
          <w:tcPr>
            <w:tcW w:w="398" w:type="pct"/>
          </w:tcPr>
          <w:p w14:paraId="762EE570" w14:textId="77777777" w:rsidR="004F7DC6" w:rsidRPr="0047058F" w:rsidRDefault="004F7DC6" w:rsidP="007A0888">
            <w:pPr>
              <w:pStyle w:val="TableText"/>
              <w:jc w:val="right"/>
              <w:rPr>
                <w:rFonts w:cs="Arial"/>
                <w:b/>
              </w:rPr>
            </w:pPr>
            <w:r w:rsidRPr="0047058F">
              <w:rPr>
                <w:rFonts w:cs="Arial"/>
                <w:b/>
              </w:rPr>
              <w:t>7595</w:t>
            </w:r>
          </w:p>
        </w:tc>
        <w:tc>
          <w:tcPr>
            <w:tcW w:w="400" w:type="pct"/>
          </w:tcPr>
          <w:p w14:paraId="0024E211" w14:textId="77777777" w:rsidR="004F7DC6" w:rsidRPr="0047058F" w:rsidRDefault="004F7DC6" w:rsidP="007A0888">
            <w:pPr>
              <w:pStyle w:val="TableText"/>
              <w:jc w:val="right"/>
              <w:rPr>
                <w:rFonts w:eastAsia="Times New Roman" w:cs="Arial"/>
                <w:b/>
              </w:rPr>
            </w:pPr>
            <w:r w:rsidRPr="0047058F">
              <w:rPr>
                <w:rFonts w:eastAsia="Times New Roman" w:cs="Arial"/>
                <w:b/>
              </w:rPr>
              <w:t>100.0</w:t>
            </w:r>
          </w:p>
        </w:tc>
        <w:tc>
          <w:tcPr>
            <w:tcW w:w="390" w:type="pct"/>
          </w:tcPr>
          <w:p w14:paraId="22015AB4" w14:textId="77777777" w:rsidR="004F7DC6" w:rsidRPr="0047058F" w:rsidRDefault="004F7DC6" w:rsidP="007A0888">
            <w:pPr>
              <w:pStyle w:val="TableText"/>
              <w:jc w:val="right"/>
              <w:rPr>
                <w:rFonts w:cs="Arial"/>
                <w:b/>
              </w:rPr>
            </w:pPr>
            <w:r w:rsidRPr="0047058F">
              <w:rPr>
                <w:rFonts w:eastAsia="Times New Roman" w:cs="Arial"/>
                <w:b/>
              </w:rPr>
              <w:t>4629</w:t>
            </w:r>
          </w:p>
        </w:tc>
        <w:tc>
          <w:tcPr>
            <w:tcW w:w="391" w:type="pct"/>
          </w:tcPr>
          <w:p w14:paraId="29016B88" w14:textId="77777777" w:rsidR="004F7DC6" w:rsidRPr="0047058F" w:rsidRDefault="004F7DC6" w:rsidP="007A0888">
            <w:pPr>
              <w:pStyle w:val="TableText"/>
              <w:jc w:val="right"/>
              <w:rPr>
                <w:rFonts w:cs="Arial"/>
                <w:b/>
              </w:rPr>
            </w:pPr>
            <w:r w:rsidRPr="0047058F">
              <w:rPr>
                <w:rFonts w:eastAsia="Times New Roman" w:cs="Arial"/>
                <w:b/>
              </w:rPr>
              <w:t>60.9</w:t>
            </w:r>
          </w:p>
        </w:tc>
        <w:tc>
          <w:tcPr>
            <w:tcW w:w="391" w:type="pct"/>
          </w:tcPr>
          <w:p w14:paraId="368714DA" w14:textId="77777777" w:rsidR="004F7DC6" w:rsidRPr="0047058F" w:rsidRDefault="004F7DC6" w:rsidP="007A0888">
            <w:pPr>
              <w:pStyle w:val="TableText"/>
              <w:jc w:val="right"/>
              <w:rPr>
                <w:rFonts w:cs="Arial"/>
                <w:b/>
              </w:rPr>
            </w:pPr>
            <w:r w:rsidRPr="0047058F">
              <w:rPr>
                <w:rFonts w:eastAsia="Times New Roman" w:cs="Arial"/>
                <w:b/>
              </w:rPr>
              <w:t>1754</w:t>
            </w:r>
          </w:p>
        </w:tc>
        <w:tc>
          <w:tcPr>
            <w:tcW w:w="390" w:type="pct"/>
          </w:tcPr>
          <w:p w14:paraId="7737BDDE" w14:textId="77777777" w:rsidR="004F7DC6" w:rsidRPr="0047058F" w:rsidRDefault="004F7DC6" w:rsidP="007A0888">
            <w:pPr>
              <w:pStyle w:val="TableText"/>
              <w:jc w:val="right"/>
              <w:rPr>
                <w:rFonts w:cs="Arial"/>
                <w:b/>
              </w:rPr>
            </w:pPr>
            <w:r w:rsidRPr="0047058F">
              <w:rPr>
                <w:rFonts w:eastAsia="Times New Roman" w:cs="Arial"/>
                <w:b/>
              </w:rPr>
              <w:t>23.1</w:t>
            </w:r>
          </w:p>
        </w:tc>
        <w:tc>
          <w:tcPr>
            <w:tcW w:w="391" w:type="pct"/>
          </w:tcPr>
          <w:p w14:paraId="307BE336" w14:textId="77777777" w:rsidR="004F7DC6" w:rsidRPr="0047058F" w:rsidRDefault="004F7DC6" w:rsidP="007A0888">
            <w:pPr>
              <w:pStyle w:val="TableText"/>
              <w:jc w:val="right"/>
              <w:rPr>
                <w:rFonts w:cs="Arial"/>
                <w:b/>
              </w:rPr>
            </w:pPr>
            <w:r w:rsidRPr="0047058F">
              <w:rPr>
                <w:rFonts w:eastAsia="Times New Roman" w:cs="Arial"/>
                <w:b/>
              </w:rPr>
              <w:t>1212</w:t>
            </w:r>
          </w:p>
        </w:tc>
        <w:tc>
          <w:tcPr>
            <w:tcW w:w="391" w:type="pct"/>
          </w:tcPr>
          <w:p w14:paraId="1BC8684F" w14:textId="77777777" w:rsidR="004F7DC6" w:rsidRPr="0047058F" w:rsidRDefault="004F7DC6" w:rsidP="007A0888">
            <w:pPr>
              <w:pStyle w:val="TableText"/>
              <w:jc w:val="right"/>
              <w:rPr>
                <w:rFonts w:cs="Arial"/>
                <w:b/>
              </w:rPr>
            </w:pPr>
            <w:r w:rsidRPr="0047058F">
              <w:rPr>
                <w:rFonts w:eastAsia="Times New Roman" w:cs="Arial"/>
                <w:b/>
              </w:rPr>
              <w:t>16.0</w:t>
            </w:r>
          </w:p>
        </w:tc>
      </w:tr>
    </w:tbl>
    <w:p w14:paraId="770B1DF4" w14:textId="77777777" w:rsidR="004F7DC6" w:rsidRPr="0047058F" w:rsidRDefault="004F7DC6" w:rsidP="004F7DC6">
      <w:pPr>
        <w:pStyle w:val="TableNotes"/>
      </w:pPr>
      <w:r w:rsidRPr="0047058F">
        <w:t>Note: Unweighted data.</w:t>
      </w:r>
    </w:p>
    <w:p w14:paraId="00890D8F" w14:textId="77777777" w:rsidR="004F7DC6" w:rsidRPr="0047058F" w:rsidRDefault="004F7DC6" w:rsidP="004F7DC6">
      <w:pPr>
        <w:pStyle w:val="FigureName"/>
      </w:pPr>
      <w:bookmarkStart w:id="454" w:name="_Ref387058281"/>
      <w:bookmarkStart w:id="455" w:name="_Toc529117595"/>
      <w:bookmarkStart w:id="456" w:name="_Toc532473668"/>
      <w:r w:rsidRPr="0047058F">
        <w:t>Figure 6.1</w:t>
      </w:r>
      <w:bookmarkEnd w:id="454"/>
      <w:r w:rsidRPr="0047058F">
        <w:tab/>
        <w:t xml:space="preserve">Proportion of </w:t>
      </w:r>
      <w:r w:rsidRPr="0047058F">
        <w:rPr>
          <w:u w:val="single"/>
        </w:rPr>
        <w:t>entire longitudinal cohort</w:t>
      </w:r>
      <w:r w:rsidRPr="0047058F">
        <w:t xml:space="preserve"> with no disorder, subsyndromal disorder and probable disorder on K10 and PCL-C in 2010 and 2015 based on self-reported measures</w:t>
      </w:r>
      <w:bookmarkEnd w:id="455"/>
      <w:bookmarkEnd w:id="456"/>
    </w:p>
    <w:p w14:paraId="24D9DA6D" w14:textId="77777777" w:rsidR="004F7DC6" w:rsidRPr="0047058F" w:rsidRDefault="004F7DC6" w:rsidP="00F43A95">
      <w:pPr>
        <w:spacing w:after="360"/>
      </w:pPr>
      <w:r w:rsidRPr="0047058F">
        <w:rPr>
          <w:noProof/>
          <w:lang w:eastAsia="en-AU"/>
        </w:rPr>
        <w:drawing>
          <wp:inline distT="0" distB="0" distL="0" distR="0" wp14:anchorId="6A91C483" wp14:editId="3CA638E1">
            <wp:extent cx="4572000" cy="2743200"/>
            <wp:effectExtent l="0" t="0" r="0" b="0"/>
            <wp:docPr id="47" name="Chart 47" descr="Figure 6.1 Proportion of entire longitudinal cohort with no disorder, subsyndromal disorder and probable disorder on K10 and PCL-C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37690F5" w14:textId="77777777" w:rsidR="004F7DC6" w:rsidRPr="0047058F" w:rsidRDefault="004F7DC6" w:rsidP="004F7DC6">
      <w:pPr>
        <w:pStyle w:val="TableName"/>
      </w:pPr>
      <w:bookmarkStart w:id="457" w:name="_Ref384558973"/>
      <w:bookmarkStart w:id="458" w:name="_Toc529117544"/>
      <w:bookmarkStart w:id="459" w:name="_Toc532473614"/>
      <w:r w:rsidRPr="0047058F">
        <w:t>Table 6.2</w:t>
      </w:r>
      <w:bookmarkEnd w:id="457"/>
      <w:r w:rsidRPr="0047058F">
        <w:tab/>
        <w:t xml:space="preserve">Proportion of </w:t>
      </w:r>
      <w:r w:rsidRPr="0047058F">
        <w:rPr>
          <w:u w:val="single"/>
        </w:rPr>
        <w:t>2015 Transitioned ADF in the longitudinal cohort</w:t>
      </w:r>
      <w:r w:rsidRPr="0047058F">
        <w:t xml:space="preserve"> with no disorder, subsyndromal disorder and probable disorder in 2010 and 2015 based on self-reported measures</w:t>
      </w:r>
      <w:bookmarkEnd w:id="458"/>
      <w:bookmarkEnd w:id="459"/>
    </w:p>
    <w:tbl>
      <w:tblPr>
        <w:tblStyle w:val="TWRPTable"/>
        <w:tblW w:w="5000" w:type="pct"/>
        <w:tblLayout w:type="fixed"/>
        <w:tblLook w:val="04A0" w:firstRow="1" w:lastRow="0" w:firstColumn="1" w:lastColumn="0" w:noHBand="0" w:noVBand="1"/>
        <w:tblDescription w:val="Table 6.2 Proportion of 2015 Transitioned ADF in the longitudinal cohort with no disorder, subsyndromal disorder and probable disorder in 2010 and 2015 based on self-reported measures"/>
      </w:tblPr>
      <w:tblGrid>
        <w:gridCol w:w="2718"/>
        <w:gridCol w:w="629"/>
        <w:gridCol w:w="630"/>
        <w:gridCol w:w="556"/>
        <w:gridCol w:w="556"/>
        <w:gridCol w:w="557"/>
        <w:gridCol w:w="556"/>
        <w:gridCol w:w="556"/>
        <w:gridCol w:w="557"/>
      </w:tblGrid>
      <w:tr w:rsidR="004F7DC6" w:rsidRPr="0047058F" w14:paraId="0BEE83FD" w14:textId="77777777" w:rsidTr="00544CE5">
        <w:trPr>
          <w:cnfStyle w:val="100000000000" w:firstRow="1" w:lastRow="0" w:firstColumn="0" w:lastColumn="0" w:oddVBand="0" w:evenVBand="0" w:oddHBand="0" w:evenHBand="0" w:firstRowFirstColumn="0" w:firstRowLastColumn="0" w:lastRowFirstColumn="0" w:lastRowLastColumn="0"/>
          <w:tblHeader/>
        </w:trPr>
        <w:tc>
          <w:tcPr>
            <w:tcW w:w="3977" w:type="dxa"/>
            <w:gridSpan w:val="3"/>
            <w:vMerge w:val="restart"/>
          </w:tcPr>
          <w:p w14:paraId="66A3E3EA" w14:textId="77777777" w:rsidR="004F7DC6" w:rsidRPr="0047058F" w:rsidRDefault="004F7DC6" w:rsidP="004F7DC6">
            <w:pPr>
              <w:pStyle w:val="TableText"/>
            </w:pPr>
            <w:r w:rsidRPr="0047058F">
              <w:rPr>
                <w:rFonts w:eastAsia="MS Mincho"/>
              </w:rPr>
              <w:t>2010 ADF Mental Health Prevalence and Wellbeing Study</w:t>
            </w:r>
          </w:p>
        </w:tc>
        <w:tc>
          <w:tcPr>
            <w:tcW w:w="3338" w:type="dxa"/>
            <w:gridSpan w:val="6"/>
          </w:tcPr>
          <w:p w14:paraId="386B6AD7" w14:textId="77777777" w:rsidR="004F7DC6" w:rsidRPr="0047058F" w:rsidRDefault="004F7DC6" w:rsidP="004F7DC6">
            <w:pPr>
              <w:pStyle w:val="TableText"/>
              <w:jc w:val="center"/>
            </w:pPr>
            <w:r w:rsidRPr="0047058F">
              <w:rPr>
                <w:rFonts w:eastAsia="MS Mincho"/>
              </w:rPr>
              <w:t>2015 Transition and Wellbeing Research Programme</w:t>
            </w:r>
          </w:p>
        </w:tc>
      </w:tr>
      <w:tr w:rsidR="004F7DC6" w:rsidRPr="0047058F" w14:paraId="6146F91F" w14:textId="77777777" w:rsidTr="00544CE5">
        <w:trPr>
          <w:cnfStyle w:val="100000000000" w:firstRow="1" w:lastRow="0" w:firstColumn="0" w:lastColumn="0" w:oddVBand="0" w:evenVBand="0" w:oddHBand="0" w:evenHBand="0" w:firstRowFirstColumn="0" w:firstRowLastColumn="0" w:lastRowFirstColumn="0" w:lastRowLastColumn="0"/>
          <w:tblHeader/>
        </w:trPr>
        <w:tc>
          <w:tcPr>
            <w:tcW w:w="3977" w:type="dxa"/>
            <w:gridSpan w:val="3"/>
            <w:vMerge/>
          </w:tcPr>
          <w:p w14:paraId="584A3822" w14:textId="77777777" w:rsidR="004F7DC6" w:rsidRPr="0047058F" w:rsidRDefault="004F7DC6" w:rsidP="004F7DC6">
            <w:pPr>
              <w:pStyle w:val="TableText"/>
              <w:jc w:val="center"/>
            </w:pPr>
          </w:p>
        </w:tc>
        <w:tc>
          <w:tcPr>
            <w:tcW w:w="1112" w:type="dxa"/>
            <w:gridSpan w:val="2"/>
            <w:hideMark/>
          </w:tcPr>
          <w:p w14:paraId="3258452C" w14:textId="77777777" w:rsidR="004F7DC6" w:rsidRPr="0047058F" w:rsidRDefault="004F7DC6" w:rsidP="004F7DC6">
            <w:pPr>
              <w:pStyle w:val="TableText"/>
              <w:jc w:val="center"/>
            </w:pPr>
            <w:r w:rsidRPr="0047058F">
              <w:t>No disorder</w:t>
            </w:r>
          </w:p>
        </w:tc>
        <w:tc>
          <w:tcPr>
            <w:tcW w:w="1113" w:type="dxa"/>
            <w:gridSpan w:val="2"/>
          </w:tcPr>
          <w:p w14:paraId="7F627422" w14:textId="77777777" w:rsidR="004F7DC6" w:rsidRPr="0047058F" w:rsidRDefault="004F7DC6" w:rsidP="004F7DC6">
            <w:pPr>
              <w:pStyle w:val="TableText"/>
              <w:jc w:val="center"/>
            </w:pPr>
            <w:r w:rsidRPr="0047058F">
              <w:t>Subsyndromal disorder</w:t>
            </w:r>
          </w:p>
        </w:tc>
        <w:tc>
          <w:tcPr>
            <w:tcW w:w="1113" w:type="dxa"/>
            <w:gridSpan w:val="2"/>
          </w:tcPr>
          <w:p w14:paraId="7F0E43AB" w14:textId="77777777" w:rsidR="004F7DC6" w:rsidRPr="0047058F" w:rsidRDefault="004F7DC6" w:rsidP="004F7DC6">
            <w:pPr>
              <w:pStyle w:val="TableText"/>
              <w:jc w:val="center"/>
            </w:pPr>
            <w:r w:rsidRPr="0047058F">
              <w:t>Probable disorder</w:t>
            </w:r>
          </w:p>
        </w:tc>
      </w:tr>
      <w:tr w:rsidR="004F7DC6" w:rsidRPr="0047058F" w14:paraId="34960359" w14:textId="77777777" w:rsidTr="00544CE5">
        <w:trPr>
          <w:cnfStyle w:val="100000000000" w:firstRow="1" w:lastRow="0" w:firstColumn="0" w:lastColumn="0" w:oddVBand="0" w:evenVBand="0" w:oddHBand="0" w:evenHBand="0" w:firstRowFirstColumn="0" w:firstRowLastColumn="0" w:lastRowFirstColumn="0" w:lastRowLastColumn="0"/>
          <w:tblHeader/>
        </w:trPr>
        <w:tc>
          <w:tcPr>
            <w:tcW w:w="2718" w:type="dxa"/>
          </w:tcPr>
          <w:p w14:paraId="7ACFF9CB" w14:textId="77777777" w:rsidR="004F7DC6" w:rsidRPr="0047058F" w:rsidRDefault="004F7DC6" w:rsidP="004F7DC6">
            <w:pPr>
              <w:pStyle w:val="TableText"/>
            </w:pPr>
            <w:r w:rsidRPr="0047058F">
              <w:rPr>
                <w:rFonts w:cs="Arial"/>
              </w:rPr>
              <w:t>K10 and PCL-C</w:t>
            </w:r>
          </w:p>
        </w:tc>
        <w:tc>
          <w:tcPr>
            <w:tcW w:w="629" w:type="dxa"/>
          </w:tcPr>
          <w:p w14:paraId="17AED14B" w14:textId="77777777" w:rsidR="004F7DC6" w:rsidRPr="0047058F" w:rsidRDefault="004F7DC6" w:rsidP="004F7DC6">
            <w:pPr>
              <w:pStyle w:val="TableText"/>
              <w:jc w:val="right"/>
              <w:rPr>
                <w:rFonts w:cs="Arial"/>
              </w:rPr>
            </w:pPr>
            <w:r w:rsidRPr="0047058F">
              <w:rPr>
                <w:rFonts w:cs="Arial"/>
              </w:rPr>
              <w:t>n</w:t>
            </w:r>
          </w:p>
        </w:tc>
        <w:tc>
          <w:tcPr>
            <w:tcW w:w="630" w:type="dxa"/>
          </w:tcPr>
          <w:p w14:paraId="289FD721" w14:textId="77777777" w:rsidR="004F7DC6" w:rsidRPr="0047058F" w:rsidRDefault="004F7DC6" w:rsidP="004F7DC6">
            <w:pPr>
              <w:pStyle w:val="TableText"/>
              <w:jc w:val="right"/>
              <w:rPr>
                <w:rFonts w:cs="Arial"/>
              </w:rPr>
            </w:pPr>
            <w:r w:rsidRPr="0047058F">
              <w:rPr>
                <w:rFonts w:cs="Arial"/>
              </w:rPr>
              <w:t>%</w:t>
            </w:r>
          </w:p>
        </w:tc>
        <w:tc>
          <w:tcPr>
            <w:tcW w:w="556" w:type="dxa"/>
          </w:tcPr>
          <w:p w14:paraId="170CDF43" w14:textId="77777777" w:rsidR="004F7DC6" w:rsidRPr="0047058F" w:rsidRDefault="004F7DC6" w:rsidP="004F7DC6">
            <w:pPr>
              <w:pStyle w:val="TableText"/>
              <w:jc w:val="right"/>
              <w:rPr>
                <w:rFonts w:cs="Arial"/>
              </w:rPr>
            </w:pPr>
            <w:r w:rsidRPr="0047058F">
              <w:rPr>
                <w:rFonts w:cs="Arial"/>
              </w:rPr>
              <w:t>n</w:t>
            </w:r>
          </w:p>
        </w:tc>
        <w:tc>
          <w:tcPr>
            <w:tcW w:w="556" w:type="dxa"/>
          </w:tcPr>
          <w:p w14:paraId="63DDD1BF" w14:textId="77777777" w:rsidR="004F7DC6" w:rsidRPr="0047058F" w:rsidRDefault="004F7DC6" w:rsidP="004F7DC6">
            <w:pPr>
              <w:pStyle w:val="TableText"/>
              <w:jc w:val="right"/>
              <w:rPr>
                <w:rFonts w:cs="Arial"/>
              </w:rPr>
            </w:pPr>
            <w:r w:rsidRPr="0047058F">
              <w:rPr>
                <w:rFonts w:cs="Arial"/>
              </w:rPr>
              <w:t>%</w:t>
            </w:r>
          </w:p>
        </w:tc>
        <w:tc>
          <w:tcPr>
            <w:tcW w:w="557" w:type="dxa"/>
          </w:tcPr>
          <w:p w14:paraId="4FC4865F" w14:textId="77777777" w:rsidR="004F7DC6" w:rsidRPr="0047058F" w:rsidRDefault="004F7DC6" w:rsidP="004F7DC6">
            <w:pPr>
              <w:pStyle w:val="TableText"/>
              <w:jc w:val="right"/>
              <w:rPr>
                <w:rFonts w:cs="Arial"/>
              </w:rPr>
            </w:pPr>
            <w:r w:rsidRPr="0047058F">
              <w:rPr>
                <w:rFonts w:cs="Arial"/>
              </w:rPr>
              <w:t>n</w:t>
            </w:r>
          </w:p>
        </w:tc>
        <w:tc>
          <w:tcPr>
            <w:tcW w:w="556" w:type="dxa"/>
          </w:tcPr>
          <w:p w14:paraId="4163B943" w14:textId="77777777" w:rsidR="004F7DC6" w:rsidRPr="0047058F" w:rsidRDefault="004F7DC6" w:rsidP="004F7DC6">
            <w:pPr>
              <w:pStyle w:val="TableText"/>
              <w:jc w:val="right"/>
              <w:rPr>
                <w:rFonts w:cs="Arial"/>
              </w:rPr>
            </w:pPr>
            <w:r w:rsidRPr="0047058F">
              <w:rPr>
                <w:rFonts w:cs="Arial"/>
              </w:rPr>
              <w:t>%</w:t>
            </w:r>
          </w:p>
        </w:tc>
        <w:tc>
          <w:tcPr>
            <w:tcW w:w="556" w:type="dxa"/>
          </w:tcPr>
          <w:p w14:paraId="29C71582" w14:textId="77777777" w:rsidR="004F7DC6" w:rsidRPr="0047058F" w:rsidRDefault="004F7DC6" w:rsidP="004F7DC6">
            <w:pPr>
              <w:pStyle w:val="TableText"/>
              <w:jc w:val="right"/>
              <w:rPr>
                <w:rFonts w:cs="Arial"/>
              </w:rPr>
            </w:pPr>
            <w:r w:rsidRPr="0047058F">
              <w:rPr>
                <w:rFonts w:cs="Arial"/>
              </w:rPr>
              <w:t>n</w:t>
            </w:r>
          </w:p>
        </w:tc>
        <w:tc>
          <w:tcPr>
            <w:tcW w:w="557" w:type="dxa"/>
          </w:tcPr>
          <w:p w14:paraId="5590F1B8" w14:textId="77777777" w:rsidR="004F7DC6" w:rsidRPr="0047058F" w:rsidRDefault="004F7DC6" w:rsidP="004F7DC6">
            <w:pPr>
              <w:pStyle w:val="TableText"/>
              <w:jc w:val="right"/>
              <w:rPr>
                <w:rFonts w:cs="Arial"/>
              </w:rPr>
            </w:pPr>
            <w:r w:rsidRPr="0047058F">
              <w:rPr>
                <w:rFonts w:cs="Arial"/>
              </w:rPr>
              <w:t>%</w:t>
            </w:r>
          </w:p>
        </w:tc>
      </w:tr>
      <w:tr w:rsidR="004F7DC6" w:rsidRPr="0047058F" w14:paraId="7A0F0440" w14:textId="77777777" w:rsidTr="00544CE5">
        <w:trPr>
          <w:cnfStyle w:val="000000100000" w:firstRow="0" w:lastRow="0" w:firstColumn="0" w:lastColumn="0" w:oddVBand="0" w:evenVBand="0" w:oddHBand="1" w:evenHBand="0" w:firstRowFirstColumn="0" w:firstRowLastColumn="0" w:lastRowFirstColumn="0" w:lastRowLastColumn="0"/>
        </w:trPr>
        <w:tc>
          <w:tcPr>
            <w:tcW w:w="2718" w:type="dxa"/>
          </w:tcPr>
          <w:p w14:paraId="7A0B4F8F" w14:textId="77777777" w:rsidR="004F7DC6" w:rsidRPr="0047058F" w:rsidRDefault="004F7DC6" w:rsidP="00544CE5">
            <w:pPr>
              <w:pStyle w:val="TableText"/>
            </w:pPr>
            <w:r w:rsidRPr="0047058F">
              <w:t>No disorder: Below both screening and epidemiological cut-offs</w:t>
            </w:r>
          </w:p>
        </w:tc>
        <w:tc>
          <w:tcPr>
            <w:tcW w:w="629" w:type="dxa"/>
          </w:tcPr>
          <w:p w14:paraId="1EF8262D" w14:textId="77777777" w:rsidR="004F7DC6" w:rsidRPr="0047058F" w:rsidRDefault="004F7DC6" w:rsidP="00544CE5">
            <w:pPr>
              <w:pStyle w:val="TableText"/>
              <w:jc w:val="right"/>
            </w:pPr>
            <w:r w:rsidRPr="0047058F">
              <w:rPr>
                <w:rFonts w:eastAsia="Times New Roman" w:cs="Arial"/>
              </w:rPr>
              <w:t>1180</w:t>
            </w:r>
          </w:p>
        </w:tc>
        <w:tc>
          <w:tcPr>
            <w:tcW w:w="630" w:type="dxa"/>
          </w:tcPr>
          <w:p w14:paraId="30DD3E53" w14:textId="77777777" w:rsidR="004F7DC6" w:rsidRPr="0047058F" w:rsidRDefault="004F7DC6" w:rsidP="00544CE5">
            <w:pPr>
              <w:pStyle w:val="TableText"/>
              <w:jc w:val="right"/>
              <w:rPr>
                <w:rFonts w:eastAsia="Times New Roman" w:cs="Arial"/>
              </w:rPr>
            </w:pPr>
            <w:r w:rsidRPr="0047058F">
              <w:rPr>
                <w:rFonts w:eastAsia="Times New Roman" w:cs="Arial"/>
              </w:rPr>
              <w:t>56.6</w:t>
            </w:r>
          </w:p>
        </w:tc>
        <w:tc>
          <w:tcPr>
            <w:tcW w:w="556" w:type="dxa"/>
          </w:tcPr>
          <w:p w14:paraId="32ACD5E9" w14:textId="77777777" w:rsidR="004F7DC6" w:rsidRPr="0047058F" w:rsidRDefault="004F7DC6" w:rsidP="00544CE5">
            <w:pPr>
              <w:pStyle w:val="TableText"/>
              <w:jc w:val="right"/>
            </w:pPr>
            <w:r w:rsidRPr="0047058F">
              <w:rPr>
                <w:rFonts w:eastAsia="Times New Roman" w:cs="Arial"/>
              </w:rPr>
              <w:t>772</w:t>
            </w:r>
          </w:p>
        </w:tc>
        <w:tc>
          <w:tcPr>
            <w:tcW w:w="556" w:type="dxa"/>
          </w:tcPr>
          <w:p w14:paraId="2B972ABB" w14:textId="77777777" w:rsidR="004F7DC6" w:rsidRPr="0047058F" w:rsidRDefault="004F7DC6" w:rsidP="00544CE5">
            <w:pPr>
              <w:pStyle w:val="TableText"/>
              <w:jc w:val="right"/>
            </w:pPr>
            <w:r w:rsidRPr="0047058F">
              <w:rPr>
                <w:rFonts w:eastAsia="Times New Roman" w:cs="Arial"/>
              </w:rPr>
              <w:t>65.4</w:t>
            </w:r>
          </w:p>
        </w:tc>
        <w:tc>
          <w:tcPr>
            <w:tcW w:w="557" w:type="dxa"/>
          </w:tcPr>
          <w:p w14:paraId="614F0EAA" w14:textId="77777777" w:rsidR="004F7DC6" w:rsidRPr="0047058F" w:rsidRDefault="004F7DC6" w:rsidP="00544CE5">
            <w:pPr>
              <w:pStyle w:val="TableText"/>
              <w:jc w:val="right"/>
            </w:pPr>
            <w:r w:rsidRPr="0047058F">
              <w:rPr>
                <w:rFonts w:eastAsia="Times New Roman" w:cs="Arial"/>
              </w:rPr>
              <w:t>235</w:t>
            </w:r>
          </w:p>
        </w:tc>
        <w:tc>
          <w:tcPr>
            <w:tcW w:w="556" w:type="dxa"/>
          </w:tcPr>
          <w:p w14:paraId="30F27B95" w14:textId="77777777" w:rsidR="004F7DC6" w:rsidRPr="0047058F" w:rsidRDefault="004F7DC6" w:rsidP="00544CE5">
            <w:pPr>
              <w:pStyle w:val="TableText"/>
              <w:jc w:val="right"/>
            </w:pPr>
            <w:r w:rsidRPr="0047058F">
              <w:rPr>
                <w:rFonts w:eastAsia="Times New Roman" w:cs="Arial"/>
              </w:rPr>
              <w:t>19.9</w:t>
            </w:r>
          </w:p>
        </w:tc>
        <w:tc>
          <w:tcPr>
            <w:tcW w:w="556" w:type="dxa"/>
          </w:tcPr>
          <w:p w14:paraId="617BC537" w14:textId="77777777" w:rsidR="004F7DC6" w:rsidRPr="0047058F" w:rsidRDefault="004F7DC6" w:rsidP="00544CE5">
            <w:pPr>
              <w:pStyle w:val="TableText"/>
              <w:jc w:val="right"/>
            </w:pPr>
            <w:r w:rsidRPr="0047058F">
              <w:rPr>
                <w:rFonts w:eastAsia="Times New Roman" w:cs="Arial"/>
              </w:rPr>
              <w:t>173</w:t>
            </w:r>
          </w:p>
        </w:tc>
        <w:tc>
          <w:tcPr>
            <w:tcW w:w="557" w:type="dxa"/>
          </w:tcPr>
          <w:p w14:paraId="6449B0C3" w14:textId="77777777" w:rsidR="004F7DC6" w:rsidRPr="0047058F" w:rsidRDefault="004F7DC6" w:rsidP="00544CE5">
            <w:pPr>
              <w:pStyle w:val="TableText"/>
              <w:jc w:val="right"/>
            </w:pPr>
            <w:r w:rsidRPr="0047058F">
              <w:rPr>
                <w:rFonts w:eastAsia="Times New Roman" w:cs="Arial"/>
              </w:rPr>
              <w:t>14.7</w:t>
            </w:r>
          </w:p>
        </w:tc>
      </w:tr>
      <w:tr w:rsidR="004F7DC6" w:rsidRPr="0047058F" w14:paraId="51C694E9" w14:textId="77777777" w:rsidTr="00544CE5">
        <w:tc>
          <w:tcPr>
            <w:tcW w:w="2718" w:type="dxa"/>
          </w:tcPr>
          <w:p w14:paraId="2D22FC2B" w14:textId="77777777" w:rsidR="004F7DC6" w:rsidRPr="0047058F" w:rsidRDefault="004F7DC6" w:rsidP="00544CE5">
            <w:pPr>
              <w:pStyle w:val="TableText"/>
            </w:pPr>
            <w:r w:rsidRPr="0047058F">
              <w:t>Subsyndromal disorder: Above screening cut-off but below epidemiological cut-off</w:t>
            </w:r>
          </w:p>
        </w:tc>
        <w:tc>
          <w:tcPr>
            <w:tcW w:w="629" w:type="dxa"/>
          </w:tcPr>
          <w:p w14:paraId="3230CD45" w14:textId="77777777" w:rsidR="004F7DC6" w:rsidRPr="0047058F" w:rsidRDefault="004F7DC6" w:rsidP="00544CE5">
            <w:pPr>
              <w:pStyle w:val="TableText"/>
              <w:jc w:val="right"/>
            </w:pPr>
            <w:r w:rsidRPr="0047058F">
              <w:rPr>
                <w:rFonts w:eastAsia="Times New Roman" w:cs="Arial"/>
              </w:rPr>
              <w:t>631</w:t>
            </w:r>
          </w:p>
        </w:tc>
        <w:tc>
          <w:tcPr>
            <w:tcW w:w="630" w:type="dxa"/>
          </w:tcPr>
          <w:p w14:paraId="153FAD21" w14:textId="77777777" w:rsidR="004F7DC6" w:rsidRPr="0047058F" w:rsidRDefault="004F7DC6" w:rsidP="00544CE5">
            <w:pPr>
              <w:pStyle w:val="TableText"/>
              <w:jc w:val="right"/>
              <w:rPr>
                <w:rFonts w:eastAsia="Times New Roman" w:cs="Arial"/>
              </w:rPr>
            </w:pPr>
            <w:r w:rsidRPr="0047058F">
              <w:rPr>
                <w:rFonts w:eastAsia="Times New Roman" w:cs="Arial"/>
              </w:rPr>
              <w:t>30.3</w:t>
            </w:r>
          </w:p>
        </w:tc>
        <w:tc>
          <w:tcPr>
            <w:tcW w:w="556" w:type="dxa"/>
          </w:tcPr>
          <w:p w14:paraId="46E19564" w14:textId="77777777" w:rsidR="004F7DC6" w:rsidRPr="0047058F" w:rsidRDefault="004F7DC6" w:rsidP="00544CE5">
            <w:pPr>
              <w:pStyle w:val="TableText"/>
              <w:jc w:val="right"/>
            </w:pPr>
            <w:r w:rsidRPr="0047058F">
              <w:rPr>
                <w:rFonts w:eastAsia="Times New Roman" w:cs="Arial"/>
              </w:rPr>
              <w:t>225</w:t>
            </w:r>
          </w:p>
        </w:tc>
        <w:tc>
          <w:tcPr>
            <w:tcW w:w="556" w:type="dxa"/>
          </w:tcPr>
          <w:p w14:paraId="572D0554" w14:textId="77777777" w:rsidR="004F7DC6" w:rsidRPr="0047058F" w:rsidRDefault="004F7DC6" w:rsidP="00544CE5">
            <w:pPr>
              <w:pStyle w:val="TableText"/>
              <w:jc w:val="right"/>
            </w:pPr>
            <w:r w:rsidRPr="0047058F">
              <w:rPr>
                <w:rFonts w:eastAsia="Times New Roman" w:cs="Arial"/>
              </w:rPr>
              <w:t>35.7</w:t>
            </w:r>
          </w:p>
        </w:tc>
        <w:tc>
          <w:tcPr>
            <w:tcW w:w="557" w:type="dxa"/>
          </w:tcPr>
          <w:p w14:paraId="753245D9" w14:textId="77777777" w:rsidR="004F7DC6" w:rsidRPr="0047058F" w:rsidRDefault="004F7DC6" w:rsidP="00544CE5">
            <w:pPr>
              <w:pStyle w:val="TableText"/>
              <w:jc w:val="right"/>
            </w:pPr>
            <w:r w:rsidRPr="0047058F">
              <w:rPr>
                <w:rFonts w:eastAsia="Times New Roman" w:cs="Arial"/>
              </w:rPr>
              <w:t>232</w:t>
            </w:r>
          </w:p>
        </w:tc>
        <w:tc>
          <w:tcPr>
            <w:tcW w:w="556" w:type="dxa"/>
          </w:tcPr>
          <w:p w14:paraId="24AE89F9" w14:textId="77777777" w:rsidR="004F7DC6" w:rsidRPr="0047058F" w:rsidRDefault="004F7DC6" w:rsidP="00544CE5">
            <w:pPr>
              <w:pStyle w:val="TableText"/>
              <w:jc w:val="right"/>
            </w:pPr>
            <w:r w:rsidRPr="0047058F">
              <w:rPr>
                <w:rFonts w:eastAsia="Times New Roman" w:cs="Arial"/>
              </w:rPr>
              <w:t>36.8</w:t>
            </w:r>
          </w:p>
        </w:tc>
        <w:tc>
          <w:tcPr>
            <w:tcW w:w="556" w:type="dxa"/>
          </w:tcPr>
          <w:p w14:paraId="56EFDDE9" w14:textId="77777777" w:rsidR="004F7DC6" w:rsidRPr="0047058F" w:rsidRDefault="004F7DC6" w:rsidP="00544CE5">
            <w:pPr>
              <w:pStyle w:val="TableText"/>
              <w:jc w:val="right"/>
            </w:pPr>
            <w:r w:rsidRPr="0047058F">
              <w:rPr>
                <w:rFonts w:eastAsia="Times New Roman" w:cs="Arial"/>
              </w:rPr>
              <w:t>174</w:t>
            </w:r>
          </w:p>
        </w:tc>
        <w:tc>
          <w:tcPr>
            <w:tcW w:w="557" w:type="dxa"/>
          </w:tcPr>
          <w:p w14:paraId="4B212649" w14:textId="77777777" w:rsidR="004F7DC6" w:rsidRPr="0047058F" w:rsidRDefault="004F7DC6" w:rsidP="00544CE5">
            <w:pPr>
              <w:pStyle w:val="TableText"/>
              <w:jc w:val="right"/>
            </w:pPr>
            <w:r w:rsidRPr="0047058F">
              <w:rPr>
                <w:rFonts w:eastAsia="Times New Roman" w:cs="Arial"/>
              </w:rPr>
              <w:t>27.6</w:t>
            </w:r>
          </w:p>
        </w:tc>
      </w:tr>
      <w:tr w:rsidR="004F7DC6" w:rsidRPr="0047058F" w14:paraId="191D1E4B" w14:textId="77777777" w:rsidTr="00544CE5">
        <w:trPr>
          <w:cnfStyle w:val="000000100000" w:firstRow="0" w:lastRow="0" w:firstColumn="0" w:lastColumn="0" w:oddVBand="0" w:evenVBand="0" w:oddHBand="1" w:evenHBand="0" w:firstRowFirstColumn="0" w:firstRowLastColumn="0" w:lastRowFirstColumn="0" w:lastRowLastColumn="0"/>
        </w:trPr>
        <w:tc>
          <w:tcPr>
            <w:tcW w:w="2718" w:type="dxa"/>
          </w:tcPr>
          <w:p w14:paraId="4A4B990B" w14:textId="77777777" w:rsidR="004F7DC6" w:rsidRPr="0047058F" w:rsidRDefault="004F7DC6" w:rsidP="00544CE5">
            <w:pPr>
              <w:pStyle w:val="TableText"/>
            </w:pPr>
            <w:r w:rsidRPr="0047058F">
              <w:t>Probable disorder: Above both screening and epidemiological cut-offs</w:t>
            </w:r>
          </w:p>
        </w:tc>
        <w:tc>
          <w:tcPr>
            <w:tcW w:w="629" w:type="dxa"/>
          </w:tcPr>
          <w:p w14:paraId="513B1223" w14:textId="77777777" w:rsidR="004F7DC6" w:rsidRPr="0047058F" w:rsidRDefault="004F7DC6" w:rsidP="00544CE5">
            <w:pPr>
              <w:pStyle w:val="TableText"/>
              <w:jc w:val="right"/>
            </w:pPr>
            <w:r w:rsidRPr="0047058F">
              <w:rPr>
                <w:rFonts w:eastAsia="Times New Roman" w:cs="Arial"/>
              </w:rPr>
              <w:t>274</w:t>
            </w:r>
          </w:p>
        </w:tc>
        <w:tc>
          <w:tcPr>
            <w:tcW w:w="630" w:type="dxa"/>
          </w:tcPr>
          <w:p w14:paraId="6233AC11" w14:textId="77777777" w:rsidR="004F7DC6" w:rsidRPr="0047058F" w:rsidRDefault="004F7DC6" w:rsidP="00544CE5">
            <w:pPr>
              <w:pStyle w:val="TableText"/>
              <w:jc w:val="right"/>
              <w:rPr>
                <w:rFonts w:eastAsia="Times New Roman" w:cs="Arial"/>
              </w:rPr>
            </w:pPr>
            <w:r w:rsidRPr="0047058F">
              <w:rPr>
                <w:rFonts w:eastAsia="Times New Roman" w:cs="Arial"/>
              </w:rPr>
              <w:t>13.1</w:t>
            </w:r>
          </w:p>
        </w:tc>
        <w:tc>
          <w:tcPr>
            <w:tcW w:w="556" w:type="dxa"/>
          </w:tcPr>
          <w:p w14:paraId="735D02D5" w14:textId="77777777" w:rsidR="004F7DC6" w:rsidRPr="0047058F" w:rsidRDefault="004F7DC6" w:rsidP="00544CE5">
            <w:pPr>
              <w:pStyle w:val="TableText"/>
              <w:jc w:val="right"/>
            </w:pPr>
            <w:r w:rsidRPr="0047058F">
              <w:rPr>
                <w:rFonts w:eastAsia="Times New Roman" w:cs="Arial"/>
              </w:rPr>
              <w:t>42</w:t>
            </w:r>
          </w:p>
        </w:tc>
        <w:tc>
          <w:tcPr>
            <w:tcW w:w="556" w:type="dxa"/>
          </w:tcPr>
          <w:p w14:paraId="52428C7B" w14:textId="77777777" w:rsidR="004F7DC6" w:rsidRPr="0047058F" w:rsidRDefault="004F7DC6" w:rsidP="00544CE5">
            <w:pPr>
              <w:pStyle w:val="TableText"/>
              <w:jc w:val="right"/>
            </w:pPr>
            <w:r w:rsidRPr="0047058F">
              <w:rPr>
                <w:rFonts w:eastAsia="Times New Roman" w:cs="Arial"/>
              </w:rPr>
              <w:t>15.3</w:t>
            </w:r>
          </w:p>
        </w:tc>
        <w:tc>
          <w:tcPr>
            <w:tcW w:w="557" w:type="dxa"/>
          </w:tcPr>
          <w:p w14:paraId="5E142220" w14:textId="77777777" w:rsidR="004F7DC6" w:rsidRPr="0047058F" w:rsidRDefault="004F7DC6" w:rsidP="00544CE5">
            <w:pPr>
              <w:pStyle w:val="TableText"/>
              <w:jc w:val="right"/>
            </w:pPr>
            <w:r w:rsidRPr="0047058F">
              <w:rPr>
                <w:rFonts w:eastAsia="Times New Roman" w:cs="Arial"/>
              </w:rPr>
              <w:t>70</w:t>
            </w:r>
          </w:p>
        </w:tc>
        <w:tc>
          <w:tcPr>
            <w:tcW w:w="556" w:type="dxa"/>
          </w:tcPr>
          <w:p w14:paraId="456DFE7D" w14:textId="77777777" w:rsidR="004F7DC6" w:rsidRPr="0047058F" w:rsidRDefault="004F7DC6" w:rsidP="00544CE5">
            <w:pPr>
              <w:pStyle w:val="TableText"/>
              <w:jc w:val="right"/>
            </w:pPr>
            <w:r w:rsidRPr="0047058F">
              <w:rPr>
                <w:rFonts w:eastAsia="Times New Roman" w:cs="Arial"/>
              </w:rPr>
              <w:t>25.5</w:t>
            </w:r>
          </w:p>
        </w:tc>
        <w:tc>
          <w:tcPr>
            <w:tcW w:w="556" w:type="dxa"/>
          </w:tcPr>
          <w:p w14:paraId="27C8EB96" w14:textId="77777777" w:rsidR="004F7DC6" w:rsidRPr="0047058F" w:rsidRDefault="004F7DC6" w:rsidP="00544CE5">
            <w:pPr>
              <w:pStyle w:val="TableText"/>
              <w:jc w:val="right"/>
            </w:pPr>
            <w:r w:rsidRPr="0047058F">
              <w:rPr>
                <w:rFonts w:eastAsia="Times New Roman" w:cs="Arial"/>
              </w:rPr>
              <w:t>162</w:t>
            </w:r>
          </w:p>
        </w:tc>
        <w:tc>
          <w:tcPr>
            <w:tcW w:w="557" w:type="dxa"/>
          </w:tcPr>
          <w:p w14:paraId="62029BBA" w14:textId="77777777" w:rsidR="004F7DC6" w:rsidRPr="0047058F" w:rsidRDefault="004F7DC6" w:rsidP="00544CE5">
            <w:pPr>
              <w:pStyle w:val="TableText"/>
              <w:jc w:val="right"/>
            </w:pPr>
            <w:r w:rsidRPr="0047058F">
              <w:rPr>
                <w:rFonts w:eastAsia="Times New Roman" w:cs="Arial"/>
              </w:rPr>
              <w:t>59.1</w:t>
            </w:r>
          </w:p>
        </w:tc>
      </w:tr>
      <w:tr w:rsidR="004F7DC6" w:rsidRPr="0047058F" w14:paraId="09B2B470" w14:textId="77777777" w:rsidTr="00544CE5">
        <w:tc>
          <w:tcPr>
            <w:tcW w:w="2718" w:type="dxa"/>
          </w:tcPr>
          <w:p w14:paraId="0D1FD00F" w14:textId="77777777" w:rsidR="004F7DC6" w:rsidRPr="0047058F" w:rsidRDefault="004F7DC6" w:rsidP="004F7DC6">
            <w:pPr>
              <w:pStyle w:val="TableText"/>
              <w:rPr>
                <w:rFonts w:cs="Arial"/>
                <w:b/>
              </w:rPr>
            </w:pPr>
            <w:r w:rsidRPr="0047058F">
              <w:rPr>
                <w:rFonts w:cs="Arial"/>
                <w:b/>
              </w:rPr>
              <w:t>Total</w:t>
            </w:r>
          </w:p>
        </w:tc>
        <w:tc>
          <w:tcPr>
            <w:tcW w:w="629" w:type="dxa"/>
          </w:tcPr>
          <w:p w14:paraId="187D7464" w14:textId="77777777" w:rsidR="004F7DC6" w:rsidRPr="0047058F" w:rsidRDefault="004F7DC6" w:rsidP="004F7DC6">
            <w:pPr>
              <w:pStyle w:val="TableText"/>
              <w:jc w:val="right"/>
              <w:rPr>
                <w:rFonts w:eastAsia="Times New Roman" w:cs="Arial"/>
                <w:b/>
              </w:rPr>
            </w:pPr>
            <w:r w:rsidRPr="0047058F">
              <w:rPr>
                <w:rFonts w:eastAsia="Times New Roman" w:cs="Arial"/>
                <w:b/>
              </w:rPr>
              <w:t>2085</w:t>
            </w:r>
          </w:p>
        </w:tc>
        <w:tc>
          <w:tcPr>
            <w:tcW w:w="630" w:type="dxa"/>
          </w:tcPr>
          <w:p w14:paraId="1FE6E8DC" w14:textId="77777777" w:rsidR="004F7DC6" w:rsidRPr="0047058F" w:rsidRDefault="004F7DC6" w:rsidP="004F7DC6">
            <w:pPr>
              <w:pStyle w:val="TableText"/>
              <w:jc w:val="right"/>
              <w:rPr>
                <w:rFonts w:eastAsia="Times New Roman" w:cs="Arial"/>
                <w:b/>
              </w:rPr>
            </w:pPr>
            <w:r w:rsidRPr="0047058F">
              <w:rPr>
                <w:rFonts w:eastAsia="Times New Roman" w:cs="Arial"/>
                <w:b/>
              </w:rPr>
              <w:t>100.0</w:t>
            </w:r>
          </w:p>
        </w:tc>
        <w:tc>
          <w:tcPr>
            <w:tcW w:w="556" w:type="dxa"/>
          </w:tcPr>
          <w:p w14:paraId="7880132A" w14:textId="77777777" w:rsidR="004F7DC6" w:rsidRPr="0047058F" w:rsidRDefault="004F7DC6" w:rsidP="004F7DC6">
            <w:pPr>
              <w:pStyle w:val="TableText"/>
              <w:jc w:val="right"/>
              <w:rPr>
                <w:rFonts w:cs="Arial"/>
                <w:b/>
              </w:rPr>
            </w:pPr>
            <w:r w:rsidRPr="0047058F">
              <w:rPr>
                <w:rFonts w:eastAsia="Times New Roman" w:cs="Arial"/>
                <w:b/>
              </w:rPr>
              <w:t>1039</w:t>
            </w:r>
          </w:p>
        </w:tc>
        <w:tc>
          <w:tcPr>
            <w:tcW w:w="556" w:type="dxa"/>
          </w:tcPr>
          <w:p w14:paraId="646C2AE4" w14:textId="77777777" w:rsidR="004F7DC6" w:rsidRPr="0047058F" w:rsidRDefault="004F7DC6" w:rsidP="004F7DC6">
            <w:pPr>
              <w:pStyle w:val="TableText"/>
              <w:jc w:val="right"/>
              <w:rPr>
                <w:rFonts w:cs="Arial"/>
                <w:b/>
              </w:rPr>
            </w:pPr>
            <w:r w:rsidRPr="0047058F">
              <w:rPr>
                <w:rFonts w:eastAsia="Times New Roman" w:cs="Arial"/>
                <w:b/>
              </w:rPr>
              <w:t>49.8</w:t>
            </w:r>
          </w:p>
        </w:tc>
        <w:tc>
          <w:tcPr>
            <w:tcW w:w="557" w:type="dxa"/>
          </w:tcPr>
          <w:p w14:paraId="24B657C1" w14:textId="77777777" w:rsidR="004F7DC6" w:rsidRPr="0047058F" w:rsidRDefault="004F7DC6" w:rsidP="004F7DC6">
            <w:pPr>
              <w:pStyle w:val="TableText"/>
              <w:jc w:val="right"/>
              <w:rPr>
                <w:rFonts w:cs="Arial"/>
                <w:b/>
              </w:rPr>
            </w:pPr>
            <w:r w:rsidRPr="0047058F">
              <w:rPr>
                <w:rFonts w:eastAsia="Times New Roman" w:cs="Arial"/>
                <w:b/>
              </w:rPr>
              <w:t>537</w:t>
            </w:r>
          </w:p>
        </w:tc>
        <w:tc>
          <w:tcPr>
            <w:tcW w:w="556" w:type="dxa"/>
          </w:tcPr>
          <w:p w14:paraId="02514250" w14:textId="77777777" w:rsidR="004F7DC6" w:rsidRPr="0047058F" w:rsidRDefault="004F7DC6" w:rsidP="004F7DC6">
            <w:pPr>
              <w:pStyle w:val="TableText"/>
              <w:jc w:val="right"/>
              <w:rPr>
                <w:rFonts w:cs="Arial"/>
                <w:b/>
              </w:rPr>
            </w:pPr>
            <w:r w:rsidRPr="0047058F">
              <w:rPr>
                <w:rFonts w:eastAsia="Times New Roman" w:cs="Arial"/>
                <w:b/>
              </w:rPr>
              <w:t>25.8</w:t>
            </w:r>
          </w:p>
        </w:tc>
        <w:tc>
          <w:tcPr>
            <w:tcW w:w="556" w:type="dxa"/>
          </w:tcPr>
          <w:p w14:paraId="02699736" w14:textId="77777777" w:rsidR="004F7DC6" w:rsidRPr="0047058F" w:rsidRDefault="004F7DC6" w:rsidP="004F7DC6">
            <w:pPr>
              <w:pStyle w:val="TableText"/>
              <w:jc w:val="right"/>
              <w:rPr>
                <w:rFonts w:cs="Arial"/>
                <w:b/>
              </w:rPr>
            </w:pPr>
            <w:r w:rsidRPr="0047058F">
              <w:rPr>
                <w:rFonts w:eastAsia="Times New Roman" w:cs="Arial"/>
                <w:b/>
              </w:rPr>
              <w:t>509</w:t>
            </w:r>
          </w:p>
        </w:tc>
        <w:tc>
          <w:tcPr>
            <w:tcW w:w="557" w:type="dxa"/>
          </w:tcPr>
          <w:p w14:paraId="27DAA32D" w14:textId="77777777" w:rsidR="004F7DC6" w:rsidRPr="0047058F" w:rsidRDefault="004F7DC6" w:rsidP="004F7DC6">
            <w:pPr>
              <w:pStyle w:val="TableText"/>
              <w:jc w:val="right"/>
              <w:rPr>
                <w:rFonts w:cs="Arial"/>
                <w:b/>
              </w:rPr>
            </w:pPr>
            <w:r w:rsidRPr="0047058F">
              <w:rPr>
                <w:rFonts w:eastAsia="Times New Roman" w:cs="Arial"/>
                <w:b/>
              </w:rPr>
              <w:t>24.4</w:t>
            </w:r>
          </w:p>
        </w:tc>
      </w:tr>
    </w:tbl>
    <w:p w14:paraId="27C0D646" w14:textId="77777777" w:rsidR="004F7DC6" w:rsidRPr="0047058F" w:rsidRDefault="004F7DC6" w:rsidP="004F7DC6">
      <w:pPr>
        <w:pStyle w:val="TableNotes"/>
      </w:pPr>
      <w:r w:rsidRPr="0047058F">
        <w:t>Note: Unweighted data.</w:t>
      </w:r>
    </w:p>
    <w:p w14:paraId="31BEB5AA" w14:textId="1765176F" w:rsidR="00CB4A37" w:rsidRPr="0047058F" w:rsidRDefault="00CB4A37" w:rsidP="00CB4A37">
      <w:pPr>
        <w:pStyle w:val="FigureName"/>
      </w:pPr>
      <w:bookmarkStart w:id="460" w:name="_Ref387058298"/>
      <w:bookmarkStart w:id="461" w:name="_Toc529117596"/>
      <w:bookmarkStart w:id="462" w:name="_Toc532473669"/>
      <w:r w:rsidRPr="0047058F">
        <w:t>Figure 6.2</w:t>
      </w:r>
      <w:bookmarkEnd w:id="460"/>
      <w:r w:rsidRPr="0047058F">
        <w:tab/>
        <w:t xml:space="preserve">Proportion of </w:t>
      </w:r>
      <w:r w:rsidRPr="0047058F">
        <w:rPr>
          <w:u w:val="single"/>
        </w:rPr>
        <w:t>Transitioned ADF in the longitudinal cohort</w:t>
      </w:r>
      <w:r w:rsidRPr="0047058F">
        <w:t xml:space="preserve"> with no disorder, subsyndromal disorder and probable disorder in 2010 and 2015 based on self-reported measures</w:t>
      </w:r>
      <w:bookmarkEnd w:id="461"/>
      <w:bookmarkEnd w:id="462"/>
    </w:p>
    <w:p w14:paraId="7C4C11E5" w14:textId="77777777" w:rsidR="00CB4A37" w:rsidRPr="0047058F" w:rsidRDefault="00CB4A37" w:rsidP="00CB4A37">
      <w:r w:rsidRPr="0047058F">
        <w:rPr>
          <w:noProof/>
          <w:lang w:eastAsia="en-AU"/>
        </w:rPr>
        <w:drawing>
          <wp:inline distT="0" distB="0" distL="0" distR="0" wp14:anchorId="0D5787EA" wp14:editId="75735C38">
            <wp:extent cx="4572000" cy="2743200"/>
            <wp:effectExtent l="0" t="0" r="0" b="0"/>
            <wp:docPr id="45" name="Chart 45" descr="Figure 6.2 Proportion of Transitioned ADF in the longitudinal cohort with no disorder, subsyndromal disorder and probable disorder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35711A8" w14:textId="77777777" w:rsidR="004F7DC6" w:rsidRPr="0047058F" w:rsidRDefault="004F7DC6" w:rsidP="004F7DC6">
      <w:pPr>
        <w:pStyle w:val="TableName"/>
      </w:pPr>
      <w:bookmarkStart w:id="463" w:name="_Ref385843645"/>
      <w:bookmarkStart w:id="464" w:name="_Toc529117545"/>
      <w:bookmarkStart w:id="465" w:name="_Toc532473615"/>
      <w:r w:rsidRPr="0047058F">
        <w:t>Table 6.3</w:t>
      </w:r>
      <w:bookmarkEnd w:id="463"/>
      <w:r w:rsidRPr="0047058F">
        <w:tab/>
        <w:t xml:space="preserve">Proportion of </w:t>
      </w:r>
      <w:r w:rsidRPr="0047058F">
        <w:rPr>
          <w:u w:val="single"/>
        </w:rPr>
        <w:t>2015 Regular ADF in the longitudinal cohort</w:t>
      </w:r>
      <w:r w:rsidRPr="0047058F">
        <w:t xml:space="preserve"> with no disorder, subsyndromal disorder and probable disorder in 2010 and 2015 based on self-reported measures</w:t>
      </w:r>
      <w:bookmarkEnd w:id="464"/>
      <w:bookmarkEnd w:id="465"/>
    </w:p>
    <w:tbl>
      <w:tblPr>
        <w:tblStyle w:val="TWRPTable"/>
        <w:tblW w:w="5000" w:type="pct"/>
        <w:tblLayout w:type="fixed"/>
        <w:tblLook w:val="04A0" w:firstRow="1" w:lastRow="0" w:firstColumn="1" w:lastColumn="0" w:noHBand="0" w:noVBand="1"/>
        <w:tblDescription w:val="Table 6.3 Proportion of 2015 Regular ADF in the longitudinal cohort with no disorder, subsyndromal disorder and probable disorder in 2010 and 2015 based on self-reported measures"/>
      </w:tblPr>
      <w:tblGrid>
        <w:gridCol w:w="2718"/>
        <w:gridCol w:w="632"/>
        <w:gridCol w:w="632"/>
        <w:gridCol w:w="555"/>
        <w:gridCol w:w="556"/>
        <w:gridCol w:w="555"/>
        <w:gridCol w:w="556"/>
        <w:gridCol w:w="555"/>
        <w:gridCol w:w="556"/>
      </w:tblGrid>
      <w:tr w:rsidR="004F7DC6" w:rsidRPr="0047058F" w14:paraId="3AE9F7F6"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3982" w:type="dxa"/>
            <w:gridSpan w:val="3"/>
            <w:vMerge w:val="restart"/>
          </w:tcPr>
          <w:p w14:paraId="4E4D2A47" w14:textId="77777777" w:rsidR="004F7DC6" w:rsidRPr="0047058F" w:rsidRDefault="004F7DC6" w:rsidP="007A0888">
            <w:pPr>
              <w:pStyle w:val="TableText"/>
            </w:pPr>
            <w:r w:rsidRPr="0047058F">
              <w:t>2010 ADF Mental Health Prevalence and Wellbeing Study</w:t>
            </w:r>
          </w:p>
        </w:tc>
        <w:tc>
          <w:tcPr>
            <w:tcW w:w="3333" w:type="dxa"/>
            <w:gridSpan w:val="6"/>
          </w:tcPr>
          <w:p w14:paraId="015BD43E" w14:textId="77777777" w:rsidR="004F7DC6" w:rsidRPr="0047058F" w:rsidRDefault="004F7DC6" w:rsidP="007A0888">
            <w:pPr>
              <w:pStyle w:val="TableText"/>
              <w:jc w:val="center"/>
            </w:pPr>
            <w:r w:rsidRPr="0047058F">
              <w:t>2015 Transition and Wellbeing Research Programme</w:t>
            </w:r>
          </w:p>
        </w:tc>
      </w:tr>
      <w:tr w:rsidR="004F7DC6" w:rsidRPr="0047058F" w14:paraId="308CB891"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3982" w:type="dxa"/>
            <w:gridSpan w:val="3"/>
            <w:vMerge/>
          </w:tcPr>
          <w:p w14:paraId="3CDA5D01" w14:textId="77777777" w:rsidR="004F7DC6" w:rsidRPr="0047058F" w:rsidRDefault="004F7DC6" w:rsidP="007A0888">
            <w:pPr>
              <w:pStyle w:val="TableText"/>
            </w:pPr>
          </w:p>
        </w:tc>
        <w:tc>
          <w:tcPr>
            <w:tcW w:w="1111" w:type="dxa"/>
            <w:gridSpan w:val="2"/>
            <w:hideMark/>
          </w:tcPr>
          <w:p w14:paraId="202EBCFE" w14:textId="77777777" w:rsidR="004F7DC6" w:rsidRPr="0047058F" w:rsidRDefault="004F7DC6" w:rsidP="007A0888">
            <w:pPr>
              <w:pStyle w:val="TableText"/>
              <w:jc w:val="center"/>
            </w:pPr>
            <w:r w:rsidRPr="0047058F">
              <w:t>No disorder</w:t>
            </w:r>
          </w:p>
        </w:tc>
        <w:tc>
          <w:tcPr>
            <w:tcW w:w="1111" w:type="dxa"/>
            <w:gridSpan w:val="2"/>
          </w:tcPr>
          <w:p w14:paraId="3C1516A5" w14:textId="77777777" w:rsidR="004F7DC6" w:rsidRPr="0047058F" w:rsidRDefault="004F7DC6" w:rsidP="007A0888">
            <w:pPr>
              <w:pStyle w:val="TableText"/>
              <w:jc w:val="center"/>
            </w:pPr>
            <w:r w:rsidRPr="0047058F">
              <w:t>Subsyndromal disorder</w:t>
            </w:r>
          </w:p>
        </w:tc>
        <w:tc>
          <w:tcPr>
            <w:tcW w:w="1111" w:type="dxa"/>
            <w:gridSpan w:val="2"/>
          </w:tcPr>
          <w:p w14:paraId="10127E87" w14:textId="77777777" w:rsidR="004F7DC6" w:rsidRPr="0047058F" w:rsidRDefault="004F7DC6" w:rsidP="007A0888">
            <w:pPr>
              <w:pStyle w:val="TableText"/>
              <w:jc w:val="center"/>
            </w:pPr>
            <w:r w:rsidRPr="0047058F">
              <w:t>Probable disorder</w:t>
            </w:r>
          </w:p>
        </w:tc>
      </w:tr>
      <w:tr w:rsidR="004F7DC6" w:rsidRPr="0047058F" w14:paraId="132D0785" w14:textId="77777777" w:rsidTr="007A0888">
        <w:trPr>
          <w:cnfStyle w:val="100000000000" w:firstRow="1" w:lastRow="0" w:firstColumn="0" w:lastColumn="0" w:oddVBand="0" w:evenVBand="0" w:oddHBand="0" w:evenHBand="0" w:firstRowFirstColumn="0" w:firstRowLastColumn="0" w:lastRowFirstColumn="0" w:lastRowLastColumn="0"/>
          <w:cantSplit/>
          <w:tblHeader/>
        </w:trPr>
        <w:tc>
          <w:tcPr>
            <w:tcW w:w="2718" w:type="dxa"/>
          </w:tcPr>
          <w:p w14:paraId="21915D02" w14:textId="77777777" w:rsidR="004F7DC6" w:rsidRPr="0047058F" w:rsidRDefault="004F7DC6" w:rsidP="007A0888">
            <w:pPr>
              <w:pStyle w:val="TableText"/>
            </w:pPr>
            <w:r w:rsidRPr="0047058F">
              <w:rPr>
                <w:rFonts w:cs="Arial"/>
              </w:rPr>
              <w:t>K10 and PCL-C</w:t>
            </w:r>
          </w:p>
        </w:tc>
        <w:tc>
          <w:tcPr>
            <w:tcW w:w="632" w:type="dxa"/>
          </w:tcPr>
          <w:p w14:paraId="60A9D065" w14:textId="77777777" w:rsidR="004F7DC6" w:rsidRPr="0047058F" w:rsidRDefault="004F7DC6" w:rsidP="007A0888">
            <w:pPr>
              <w:pStyle w:val="TableText"/>
              <w:jc w:val="right"/>
              <w:rPr>
                <w:rFonts w:cs="Arial"/>
              </w:rPr>
            </w:pPr>
            <w:r w:rsidRPr="0047058F">
              <w:rPr>
                <w:rFonts w:cs="Arial"/>
              </w:rPr>
              <w:t>n</w:t>
            </w:r>
          </w:p>
        </w:tc>
        <w:tc>
          <w:tcPr>
            <w:tcW w:w="632" w:type="dxa"/>
          </w:tcPr>
          <w:p w14:paraId="6DAC9525" w14:textId="77777777" w:rsidR="004F7DC6" w:rsidRPr="0047058F" w:rsidRDefault="004F7DC6" w:rsidP="007A0888">
            <w:pPr>
              <w:pStyle w:val="TableText"/>
              <w:jc w:val="right"/>
              <w:rPr>
                <w:rFonts w:cs="Arial"/>
              </w:rPr>
            </w:pPr>
            <w:r w:rsidRPr="0047058F">
              <w:rPr>
                <w:rFonts w:cs="Arial"/>
              </w:rPr>
              <w:t>%</w:t>
            </w:r>
          </w:p>
        </w:tc>
        <w:tc>
          <w:tcPr>
            <w:tcW w:w="555" w:type="dxa"/>
          </w:tcPr>
          <w:p w14:paraId="10E2A035" w14:textId="77777777" w:rsidR="004F7DC6" w:rsidRPr="0047058F" w:rsidRDefault="004F7DC6" w:rsidP="007A0888">
            <w:pPr>
              <w:pStyle w:val="TableText"/>
              <w:jc w:val="right"/>
              <w:rPr>
                <w:rFonts w:cs="Arial"/>
              </w:rPr>
            </w:pPr>
            <w:r w:rsidRPr="0047058F">
              <w:rPr>
                <w:rFonts w:cs="Arial"/>
              </w:rPr>
              <w:t>n</w:t>
            </w:r>
          </w:p>
        </w:tc>
        <w:tc>
          <w:tcPr>
            <w:tcW w:w="556" w:type="dxa"/>
          </w:tcPr>
          <w:p w14:paraId="6128DD28" w14:textId="77777777" w:rsidR="004F7DC6" w:rsidRPr="0047058F" w:rsidRDefault="004F7DC6" w:rsidP="007A0888">
            <w:pPr>
              <w:pStyle w:val="TableText"/>
              <w:jc w:val="right"/>
              <w:rPr>
                <w:rFonts w:cs="Arial"/>
              </w:rPr>
            </w:pPr>
            <w:r w:rsidRPr="0047058F">
              <w:rPr>
                <w:rFonts w:cs="Arial"/>
              </w:rPr>
              <w:t>%</w:t>
            </w:r>
          </w:p>
        </w:tc>
        <w:tc>
          <w:tcPr>
            <w:tcW w:w="555" w:type="dxa"/>
          </w:tcPr>
          <w:p w14:paraId="77B92171" w14:textId="77777777" w:rsidR="004F7DC6" w:rsidRPr="0047058F" w:rsidRDefault="004F7DC6" w:rsidP="007A0888">
            <w:pPr>
              <w:pStyle w:val="TableText"/>
              <w:jc w:val="right"/>
              <w:rPr>
                <w:rFonts w:cs="Arial"/>
              </w:rPr>
            </w:pPr>
            <w:r w:rsidRPr="0047058F">
              <w:rPr>
                <w:rFonts w:cs="Arial"/>
              </w:rPr>
              <w:t>n</w:t>
            </w:r>
          </w:p>
        </w:tc>
        <w:tc>
          <w:tcPr>
            <w:tcW w:w="556" w:type="dxa"/>
          </w:tcPr>
          <w:p w14:paraId="1444EB0F" w14:textId="77777777" w:rsidR="004F7DC6" w:rsidRPr="0047058F" w:rsidRDefault="004F7DC6" w:rsidP="007A0888">
            <w:pPr>
              <w:pStyle w:val="TableText"/>
              <w:jc w:val="right"/>
              <w:rPr>
                <w:rFonts w:cs="Arial"/>
              </w:rPr>
            </w:pPr>
            <w:r w:rsidRPr="0047058F">
              <w:rPr>
                <w:rFonts w:cs="Arial"/>
              </w:rPr>
              <w:t>%</w:t>
            </w:r>
          </w:p>
        </w:tc>
        <w:tc>
          <w:tcPr>
            <w:tcW w:w="555" w:type="dxa"/>
          </w:tcPr>
          <w:p w14:paraId="32FA4D6E" w14:textId="77777777" w:rsidR="004F7DC6" w:rsidRPr="0047058F" w:rsidRDefault="004F7DC6" w:rsidP="007A0888">
            <w:pPr>
              <w:pStyle w:val="TableText"/>
              <w:jc w:val="right"/>
              <w:rPr>
                <w:rFonts w:cs="Arial"/>
              </w:rPr>
            </w:pPr>
            <w:r w:rsidRPr="0047058F">
              <w:rPr>
                <w:rFonts w:cs="Arial"/>
              </w:rPr>
              <w:t>n</w:t>
            </w:r>
          </w:p>
        </w:tc>
        <w:tc>
          <w:tcPr>
            <w:tcW w:w="556" w:type="dxa"/>
          </w:tcPr>
          <w:p w14:paraId="47794A87" w14:textId="77777777" w:rsidR="004F7DC6" w:rsidRPr="0047058F" w:rsidRDefault="004F7DC6" w:rsidP="007A0888">
            <w:pPr>
              <w:pStyle w:val="TableText"/>
              <w:jc w:val="right"/>
              <w:rPr>
                <w:rFonts w:cs="Arial"/>
              </w:rPr>
            </w:pPr>
            <w:r w:rsidRPr="0047058F">
              <w:rPr>
                <w:rFonts w:cs="Arial"/>
              </w:rPr>
              <w:t>%</w:t>
            </w:r>
          </w:p>
        </w:tc>
      </w:tr>
      <w:tr w:rsidR="004F7DC6" w:rsidRPr="0047058F" w14:paraId="0B2442E6" w14:textId="77777777" w:rsidTr="007A0888">
        <w:trPr>
          <w:cnfStyle w:val="000000100000" w:firstRow="0" w:lastRow="0" w:firstColumn="0" w:lastColumn="0" w:oddVBand="0" w:evenVBand="0" w:oddHBand="1" w:evenHBand="0" w:firstRowFirstColumn="0" w:firstRowLastColumn="0" w:lastRowFirstColumn="0" w:lastRowLastColumn="0"/>
          <w:cantSplit/>
        </w:trPr>
        <w:tc>
          <w:tcPr>
            <w:tcW w:w="2718" w:type="dxa"/>
          </w:tcPr>
          <w:p w14:paraId="41863110" w14:textId="77777777" w:rsidR="004F7DC6" w:rsidRPr="0047058F" w:rsidRDefault="004F7DC6" w:rsidP="007A0888">
            <w:pPr>
              <w:pStyle w:val="TableText"/>
              <w:rPr>
                <w:rFonts w:cs="Calibri"/>
                <w:szCs w:val="14"/>
              </w:rPr>
            </w:pPr>
            <w:r w:rsidRPr="0047058F">
              <w:rPr>
                <w:rFonts w:cs="Calibri"/>
                <w:szCs w:val="14"/>
              </w:rPr>
              <w:t>No disorder: Below both screening and epidemiological cut-offs</w:t>
            </w:r>
          </w:p>
        </w:tc>
        <w:tc>
          <w:tcPr>
            <w:tcW w:w="632" w:type="dxa"/>
          </w:tcPr>
          <w:p w14:paraId="5415120C" w14:textId="77777777" w:rsidR="004F7DC6" w:rsidRPr="0047058F" w:rsidRDefault="004F7DC6" w:rsidP="007A0888">
            <w:pPr>
              <w:pStyle w:val="TableText"/>
              <w:jc w:val="right"/>
            </w:pPr>
            <w:r w:rsidRPr="0047058F">
              <w:rPr>
                <w:rFonts w:eastAsia="Times New Roman" w:cs="Arial"/>
              </w:rPr>
              <w:t>3684</w:t>
            </w:r>
          </w:p>
        </w:tc>
        <w:tc>
          <w:tcPr>
            <w:tcW w:w="632" w:type="dxa"/>
          </w:tcPr>
          <w:p w14:paraId="47622B07" w14:textId="77777777" w:rsidR="004F7DC6" w:rsidRPr="0047058F" w:rsidRDefault="004F7DC6" w:rsidP="007A0888">
            <w:pPr>
              <w:pStyle w:val="TableText"/>
              <w:jc w:val="right"/>
              <w:rPr>
                <w:rFonts w:eastAsia="Times New Roman" w:cs="Arial"/>
              </w:rPr>
            </w:pPr>
            <w:r w:rsidRPr="0047058F">
              <w:rPr>
                <w:rFonts w:eastAsia="Times New Roman" w:cs="Arial"/>
              </w:rPr>
              <w:t>66.9</w:t>
            </w:r>
          </w:p>
        </w:tc>
        <w:tc>
          <w:tcPr>
            <w:tcW w:w="555" w:type="dxa"/>
          </w:tcPr>
          <w:p w14:paraId="1C198F20" w14:textId="77777777" w:rsidR="004F7DC6" w:rsidRPr="0047058F" w:rsidRDefault="004F7DC6" w:rsidP="007A0888">
            <w:pPr>
              <w:pStyle w:val="TableText"/>
              <w:jc w:val="right"/>
            </w:pPr>
            <w:r w:rsidRPr="0047058F">
              <w:rPr>
                <w:rFonts w:eastAsia="Times New Roman" w:cs="Arial"/>
              </w:rPr>
              <w:t>2838</w:t>
            </w:r>
          </w:p>
        </w:tc>
        <w:tc>
          <w:tcPr>
            <w:tcW w:w="556" w:type="dxa"/>
          </w:tcPr>
          <w:p w14:paraId="1B948177" w14:textId="77777777" w:rsidR="004F7DC6" w:rsidRPr="0047058F" w:rsidRDefault="004F7DC6" w:rsidP="007A0888">
            <w:pPr>
              <w:pStyle w:val="TableText"/>
              <w:jc w:val="right"/>
            </w:pPr>
            <w:r w:rsidRPr="0047058F">
              <w:rPr>
                <w:rFonts w:eastAsia="Times New Roman" w:cs="Arial"/>
              </w:rPr>
              <w:t>77.0</w:t>
            </w:r>
          </w:p>
        </w:tc>
        <w:tc>
          <w:tcPr>
            <w:tcW w:w="555" w:type="dxa"/>
          </w:tcPr>
          <w:p w14:paraId="2B37669B" w14:textId="77777777" w:rsidR="004F7DC6" w:rsidRPr="0047058F" w:rsidRDefault="004F7DC6" w:rsidP="007A0888">
            <w:pPr>
              <w:pStyle w:val="TableText"/>
              <w:jc w:val="right"/>
            </w:pPr>
            <w:r w:rsidRPr="0047058F">
              <w:rPr>
                <w:rFonts w:eastAsia="Times New Roman" w:cs="Arial"/>
              </w:rPr>
              <w:t>529</w:t>
            </w:r>
          </w:p>
        </w:tc>
        <w:tc>
          <w:tcPr>
            <w:tcW w:w="556" w:type="dxa"/>
          </w:tcPr>
          <w:p w14:paraId="076820E1" w14:textId="77777777" w:rsidR="004F7DC6" w:rsidRPr="0047058F" w:rsidRDefault="004F7DC6" w:rsidP="007A0888">
            <w:pPr>
              <w:pStyle w:val="TableText"/>
              <w:jc w:val="right"/>
            </w:pPr>
            <w:r w:rsidRPr="0047058F">
              <w:rPr>
                <w:rFonts w:eastAsia="Times New Roman" w:cs="Arial"/>
              </w:rPr>
              <w:t>14.4</w:t>
            </w:r>
          </w:p>
        </w:tc>
        <w:tc>
          <w:tcPr>
            <w:tcW w:w="555" w:type="dxa"/>
          </w:tcPr>
          <w:p w14:paraId="40C1FFAD" w14:textId="77777777" w:rsidR="004F7DC6" w:rsidRPr="0047058F" w:rsidRDefault="004F7DC6" w:rsidP="007A0888">
            <w:pPr>
              <w:pStyle w:val="TableText"/>
              <w:jc w:val="right"/>
            </w:pPr>
            <w:r w:rsidRPr="0047058F">
              <w:rPr>
                <w:rFonts w:eastAsia="Times New Roman" w:cs="Arial"/>
              </w:rPr>
              <w:t>317</w:t>
            </w:r>
          </w:p>
        </w:tc>
        <w:tc>
          <w:tcPr>
            <w:tcW w:w="556" w:type="dxa"/>
          </w:tcPr>
          <w:p w14:paraId="6D7A6291" w14:textId="77777777" w:rsidR="004F7DC6" w:rsidRPr="0047058F" w:rsidRDefault="004F7DC6" w:rsidP="007A0888">
            <w:pPr>
              <w:pStyle w:val="TableText"/>
              <w:jc w:val="right"/>
            </w:pPr>
            <w:r w:rsidRPr="0047058F">
              <w:rPr>
                <w:rFonts w:eastAsia="Times New Roman" w:cs="Arial"/>
              </w:rPr>
              <w:t>8.6</w:t>
            </w:r>
          </w:p>
        </w:tc>
      </w:tr>
      <w:tr w:rsidR="004F7DC6" w:rsidRPr="0047058F" w14:paraId="0B6C0920" w14:textId="77777777" w:rsidTr="007A0888">
        <w:trPr>
          <w:cantSplit/>
        </w:trPr>
        <w:tc>
          <w:tcPr>
            <w:tcW w:w="2718" w:type="dxa"/>
          </w:tcPr>
          <w:p w14:paraId="09272C87" w14:textId="77777777" w:rsidR="004F7DC6" w:rsidRPr="0047058F" w:rsidRDefault="004F7DC6" w:rsidP="007A0888">
            <w:pPr>
              <w:pStyle w:val="TableText"/>
              <w:rPr>
                <w:rFonts w:cs="Calibri"/>
                <w:szCs w:val="14"/>
              </w:rPr>
            </w:pPr>
            <w:r w:rsidRPr="0047058F">
              <w:rPr>
                <w:rFonts w:cs="Calibri"/>
                <w:szCs w:val="14"/>
              </w:rPr>
              <w:t>Subsyndromal disorder: Above screening cut-off but below epidemiological cut-off</w:t>
            </w:r>
          </w:p>
        </w:tc>
        <w:tc>
          <w:tcPr>
            <w:tcW w:w="632" w:type="dxa"/>
          </w:tcPr>
          <w:p w14:paraId="3EE3E8A5" w14:textId="77777777" w:rsidR="004F7DC6" w:rsidRPr="0047058F" w:rsidRDefault="004F7DC6" w:rsidP="007A0888">
            <w:pPr>
              <w:pStyle w:val="TableText"/>
              <w:jc w:val="right"/>
            </w:pPr>
            <w:r w:rsidRPr="0047058F">
              <w:rPr>
                <w:rFonts w:eastAsia="Times New Roman" w:cs="Arial"/>
              </w:rPr>
              <w:t>1434</w:t>
            </w:r>
          </w:p>
        </w:tc>
        <w:tc>
          <w:tcPr>
            <w:tcW w:w="632" w:type="dxa"/>
          </w:tcPr>
          <w:p w14:paraId="4860E539" w14:textId="77777777" w:rsidR="004F7DC6" w:rsidRPr="0047058F" w:rsidRDefault="004F7DC6" w:rsidP="007A0888">
            <w:pPr>
              <w:pStyle w:val="TableText"/>
              <w:jc w:val="right"/>
              <w:rPr>
                <w:rFonts w:eastAsia="Times New Roman" w:cs="Arial"/>
              </w:rPr>
            </w:pPr>
            <w:r w:rsidRPr="0047058F">
              <w:rPr>
                <w:rFonts w:eastAsia="Times New Roman" w:cs="Arial"/>
              </w:rPr>
              <w:t>26.0</w:t>
            </w:r>
          </w:p>
        </w:tc>
        <w:tc>
          <w:tcPr>
            <w:tcW w:w="555" w:type="dxa"/>
          </w:tcPr>
          <w:p w14:paraId="48468908" w14:textId="77777777" w:rsidR="004F7DC6" w:rsidRPr="0047058F" w:rsidRDefault="004F7DC6" w:rsidP="007A0888">
            <w:pPr>
              <w:pStyle w:val="TableText"/>
              <w:jc w:val="right"/>
            </w:pPr>
            <w:r w:rsidRPr="0047058F">
              <w:rPr>
                <w:rFonts w:eastAsia="Times New Roman" w:cs="Arial"/>
              </w:rPr>
              <w:t>644</w:t>
            </w:r>
          </w:p>
        </w:tc>
        <w:tc>
          <w:tcPr>
            <w:tcW w:w="556" w:type="dxa"/>
          </w:tcPr>
          <w:p w14:paraId="5503E321" w14:textId="77777777" w:rsidR="004F7DC6" w:rsidRPr="0047058F" w:rsidRDefault="004F7DC6" w:rsidP="007A0888">
            <w:pPr>
              <w:pStyle w:val="TableText"/>
              <w:jc w:val="right"/>
            </w:pPr>
            <w:r w:rsidRPr="0047058F">
              <w:rPr>
                <w:rFonts w:eastAsia="Times New Roman" w:cs="Arial"/>
              </w:rPr>
              <w:t>44.9</w:t>
            </w:r>
          </w:p>
        </w:tc>
        <w:tc>
          <w:tcPr>
            <w:tcW w:w="555" w:type="dxa"/>
          </w:tcPr>
          <w:p w14:paraId="112D400F" w14:textId="77777777" w:rsidR="004F7DC6" w:rsidRPr="0047058F" w:rsidRDefault="004F7DC6" w:rsidP="007A0888">
            <w:pPr>
              <w:pStyle w:val="TableText"/>
              <w:jc w:val="right"/>
            </w:pPr>
            <w:r w:rsidRPr="0047058F">
              <w:rPr>
                <w:rFonts w:eastAsia="Times New Roman" w:cs="Arial"/>
              </w:rPr>
              <w:t>531</w:t>
            </w:r>
          </w:p>
        </w:tc>
        <w:tc>
          <w:tcPr>
            <w:tcW w:w="556" w:type="dxa"/>
          </w:tcPr>
          <w:p w14:paraId="0FFF357A" w14:textId="77777777" w:rsidR="004F7DC6" w:rsidRPr="0047058F" w:rsidRDefault="004F7DC6" w:rsidP="007A0888">
            <w:pPr>
              <w:pStyle w:val="TableText"/>
              <w:jc w:val="right"/>
            </w:pPr>
            <w:r w:rsidRPr="0047058F">
              <w:rPr>
                <w:rFonts w:eastAsia="Times New Roman" w:cs="Arial"/>
              </w:rPr>
              <w:t>37.0</w:t>
            </w:r>
          </w:p>
        </w:tc>
        <w:tc>
          <w:tcPr>
            <w:tcW w:w="555" w:type="dxa"/>
          </w:tcPr>
          <w:p w14:paraId="4CB33B5F" w14:textId="77777777" w:rsidR="004F7DC6" w:rsidRPr="0047058F" w:rsidRDefault="004F7DC6" w:rsidP="007A0888">
            <w:pPr>
              <w:pStyle w:val="TableText"/>
              <w:jc w:val="right"/>
            </w:pPr>
            <w:r w:rsidRPr="0047058F">
              <w:rPr>
                <w:rFonts w:eastAsia="Times New Roman" w:cs="Arial"/>
              </w:rPr>
              <w:t>259</w:t>
            </w:r>
          </w:p>
        </w:tc>
        <w:tc>
          <w:tcPr>
            <w:tcW w:w="556" w:type="dxa"/>
          </w:tcPr>
          <w:p w14:paraId="12F9923E" w14:textId="77777777" w:rsidR="004F7DC6" w:rsidRPr="0047058F" w:rsidRDefault="004F7DC6" w:rsidP="007A0888">
            <w:pPr>
              <w:pStyle w:val="TableText"/>
              <w:jc w:val="right"/>
            </w:pPr>
            <w:r w:rsidRPr="0047058F">
              <w:rPr>
                <w:rFonts w:eastAsia="Times New Roman" w:cs="Arial"/>
              </w:rPr>
              <w:t>18.1</w:t>
            </w:r>
          </w:p>
        </w:tc>
      </w:tr>
      <w:tr w:rsidR="004F7DC6" w:rsidRPr="0047058F" w14:paraId="21EDDA5D" w14:textId="77777777" w:rsidTr="007A0888">
        <w:trPr>
          <w:cnfStyle w:val="000000100000" w:firstRow="0" w:lastRow="0" w:firstColumn="0" w:lastColumn="0" w:oddVBand="0" w:evenVBand="0" w:oddHBand="1" w:evenHBand="0" w:firstRowFirstColumn="0" w:firstRowLastColumn="0" w:lastRowFirstColumn="0" w:lastRowLastColumn="0"/>
          <w:cantSplit/>
        </w:trPr>
        <w:tc>
          <w:tcPr>
            <w:tcW w:w="2718" w:type="dxa"/>
          </w:tcPr>
          <w:p w14:paraId="4AA6D7BB" w14:textId="77777777" w:rsidR="004F7DC6" w:rsidRPr="0047058F" w:rsidRDefault="004F7DC6" w:rsidP="007A0888">
            <w:pPr>
              <w:pStyle w:val="TableText"/>
              <w:rPr>
                <w:rFonts w:cs="Calibri"/>
                <w:szCs w:val="14"/>
              </w:rPr>
            </w:pPr>
            <w:r w:rsidRPr="0047058F">
              <w:rPr>
                <w:rFonts w:cs="Calibri"/>
                <w:szCs w:val="14"/>
              </w:rPr>
              <w:t>Probable disorder: Above both screening and epidemiological cut-offs</w:t>
            </w:r>
          </w:p>
        </w:tc>
        <w:tc>
          <w:tcPr>
            <w:tcW w:w="632" w:type="dxa"/>
          </w:tcPr>
          <w:p w14:paraId="7DAF093B" w14:textId="77777777" w:rsidR="004F7DC6" w:rsidRPr="0047058F" w:rsidRDefault="004F7DC6" w:rsidP="007A0888">
            <w:pPr>
              <w:pStyle w:val="TableText"/>
              <w:jc w:val="right"/>
            </w:pPr>
            <w:r w:rsidRPr="0047058F">
              <w:rPr>
                <w:rFonts w:eastAsia="Times New Roman" w:cs="Arial"/>
              </w:rPr>
              <w:t>392</w:t>
            </w:r>
          </w:p>
        </w:tc>
        <w:tc>
          <w:tcPr>
            <w:tcW w:w="632" w:type="dxa"/>
          </w:tcPr>
          <w:p w14:paraId="3F0216A4" w14:textId="77777777" w:rsidR="004F7DC6" w:rsidRPr="0047058F" w:rsidRDefault="004F7DC6" w:rsidP="007A0888">
            <w:pPr>
              <w:pStyle w:val="TableText"/>
              <w:jc w:val="right"/>
              <w:rPr>
                <w:rFonts w:eastAsia="Times New Roman" w:cs="Arial"/>
              </w:rPr>
            </w:pPr>
            <w:r w:rsidRPr="0047058F">
              <w:rPr>
                <w:rFonts w:eastAsia="Times New Roman" w:cs="Arial"/>
              </w:rPr>
              <w:t>7.1</w:t>
            </w:r>
          </w:p>
        </w:tc>
        <w:tc>
          <w:tcPr>
            <w:tcW w:w="555" w:type="dxa"/>
          </w:tcPr>
          <w:p w14:paraId="4E2B754F" w14:textId="77777777" w:rsidR="004F7DC6" w:rsidRPr="0047058F" w:rsidRDefault="004F7DC6" w:rsidP="007A0888">
            <w:pPr>
              <w:pStyle w:val="TableText"/>
              <w:jc w:val="right"/>
            </w:pPr>
            <w:r w:rsidRPr="0047058F">
              <w:rPr>
                <w:rFonts w:eastAsia="Times New Roman" w:cs="Arial"/>
              </w:rPr>
              <w:t>108</w:t>
            </w:r>
          </w:p>
        </w:tc>
        <w:tc>
          <w:tcPr>
            <w:tcW w:w="556" w:type="dxa"/>
          </w:tcPr>
          <w:p w14:paraId="74402878" w14:textId="77777777" w:rsidR="004F7DC6" w:rsidRPr="0047058F" w:rsidRDefault="004F7DC6" w:rsidP="007A0888">
            <w:pPr>
              <w:pStyle w:val="TableText"/>
              <w:jc w:val="right"/>
            </w:pPr>
            <w:r w:rsidRPr="0047058F">
              <w:rPr>
                <w:rFonts w:eastAsia="Times New Roman" w:cs="Arial"/>
              </w:rPr>
              <w:t>27.6</w:t>
            </w:r>
          </w:p>
        </w:tc>
        <w:tc>
          <w:tcPr>
            <w:tcW w:w="555" w:type="dxa"/>
          </w:tcPr>
          <w:p w14:paraId="5C5D7C74" w14:textId="77777777" w:rsidR="004F7DC6" w:rsidRPr="0047058F" w:rsidRDefault="004F7DC6" w:rsidP="007A0888">
            <w:pPr>
              <w:pStyle w:val="TableText"/>
              <w:jc w:val="right"/>
            </w:pPr>
            <w:r w:rsidRPr="0047058F">
              <w:rPr>
                <w:rFonts w:eastAsia="Times New Roman" w:cs="Arial"/>
              </w:rPr>
              <w:t>157</w:t>
            </w:r>
          </w:p>
        </w:tc>
        <w:tc>
          <w:tcPr>
            <w:tcW w:w="556" w:type="dxa"/>
          </w:tcPr>
          <w:p w14:paraId="097C4789" w14:textId="77777777" w:rsidR="004F7DC6" w:rsidRPr="0047058F" w:rsidRDefault="004F7DC6" w:rsidP="007A0888">
            <w:pPr>
              <w:pStyle w:val="TableText"/>
              <w:jc w:val="right"/>
            </w:pPr>
            <w:r w:rsidRPr="0047058F">
              <w:rPr>
                <w:rFonts w:eastAsia="Times New Roman" w:cs="Arial"/>
              </w:rPr>
              <w:t>40.1</w:t>
            </w:r>
          </w:p>
        </w:tc>
        <w:tc>
          <w:tcPr>
            <w:tcW w:w="555" w:type="dxa"/>
          </w:tcPr>
          <w:p w14:paraId="7FD0FAA1" w14:textId="77777777" w:rsidR="004F7DC6" w:rsidRPr="0047058F" w:rsidRDefault="004F7DC6" w:rsidP="007A0888">
            <w:pPr>
              <w:pStyle w:val="TableText"/>
              <w:jc w:val="right"/>
            </w:pPr>
            <w:r w:rsidRPr="0047058F">
              <w:rPr>
                <w:rFonts w:eastAsia="Times New Roman" w:cs="Arial"/>
              </w:rPr>
              <w:t>127</w:t>
            </w:r>
          </w:p>
        </w:tc>
        <w:tc>
          <w:tcPr>
            <w:tcW w:w="556" w:type="dxa"/>
          </w:tcPr>
          <w:p w14:paraId="0F2BE49B" w14:textId="77777777" w:rsidR="004F7DC6" w:rsidRPr="0047058F" w:rsidRDefault="004F7DC6" w:rsidP="007A0888">
            <w:pPr>
              <w:pStyle w:val="TableText"/>
              <w:jc w:val="right"/>
            </w:pPr>
            <w:r w:rsidRPr="0047058F">
              <w:rPr>
                <w:rFonts w:eastAsia="Times New Roman" w:cs="Arial"/>
              </w:rPr>
              <w:t>32.4</w:t>
            </w:r>
          </w:p>
        </w:tc>
      </w:tr>
      <w:tr w:rsidR="004F7DC6" w:rsidRPr="0047058F" w14:paraId="7B7D4A07" w14:textId="77777777" w:rsidTr="007A0888">
        <w:trPr>
          <w:cantSplit/>
        </w:trPr>
        <w:tc>
          <w:tcPr>
            <w:tcW w:w="2718" w:type="dxa"/>
          </w:tcPr>
          <w:p w14:paraId="3CDEE346" w14:textId="77777777" w:rsidR="004F7DC6" w:rsidRPr="00657620" w:rsidRDefault="004F7DC6" w:rsidP="007A0888">
            <w:pPr>
              <w:pStyle w:val="TableText"/>
              <w:rPr>
                <w:rFonts w:cs="Arial"/>
                <w:b/>
              </w:rPr>
            </w:pPr>
            <w:r w:rsidRPr="00657620">
              <w:rPr>
                <w:rFonts w:cs="Arial"/>
                <w:b/>
              </w:rPr>
              <w:t>Total</w:t>
            </w:r>
          </w:p>
        </w:tc>
        <w:tc>
          <w:tcPr>
            <w:tcW w:w="632" w:type="dxa"/>
          </w:tcPr>
          <w:p w14:paraId="4DC1C4D4" w14:textId="77777777" w:rsidR="004F7DC6" w:rsidRPr="00657620" w:rsidRDefault="004F7DC6" w:rsidP="007A0888">
            <w:pPr>
              <w:pStyle w:val="TableText"/>
              <w:jc w:val="right"/>
              <w:rPr>
                <w:rFonts w:cs="Arial"/>
                <w:b/>
              </w:rPr>
            </w:pPr>
            <w:r w:rsidRPr="00657620">
              <w:rPr>
                <w:rFonts w:cs="Arial"/>
                <w:b/>
              </w:rPr>
              <w:t>5510</w:t>
            </w:r>
          </w:p>
        </w:tc>
        <w:tc>
          <w:tcPr>
            <w:tcW w:w="632" w:type="dxa"/>
          </w:tcPr>
          <w:p w14:paraId="1DA8CF09" w14:textId="77777777" w:rsidR="004F7DC6" w:rsidRPr="00657620" w:rsidRDefault="004F7DC6" w:rsidP="007A0888">
            <w:pPr>
              <w:pStyle w:val="TableText"/>
              <w:jc w:val="right"/>
              <w:rPr>
                <w:rFonts w:eastAsia="Times New Roman" w:cs="Arial"/>
                <w:b/>
              </w:rPr>
            </w:pPr>
            <w:r w:rsidRPr="00657620">
              <w:rPr>
                <w:rFonts w:eastAsia="Times New Roman" w:cs="Arial"/>
                <w:b/>
              </w:rPr>
              <w:t>100.0</w:t>
            </w:r>
          </w:p>
        </w:tc>
        <w:tc>
          <w:tcPr>
            <w:tcW w:w="555" w:type="dxa"/>
          </w:tcPr>
          <w:p w14:paraId="701B53D3" w14:textId="77777777" w:rsidR="004F7DC6" w:rsidRPr="00657620" w:rsidRDefault="004F7DC6" w:rsidP="007A0888">
            <w:pPr>
              <w:pStyle w:val="TableText"/>
              <w:jc w:val="right"/>
              <w:rPr>
                <w:rFonts w:cs="Arial"/>
                <w:b/>
              </w:rPr>
            </w:pPr>
            <w:r w:rsidRPr="00657620">
              <w:rPr>
                <w:rFonts w:eastAsia="Times New Roman" w:cs="Arial"/>
                <w:b/>
              </w:rPr>
              <w:t>3590</w:t>
            </w:r>
          </w:p>
        </w:tc>
        <w:tc>
          <w:tcPr>
            <w:tcW w:w="556" w:type="dxa"/>
          </w:tcPr>
          <w:p w14:paraId="636BB166" w14:textId="77777777" w:rsidR="004F7DC6" w:rsidRPr="00657620" w:rsidRDefault="004F7DC6" w:rsidP="007A0888">
            <w:pPr>
              <w:pStyle w:val="TableText"/>
              <w:jc w:val="right"/>
              <w:rPr>
                <w:rFonts w:cs="Arial"/>
                <w:b/>
              </w:rPr>
            </w:pPr>
            <w:r w:rsidRPr="00657620">
              <w:rPr>
                <w:rFonts w:eastAsia="Times New Roman" w:cs="Arial"/>
                <w:b/>
              </w:rPr>
              <w:t>65.2</w:t>
            </w:r>
          </w:p>
        </w:tc>
        <w:tc>
          <w:tcPr>
            <w:tcW w:w="555" w:type="dxa"/>
          </w:tcPr>
          <w:p w14:paraId="358177B0" w14:textId="77777777" w:rsidR="004F7DC6" w:rsidRPr="00657620" w:rsidRDefault="004F7DC6" w:rsidP="007A0888">
            <w:pPr>
              <w:pStyle w:val="TableText"/>
              <w:jc w:val="right"/>
              <w:rPr>
                <w:rFonts w:cs="Arial"/>
                <w:b/>
              </w:rPr>
            </w:pPr>
            <w:r w:rsidRPr="00657620">
              <w:rPr>
                <w:rFonts w:eastAsia="Times New Roman" w:cs="Arial"/>
                <w:b/>
              </w:rPr>
              <w:t>1217</w:t>
            </w:r>
          </w:p>
        </w:tc>
        <w:tc>
          <w:tcPr>
            <w:tcW w:w="556" w:type="dxa"/>
          </w:tcPr>
          <w:p w14:paraId="42D9686A" w14:textId="77777777" w:rsidR="004F7DC6" w:rsidRPr="00657620" w:rsidRDefault="004F7DC6" w:rsidP="007A0888">
            <w:pPr>
              <w:pStyle w:val="TableText"/>
              <w:jc w:val="right"/>
              <w:rPr>
                <w:rFonts w:cs="Arial"/>
                <w:b/>
              </w:rPr>
            </w:pPr>
            <w:r w:rsidRPr="00657620">
              <w:rPr>
                <w:rFonts w:eastAsia="Times New Roman" w:cs="Arial"/>
                <w:b/>
              </w:rPr>
              <w:t>22.1</w:t>
            </w:r>
          </w:p>
        </w:tc>
        <w:tc>
          <w:tcPr>
            <w:tcW w:w="555" w:type="dxa"/>
          </w:tcPr>
          <w:p w14:paraId="29877D4E" w14:textId="77777777" w:rsidR="004F7DC6" w:rsidRPr="00657620" w:rsidRDefault="004F7DC6" w:rsidP="007A0888">
            <w:pPr>
              <w:pStyle w:val="TableText"/>
              <w:jc w:val="right"/>
              <w:rPr>
                <w:rFonts w:cs="Arial"/>
                <w:b/>
              </w:rPr>
            </w:pPr>
            <w:r w:rsidRPr="00657620">
              <w:rPr>
                <w:rFonts w:eastAsia="Times New Roman" w:cs="Arial"/>
                <w:b/>
              </w:rPr>
              <w:t>703</w:t>
            </w:r>
          </w:p>
        </w:tc>
        <w:tc>
          <w:tcPr>
            <w:tcW w:w="556" w:type="dxa"/>
          </w:tcPr>
          <w:p w14:paraId="4DDEE829" w14:textId="77777777" w:rsidR="004F7DC6" w:rsidRPr="00657620" w:rsidRDefault="004F7DC6" w:rsidP="007A0888">
            <w:pPr>
              <w:pStyle w:val="TableText"/>
              <w:jc w:val="right"/>
              <w:rPr>
                <w:rFonts w:cs="Arial"/>
                <w:b/>
              </w:rPr>
            </w:pPr>
            <w:r w:rsidRPr="00657620">
              <w:rPr>
                <w:rFonts w:eastAsia="Times New Roman" w:cs="Arial"/>
                <w:b/>
              </w:rPr>
              <w:t>12.8</w:t>
            </w:r>
          </w:p>
        </w:tc>
      </w:tr>
    </w:tbl>
    <w:p w14:paraId="108DE648" w14:textId="77777777" w:rsidR="004F7DC6" w:rsidRPr="0047058F" w:rsidRDefault="004F7DC6" w:rsidP="004F7DC6">
      <w:pPr>
        <w:pStyle w:val="TableNotes"/>
      </w:pPr>
      <w:r w:rsidRPr="0047058F">
        <w:t>Note: Unweighted data.</w:t>
      </w:r>
    </w:p>
    <w:p w14:paraId="2EC28A33" w14:textId="77777777" w:rsidR="004F7DC6" w:rsidRPr="0047058F" w:rsidRDefault="004F7DC6" w:rsidP="00544CE5">
      <w:pPr>
        <w:pStyle w:val="FigureName"/>
      </w:pPr>
      <w:bookmarkStart w:id="466" w:name="_Ref387058314"/>
      <w:bookmarkStart w:id="467" w:name="_Toc529117597"/>
      <w:bookmarkStart w:id="468" w:name="_Toc532473670"/>
      <w:r w:rsidRPr="0047058F">
        <w:t>Figure 6.3</w:t>
      </w:r>
      <w:bookmarkEnd w:id="466"/>
      <w:r w:rsidRPr="0047058F">
        <w:tab/>
        <w:t xml:space="preserve">Proportion of </w:t>
      </w:r>
      <w:r w:rsidRPr="0047058F">
        <w:rPr>
          <w:u w:val="single"/>
        </w:rPr>
        <w:t>2015 Regular ADF in the longitudinal cohort</w:t>
      </w:r>
      <w:r w:rsidRPr="0047058F">
        <w:t xml:space="preserve"> with no disorder, subsyndromal disorder and probable disorder in 2010 and 2015 based on self-reported measures</w:t>
      </w:r>
      <w:bookmarkEnd w:id="467"/>
      <w:bookmarkEnd w:id="468"/>
    </w:p>
    <w:p w14:paraId="783CA156" w14:textId="77777777" w:rsidR="004F7DC6" w:rsidRPr="0047058F" w:rsidRDefault="004F7DC6" w:rsidP="00544CE5">
      <w:r w:rsidRPr="0047058F">
        <w:rPr>
          <w:noProof/>
          <w:lang w:eastAsia="en-AU"/>
        </w:rPr>
        <w:drawing>
          <wp:inline distT="0" distB="0" distL="0" distR="0" wp14:anchorId="5EB8E845" wp14:editId="7E2D861B">
            <wp:extent cx="4572000" cy="2743200"/>
            <wp:effectExtent l="0" t="0" r="0" b="0"/>
            <wp:docPr id="46" name="Chart 46" descr="Figure 6.3 Proportion of 2015 Regular ADF in the longitudinal cohort with no disorder, subsyndromal disorder and probable disorder in 2010 and 2015 based on self-reported mea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9066624" w14:textId="77777777" w:rsidR="004F7DC6" w:rsidRPr="0047058F" w:rsidRDefault="004F7DC6" w:rsidP="00860F45">
      <w:pPr>
        <w:pStyle w:val="Heading2"/>
      </w:pPr>
      <w:bookmarkStart w:id="469" w:name="_Toc529117482"/>
      <w:bookmarkStart w:id="470" w:name="_Toc532474387"/>
      <w:r w:rsidRPr="0047058F">
        <w:t>Univariate and multivariate predictive modelling</w:t>
      </w:r>
      <w:bookmarkEnd w:id="469"/>
      <w:bookmarkEnd w:id="470"/>
    </w:p>
    <w:p w14:paraId="15893D56" w14:textId="77777777" w:rsidR="004F7DC6" w:rsidRPr="0047058F" w:rsidRDefault="004F7DC6" w:rsidP="00544CE5">
      <w:r w:rsidRPr="0047058F">
        <w:t>Table 6.4 presents the results of univariate and multivariate predictive modelling of the effect of demographic, service-related and other factors on disorder status in 2015 among those cohort members who had no disorder in 2010.</w:t>
      </w:r>
    </w:p>
    <w:p w14:paraId="4D02BFF1" w14:textId="77777777" w:rsidR="004F7DC6" w:rsidRPr="0047058F" w:rsidRDefault="004F7DC6" w:rsidP="00544CE5">
      <w:r w:rsidRPr="0047058F">
        <w:t>Analyses showed significant univariate associations for rank, Service, suicidality, anger, resilience, help seeking, deployment exposures and lifetime trauma. When examined in a combined multivariate model, the effects of all variables, with the exception of help seeking, remained significant.</w:t>
      </w:r>
    </w:p>
    <w:p w14:paraId="7D8A6720" w14:textId="77777777" w:rsidR="004F7DC6" w:rsidRPr="0047058F" w:rsidRDefault="004F7DC6" w:rsidP="00544CE5">
      <w:r w:rsidRPr="0047058F">
        <w:t xml:space="preserve">Rank, anger, deployment exposures and lifetime trauma all predicted the shift into subsyndromal as well as probable disorder in 2015. Specifically, compared to Officers, those who were Non-Commissioned Officers (OR </w:t>
      </w:r>
      <w:r w:rsidRPr="0047058F">
        <w:rPr>
          <w:rFonts w:eastAsia="Times New Roman" w:cs="Arial"/>
        </w:rPr>
        <w:t xml:space="preserve">1.56; </w:t>
      </w:r>
      <w:r w:rsidRPr="0047058F">
        <w:t xml:space="preserve">95% CI 1.28, 1.91) and those who were other ranks (OR 1.45; 95% CI 1.01, 2.09) were more likely to be subsyndromal than have no disorder in 2015. Similarly, compared to Officers, those who were Non-Commissioned Officers (OR </w:t>
      </w:r>
      <w:r w:rsidRPr="0047058F">
        <w:rPr>
          <w:rFonts w:eastAsia="Times New Roman" w:cs="Arial"/>
          <w:szCs w:val="14"/>
        </w:rPr>
        <w:t>1.73</w:t>
      </w:r>
      <w:r w:rsidRPr="0047058F">
        <w:t xml:space="preserve">; 95% CI </w:t>
      </w:r>
      <w:r w:rsidRPr="0047058F">
        <w:rPr>
          <w:rFonts w:eastAsia="Times New Roman" w:cs="Arial"/>
          <w:szCs w:val="14"/>
        </w:rPr>
        <w:t>1.34</w:t>
      </w:r>
      <w:r w:rsidRPr="0047058F">
        <w:t xml:space="preserve">, </w:t>
      </w:r>
      <w:r w:rsidRPr="0047058F">
        <w:rPr>
          <w:rFonts w:eastAsia="Times New Roman" w:cs="Arial"/>
          <w:szCs w:val="14"/>
        </w:rPr>
        <w:t>2.22</w:t>
      </w:r>
      <w:r w:rsidRPr="0047058F">
        <w:t xml:space="preserve">) and those who were other ranks (OR </w:t>
      </w:r>
      <w:r w:rsidRPr="0047058F">
        <w:rPr>
          <w:rFonts w:eastAsia="Times New Roman" w:cs="Arial"/>
          <w:szCs w:val="14"/>
        </w:rPr>
        <w:t>2.41</w:t>
      </w:r>
      <w:r w:rsidRPr="0047058F">
        <w:t xml:space="preserve">; 95% CI </w:t>
      </w:r>
      <w:r w:rsidRPr="0047058F">
        <w:rPr>
          <w:rFonts w:eastAsia="Times New Roman" w:cs="Arial"/>
          <w:szCs w:val="14"/>
        </w:rPr>
        <w:t>1.62</w:t>
      </w:r>
      <w:r w:rsidRPr="0047058F">
        <w:t xml:space="preserve">, </w:t>
      </w:r>
      <w:r w:rsidRPr="0047058F">
        <w:rPr>
          <w:rFonts w:eastAsia="Times New Roman" w:cs="Arial"/>
          <w:szCs w:val="14"/>
        </w:rPr>
        <w:t>3.59</w:t>
      </w:r>
      <w:r w:rsidRPr="0047058F">
        <w:t xml:space="preserve">) were also more likely to have a probable disorder than no disorder in 2015. Scoring above the cut-off for problematic anger in 2010 was associated with a greater likelihood of subsyndromal disorder (OR </w:t>
      </w:r>
      <w:r w:rsidRPr="0047058F">
        <w:rPr>
          <w:rFonts w:cs="Arial"/>
          <w:szCs w:val="14"/>
        </w:rPr>
        <w:t>2.48</w:t>
      </w:r>
      <w:r w:rsidRPr="0047058F">
        <w:t xml:space="preserve">; 95% CI </w:t>
      </w:r>
      <w:r w:rsidRPr="0047058F">
        <w:rPr>
          <w:rFonts w:cs="Lucida Grande"/>
          <w:szCs w:val="14"/>
        </w:rPr>
        <w:t>1.47,</w:t>
      </w:r>
      <w:r w:rsidRPr="0047058F">
        <w:t xml:space="preserve"> </w:t>
      </w:r>
      <w:r w:rsidRPr="0047058F">
        <w:rPr>
          <w:rFonts w:cs="Arial"/>
          <w:szCs w:val="14"/>
        </w:rPr>
        <w:t>4.18</w:t>
      </w:r>
      <w:r w:rsidRPr="0047058F">
        <w:t xml:space="preserve">) and probable disorder (OR </w:t>
      </w:r>
      <w:r w:rsidRPr="0047058F">
        <w:rPr>
          <w:rFonts w:cs="Arial"/>
          <w:szCs w:val="14"/>
        </w:rPr>
        <w:t>1.99</w:t>
      </w:r>
      <w:r w:rsidRPr="0047058F">
        <w:t xml:space="preserve">; 95% CI </w:t>
      </w:r>
      <w:r w:rsidRPr="0047058F">
        <w:rPr>
          <w:rFonts w:cs="Lucida Grande"/>
          <w:szCs w:val="14"/>
        </w:rPr>
        <w:t>1.04</w:t>
      </w:r>
      <w:r w:rsidRPr="0047058F">
        <w:t xml:space="preserve">, </w:t>
      </w:r>
      <w:r w:rsidRPr="0047058F">
        <w:rPr>
          <w:rFonts w:cs="Lucida Grande"/>
          <w:szCs w:val="14"/>
        </w:rPr>
        <w:t>3.80</w:t>
      </w:r>
      <w:r w:rsidRPr="0047058F">
        <w:t>) compared to no disorder in 2015. Compared to those with low deployment exposure, those with high deployment exposure were more likely to be subsyndromal (OR 1.87; 95% CI 1.44, 2.43) or have probable disorder (OR 1.89; 95% CI 1.37, 2.61) than have no disorder in 2015.</w:t>
      </w:r>
    </w:p>
    <w:p w14:paraId="41A32A04" w14:textId="77777777" w:rsidR="004F7DC6" w:rsidRPr="0047058F" w:rsidRDefault="004F7DC6" w:rsidP="00544CE5">
      <w:r w:rsidRPr="0047058F">
        <w:t>The association between lifetime trauma exposure and the probability of having subsyndromal or probable disorder in 2015 progressively increased with additional traumas. Specifically, the odds of having subsyndromal disorder were greater among those with 2 to 3 lifetime trauma types (OR 1.65; 95% CI 1.28, 2.12), and greater again among those reporting 4+ types (OR 3.17; 95% CI 2.45, 4.11) when compared with those reporting 0 to 1 lifetime trauma exposure types. Only reporting 4+ lifetime trauma exposure types was associated with having probable disorder (OR 2.16; 95% CI 1.59, 2.94).</w:t>
      </w:r>
    </w:p>
    <w:p w14:paraId="2B8FAACE" w14:textId="63367545" w:rsidR="004F7DC6" w:rsidRDefault="004F7DC6" w:rsidP="00544CE5">
      <w:r w:rsidRPr="0047058F">
        <w:t xml:space="preserve">Service and resilience predicted the likelihood of moving from no disorder to subsyndromal disorder specifically between 2010 and 2015. Compared to the Air Force, those in the Navy (OR </w:t>
      </w:r>
      <w:r w:rsidRPr="0047058F">
        <w:rPr>
          <w:rFonts w:eastAsia="Times New Roman" w:cs="Arial"/>
        </w:rPr>
        <w:t xml:space="preserve">1.41; </w:t>
      </w:r>
      <w:r w:rsidRPr="0047058F">
        <w:t xml:space="preserve">95% CI 1.09, 1.84) were more likely to be subsyndromal than have no disorder in 2015. Self-reported resilience in 2010 was significantly associated with the likelihood of having subsyndromal compared to no disorder in 2015, with higher resilience associated with lower likelihood (OR </w:t>
      </w:r>
      <w:r w:rsidRPr="0047058F">
        <w:rPr>
          <w:rFonts w:cs="Arial"/>
        </w:rPr>
        <w:t>0.88</w:t>
      </w:r>
      <w:r w:rsidRPr="0047058F">
        <w:t>; 95% CI 0.82, 0.95).</w:t>
      </w:r>
    </w:p>
    <w:p w14:paraId="4996DAAD" w14:textId="7658F533" w:rsidR="00CD6C32" w:rsidRPr="0047058F" w:rsidRDefault="00CD6C32" w:rsidP="00CD6C32">
      <w:r w:rsidRPr="0047058F">
        <w:t>Suicidality predicted the likelihood of moving from no disorder to probable disorder between 2010 and 2015. Specifically, those reporting suicide in 2010 were more likely to move from having no disorder in 2010 to probable disorder in 2015 compared to those who did not report suicide (OR 3.11; 95% CI 1.65, 5.86).</w:t>
      </w:r>
    </w:p>
    <w:p w14:paraId="3B3DB6B4" w14:textId="77777777" w:rsidR="00CD6C32" w:rsidRPr="0047058F" w:rsidRDefault="00CD6C32" w:rsidP="00544CE5"/>
    <w:p w14:paraId="41986206" w14:textId="77777777" w:rsidR="00784201" w:rsidRPr="0047058F" w:rsidRDefault="00784201" w:rsidP="00784201">
      <w:pPr>
        <w:sectPr w:rsidR="00784201" w:rsidRPr="0047058F" w:rsidSect="003B5AB8">
          <w:type w:val="oddPage"/>
          <w:pgSz w:w="9979" w:h="14170" w:code="243"/>
          <w:pgMar w:top="1440" w:right="1152" w:bottom="1440" w:left="1728" w:header="576" w:footer="576" w:gutter="0"/>
          <w:cols w:space="708"/>
          <w:docGrid w:linePitch="360"/>
        </w:sectPr>
      </w:pPr>
    </w:p>
    <w:p w14:paraId="0DF55B12" w14:textId="1FBDF1C7" w:rsidR="00992AAE" w:rsidRPr="0047058F" w:rsidRDefault="00992AAE" w:rsidP="00992AAE">
      <w:pPr>
        <w:pStyle w:val="TableName"/>
      </w:pPr>
      <w:bookmarkStart w:id="471" w:name="_Ref385843601"/>
      <w:bookmarkStart w:id="472" w:name="_Toc529117546"/>
      <w:bookmarkStart w:id="473" w:name="_Toc532473616"/>
      <w:r w:rsidRPr="0047058F">
        <w:t>Table 6.4</w:t>
      </w:r>
      <w:bookmarkEnd w:id="471"/>
      <w:r w:rsidRPr="0047058F">
        <w:tab/>
        <w:t xml:space="preserve">Proportion of longitudinal cohort, who had </w:t>
      </w:r>
      <w:r w:rsidRPr="0047058F">
        <w:rPr>
          <w:u w:val="single"/>
        </w:rPr>
        <w:t>no disorder in 2010</w:t>
      </w:r>
      <w:r w:rsidRPr="0047058F">
        <w:t>, with no disorder, subsyndromal disorder and probable disorder in 2015 according to various predictors</w:t>
      </w:r>
      <w:bookmarkStart w:id="474" w:name="FORMATfromHERE"/>
      <w:bookmarkEnd w:id="472"/>
      <w:bookmarkEnd w:id="473"/>
      <w:bookmarkEnd w:id="474"/>
    </w:p>
    <w:tbl>
      <w:tblPr>
        <w:tblStyle w:val="TWRPTable"/>
        <w:tblW w:w="5000" w:type="pct"/>
        <w:tblLayout w:type="fixed"/>
        <w:tblCellMar>
          <w:left w:w="86" w:type="dxa"/>
          <w:right w:w="86" w:type="dxa"/>
        </w:tblCellMar>
        <w:tblLook w:val="04A0" w:firstRow="1" w:lastRow="0" w:firstColumn="1" w:lastColumn="0" w:noHBand="0" w:noVBand="1"/>
        <w:tblDescription w:val="Table 6.4 Proportion of longitudinal cohort, who had no disorder in 2010, with no disorder, subsyndromal disorder and probable disorder in 2015 according to various predictors"/>
      </w:tblPr>
      <w:tblGrid>
        <w:gridCol w:w="1711"/>
        <w:gridCol w:w="450"/>
        <w:gridCol w:w="1082"/>
        <w:gridCol w:w="449"/>
        <w:gridCol w:w="990"/>
        <w:gridCol w:w="484"/>
        <w:gridCol w:w="988"/>
        <w:gridCol w:w="1004"/>
        <w:gridCol w:w="1004"/>
        <w:gridCol w:w="1004"/>
        <w:gridCol w:w="1006"/>
        <w:gridCol w:w="630"/>
        <w:gridCol w:w="660"/>
      </w:tblGrid>
      <w:tr w:rsidR="00992AAE" w:rsidRPr="0047058F" w14:paraId="66974889"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746" w:type="pct"/>
            <w:tcBorders>
              <w:bottom w:val="nil"/>
            </w:tcBorders>
          </w:tcPr>
          <w:p w14:paraId="18B381AE" w14:textId="77777777" w:rsidR="00992AAE" w:rsidRPr="0047058F" w:rsidRDefault="00992AAE" w:rsidP="003454A7">
            <w:pPr>
              <w:pStyle w:val="TableText"/>
              <w:spacing w:before="38" w:after="38"/>
              <w:rPr>
                <w:lang w:eastAsia="ja-JP"/>
              </w:rPr>
            </w:pPr>
          </w:p>
        </w:tc>
        <w:tc>
          <w:tcPr>
            <w:tcW w:w="4254" w:type="pct"/>
            <w:gridSpan w:val="12"/>
          </w:tcPr>
          <w:p w14:paraId="3982B645" w14:textId="77777777" w:rsidR="00992AAE" w:rsidRPr="0047058F" w:rsidRDefault="00992AAE" w:rsidP="003454A7">
            <w:pPr>
              <w:pStyle w:val="TableText"/>
              <w:spacing w:before="38" w:after="38"/>
              <w:jc w:val="center"/>
            </w:pPr>
            <w:r w:rsidRPr="0047058F">
              <w:rPr>
                <w:rFonts w:eastAsia="MS Mincho"/>
              </w:rPr>
              <w:t>2015 Transition and Wellbeing Research Programme</w:t>
            </w:r>
          </w:p>
        </w:tc>
      </w:tr>
      <w:tr w:rsidR="007A0888" w:rsidRPr="0047058F" w14:paraId="751E2ABC"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746" w:type="pct"/>
            <w:tcBorders>
              <w:top w:val="nil"/>
              <w:bottom w:val="nil"/>
            </w:tcBorders>
          </w:tcPr>
          <w:p w14:paraId="54C696F2" w14:textId="77777777" w:rsidR="007A0888" w:rsidRPr="0047058F" w:rsidRDefault="007A0888" w:rsidP="003454A7">
            <w:pPr>
              <w:pStyle w:val="TableText"/>
              <w:spacing w:before="38" w:after="38"/>
              <w:rPr>
                <w:lang w:eastAsia="ja-JP"/>
              </w:rPr>
            </w:pPr>
          </w:p>
        </w:tc>
        <w:tc>
          <w:tcPr>
            <w:tcW w:w="1938" w:type="pct"/>
            <w:gridSpan w:val="6"/>
          </w:tcPr>
          <w:p w14:paraId="6199A052" w14:textId="77777777" w:rsidR="007A0888" w:rsidRPr="0047058F" w:rsidRDefault="007A0888" w:rsidP="003454A7">
            <w:pPr>
              <w:pStyle w:val="TableText"/>
              <w:spacing w:before="38" w:after="38"/>
              <w:jc w:val="center"/>
            </w:pPr>
            <w:r w:rsidRPr="0047058F">
              <w:t>Descriptive statistics</w:t>
            </w:r>
          </w:p>
        </w:tc>
        <w:tc>
          <w:tcPr>
            <w:tcW w:w="1753" w:type="pct"/>
            <w:gridSpan w:val="4"/>
          </w:tcPr>
          <w:p w14:paraId="5DA864E5" w14:textId="77777777" w:rsidR="007A0888" w:rsidRPr="0047058F" w:rsidRDefault="007A0888" w:rsidP="003454A7">
            <w:pPr>
              <w:pStyle w:val="TableText"/>
              <w:spacing w:before="38" w:after="38"/>
              <w:jc w:val="center"/>
            </w:pPr>
            <w:r w:rsidRPr="0047058F">
              <w:t>Odds ratios</w:t>
            </w:r>
          </w:p>
        </w:tc>
        <w:tc>
          <w:tcPr>
            <w:tcW w:w="563" w:type="pct"/>
            <w:gridSpan w:val="2"/>
            <w:vMerge w:val="restart"/>
          </w:tcPr>
          <w:p w14:paraId="20338FBE" w14:textId="77777777" w:rsidR="007A0888" w:rsidRPr="0047058F" w:rsidRDefault="007A0888" w:rsidP="003454A7">
            <w:pPr>
              <w:pStyle w:val="TableText"/>
              <w:spacing w:before="38" w:after="38"/>
              <w:jc w:val="center"/>
            </w:pPr>
            <w:r w:rsidRPr="0047058F">
              <w:t xml:space="preserve">Overall </w:t>
            </w:r>
            <w:r w:rsidRPr="0047058F">
              <w:rPr>
                <w:i/>
              </w:rPr>
              <w:t>p</w:t>
            </w:r>
            <w:r w:rsidRPr="0047058F">
              <w:t>-values</w:t>
            </w:r>
          </w:p>
        </w:tc>
      </w:tr>
      <w:tr w:rsidR="007A0888" w:rsidRPr="0047058F" w14:paraId="3A7F3999"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746" w:type="pct"/>
            <w:tcBorders>
              <w:top w:val="nil"/>
              <w:bottom w:val="nil"/>
            </w:tcBorders>
          </w:tcPr>
          <w:p w14:paraId="215A6FC6" w14:textId="77777777" w:rsidR="007A0888" w:rsidRPr="0047058F" w:rsidRDefault="007A0888" w:rsidP="003454A7">
            <w:pPr>
              <w:pStyle w:val="TableText"/>
              <w:spacing w:before="38" w:after="38"/>
              <w:rPr>
                <w:lang w:eastAsia="ja-JP"/>
              </w:rPr>
            </w:pPr>
          </w:p>
        </w:tc>
        <w:tc>
          <w:tcPr>
            <w:tcW w:w="668" w:type="pct"/>
            <w:gridSpan w:val="2"/>
          </w:tcPr>
          <w:p w14:paraId="257ED3FA" w14:textId="77777777" w:rsidR="007A0888" w:rsidRPr="0047058F" w:rsidRDefault="007A0888" w:rsidP="003454A7">
            <w:pPr>
              <w:pStyle w:val="TableText"/>
              <w:spacing w:before="38" w:after="38"/>
              <w:jc w:val="center"/>
            </w:pPr>
            <w:r w:rsidRPr="0047058F">
              <w:t>No disorder (ref)</w:t>
            </w:r>
          </w:p>
        </w:tc>
        <w:tc>
          <w:tcPr>
            <w:tcW w:w="628" w:type="pct"/>
            <w:gridSpan w:val="2"/>
          </w:tcPr>
          <w:p w14:paraId="0D96D785" w14:textId="77777777" w:rsidR="007A0888" w:rsidRPr="0047058F" w:rsidRDefault="007A0888" w:rsidP="003454A7">
            <w:pPr>
              <w:pStyle w:val="TableText"/>
              <w:spacing w:before="38" w:after="38"/>
              <w:jc w:val="center"/>
            </w:pPr>
            <w:r w:rsidRPr="0047058F">
              <w:t>Subsyndromal disorder</w:t>
            </w:r>
          </w:p>
        </w:tc>
        <w:tc>
          <w:tcPr>
            <w:tcW w:w="642" w:type="pct"/>
            <w:gridSpan w:val="2"/>
          </w:tcPr>
          <w:p w14:paraId="6ED6B78B" w14:textId="77777777" w:rsidR="007A0888" w:rsidRPr="0047058F" w:rsidRDefault="007A0888" w:rsidP="003454A7">
            <w:pPr>
              <w:pStyle w:val="TableText"/>
              <w:spacing w:before="38" w:after="38"/>
              <w:jc w:val="center"/>
            </w:pPr>
            <w:r w:rsidRPr="0047058F">
              <w:t>Probable disorder</w:t>
            </w:r>
          </w:p>
        </w:tc>
        <w:tc>
          <w:tcPr>
            <w:tcW w:w="876" w:type="pct"/>
            <w:gridSpan w:val="2"/>
          </w:tcPr>
          <w:p w14:paraId="3E4C5279" w14:textId="77777777" w:rsidR="007A0888" w:rsidRPr="0047058F" w:rsidRDefault="007A0888" w:rsidP="003454A7">
            <w:pPr>
              <w:pStyle w:val="TableText"/>
              <w:spacing w:before="38" w:after="38"/>
              <w:jc w:val="center"/>
            </w:pPr>
            <w:r w:rsidRPr="0047058F">
              <w:t>Subsyndromal disorder vs No</w:t>
            </w:r>
            <w:r w:rsidR="008F70CA" w:rsidRPr="0047058F">
              <w:t> </w:t>
            </w:r>
            <w:r w:rsidRPr="0047058F">
              <w:t>disorder</w:t>
            </w:r>
          </w:p>
        </w:tc>
        <w:tc>
          <w:tcPr>
            <w:tcW w:w="877" w:type="pct"/>
            <w:gridSpan w:val="2"/>
          </w:tcPr>
          <w:p w14:paraId="1104B2EB" w14:textId="77777777" w:rsidR="007A0888" w:rsidRPr="0047058F" w:rsidRDefault="007A0888" w:rsidP="003454A7">
            <w:pPr>
              <w:pStyle w:val="TableText"/>
              <w:spacing w:before="38" w:after="38"/>
              <w:jc w:val="center"/>
            </w:pPr>
            <w:r w:rsidRPr="0047058F">
              <w:t>Probable disorder vs No</w:t>
            </w:r>
            <w:r w:rsidR="008F70CA" w:rsidRPr="0047058F">
              <w:t> </w:t>
            </w:r>
            <w:r w:rsidRPr="0047058F">
              <w:t>disorder</w:t>
            </w:r>
          </w:p>
        </w:tc>
        <w:tc>
          <w:tcPr>
            <w:tcW w:w="563" w:type="pct"/>
            <w:gridSpan w:val="2"/>
            <w:vMerge/>
          </w:tcPr>
          <w:p w14:paraId="7C50955E" w14:textId="77777777" w:rsidR="007A0888" w:rsidRPr="0047058F" w:rsidRDefault="007A0888" w:rsidP="003454A7">
            <w:pPr>
              <w:pStyle w:val="TableText"/>
              <w:spacing w:before="38" w:after="38"/>
            </w:pPr>
          </w:p>
        </w:tc>
      </w:tr>
      <w:tr w:rsidR="008F70CA" w:rsidRPr="0047058F" w14:paraId="11F59646"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746" w:type="pct"/>
            <w:tcBorders>
              <w:top w:val="nil"/>
            </w:tcBorders>
          </w:tcPr>
          <w:p w14:paraId="3DD18590" w14:textId="77777777" w:rsidR="00992AAE" w:rsidRPr="0047058F" w:rsidRDefault="00992AAE" w:rsidP="003454A7">
            <w:pPr>
              <w:pStyle w:val="TableText"/>
              <w:spacing w:before="38" w:after="38"/>
              <w:rPr>
                <w:rFonts w:eastAsia="Cambria"/>
              </w:rPr>
            </w:pPr>
            <w:r w:rsidRPr="0047058F">
              <w:rPr>
                <w:rFonts w:eastAsia="Cambria"/>
              </w:rPr>
              <w:t>Predictors</w:t>
            </w:r>
          </w:p>
        </w:tc>
        <w:tc>
          <w:tcPr>
            <w:tcW w:w="196" w:type="pct"/>
          </w:tcPr>
          <w:p w14:paraId="29FDBD21" w14:textId="77777777" w:rsidR="00992AAE" w:rsidRPr="0047058F" w:rsidRDefault="00992AAE" w:rsidP="003454A7">
            <w:pPr>
              <w:pStyle w:val="TableText"/>
              <w:spacing w:before="38" w:after="38"/>
              <w:jc w:val="right"/>
            </w:pPr>
            <w:r w:rsidRPr="0047058F">
              <w:t>n</w:t>
            </w:r>
          </w:p>
        </w:tc>
        <w:tc>
          <w:tcPr>
            <w:tcW w:w="472" w:type="pct"/>
          </w:tcPr>
          <w:p w14:paraId="064D7056" w14:textId="77777777" w:rsidR="00992AAE" w:rsidRPr="0047058F" w:rsidRDefault="00992AAE" w:rsidP="003454A7">
            <w:pPr>
              <w:pStyle w:val="TableText"/>
              <w:spacing w:before="38" w:after="38"/>
              <w:jc w:val="right"/>
            </w:pPr>
            <w:r w:rsidRPr="0047058F">
              <w:t>% (95% CI) /</w:t>
            </w:r>
            <w:r w:rsidRPr="0047058F">
              <w:br/>
              <w:t>Mean (SE)</w:t>
            </w:r>
          </w:p>
        </w:tc>
        <w:tc>
          <w:tcPr>
            <w:tcW w:w="196" w:type="pct"/>
          </w:tcPr>
          <w:p w14:paraId="63DB4272" w14:textId="77777777" w:rsidR="00992AAE" w:rsidRPr="0047058F" w:rsidRDefault="00992AAE" w:rsidP="003454A7">
            <w:pPr>
              <w:pStyle w:val="TableText"/>
              <w:spacing w:before="38" w:after="38"/>
              <w:jc w:val="right"/>
            </w:pPr>
            <w:r w:rsidRPr="0047058F">
              <w:t>n</w:t>
            </w:r>
          </w:p>
        </w:tc>
        <w:tc>
          <w:tcPr>
            <w:tcW w:w="432" w:type="pct"/>
          </w:tcPr>
          <w:p w14:paraId="6D90F9E2" w14:textId="77777777" w:rsidR="00992AAE" w:rsidRPr="0047058F" w:rsidRDefault="00992AAE" w:rsidP="003454A7">
            <w:pPr>
              <w:pStyle w:val="TableText"/>
              <w:spacing w:before="38" w:after="38"/>
              <w:jc w:val="right"/>
            </w:pPr>
            <w:r w:rsidRPr="0047058F">
              <w:t>% (95% CI) /</w:t>
            </w:r>
            <w:r w:rsidRPr="0047058F">
              <w:br/>
              <w:t>Mean (SE)</w:t>
            </w:r>
          </w:p>
        </w:tc>
        <w:tc>
          <w:tcPr>
            <w:tcW w:w="211" w:type="pct"/>
          </w:tcPr>
          <w:p w14:paraId="6DCF5793" w14:textId="77777777" w:rsidR="00992AAE" w:rsidRPr="0047058F" w:rsidRDefault="00992AAE" w:rsidP="003454A7">
            <w:pPr>
              <w:pStyle w:val="TableText"/>
              <w:spacing w:before="38" w:after="38"/>
              <w:jc w:val="right"/>
            </w:pPr>
            <w:r w:rsidRPr="0047058F">
              <w:t xml:space="preserve">n </w:t>
            </w:r>
          </w:p>
        </w:tc>
        <w:tc>
          <w:tcPr>
            <w:tcW w:w="431" w:type="pct"/>
          </w:tcPr>
          <w:p w14:paraId="465F81A3" w14:textId="77777777" w:rsidR="00992AAE" w:rsidRPr="0047058F" w:rsidRDefault="00992AAE" w:rsidP="003454A7">
            <w:pPr>
              <w:pStyle w:val="TableText"/>
              <w:spacing w:before="38" w:after="38"/>
              <w:jc w:val="right"/>
            </w:pPr>
            <w:r w:rsidRPr="0047058F">
              <w:t>% (95% CI) /</w:t>
            </w:r>
            <w:r w:rsidRPr="0047058F">
              <w:br/>
              <w:t>Mean (SE)</w:t>
            </w:r>
          </w:p>
        </w:tc>
        <w:tc>
          <w:tcPr>
            <w:tcW w:w="438" w:type="pct"/>
          </w:tcPr>
          <w:p w14:paraId="58FD1EF5" w14:textId="77777777" w:rsidR="00992AAE" w:rsidRPr="0047058F" w:rsidRDefault="00992AAE" w:rsidP="003454A7">
            <w:pPr>
              <w:pStyle w:val="TableText"/>
              <w:spacing w:before="38" w:after="38"/>
              <w:jc w:val="right"/>
            </w:pPr>
            <w:r w:rsidRPr="0047058F">
              <w:t>OR</w:t>
            </w:r>
            <w:r w:rsidR="003454A7" w:rsidRPr="0047058F">
              <w:br/>
            </w:r>
            <w:r w:rsidRPr="0047058F">
              <w:t>(95% CI)</w:t>
            </w:r>
          </w:p>
        </w:tc>
        <w:tc>
          <w:tcPr>
            <w:tcW w:w="438" w:type="pct"/>
          </w:tcPr>
          <w:p w14:paraId="0199878E" w14:textId="77777777" w:rsidR="00992AAE" w:rsidRPr="0047058F" w:rsidRDefault="00992AAE" w:rsidP="003454A7">
            <w:pPr>
              <w:pStyle w:val="TableText"/>
              <w:spacing w:before="38" w:after="38"/>
              <w:jc w:val="right"/>
            </w:pPr>
            <w:r w:rsidRPr="0047058F">
              <w:t>Adjusted OR (95% CI)</w:t>
            </w:r>
          </w:p>
        </w:tc>
        <w:tc>
          <w:tcPr>
            <w:tcW w:w="438" w:type="pct"/>
          </w:tcPr>
          <w:p w14:paraId="79F2114C" w14:textId="77777777" w:rsidR="00992AAE" w:rsidRPr="0047058F" w:rsidRDefault="00992AAE" w:rsidP="003454A7">
            <w:pPr>
              <w:pStyle w:val="TableText"/>
              <w:spacing w:before="38" w:after="38"/>
              <w:jc w:val="right"/>
            </w:pPr>
            <w:r w:rsidRPr="0047058F">
              <w:t>OR</w:t>
            </w:r>
            <w:r w:rsidR="003454A7" w:rsidRPr="0047058F">
              <w:br/>
            </w:r>
            <w:r w:rsidRPr="0047058F">
              <w:t>(95% CI)</w:t>
            </w:r>
          </w:p>
        </w:tc>
        <w:tc>
          <w:tcPr>
            <w:tcW w:w="439" w:type="pct"/>
          </w:tcPr>
          <w:p w14:paraId="568E9216" w14:textId="77777777" w:rsidR="00992AAE" w:rsidRPr="0047058F" w:rsidRDefault="00992AAE" w:rsidP="003454A7">
            <w:pPr>
              <w:pStyle w:val="TableText"/>
              <w:spacing w:before="38" w:after="38"/>
              <w:jc w:val="right"/>
            </w:pPr>
            <w:r w:rsidRPr="0047058F">
              <w:t>Adjusted OR (95% CI)</w:t>
            </w:r>
          </w:p>
        </w:tc>
        <w:tc>
          <w:tcPr>
            <w:tcW w:w="275" w:type="pct"/>
          </w:tcPr>
          <w:p w14:paraId="36873693" w14:textId="77777777" w:rsidR="00992AAE" w:rsidRPr="0047058F" w:rsidRDefault="00992AAE" w:rsidP="003454A7">
            <w:pPr>
              <w:pStyle w:val="TableText"/>
              <w:spacing w:before="38" w:after="38"/>
              <w:jc w:val="right"/>
            </w:pPr>
            <w:r w:rsidRPr="0047058F">
              <w:rPr>
                <w:i/>
              </w:rPr>
              <w:t>p</w:t>
            </w:r>
            <w:r w:rsidRPr="0047058F">
              <w:t>-value</w:t>
            </w:r>
          </w:p>
        </w:tc>
        <w:tc>
          <w:tcPr>
            <w:tcW w:w="288" w:type="pct"/>
          </w:tcPr>
          <w:p w14:paraId="7C458468" w14:textId="77777777" w:rsidR="00992AAE" w:rsidRPr="0047058F" w:rsidRDefault="00992AAE" w:rsidP="003454A7">
            <w:pPr>
              <w:pStyle w:val="TableText"/>
              <w:spacing w:before="38" w:after="38"/>
              <w:jc w:val="right"/>
            </w:pPr>
            <w:r w:rsidRPr="0047058F">
              <w:rPr>
                <w:i/>
              </w:rPr>
              <w:t>p</w:t>
            </w:r>
            <w:r w:rsidRPr="0047058F">
              <w:t>-value for adjusted model</w:t>
            </w:r>
          </w:p>
        </w:tc>
      </w:tr>
      <w:tr w:rsidR="003454A7" w:rsidRPr="0047058F" w14:paraId="3A9FA5AC"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5000" w:type="pct"/>
            <w:gridSpan w:val="13"/>
          </w:tcPr>
          <w:p w14:paraId="1592C516" w14:textId="77777777" w:rsidR="003454A7" w:rsidRPr="0047058F" w:rsidRDefault="003454A7" w:rsidP="003454A7">
            <w:pPr>
              <w:pStyle w:val="TableText"/>
              <w:spacing w:before="38" w:after="38"/>
              <w:rPr>
                <w:color w:val="auto"/>
                <w:sz w:val="13"/>
                <w:szCs w:val="13"/>
              </w:rPr>
            </w:pPr>
            <w:r w:rsidRPr="0047058F">
              <w:rPr>
                <w:rFonts w:eastAsia="Cambria"/>
                <w:b/>
              </w:rPr>
              <w:t>Demographic factors (time point 1)</w:t>
            </w:r>
          </w:p>
        </w:tc>
      </w:tr>
      <w:tr w:rsidR="008F70CA" w:rsidRPr="0047058F" w14:paraId="122F0307" w14:textId="77777777" w:rsidTr="003454A7">
        <w:trPr>
          <w:cantSplit/>
        </w:trPr>
        <w:tc>
          <w:tcPr>
            <w:tcW w:w="746" w:type="pct"/>
          </w:tcPr>
          <w:p w14:paraId="19A398AB" w14:textId="77777777" w:rsidR="00992AAE" w:rsidRPr="0047058F" w:rsidRDefault="00992AAE" w:rsidP="003454A7">
            <w:pPr>
              <w:pStyle w:val="TableText"/>
              <w:spacing w:before="38" w:after="38"/>
            </w:pPr>
            <w:r w:rsidRPr="0047058F">
              <w:t>Age (mean, SE)</w:t>
            </w:r>
          </w:p>
        </w:tc>
        <w:tc>
          <w:tcPr>
            <w:tcW w:w="196" w:type="pct"/>
          </w:tcPr>
          <w:p w14:paraId="3424A227" w14:textId="77777777" w:rsidR="00992AAE" w:rsidRPr="0047058F" w:rsidRDefault="00992AAE" w:rsidP="003454A7">
            <w:pPr>
              <w:pStyle w:val="TableText"/>
              <w:spacing w:before="38" w:after="38"/>
              <w:jc w:val="right"/>
              <w:rPr>
                <w:sz w:val="13"/>
                <w:szCs w:val="13"/>
              </w:rPr>
            </w:pPr>
            <w:r w:rsidRPr="0047058F">
              <w:rPr>
                <w:rFonts w:cs="Arial"/>
                <w:sz w:val="13"/>
                <w:szCs w:val="13"/>
              </w:rPr>
              <w:t>3185</w:t>
            </w:r>
          </w:p>
        </w:tc>
        <w:tc>
          <w:tcPr>
            <w:tcW w:w="472" w:type="pct"/>
          </w:tcPr>
          <w:p w14:paraId="7C6D7753" w14:textId="77777777" w:rsidR="00992AAE" w:rsidRPr="0047058F" w:rsidRDefault="00992AAE" w:rsidP="003454A7">
            <w:pPr>
              <w:pStyle w:val="TableText"/>
              <w:spacing w:before="38" w:after="38"/>
              <w:jc w:val="right"/>
              <w:rPr>
                <w:sz w:val="13"/>
                <w:szCs w:val="13"/>
              </w:rPr>
            </w:pPr>
            <w:r w:rsidRPr="0047058F">
              <w:rPr>
                <w:rFonts w:cs="Arial"/>
                <w:sz w:val="13"/>
                <w:szCs w:val="13"/>
              </w:rPr>
              <w:t>38.69 (0.17)</w:t>
            </w:r>
          </w:p>
        </w:tc>
        <w:tc>
          <w:tcPr>
            <w:tcW w:w="196" w:type="pct"/>
          </w:tcPr>
          <w:p w14:paraId="0E879E18" w14:textId="77777777" w:rsidR="00992AAE" w:rsidRPr="0047058F" w:rsidRDefault="00992AAE" w:rsidP="003454A7">
            <w:pPr>
              <w:pStyle w:val="TableText"/>
              <w:spacing w:before="38" w:after="38"/>
              <w:jc w:val="right"/>
              <w:rPr>
                <w:sz w:val="13"/>
                <w:szCs w:val="13"/>
              </w:rPr>
            </w:pPr>
            <w:r w:rsidRPr="0047058F">
              <w:rPr>
                <w:rFonts w:cs="Arial"/>
                <w:sz w:val="13"/>
                <w:szCs w:val="13"/>
              </w:rPr>
              <w:t>641</w:t>
            </w:r>
          </w:p>
        </w:tc>
        <w:tc>
          <w:tcPr>
            <w:tcW w:w="432" w:type="pct"/>
          </w:tcPr>
          <w:p w14:paraId="03C8CAC6" w14:textId="77777777" w:rsidR="00992AAE" w:rsidRPr="0047058F" w:rsidRDefault="00992AAE" w:rsidP="003454A7">
            <w:pPr>
              <w:pStyle w:val="TableText"/>
              <w:spacing w:before="38" w:after="38"/>
              <w:jc w:val="right"/>
              <w:rPr>
                <w:sz w:val="13"/>
                <w:szCs w:val="13"/>
              </w:rPr>
            </w:pPr>
            <w:r w:rsidRPr="0047058F">
              <w:rPr>
                <w:rFonts w:cs="Arial"/>
                <w:sz w:val="13"/>
                <w:szCs w:val="13"/>
              </w:rPr>
              <w:t>38.26 (0.35)</w:t>
            </w:r>
          </w:p>
        </w:tc>
        <w:tc>
          <w:tcPr>
            <w:tcW w:w="211" w:type="pct"/>
          </w:tcPr>
          <w:p w14:paraId="4917CF6B" w14:textId="77777777" w:rsidR="00992AAE" w:rsidRPr="0047058F" w:rsidRDefault="00992AAE" w:rsidP="003454A7">
            <w:pPr>
              <w:pStyle w:val="TableText"/>
              <w:spacing w:before="38" w:after="38"/>
              <w:jc w:val="right"/>
              <w:rPr>
                <w:sz w:val="13"/>
                <w:szCs w:val="13"/>
              </w:rPr>
            </w:pPr>
            <w:r w:rsidRPr="0047058F">
              <w:rPr>
                <w:rFonts w:cs="Arial"/>
                <w:sz w:val="13"/>
                <w:szCs w:val="13"/>
              </w:rPr>
              <w:t>396</w:t>
            </w:r>
          </w:p>
        </w:tc>
        <w:tc>
          <w:tcPr>
            <w:tcW w:w="431" w:type="pct"/>
          </w:tcPr>
          <w:p w14:paraId="317D0C45" w14:textId="77777777" w:rsidR="00992AAE" w:rsidRPr="0047058F" w:rsidRDefault="00992AAE" w:rsidP="003454A7">
            <w:pPr>
              <w:pStyle w:val="TableText"/>
              <w:spacing w:before="38" w:after="38"/>
              <w:jc w:val="right"/>
              <w:rPr>
                <w:sz w:val="13"/>
                <w:szCs w:val="13"/>
              </w:rPr>
            </w:pPr>
            <w:r w:rsidRPr="0047058F">
              <w:rPr>
                <w:rFonts w:cs="Arial"/>
                <w:sz w:val="13"/>
                <w:szCs w:val="13"/>
              </w:rPr>
              <w:t>38.05 (0.47)</w:t>
            </w:r>
          </w:p>
        </w:tc>
        <w:tc>
          <w:tcPr>
            <w:tcW w:w="438" w:type="pct"/>
          </w:tcPr>
          <w:p w14:paraId="254C8916" w14:textId="77777777" w:rsidR="00992AAE" w:rsidRPr="0047058F" w:rsidRDefault="00992AAE" w:rsidP="003454A7">
            <w:pPr>
              <w:pStyle w:val="TableText"/>
              <w:spacing w:before="38" w:after="38"/>
              <w:jc w:val="right"/>
              <w:rPr>
                <w:sz w:val="13"/>
                <w:szCs w:val="13"/>
              </w:rPr>
            </w:pPr>
            <w:r w:rsidRPr="0047058F">
              <w:rPr>
                <w:rFonts w:cs="Arial"/>
                <w:sz w:val="13"/>
                <w:szCs w:val="13"/>
              </w:rPr>
              <w:t>1.00 (0.99–1.01)</w:t>
            </w:r>
          </w:p>
        </w:tc>
        <w:tc>
          <w:tcPr>
            <w:tcW w:w="438" w:type="pct"/>
          </w:tcPr>
          <w:p w14:paraId="0433D88D"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54075E9B" w14:textId="77777777" w:rsidR="00992AAE" w:rsidRPr="0047058F" w:rsidRDefault="00992AAE" w:rsidP="003454A7">
            <w:pPr>
              <w:pStyle w:val="TableText"/>
              <w:spacing w:before="38" w:after="38"/>
              <w:jc w:val="right"/>
              <w:rPr>
                <w:sz w:val="13"/>
                <w:szCs w:val="13"/>
              </w:rPr>
            </w:pPr>
            <w:r w:rsidRPr="0047058F">
              <w:rPr>
                <w:rFonts w:cs="Arial"/>
                <w:sz w:val="13"/>
                <w:szCs w:val="13"/>
              </w:rPr>
              <w:t>0.99 (0.98–1.00)</w:t>
            </w:r>
          </w:p>
        </w:tc>
        <w:tc>
          <w:tcPr>
            <w:tcW w:w="439" w:type="pct"/>
          </w:tcPr>
          <w:p w14:paraId="39C541CA"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5F79C849"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ns</w:t>
            </w:r>
          </w:p>
        </w:tc>
        <w:tc>
          <w:tcPr>
            <w:tcW w:w="288" w:type="pct"/>
          </w:tcPr>
          <w:p w14:paraId="5E05738E"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w:t>
            </w:r>
          </w:p>
        </w:tc>
      </w:tr>
      <w:tr w:rsidR="008F70CA" w:rsidRPr="0047058F" w14:paraId="57900D35"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3093E15C" w14:textId="77777777" w:rsidR="00992AAE" w:rsidRPr="0047058F" w:rsidRDefault="00992AAE" w:rsidP="003454A7">
            <w:pPr>
              <w:pStyle w:val="TableText"/>
              <w:spacing w:before="38" w:after="38"/>
            </w:pPr>
            <w:r w:rsidRPr="0047058F">
              <w:t>Sex</w:t>
            </w:r>
          </w:p>
        </w:tc>
        <w:tc>
          <w:tcPr>
            <w:tcW w:w="196" w:type="pct"/>
          </w:tcPr>
          <w:p w14:paraId="34395AA4" w14:textId="77777777" w:rsidR="00992AAE" w:rsidRPr="0047058F" w:rsidRDefault="00992AAE" w:rsidP="003454A7">
            <w:pPr>
              <w:pStyle w:val="TableText"/>
              <w:spacing w:before="38" w:after="38"/>
              <w:jc w:val="right"/>
              <w:rPr>
                <w:sz w:val="13"/>
                <w:szCs w:val="13"/>
              </w:rPr>
            </w:pPr>
          </w:p>
        </w:tc>
        <w:tc>
          <w:tcPr>
            <w:tcW w:w="472" w:type="pct"/>
          </w:tcPr>
          <w:p w14:paraId="175725B7" w14:textId="77777777" w:rsidR="00992AAE" w:rsidRPr="0047058F" w:rsidRDefault="00992AAE" w:rsidP="003454A7">
            <w:pPr>
              <w:pStyle w:val="TableText"/>
              <w:spacing w:before="38" w:after="38"/>
              <w:jc w:val="right"/>
              <w:rPr>
                <w:sz w:val="13"/>
                <w:szCs w:val="13"/>
              </w:rPr>
            </w:pPr>
          </w:p>
        </w:tc>
        <w:tc>
          <w:tcPr>
            <w:tcW w:w="196" w:type="pct"/>
          </w:tcPr>
          <w:p w14:paraId="054E92AF" w14:textId="77777777" w:rsidR="00992AAE" w:rsidRPr="0047058F" w:rsidRDefault="00992AAE" w:rsidP="003454A7">
            <w:pPr>
              <w:pStyle w:val="TableText"/>
              <w:spacing w:before="38" w:after="38"/>
              <w:jc w:val="right"/>
              <w:rPr>
                <w:sz w:val="13"/>
                <w:szCs w:val="13"/>
              </w:rPr>
            </w:pPr>
          </w:p>
        </w:tc>
        <w:tc>
          <w:tcPr>
            <w:tcW w:w="432" w:type="pct"/>
          </w:tcPr>
          <w:p w14:paraId="325DF5B4" w14:textId="77777777" w:rsidR="00992AAE" w:rsidRPr="0047058F" w:rsidRDefault="00992AAE" w:rsidP="003454A7">
            <w:pPr>
              <w:pStyle w:val="TableText"/>
              <w:spacing w:before="38" w:after="38"/>
              <w:jc w:val="right"/>
              <w:rPr>
                <w:sz w:val="13"/>
                <w:szCs w:val="13"/>
              </w:rPr>
            </w:pPr>
          </w:p>
        </w:tc>
        <w:tc>
          <w:tcPr>
            <w:tcW w:w="211" w:type="pct"/>
          </w:tcPr>
          <w:p w14:paraId="59A7C1B9" w14:textId="77777777" w:rsidR="00992AAE" w:rsidRPr="0047058F" w:rsidRDefault="00992AAE" w:rsidP="003454A7">
            <w:pPr>
              <w:pStyle w:val="TableText"/>
              <w:spacing w:before="38" w:after="38"/>
              <w:jc w:val="right"/>
              <w:rPr>
                <w:sz w:val="13"/>
                <w:szCs w:val="13"/>
              </w:rPr>
            </w:pPr>
          </w:p>
        </w:tc>
        <w:tc>
          <w:tcPr>
            <w:tcW w:w="431" w:type="pct"/>
          </w:tcPr>
          <w:p w14:paraId="13BFAD0D" w14:textId="77777777" w:rsidR="00992AAE" w:rsidRPr="0047058F" w:rsidRDefault="00992AAE" w:rsidP="003454A7">
            <w:pPr>
              <w:pStyle w:val="TableText"/>
              <w:spacing w:before="38" w:after="38"/>
              <w:jc w:val="right"/>
              <w:rPr>
                <w:sz w:val="13"/>
                <w:szCs w:val="13"/>
              </w:rPr>
            </w:pPr>
          </w:p>
        </w:tc>
        <w:tc>
          <w:tcPr>
            <w:tcW w:w="438" w:type="pct"/>
          </w:tcPr>
          <w:p w14:paraId="3B5E9334" w14:textId="77777777" w:rsidR="00992AAE" w:rsidRPr="0047058F" w:rsidRDefault="00992AAE" w:rsidP="003454A7">
            <w:pPr>
              <w:pStyle w:val="TableText"/>
              <w:spacing w:before="38" w:after="38"/>
              <w:jc w:val="right"/>
              <w:rPr>
                <w:sz w:val="13"/>
                <w:szCs w:val="13"/>
              </w:rPr>
            </w:pPr>
          </w:p>
        </w:tc>
        <w:tc>
          <w:tcPr>
            <w:tcW w:w="438" w:type="pct"/>
          </w:tcPr>
          <w:p w14:paraId="364216AC" w14:textId="77777777" w:rsidR="00992AAE" w:rsidRPr="0047058F" w:rsidRDefault="00992AAE" w:rsidP="003454A7">
            <w:pPr>
              <w:pStyle w:val="TableText"/>
              <w:spacing w:before="38" w:after="38"/>
              <w:jc w:val="right"/>
              <w:rPr>
                <w:sz w:val="13"/>
                <w:szCs w:val="13"/>
              </w:rPr>
            </w:pPr>
          </w:p>
        </w:tc>
        <w:tc>
          <w:tcPr>
            <w:tcW w:w="438" w:type="pct"/>
          </w:tcPr>
          <w:p w14:paraId="206C83BA" w14:textId="77777777" w:rsidR="00992AAE" w:rsidRPr="0047058F" w:rsidRDefault="00992AAE" w:rsidP="003454A7">
            <w:pPr>
              <w:pStyle w:val="TableText"/>
              <w:spacing w:before="38" w:after="38"/>
              <w:jc w:val="right"/>
              <w:rPr>
                <w:sz w:val="13"/>
                <w:szCs w:val="13"/>
              </w:rPr>
            </w:pPr>
          </w:p>
        </w:tc>
        <w:tc>
          <w:tcPr>
            <w:tcW w:w="439" w:type="pct"/>
          </w:tcPr>
          <w:p w14:paraId="7E0635BB" w14:textId="77777777" w:rsidR="00992AAE" w:rsidRPr="0047058F" w:rsidRDefault="00992AAE" w:rsidP="003454A7">
            <w:pPr>
              <w:pStyle w:val="TableText"/>
              <w:spacing w:before="38" w:after="38"/>
              <w:jc w:val="right"/>
              <w:rPr>
                <w:sz w:val="13"/>
                <w:szCs w:val="13"/>
              </w:rPr>
            </w:pPr>
          </w:p>
        </w:tc>
        <w:tc>
          <w:tcPr>
            <w:tcW w:w="275" w:type="pct"/>
          </w:tcPr>
          <w:p w14:paraId="4F484BDB"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ns</w:t>
            </w:r>
          </w:p>
        </w:tc>
        <w:tc>
          <w:tcPr>
            <w:tcW w:w="288" w:type="pct"/>
          </w:tcPr>
          <w:p w14:paraId="2392F364"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w:t>
            </w:r>
          </w:p>
        </w:tc>
      </w:tr>
      <w:tr w:rsidR="008F70CA" w:rsidRPr="0047058F" w14:paraId="2D1014F4" w14:textId="77777777" w:rsidTr="003454A7">
        <w:trPr>
          <w:cantSplit/>
        </w:trPr>
        <w:tc>
          <w:tcPr>
            <w:tcW w:w="746" w:type="pct"/>
          </w:tcPr>
          <w:p w14:paraId="4C5787D7" w14:textId="77777777" w:rsidR="00992AAE" w:rsidRPr="0047058F" w:rsidRDefault="00992AAE" w:rsidP="003454A7">
            <w:pPr>
              <w:pStyle w:val="TableText"/>
              <w:spacing w:before="38" w:after="38"/>
              <w:ind w:left="144"/>
            </w:pPr>
            <w:r w:rsidRPr="0047058F">
              <w:t>Female</w:t>
            </w:r>
          </w:p>
        </w:tc>
        <w:tc>
          <w:tcPr>
            <w:tcW w:w="196" w:type="pct"/>
          </w:tcPr>
          <w:p w14:paraId="550317EC" w14:textId="77777777" w:rsidR="00992AAE" w:rsidRPr="0047058F" w:rsidRDefault="00992AAE" w:rsidP="003454A7">
            <w:pPr>
              <w:pStyle w:val="TableText"/>
              <w:spacing w:before="38" w:after="38"/>
              <w:jc w:val="right"/>
              <w:rPr>
                <w:sz w:val="13"/>
                <w:szCs w:val="13"/>
              </w:rPr>
            </w:pPr>
            <w:r w:rsidRPr="0047058F">
              <w:rPr>
                <w:rFonts w:cs="Arial"/>
                <w:sz w:val="13"/>
                <w:szCs w:val="13"/>
              </w:rPr>
              <w:t>437</w:t>
            </w:r>
          </w:p>
        </w:tc>
        <w:tc>
          <w:tcPr>
            <w:tcW w:w="472" w:type="pct"/>
          </w:tcPr>
          <w:p w14:paraId="72B9AA3F" w14:textId="77777777" w:rsidR="00992AAE" w:rsidRPr="0047058F" w:rsidRDefault="00992AAE" w:rsidP="003454A7">
            <w:pPr>
              <w:pStyle w:val="TableText"/>
              <w:spacing w:before="38" w:after="38"/>
              <w:jc w:val="right"/>
              <w:rPr>
                <w:sz w:val="13"/>
                <w:szCs w:val="13"/>
              </w:rPr>
            </w:pPr>
            <w:r w:rsidRPr="0047058F">
              <w:rPr>
                <w:rFonts w:cs="Arial"/>
                <w:sz w:val="13"/>
                <w:szCs w:val="13"/>
              </w:rPr>
              <w:t>74.8 (65.0–84.6)</w:t>
            </w:r>
          </w:p>
        </w:tc>
        <w:tc>
          <w:tcPr>
            <w:tcW w:w="196" w:type="pct"/>
          </w:tcPr>
          <w:p w14:paraId="57C53A35" w14:textId="77777777" w:rsidR="00992AAE" w:rsidRPr="0047058F" w:rsidRDefault="00992AAE" w:rsidP="003454A7">
            <w:pPr>
              <w:pStyle w:val="TableText"/>
              <w:spacing w:before="38" w:after="38"/>
              <w:jc w:val="right"/>
              <w:rPr>
                <w:sz w:val="13"/>
                <w:szCs w:val="13"/>
              </w:rPr>
            </w:pPr>
            <w:r w:rsidRPr="0047058F">
              <w:rPr>
                <w:rFonts w:cs="Arial"/>
                <w:sz w:val="13"/>
                <w:szCs w:val="13"/>
              </w:rPr>
              <w:t>93</w:t>
            </w:r>
          </w:p>
        </w:tc>
        <w:tc>
          <w:tcPr>
            <w:tcW w:w="432" w:type="pct"/>
          </w:tcPr>
          <w:p w14:paraId="4456DEE4" w14:textId="77777777" w:rsidR="00992AAE" w:rsidRPr="0047058F" w:rsidRDefault="00992AAE" w:rsidP="003454A7">
            <w:pPr>
              <w:pStyle w:val="TableText"/>
              <w:spacing w:before="38" w:after="38"/>
              <w:jc w:val="right"/>
              <w:rPr>
                <w:sz w:val="13"/>
                <w:szCs w:val="13"/>
              </w:rPr>
            </w:pPr>
            <w:r w:rsidRPr="0047058F">
              <w:rPr>
                <w:rFonts w:cs="Arial"/>
                <w:sz w:val="13"/>
                <w:szCs w:val="13"/>
              </w:rPr>
              <w:t>15.9 (0.0–33.9)</w:t>
            </w:r>
          </w:p>
        </w:tc>
        <w:tc>
          <w:tcPr>
            <w:tcW w:w="211" w:type="pct"/>
          </w:tcPr>
          <w:p w14:paraId="53B1B049" w14:textId="77777777" w:rsidR="00992AAE" w:rsidRPr="0047058F" w:rsidRDefault="00992AAE" w:rsidP="003454A7">
            <w:pPr>
              <w:pStyle w:val="TableText"/>
              <w:spacing w:before="38" w:after="38"/>
              <w:jc w:val="right"/>
              <w:rPr>
                <w:sz w:val="13"/>
                <w:szCs w:val="13"/>
              </w:rPr>
            </w:pPr>
            <w:r w:rsidRPr="0047058F">
              <w:rPr>
                <w:rFonts w:cs="Arial"/>
                <w:sz w:val="13"/>
                <w:szCs w:val="13"/>
              </w:rPr>
              <w:t>54</w:t>
            </w:r>
          </w:p>
        </w:tc>
        <w:tc>
          <w:tcPr>
            <w:tcW w:w="431" w:type="pct"/>
          </w:tcPr>
          <w:p w14:paraId="62C4CA17" w14:textId="77777777" w:rsidR="00992AAE" w:rsidRPr="0047058F" w:rsidRDefault="00992AAE" w:rsidP="003454A7">
            <w:pPr>
              <w:pStyle w:val="TableText"/>
              <w:spacing w:before="38" w:after="38"/>
              <w:jc w:val="right"/>
              <w:rPr>
                <w:sz w:val="13"/>
                <w:szCs w:val="13"/>
              </w:rPr>
            </w:pPr>
            <w:r w:rsidRPr="0047058F">
              <w:rPr>
                <w:rFonts w:cs="Arial"/>
                <w:sz w:val="13"/>
                <w:szCs w:val="13"/>
              </w:rPr>
              <w:t>9.2 (0.0–27.9)</w:t>
            </w:r>
          </w:p>
        </w:tc>
        <w:tc>
          <w:tcPr>
            <w:tcW w:w="438" w:type="pct"/>
          </w:tcPr>
          <w:p w14:paraId="3289D1F0"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6C47A825"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140A89FB"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735C2371"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30C8AE46" w14:textId="77777777" w:rsidR="00992AAE" w:rsidRPr="0047058F" w:rsidRDefault="00992AAE" w:rsidP="003454A7">
            <w:pPr>
              <w:pStyle w:val="TableText"/>
              <w:spacing w:before="38" w:after="38"/>
              <w:jc w:val="right"/>
              <w:rPr>
                <w:color w:val="auto"/>
                <w:sz w:val="13"/>
                <w:szCs w:val="13"/>
              </w:rPr>
            </w:pPr>
          </w:p>
        </w:tc>
        <w:tc>
          <w:tcPr>
            <w:tcW w:w="288" w:type="pct"/>
          </w:tcPr>
          <w:p w14:paraId="1DD26F99" w14:textId="77777777" w:rsidR="00992AAE" w:rsidRPr="0047058F" w:rsidRDefault="00992AAE" w:rsidP="003454A7">
            <w:pPr>
              <w:pStyle w:val="TableText"/>
              <w:spacing w:before="38" w:after="38"/>
              <w:jc w:val="right"/>
              <w:rPr>
                <w:color w:val="auto"/>
                <w:sz w:val="13"/>
                <w:szCs w:val="13"/>
              </w:rPr>
            </w:pPr>
          </w:p>
        </w:tc>
      </w:tr>
      <w:tr w:rsidR="008F70CA" w:rsidRPr="0047058F" w14:paraId="0A429F9D"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bottom w:val="single" w:sz="4" w:space="0" w:color="000000"/>
            </w:tcBorders>
          </w:tcPr>
          <w:p w14:paraId="5D009C58" w14:textId="77777777" w:rsidR="00992AAE" w:rsidRPr="0047058F" w:rsidRDefault="00992AAE" w:rsidP="003454A7">
            <w:pPr>
              <w:pStyle w:val="TableText"/>
              <w:spacing w:before="38" w:after="38"/>
              <w:ind w:left="144"/>
            </w:pPr>
            <w:r w:rsidRPr="0047058F">
              <w:t>Male</w:t>
            </w:r>
          </w:p>
        </w:tc>
        <w:tc>
          <w:tcPr>
            <w:tcW w:w="196" w:type="pct"/>
            <w:tcBorders>
              <w:bottom w:val="single" w:sz="4" w:space="0" w:color="000000"/>
            </w:tcBorders>
          </w:tcPr>
          <w:p w14:paraId="7B7AD5A6" w14:textId="77777777" w:rsidR="00992AAE" w:rsidRPr="0047058F" w:rsidRDefault="00992AAE" w:rsidP="003454A7">
            <w:pPr>
              <w:pStyle w:val="TableText"/>
              <w:spacing w:before="38" w:after="38"/>
              <w:jc w:val="right"/>
              <w:rPr>
                <w:sz w:val="13"/>
                <w:szCs w:val="13"/>
              </w:rPr>
            </w:pPr>
            <w:r w:rsidRPr="0047058F">
              <w:rPr>
                <w:rFonts w:cs="Arial"/>
                <w:sz w:val="13"/>
                <w:szCs w:val="13"/>
              </w:rPr>
              <w:t>2748</w:t>
            </w:r>
          </w:p>
        </w:tc>
        <w:tc>
          <w:tcPr>
            <w:tcW w:w="472" w:type="pct"/>
            <w:tcBorders>
              <w:bottom w:val="single" w:sz="4" w:space="0" w:color="000000"/>
            </w:tcBorders>
          </w:tcPr>
          <w:p w14:paraId="326340E9" w14:textId="77777777" w:rsidR="00992AAE" w:rsidRPr="0047058F" w:rsidRDefault="00992AAE" w:rsidP="003454A7">
            <w:pPr>
              <w:pStyle w:val="TableText"/>
              <w:spacing w:before="38" w:after="38"/>
              <w:jc w:val="right"/>
              <w:rPr>
                <w:sz w:val="13"/>
                <w:szCs w:val="13"/>
              </w:rPr>
            </w:pPr>
            <w:r w:rsidRPr="0047058F">
              <w:rPr>
                <w:rFonts w:cs="Arial"/>
                <w:sz w:val="13"/>
                <w:szCs w:val="13"/>
              </w:rPr>
              <w:t>75.5 (65.8–85.2)</w:t>
            </w:r>
          </w:p>
        </w:tc>
        <w:tc>
          <w:tcPr>
            <w:tcW w:w="196" w:type="pct"/>
            <w:tcBorders>
              <w:bottom w:val="single" w:sz="4" w:space="0" w:color="000000"/>
            </w:tcBorders>
          </w:tcPr>
          <w:p w14:paraId="24BDEB03" w14:textId="77777777" w:rsidR="00992AAE" w:rsidRPr="0047058F" w:rsidRDefault="00992AAE" w:rsidP="003454A7">
            <w:pPr>
              <w:pStyle w:val="TableText"/>
              <w:spacing w:before="38" w:after="38"/>
              <w:jc w:val="right"/>
              <w:rPr>
                <w:sz w:val="13"/>
                <w:szCs w:val="13"/>
              </w:rPr>
            </w:pPr>
            <w:r w:rsidRPr="0047058F">
              <w:rPr>
                <w:rFonts w:cs="Arial"/>
                <w:sz w:val="13"/>
                <w:szCs w:val="13"/>
              </w:rPr>
              <w:t>548</w:t>
            </w:r>
          </w:p>
        </w:tc>
        <w:tc>
          <w:tcPr>
            <w:tcW w:w="432" w:type="pct"/>
            <w:tcBorders>
              <w:bottom w:val="single" w:sz="4" w:space="0" w:color="000000"/>
            </w:tcBorders>
          </w:tcPr>
          <w:p w14:paraId="24ED86B1" w14:textId="77777777" w:rsidR="00992AAE" w:rsidRPr="0047058F" w:rsidRDefault="00992AAE" w:rsidP="003454A7">
            <w:pPr>
              <w:pStyle w:val="TableText"/>
              <w:spacing w:before="38" w:after="38"/>
              <w:jc w:val="right"/>
              <w:rPr>
                <w:sz w:val="13"/>
                <w:szCs w:val="13"/>
              </w:rPr>
            </w:pPr>
            <w:r w:rsidRPr="0047058F">
              <w:rPr>
                <w:rFonts w:cs="Arial"/>
                <w:sz w:val="13"/>
                <w:szCs w:val="13"/>
              </w:rPr>
              <w:t>15.1 (0.0–33.2)</w:t>
            </w:r>
          </w:p>
        </w:tc>
        <w:tc>
          <w:tcPr>
            <w:tcW w:w="211" w:type="pct"/>
            <w:tcBorders>
              <w:bottom w:val="single" w:sz="4" w:space="0" w:color="000000"/>
            </w:tcBorders>
          </w:tcPr>
          <w:p w14:paraId="4754FB68" w14:textId="77777777" w:rsidR="00992AAE" w:rsidRPr="0047058F" w:rsidRDefault="00992AAE" w:rsidP="003454A7">
            <w:pPr>
              <w:pStyle w:val="TableText"/>
              <w:spacing w:before="38" w:after="38"/>
              <w:jc w:val="right"/>
              <w:rPr>
                <w:sz w:val="13"/>
                <w:szCs w:val="13"/>
              </w:rPr>
            </w:pPr>
            <w:r w:rsidRPr="0047058F">
              <w:rPr>
                <w:rFonts w:cs="Arial"/>
                <w:sz w:val="13"/>
                <w:szCs w:val="13"/>
              </w:rPr>
              <w:t>342</w:t>
            </w:r>
          </w:p>
        </w:tc>
        <w:tc>
          <w:tcPr>
            <w:tcW w:w="431" w:type="pct"/>
            <w:tcBorders>
              <w:bottom w:val="single" w:sz="4" w:space="0" w:color="000000"/>
            </w:tcBorders>
          </w:tcPr>
          <w:p w14:paraId="223DAD15" w14:textId="77777777" w:rsidR="00992AAE" w:rsidRPr="0047058F" w:rsidRDefault="00992AAE" w:rsidP="003454A7">
            <w:pPr>
              <w:pStyle w:val="TableText"/>
              <w:spacing w:before="38" w:after="38"/>
              <w:jc w:val="right"/>
              <w:rPr>
                <w:sz w:val="13"/>
                <w:szCs w:val="13"/>
              </w:rPr>
            </w:pPr>
            <w:r w:rsidRPr="0047058F">
              <w:rPr>
                <w:rFonts w:cs="Arial"/>
                <w:sz w:val="13"/>
                <w:szCs w:val="13"/>
              </w:rPr>
              <w:t>9.4 (0.0–28.1)</w:t>
            </w:r>
          </w:p>
        </w:tc>
        <w:tc>
          <w:tcPr>
            <w:tcW w:w="438" w:type="pct"/>
            <w:tcBorders>
              <w:bottom w:val="single" w:sz="4" w:space="0" w:color="000000"/>
            </w:tcBorders>
          </w:tcPr>
          <w:p w14:paraId="3325D27A" w14:textId="77777777" w:rsidR="00992AAE" w:rsidRPr="0047058F" w:rsidRDefault="00992AAE" w:rsidP="003454A7">
            <w:pPr>
              <w:pStyle w:val="TableText"/>
              <w:spacing w:before="38" w:after="38"/>
              <w:jc w:val="right"/>
              <w:rPr>
                <w:sz w:val="13"/>
                <w:szCs w:val="13"/>
              </w:rPr>
            </w:pPr>
            <w:r w:rsidRPr="0047058F">
              <w:rPr>
                <w:rFonts w:cs="Arial"/>
                <w:sz w:val="13"/>
                <w:szCs w:val="13"/>
              </w:rPr>
              <w:t>0.97 (0.74–1.27)</w:t>
            </w:r>
          </w:p>
        </w:tc>
        <w:tc>
          <w:tcPr>
            <w:tcW w:w="438" w:type="pct"/>
            <w:tcBorders>
              <w:bottom w:val="single" w:sz="4" w:space="0" w:color="000000"/>
            </w:tcBorders>
          </w:tcPr>
          <w:p w14:paraId="4D084F9C"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Borders>
              <w:bottom w:val="single" w:sz="4" w:space="0" w:color="000000"/>
            </w:tcBorders>
          </w:tcPr>
          <w:p w14:paraId="52E303D7" w14:textId="77777777" w:rsidR="00992AAE" w:rsidRPr="0047058F" w:rsidRDefault="00992AAE" w:rsidP="003454A7">
            <w:pPr>
              <w:pStyle w:val="TableText"/>
              <w:spacing w:before="38" w:after="38"/>
              <w:jc w:val="right"/>
              <w:rPr>
                <w:sz w:val="13"/>
                <w:szCs w:val="13"/>
              </w:rPr>
            </w:pPr>
            <w:r w:rsidRPr="0047058F">
              <w:rPr>
                <w:rFonts w:cs="Arial"/>
                <w:sz w:val="13"/>
                <w:szCs w:val="13"/>
              </w:rPr>
              <w:t>1.03 (0.73–1.46)</w:t>
            </w:r>
          </w:p>
        </w:tc>
        <w:tc>
          <w:tcPr>
            <w:tcW w:w="439" w:type="pct"/>
            <w:tcBorders>
              <w:bottom w:val="single" w:sz="4" w:space="0" w:color="000000"/>
            </w:tcBorders>
          </w:tcPr>
          <w:p w14:paraId="6A1725B8"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Borders>
              <w:bottom w:val="single" w:sz="4" w:space="0" w:color="000000"/>
            </w:tcBorders>
          </w:tcPr>
          <w:p w14:paraId="150F0326" w14:textId="77777777" w:rsidR="00992AAE" w:rsidRPr="0047058F" w:rsidRDefault="00992AAE" w:rsidP="003454A7">
            <w:pPr>
              <w:pStyle w:val="TableText"/>
              <w:spacing w:before="38" w:after="38"/>
              <w:jc w:val="right"/>
              <w:rPr>
                <w:color w:val="auto"/>
                <w:sz w:val="13"/>
                <w:szCs w:val="13"/>
              </w:rPr>
            </w:pPr>
          </w:p>
        </w:tc>
        <w:tc>
          <w:tcPr>
            <w:tcW w:w="288" w:type="pct"/>
            <w:tcBorders>
              <w:bottom w:val="single" w:sz="4" w:space="0" w:color="000000"/>
            </w:tcBorders>
          </w:tcPr>
          <w:p w14:paraId="7BF89394" w14:textId="77777777" w:rsidR="00992AAE" w:rsidRPr="0047058F" w:rsidRDefault="00992AAE" w:rsidP="003454A7">
            <w:pPr>
              <w:pStyle w:val="TableText"/>
              <w:spacing w:before="38" w:after="38"/>
              <w:jc w:val="right"/>
              <w:rPr>
                <w:color w:val="auto"/>
                <w:sz w:val="13"/>
                <w:szCs w:val="13"/>
              </w:rPr>
            </w:pPr>
          </w:p>
        </w:tc>
      </w:tr>
      <w:tr w:rsidR="003454A7" w:rsidRPr="0047058F" w14:paraId="343037F0" w14:textId="77777777" w:rsidTr="003454A7">
        <w:trPr>
          <w:cantSplit/>
        </w:trPr>
        <w:tc>
          <w:tcPr>
            <w:tcW w:w="5000" w:type="pct"/>
            <w:gridSpan w:val="13"/>
            <w:tcBorders>
              <w:top w:val="single" w:sz="4" w:space="0" w:color="000000"/>
              <w:bottom w:val="nil"/>
            </w:tcBorders>
          </w:tcPr>
          <w:p w14:paraId="38F1ED7A" w14:textId="77777777" w:rsidR="003454A7" w:rsidRPr="0047058F" w:rsidRDefault="003454A7" w:rsidP="003454A7">
            <w:pPr>
              <w:pStyle w:val="TableText"/>
              <w:spacing w:before="38" w:after="38"/>
              <w:rPr>
                <w:color w:val="auto"/>
                <w:sz w:val="13"/>
                <w:szCs w:val="13"/>
              </w:rPr>
            </w:pPr>
            <w:r w:rsidRPr="0047058F">
              <w:rPr>
                <w:b/>
                <w:color w:val="auto"/>
              </w:rPr>
              <w:t>Service factors (time point 1)</w:t>
            </w:r>
          </w:p>
        </w:tc>
      </w:tr>
      <w:tr w:rsidR="008F70CA" w:rsidRPr="0047058F" w14:paraId="494C18FE"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top w:val="nil"/>
            </w:tcBorders>
          </w:tcPr>
          <w:p w14:paraId="38DECB21" w14:textId="77777777" w:rsidR="00992AAE" w:rsidRPr="0047058F" w:rsidRDefault="00992AAE" w:rsidP="003454A7">
            <w:pPr>
              <w:pStyle w:val="TableText"/>
              <w:spacing w:before="38" w:after="38"/>
              <w:rPr>
                <w:rFonts w:eastAsia="Cambria"/>
              </w:rPr>
            </w:pPr>
            <w:r w:rsidRPr="0047058F">
              <w:rPr>
                <w:rFonts w:eastAsia="Cambria"/>
              </w:rPr>
              <w:t>Rank</w:t>
            </w:r>
          </w:p>
        </w:tc>
        <w:tc>
          <w:tcPr>
            <w:tcW w:w="196" w:type="pct"/>
            <w:tcBorders>
              <w:top w:val="nil"/>
            </w:tcBorders>
          </w:tcPr>
          <w:p w14:paraId="56237BC4" w14:textId="77777777" w:rsidR="00992AAE" w:rsidRPr="0047058F" w:rsidRDefault="00992AAE" w:rsidP="003454A7">
            <w:pPr>
              <w:pStyle w:val="TableText"/>
              <w:spacing w:before="38" w:after="38"/>
              <w:jc w:val="right"/>
              <w:rPr>
                <w:sz w:val="13"/>
                <w:szCs w:val="13"/>
              </w:rPr>
            </w:pPr>
          </w:p>
        </w:tc>
        <w:tc>
          <w:tcPr>
            <w:tcW w:w="472" w:type="pct"/>
            <w:tcBorders>
              <w:top w:val="nil"/>
            </w:tcBorders>
          </w:tcPr>
          <w:p w14:paraId="2A4FF2AF" w14:textId="77777777" w:rsidR="00992AAE" w:rsidRPr="0047058F" w:rsidRDefault="00992AAE" w:rsidP="003454A7">
            <w:pPr>
              <w:pStyle w:val="TableText"/>
              <w:spacing w:before="38" w:after="38"/>
              <w:jc w:val="right"/>
              <w:rPr>
                <w:sz w:val="13"/>
                <w:szCs w:val="13"/>
              </w:rPr>
            </w:pPr>
          </w:p>
        </w:tc>
        <w:tc>
          <w:tcPr>
            <w:tcW w:w="196" w:type="pct"/>
            <w:tcBorders>
              <w:top w:val="nil"/>
            </w:tcBorders>
          </w:tcPr>
          <w:p w14:paraId="581DED4D" w14:textId="77777777" w:rsidR="00992AAE" w:rsidRPr="0047058F" w:rsidRDefault="00992AAE" w:rsidP="003454A7">
            <w:pPr>
              <w:pStyle w:val="TableText"/>
              <w:spacing w:before="38" w:after="38"/>
              <w:jc w:val="right"/>
              <w:rPr>
                <w:sz w:val="13"/>
                <w:szCs w:val="13"/>
              </w:rPr>
            </w:pPr>
          </w:p>
        </w:tc>
        <w:tc>
          <w:tcPr>
            <w:tcW w:w="432" w:type="pct"/>
            <w:tcBorders>
              <w:top w:val="nil"/>
            </w:tcBorders>
          </w:tcPr>
          <w:p w14:paraId="0F2598FD" w14:textId="77777777" w:rsidR="00992AAE" w:rsidRPr="0047058F" w:rsidRDefault="00992AAE" w:rsidP="003454A7">
            <w:pPr>
              <w:pStyle w:val="TableText"/>
              <w:spacing w:before="38" w:after="38"/>
              <w:jc w:val="right"/>
              <w:rPr>
                <w:sz w:val="13"/>
                <w:szCs w:val="13"/>
              </w:rPr>
            </w:pPr>
          </w:p>
        </w:tc>
        <w:tc>
          <w:tcPr>
            <w:tcW w:w="211" w:type="pct"/>
            <w:tcBorders>
              <w:top w:val="nil"/>
            </w:tcBorders>
          </w:tcPr>
          <w:p w14:paraId="306AD89C" w14:textId="77777777" w:rsidR="00992AAE" w:rsidRPr="0047058F" w:rsidRDefault="00992AAE" w:rsidP="003454A7">
            <w:pPr>
              <w:pStyle w:val="TableText"/>
              <w:spacing w:before="38" w:after="38"/>
              <w:jc w:val="right"/>
              <w:rPr>
                <w:sz w:val="13"/>
                <w:szCs w:val="13"/>
              </w:rPr>
            </w:pPr>
          </w:p>
        </w:tc>
        <w:tc>
          <w:tcPr>
            <w:tcW w:w="431" w:type="pct"/>
            <w:tcBorders>
              <w:top w:val="nil"/>
            </w:tcBorders>
          </w:tcPr>
          <w:p w14:paraId="0E04A314"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62F0F7E7"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51633740"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664B8663" w14:textId="77777777" w:rsidR="00992AAE" w:rsidRPr="0047058F" w:rsidRDefault="00992AAE" w:rsidP="003454A7">
            <w:pPr>
              <w:pStyle w:val="TableText"/>
              <w:spacing w:before="38" w:after="38"/>
              <w:jc w:val="right"/>
              <w:rPr>
                <w:sz w:val="13"/>
                <w:szCs w:val="13"/>
              </w:rPr>
            </w:pPr>
          </w:p>
        </w:tc>
        <w:tc>
          <w:tcPr>
            <w:tcW w:w="439" w:type="pct"/>
            <w:tcBorders>
              <w:top w:val="nil"/>
            </w:tcBorders>
          </w:tcPr>
          <w:p w14:paraId="7A6F72A1" w14:textId="77777777" w:rsidR="00992AAE" w:rsidRPr="0047058F" w:rsidRDefault="00992AAE" w:rsidP="003454A7">
            <w:pPr>
              <w:pStyle w:val="TableText"/>
              <w:spacing w:before="38" w:after="38"/>
              <w:jc w:val="right"/>
              <w:rPr>
                <w:sz w:val="13"/>
                <w:szCs w:val="13"/>
              </w:rPr>
            </w:pPr>
          </w:p>
        </w:tc>
        <w:tc>
          <w:tcPr>
            <w:tcW w:w="275" w:type="pct"/>
            <w:tcBorders>
              <w:top w:val="nil"/>
            </w:tcBorders>
          </w:tcPr>
          <w:p w14:paraId="208D958F"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&lt; 0.0001</w:t>
            </w:r>
          </w:p>
        </w:tc>
        <w:tc>
          <w:tcPr>
            <w:tcW w:w="288" w:type="pct"/>
            <w:tcBorders>
              <w:top w:val="nil"/>
            </w:tcBorders>
          </w:tcPr>
          <w:p w14:paraId="72AF4738"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&lt; 0.0001</w:t>
            </w:r>
          </w:p>
        </w:tc>
      </w:tr>
      <w:tr w:rsidR="008F70CA" w:rsidRPr="0047058F" w14:paraId="783CCE88" w14:textId="77777777" w:rsidTr="003454A7">
        <w:trPr>
          <w:cantSplit/>
        </w:trPr>
        <w:tc>
          <w:tcPr>
            <w:tcW w:w="746" w:type="pct"/>
          </w:tcPr>
          <w:p w14:paraId="0767A69D" w14:textId="77777777" w:rsidR="00992AAE" w:rsidRPr="0047058F" w:rsidRDefault="00992AAE" w:rsidP="003454A7">
            <w:pPr>
              <w:pStyle w:val="TableText"/>
              <w:spacing w:before="38" w:after="38"/>
              <w:ind w:left="144"/>
            </w:pPr>
            <w:r w:rsidRPr="0047058F">
              <w:t>Officer</w:t>
            </w:r>
          </w:p>
        </w:tc>
        <w:tc>
          <w:tcPr>
            <w:tcW w:w="196" w:type="pct"/>
          </w:tcPr>
          <w:p w14:paraId="2E6F7C73" w14:textId="77777777" w:rsidR="00992AAE" w:rsidRPr="0047058F" w:rsidRDefault="00992AAE" w:rsidP="003454A7">
            <w:pPr>
              <w:pStyle w:val="TableText"/>
              <w:spacing w:before="38" w:after="38"/>
              <w:jc w:val="right"/>
              <w:rPr>
                <w:sz w:val="13"/>
                <w:szCs w:val="13"/>
              </w:rPr>
            </w:pPr>
            <w:r w:rsidRPr="0047058F">
              <w:rPr>
                <w:rFonts w:cs="Arial"/>
                <w:sz w:val="13"/>
                <w:szCs w:val="13"/>
              </w:rPr>
              <w:t>1403</w:t>
            </w:r>
          </w:p>
        </w:tc>
        <w:tc>
          <w:tcPr>
            <w:tcW w:w="472" w:type="pct"/>
          </w:tcPr>
          <w:p w14:paraId="06061016" w14:textId="77777777" w:rsidR="00992AAE" w:rsidRPr="0047058F" w:rsidRDefault="00992AAE" w:rsidP="003454A7">
            <w:pPr>
              <w:pStyle w:val="TableText"/>
              <w:spacing w:before="38" w:after="38"/>
              <w:jc w:val="right"/>
              <w:rPr>
                <w:sz w:val="13"/>
                <w:szCs w:val="13"/>
              </w:rPr>
            </w:pPr>
            <w:r w:rsidRPr="0047058F">
              <w:rPr>
                <w:rFonts w:cs="Arial"/>
                <w:sz w:val="13"/>
                <w:szCs w:val="13"/>
              </w:rPr>
              <w:t>80.6 (72.0–89.2)</w:t>
            </w:r>
          </w:p>
        </w:tc>
        <w:tc>
          <w:tcPr>
            <w:tcW w:w="196" w:type="pct"/>
          </w:tcPr>
          <w:p w14:paraId="31A3DA55" w14:textId="77777777" w:rsidR="00992AAE" w:rsidRPr="0047058F" w:rsidRDefault="00992AAE" w:rsidP="003454A7">
            <w:pPr>
              <w:pStyle w:val="TableText"/>
              <w:spacing w:before="38" w:after="38"/>
              <w:jc w:val="right"/>
              <w:rPr>
                <w:sz w:val="13"/>
                <w:szCs w:val="13"/>
              </w:rPr>
            </w:pPr>
            <w:r w:rsidRPr="0047058F">
              <w:rPr>
                <w:rFonts w:cs="Arial"/>
                <w:sz w:val="13"/>
                <w:szCs w:val="13"/>
              </w:rPr>
              <w:t>219</w:t>
            </w:r>
          </w:p>
        </w:tc>
        <w:tc>
          <w:tcPr>
            <w:tcW w:w="432" w:type="pct"/>
          </w:tcPr>
          <w:p w14:paraId="75FBCD83" w14:textId="77777777" w:rsidR="00992AAE" w:rsidRPr="0047058F" w:rsidRDefault="00992AAE" w:rsidP="003454A7">
            <w:pPr>
              <w:pStyle w:val="TableText"/>
              <w:spacing w:before="38" w:after="38"/>
              <w:jc w:val="right"/>
              <w:rPr>
                <w:sz w:val="13"/>
                <w:szCs w:val="13"/>
              </w:rPr>
            </w:pPr>
            <w:r w:rsidRPr="0047058F">
              <w:rPr>
                <w:rFonts w:cs="Arial"/>
                <w:sz w:val="13"/>
                <w:szCs w:val="13"/>
              </w:rPr>
              <w:t>12.6 (0.0–30.9)</w:t>
            </w:r>
          </w:p>
        </w:tc>
        <w:tc>
          <w:tcPr>
            <w:tcW w:w="211" w:type="pct"/>
          </w:tcPr>
          <w:p w14:paraId="5808043D" w14:textId="77777777" w:rsidR="00992AAE" w:rsidRPr="0047058F" w:rsidRDefault="00992AAE" w:rsidP="003454A7">
            <w:pPr>
              <w:pStyle w:val="TableText"/>
              <w:spacing w:before="38" w:after="38"/>
              <w:jc w:val="right"/>
              <w:rPr>
                <w:sz w:val="13"/>
                <w:szCs w:val="13"/>
              </w:rPr>
            </w:pPr>
            <w:r w:rsidRPr="0047058F">
              <w:rPr>
                <w:rFonts w:cs="Arial"/>
                <w:sz w:val="13"/>
                <w:szCs w:val="13"/>
              </w:rPr>
              <w:t>119</w:t>
            </w:r>
          </w:p>
        </w:tc>
        <w:tc>
          <w:tcPr>
            <w:tcW w:w="431" w:type="pct"/>
          </w:tcPr>
          <w:p w14:paraId="4697767F" w14:textId="77777777" w:rsidR="00992AAE" w:rsidRPr="0047058F" w:rsidRDefault="00992AAE" w:rsidP="003454A7">
            <w:pPr>
              <w:pStyle w:val="TableText"/>
              <w:spacing w:before="38" w:after="38"/>
              <w:jc w:val="right"/>
              <w:rPr>
                <w:sz w:val="13"/>
                <w:szCs w:val="13"/>
              </w:rPr>
            </w:pPr>
            <w:r w:rsidRPr="0047058F">
              <w:rPr>
                <w:rFonts w:cs="Arial"/>
                <w:sz w:val="13"/>
                <w:szCs w:val="13"/>
              </w:rPr>
              <w:t>6.8 (0.0–25.7)</w:t>
            </w:r>
          </w:p>
        </w:tc>
        <w:tc>
          <w:tcPr>
            <w:tcW w:w="438" w:type="pct"/>
          </w:tcPr>
          <w:p w14:paraId="3BA9B3EA"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7867E04F"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441541C4"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7E88DAD6"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275" w:type="pct"/>
          </w:tcPr>
          <w:p w14:paraId="63402D64" w14:textId="77777777" w:rsidR="00992AAE" w:rsidRPr="0047058F" w:rsidRDefault="00992AAE" w:rsidP="003454A7">
            <w:pPr>
              <w:pStyle w:val="TableText"/>
              <w:spacing w:before="38" w:after="38"/>
              <w:jc w:val="right"/>
              <w:rPr>
                <w:color w:val="auto"/>
                <w:sz w:val="13"/>
                <w:szCs w:val="13"/>
              </w:rPr>
            </w:pPr>
          </w:p>
        </w:tc>
        <w:tc>
          <w:tcPr>
            <w:tcW w:w="288" w:type="pct"/>
          </w:tcPr>
          <w:p w14:paraId="301A33AA" w14:textId="77777777" w:rsidR="00992AAE" w:rsidRPr="0047058F" w:rsidRDefault="00992AAE" w:rsidP="003454A7">
            <w:pPr>
              <w:pStyle w:val="TableText"/>
              <w:spacing w:before="38" w:after="38"/>
              <w:jc w:val="right"/>
              <w:rPr>
                <w:color w:val="auto"/>
                <w:sz w:val="13"/>
                <w:szCs w:val="13"/>
              </w:rPr>
            </w:pPr>
          </w:p>
        </w:tc>
      </w:tr>
      <w:tr w:rsidR="008F70CA" w:rsidRPr="0047058F" w14:paraId="6AF25D0F"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4FCC2613" w14:textId="77777777" w:rsidR="00992AAE" w:rsidRPr="0047058F" w:rsidRDefault="00992AAE" w:rsidP="003454A7">
            <w:pPr>
              <w:pStyle w:val="TableText"/>
              <w:spacing w:before="38" w:after="38"/>
              <w:ind w:left="144"/>
            </w:pPr>
            <w:r w:rsidRPr="0047058F">
              <w:t>Non-Commissioned Officer</w:t>
            </w:r>
          </w:p>
        </w:tc>
        <w:tc>
          <w:tcPr>
            <w:tcW w:w="196" w:type="pct"/>
          </w:tcPr>
          <w:p w14:paraId="65DD8BAE" w14:textId="77777777" w:rsidR="00992AAE" w:rsidRPr="0047058F" w:rsidRDefault="00992AAE" w:rsidP="003454A7">
            <w:pPr>
              <w:pStyle w:val="TableText"/>
              <w:spacing w:before="38" w:after="38"/>
              <w:jc w:val="right"/>
              <w:rPr>
                <w:sz w:val="13"/>
                <w:szCs w:val="13"/>
              </w:rPr>
            </w:pPr>
            <w:r w:rsidRPr="0047058F">
              <w:rPr>
                <w:rFonts w:cs="Arial"/>
                <w:sz w:val="13"/>
                <w:szCs w:val="13"/>
              </w:rPr>
              <w:t>1464</w:t>
            </w:r>
          </w:p>
        </w:tc>
        <w:tc>
          <w:tcPr>
            <w:tcW w:w="472" w:type="pct"/>
          </w:tcPr>
          <w:p w14:paraId="7F4477CF" w14:textId="77777777" w:rsidR="00992AAE" w:rsidRPr="0047058F" w:rsidRDefault="00992AAE" w:rsidP="003454A7">
            <w:pPr>
              <w:pStyle w:val="TableText"/>
              <w:spacing w:before="38" w:after="38"/>
              <w:jc w:val="right"/>
              <w:rPr>
                <w:sz w:val="13"/>
                <w:szCs w:val="13"/>
              </w:rPr>
            </w:pPr>
            <w:r w:rsidRPr="0047058F">
              <w:rPr>
                <w:rFonts w:cs="Arial"/>
                <w:sz w:val="13"/>
                <w:szCs w:val="13"/>
              </w:rPr>
              <w:t>72.2 (61.9–82.5)</w:t>
            </w:r>
          </w:p>
        </w:tc>
        <w:tc>
          <w:tcPr>
            <w:tcW w:w="196" w:type="pct"/>
          </w:tcPr>
          <w:p w14:paraId="00B54C18" w14:textId="77777777" w:rsidR="00992AAE" w:rsidRPr="0047058F" w:rsidRDefault="00992AAE" w:rsidP="003454A7">
            <w:pPr>
              <w:pStyle w:val="TableText"/>
              <w:spacing w:before="38" w:after="38"/>
              <w:jc w:val="right"/>
              <w:rPr>
                <w:sz w:val="13"/>
                <w:szCs w:val="13"/>
              </w:rPr>
            </w:pPr>
            <w:r w:rsidRPr="0047058F">
              <w:rPr>
                <w:rFonts w:cs="Arial"/>
                <w:sz w:val="13"/>
                <w:szCs w:val="13"/>
              </w:rPr>
              <w:t>344</w:t>
            </w:r>
          </w:p>
        </w:tc>
        <w:tc>
          <w:tcPr>
            <w:tcW w:w="432" w:type="pct"/>
          </w:tcPr>
          <w:p w14:paraId="4634ECFD" w14:textId="77777777" w:rsidR="00992AAE" w:rsidRPr="0047058F" w:rsidRDefault="00992AAE" w:rsidP="003454A7">
            <w:pPr>
              <w:pStyle w:val="TableText"/>
              <w:spacing w:before="38" w:after="38"/>
              <w:jc w:val="right"/>
              <w:rPr>
                <w:sz w:val="13"/>
                <w:szCs w:val="13"/>
              </w:rPr>
            </w:pPr>
            <w:r w:rsidRPr="0047058F">
              <w:rPr>
                <w:rFonts w:cs="Arial"/>
                <w:sz w:val="13"/>
                <w:szCs w:val="13"/>
              </w:rPr>
              <w:t>17.0 (0.0–34.9)</w:t>
            </w:r>
          </w:p>
        </w:tc>
        <w:tc>
          <w:tcPr>
            <w:tcW w:w="211" w:type="pct"/>
          </w:tcPr>
          <w:p w14:paraId="77748F8F" w14:textId="77777777" w:rsidR="00992AAE" w:rsidRPr="0047058F" w:rsidRDefault="00992AAE" w:rsidP="003454A7">
            <w:pPr>
              <w:pStyle w:val="TableText"/>
              <w:spacing w:before="38" w:after="38"/>
              <w:jc w:val="right"/>
              <w:rPr>
                <w:sz w:val="13"/>
                <w:szCs w:val="13"/>
              </w:rPr>
            </w:pPr>
            <w:r w:rsidRPr="0047058F">
              <w:rPr>
                <w:rFonts w:cs="Arial"/>
                <w:sz w:val="13"/>
                <w:szCs w:val="13"/>
              </w:rPr>
              <w:t>219</w:t>
            </w:r>
          </w:p>
        </w:tc>
        <w:tc>
          <w:tcPr>
            <w:tcW w:w="431" w:type="pct"/>
          </w:tcPr>
          <w:p w14:paraId="4DB44A99" w14:textId="77777777" w:rsidR="00992AAE" w:rsidRPr="0047058F" w:rsidRDefault="00992AAE" w:rsidP="003454A7">
            <w:pPr>
              <w:pStyle w:val="TableText"/>
              <w:spacing w:before="38" w:after="38"/>
              <w:jc w:val="right"/>
              <w:rPr>
                <w:sz w:val="13"/>
                <w:szCs w:val="13"/>
              </w:rPr>
            </w:pPr>
            <w:r w:rsidRPr="0047058F">
              <w:rPr>
                <w:rFonts w:cs="Arial"/>
                <w:sz w:val="13"/>
                <w:szCs w:val="13"/>
              </w:rPr>
              <w:t>10.8 (0.0–29.3)</w:t>
            </w:r>
          </w:p>
        </w:tc>
        <w:tc>
          <w:tcPr>
            <w:tcW w:w="438" w:type="pct"/>
          </w:tcPr>
          <w:p w14:paraId="189EADEB" w14:textId="77777777" w:rsidR="00992AAE" w:rsidRPr="0047058F" w:rsidRDefault="00992AAE" w:rsidP="003454A7">
            <w:pPr>
              <w:pStyle w:val="TableText"/>
              <w:spacing w:before="38" w:after="38"/>
              <w:jc w:val="right"/>
              <w:rPr>
                <w:sz w:val="13"/>
                <w:szCs w:val="13"/>
              </w:rPr>
            </w:pPr>
            <w:r w:rsidRPr="0047058F">
              <w:rPr>
                <w:rFonts w:cs="Arial"/>
                <w:sz w:val="13"/>
                <w:szCs w:val="13"/>
              </w:rPr>
              <w:t>1.56 (1.29–1.90)</w:t>
            </w:r>
          </w:p>
        </w:tc>
        <w:tc>
          <w:tcPr>
            <w:tcW w:w="438" w:type="pct"/>
          </w:tcPr>
          <w:p w14:paraId="1A82DE26" w14:textId="77777777" w:rsidR="00992AAE" w:rsidRPr="0047058F" w:rsidRDefault="00992AAE" w:rsidP="003454A7">
            <w:pPr>
              <w:pStyle w:val="TableText"/>
              <w:spacing w:before="38" w:after="38"/>
              <w:jc w:val="right"/>
              <w:rPr>
                <w:sz w:val="13"/>
                <w:szCs w:val="13"/>
              </w:rPr>
            </w:pPr>
            <w:r w:rsidRPr="0047058F">
              <w:rPr>
                <w:rFonts w:cs="Arial"/>
                <w:sz w:val="13"/>
                <w:szCs w:val="13"/>
              </w:rPr>
              <w:t>1.56 (1.28–1.91)</w:t>
            </w:r>
          </w:p>
        </w:tc>
        <w:tc>
          <w:tcPr>
            <w:tcW w:w="438" w:type="pct"/>
          </w:tcPr>
          <w:p w14:paraId="2991201D" w14:textId="77777777" w:rsidR="00992AAE" w:rsidRPr="0047058F" w:rsidRDefault="00992AAE" w:rsidP="003454A7">
            <w:pPr>
              <w:pStyle w:val="TableText"/>
              <w:spacing w:before="38" w:after="38"/>
              <w:jc w:val="right"/>
              <w:rPr>
                <w:sz w:val="13"/>
                <w:szCs w:val="13"/>
              </w:rPr>
            </w:pPr>
            <w:r w:rsidRPr="0047058F">
              <w:rPr>
                <w:rFonts w:cs="Arial"/>
                <w:sz w:val="13"/>
                <w:szCs w:val="13"/>
              </w:rPr>
              <w:t>1.68 (1.31–2.14)</w:t>
            </w:r>
          </w:p>
        </w:tc>
        <w:tc>
          <w:tcPr>
            <w:tcW w:w="439" w:type="pct"/>
          </w:tcPr>
          <w:p w14:paraId="3F89B6E0" w14:textId="77777777" w:rsidR="00992AAE" w:rsidRPr="0047058F" w:rsidRDefault="00992AAE" w:rsidP="003454A7">
            <w:pPr>
              <w:pStyle w:val="TableText"/>
              <w:spacing w:before="38" w:after="38"/>
              <w:jc w:val="right"/>
              <w:rPr>
                <w:sz w:val="13"/>
                <w:szCs w:val="13"/>
              </w:rPr>
            </w:pPr>
            <w:r w:rsidRPr="0047058F">
              <w:rPr>
                <w:rFonts w:cs="Arial"/>
                <w:sz w:val="13"/>
                <w:szCs w:val="13"/>
              </w:rPr>
              <w:t>1.73 (1.34–2.22)</w:t>
            </w:r>
          </w:p>
        </w:tc>
        <w:tc>
          <w:tcPr>
            <w:tcW w:w="275" w:type="pct"/>
          </w:tcPr>
          <w:p w14:paraId="21398E03" w14:textId="77777777" w:rsidR="00992AAE" w:rsidRPr="0047058F" w:rsidRDefault="00992AAE" w:rsidP="003454A7">
            <w:pPr>
              <w:pStyle w:val="TableText"/>
              <w:spacing w:before="38" w:after="38"/>
              <w:jc w:val="right"/>
              <w:rPr>
                <w:color w:val="auto"/>
                <w:sz w:val="13"/>
                <w:szCs w:val="13"/>
              </w:rPr>
            </w:pPr>
          </w:p>
        </w:tc>
        <w:tc>
          <w:tcPr>
            <w:tcW w:w="288" w:type="pct"/>
          </w:tcPr>
          <w:p w14:paraId="3809CC60" w14:textId="77777777" w:rsidR="00992AAE" w:rsidRPr="0047058F" w:rsidRDefault="00992AAE" w:rsidP="003454A7">
            <w:pPr>
              <w:pStyle w:val="TableText"/>
              <w:spacing w:before="38" w:after="38"/>
              <w:jc w:val="right"/>
              <w:rPr>
                <w:color w:val="auto"/>
                <w:sz w:val="13"/>
                <w:szCs w:val="13"/>
              </w:rPr>
            </w:pPr>
          </w:p>
        </w:tc>
      </w:tr>
      <w:tr w:rsidR="008F70CA" w:rsidRPr="0047058F" w14:paraId="12E1F34A" w14:textId="77777777" w:rsidTr="003454A7">
        <w:trPr>
          <w:cantSplit/>
        </w:trPr>
        <w:tc>
          <w:tcPr>
            <w:tcW w:w="746" w:type="pct"/>
          </w:tcPr>
          <w:p w14:paraId="6EE8EEA6" w14:textId="77777777" w:rsidR="00992AAE" w:rsidRPr="0047058F" w:rsidRDefault="00992AAE" w:rsidP="003454A7">
            <w:pPr>
              <w:pStyle w:val="TableText"/>
              <w:spacing w:before="38" w:after="38"/>
              <w:ind w:left="144"/>
            </w:pPr>
            <w:r w:rsidRPr="0047058F">
              <w:t>Other</w:t>
            </w:r>
          </w:p>
        </w:tc>
        <w:tc>
          <w:tcPr>
            <w:tcW w:w="196" w:type="pct"/>
          </w:tcPr>
          <w:p w14:paraId="79184D36" w14:textId="77777777" w:rsidR="00992AAE" w:rsidRPr="0047058F" w:rsidRDefault="00992AAE" w:rsidP="003454A7">
            <w:pPr>
              <w:pStyle w:val="TableText"/>
              <w:spacing w:before="38" w:after="38"/>
              <w:jc w:val="right"/>
              <w:rPr>
                <w:sz w:val="13"/>
                <w:szCs w:val="13"/>
              </w:rPr>
            </w:pPr>
            <w:r w:rsidRPr="0047058F">
              <w:rPr>
                <w:rFonts w:cs="Arial"/>
                <w:sz w:val="13"/>
                <w:szCs w:val="13"/>
              </w:rPr>
              <w:t>318</w:t>
            </w:r>
          </w:p>
        </w:tc>
        <w:tc>
          <w:tcPr>
            <w:tcW w:w="472" w:type="pct"/>
          </w:tcPr>
          <w:p w14:paraId="34571B03" w14:textId="77777777" w:rsidR="00992AAE" w:rsidRPr="0047058F" w:rsidRDefault="00992AAE" w:rsidP="003454A7">
            <w:pPr>
              <w:pStyle w:val="TableText"/>
              <w:spacing w:before="38" w:after="38"/>
              <w:jc w:val="right"/>
              <w:rPr>
                <w:sz w:val="13"/>
                <w:szCs w:val="13"/>
              </w:rPr>
            </w:pPr>
            <w:r w:rsidRPr="0047058F">
              <w:rPr>
                <w:rFonts w:cs="Arial"/>
                <w:sz w:val="13"/>
                <w:szCs w:val="13"/>
              </w:rPr>
              <w:t>70.0 (59.3–80.7)</w:t>
            </w:r>
          </w:p>
        </w:tc>
        <w:tc>
          <w:tcPr>
            <w:tcW w:w="196" w:type="pct"/>
          </w:tcPr>
          <w:p w14:paraId="0CB40873" w14:textId="77777777" w:rsidR="00992AAE" w:rsidRPr="0047058F" w:rsidRDefault="00992AAE" w:rsidP="003454A7">
            <w:pPr>
              <w:pStyle w:val="TableText"/>
              <w:spacing w:before="38" w:after="38"/>
              <w:jc w:val="right"/>
              <w:rPr>
                <w:sz w:val="13"/>
                <w:szCs w:val="13"/>
              </w:rPr>
            </w:pPr>
            <w:r w:rsidRPr="0047058F">
              <w:rPr>
                <w:rFonts w:cs="Arial"/>
                <w:sz w:val="13"/>
                <w:szCs w:val="13"/>
              </w:rPr>
              <w:t>78</w:t>
            </w:r>
          </w:p>
        </w:tc>
        <w:tc>
          <w:tcPr>
            <w:tcW w:w="432" w:type="pct"/>
          </w:tcPr>
          <w:p w14:paraId="71B4ECC1" w14:textId="77777777" w:rsidR="00992AAE" w:rsidRPr="0047058F" w:rsidRDefault="00992AAE" w:rsidP="003454A7">
            <w:pPr>
              <w:pStyle w:val="TableText"/>
              <w:spacing w:before="38" w:after="38"/>
              <w:jc w:val="right"/>
              <w:rPr>
                <w:sz w:val="13"/>
                <w:szCs w:val="13"/>
              </w:rPr>
            </w:pPr>
            <w:r w:rsidRPr="0047058F">
              <w:rPr>
                <w:rFonts w:cs="Arial"/>
                <w:sz w:val="13"/>
                <w:szCs w:val="13"/>
              </w:rPr>
              <w:t>17.2 (0.0–35.0)</w:t>
            </w:r>
          </w:p>
        </w:tc>
        <w:tc>
          <w:tcPr>
            <w:tcW w:w="211" w:type="pct"/>
          </w:tcPr>
          <w:p w14:paraId="44EBA52B" w14:textId="77777777" w:rsidR="00992AAE" w:rsidRPr="0047058F" w:rsidRDefault="00992AAE" w:rsidP="003454A7">
            <w:pPr>
              <w:pStyle w:val="TableText"/>
              <w:spacing w:before="38" w:after="38"/>
              <w:jc w:val="right"/>
              <w:rPr>
                <w:sz w:val="13"/>
                <w:szCs w:val="13"/>
              </w:rPr>
            </w:pPr>
            <w:r w:rsidRPr="0047058F">
              <w:rPr>
                <w:rFonts w:cs="Arial"/>
                <w:sz w:val="13"/>
                <w:szCs w:val="13"/>
              </w:rPr>
              <w:t>58</w:t>
            </w:r>
          </w:p>
        </w:tc>
        <w:tc>
          <w:tcPr>
            <w:tcW w:w="431" w:type="pct"/>
          </w:tcPr>
          <w:p w14:paraId="1F2C429B" w14:textId="77777777" w:rsidR="00992AAE" w:rsidRPr="0047058F" w:rsidRDefault="00992AAE" w:rsidP="003454A7">
            <w:pPr>
              <w:pStyle w:val="TableText"/>
              <w:spacing w:before="38" w:after="38"/>
              <w:jc w:val="right"/>
              <w:rPr>
                <w:sz w:val="13"/>
                <w:szCs w:val="13"/>
              </w:rPr>
            </w:pPr>
            <w:r w:rsidRPr="0047058F">
              <w:rPr>
                <w:rFonts w:cs="Arial"/>
                <w:sz w:val="13"/>
                <w:szCs w:val="13"/>
              </w:rPr>
              <w:t>12.8 (0.0–31.1)</w:t>
            </w:r>
          </w:p>
        </w:tc>
        <w:tc>
          <w:tcPr>
            <w:tcW w:w="438" w:type="pct"/>
          </w:tcPr>
          <w:p w14:paraId="000401F0" w14:textId="77777777" w:rsidR="00992AAE" w:rsidRPr="0047058F" w:rsidRDefault="00992AAE" w:rsidP="003454A7">
            <w:pPr>
              <w:pStyle w:val="TableText"/>
              <w:spacing w:before="38" w:after="38"/>
              <w:jc w:val="right"/>
              <w:rPr>
                <w:sz w:val="13"/>
                <w:szCs w:val="13"/>
              </w:rPr>
            </w:pPr>
            <w:r w:rsidRPr="0047058F">
              <w:rPr>
                <w:rFonts w:cs="Arial"/>
                <w:sz w:val="13"/>
                <w:szCs w:val="13"/>
              </w:rPr>
              <w:t>1.29 (0.91–1.82)</w:t>
            </w:r>
          </w:p>
        </w:tc>
        <w:tc>
          <w:tcPr>
            <w:tcW w:w="438" w:type="pct"/>
          </w:tcPr>
          <w:p w14:paraId="34CB0E8F" w14:textId="77777777" w:rsidR="00992AAE" w:rsidRPr="0047058F" w:rsidRDefault="00992AAE" w:rsidP="003454A7">
            <w:pPr>
              <w:pStyle w:val="TableText"/>
              <w:spacing w:before="38" w:after="38"/>
              <w:jc w:val="right"/>
              <w:rPr>
                <w:sz w:val="13"/>
                <w:szCs w:val="13"/>
              </w:rPr>
            </w:pPr>
            <w:r w:rsidRPr="0047058F">
              <w:rPr>
                <w:rFonts w:cs="Arial"/>
                <w:sz w:val="13"/>
                <w:szCs w:val="13"/>
              </w:rPr>
              <w:t>1.45 (1.01–2.09)</w:t>
            </w:r>
          </w:p>
        </w:tc>
        <w:tc>
          <w:tcPr>
            <w:tcW w:w="438" w:type="pct"/>
          </w:tcPr>
          <w:p w14:paraId="6CFA4A88" w14:textId="77777777" w:rsidR="00992AAE" w:rsidRPr="0047058F" w:rsidRDefault="00992AAE" w:rsidP="003454A7">
            <w:pPr>
              <w:pStyle w:val="TableText"/>
              <w:spacing w:before="38" w:after="38"/>
              <w:jc w:val="right"/>
              <w:rPr>
                <w:sz w:val="13"/>
                <w:szCs w:val="13"/>
              </w:rPr>
            </w:pPr>
            <w:r w:rsidRPr="0047058F">
              <w:rPr>
                <w:rFonts w:cs="Arial"/>
                <w:sz w:val="13"/>
                <w:szCs w:val="13"/>
              </w:rPr>
              <w:t>2.05 (1.40–3.00)</w:t>
            </w:r>
          </w:p>
        </w:tc>
        <w:tc>
          <w:tcPr>
            <w:tcW w:w="439" w:type="pct"/>
          </w:tcPr>
          <w:p w14:paraId="590A2F1D" w14:textId="77777777" w:rsidR="00992AAE" w:rsidRPr="0047058F" w:rsidRDefault="00992AAE" w:rsidP="003454A7">
            <w:pPr>
              <w:pStyle w:val="TableText"/>
              <w:spacing w:before="38" w:after="38"/>
              <w:jc w:val="right"/>
              <w:rPr>
                <w:sz w:val="13"/>
                <w:szCs w:val="13"/>
              </w:rPr>
            </w:pPr>
            <w:r w:rsidRPr="0047058F">
              <w:rPr>
                <w:rFonts w:cs="Arial"/>
                <w:sz w:val="13"/>
                <w:szCs w:val="13"/>
              </w:rPr>
              <w:t>2.41 (1.62–3.59)</w:t>
            </w:r>
          </w:p>
        </w:tc>
        <w:tc>
          <w:tcPr>
            <w:tcW w:w="275" w:type="pct"/>
          </w:tcPr>
          <w:p w14:paraId="76BE5CC0" w14:textId="77777777" w:rsidR="00992AAE" w:rsidRPr="0047058F" w:rsidRDefault="00992AAE" w:rsidP="003454A7">
            <w:pPr>
              <w:pStyle w:val="TableText"/>
              <w:spacing w:before="38" w:after="38"/>
              <w:jc w:val="right"/>
              <w:rPr>
                <w:color w:val="auto"/>
                <w:sz w:val="13"/>
                <w:szCs w:val="13"/>
              </w:rPr>
            </w:pPr>
          </w:p>
        </w:tc>
        <w:tc>
          <w:tcPr>
            <w:tcW w:w="288" w:type="pct"/>
          </w:tcPr>
          <w:p w14:paraId="7FF91D32" w14:textId="77777777" w:rsidR="00992AAE" w:rsidRPr="0047058F" w:rsidRDefault="00992AAE" w:rsidP="003454A7">
            <w:pPr>
              <w:pStyle w:val="TableText"/>
              <w:spacing w:before="38" w:after="38"/>
              <w:jc w:val="right"/>
              <w:rPr>
                <w:color w:val="auto"/>
                <w:sz w:val="13"/>
                <w:szCs w:val="13"/>
              </w:rPr>
            </w:pPr>
          </w:p>
        </w:tc>
      </w:tr>
      <w:tr w:rsidR="008F70CA" w:rsidRPr="0047058F" w14:paraId="7C07127E"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013F158F" w14:textId="77777777" w:rsidR="00992AAE" w:rsidRPr="0047058F" w:rsidRDefault="00992AAE" w:rsidP="003454A7">
            <w:pPr>
              <w:pStyle w:val="TableText"/>
              <w:spacing w:before="38" w:after="38"/>
            </w:pPr>
            <w:r w:rsidRPr="0047058F">
              <w:t>Service</w:t>
            </w:r>
          </w:p>
        </w:tc>
        <w:tc>
          <w:tcPr>
            <w:tcW w:w="196" w:type="pct"/>
          </w:tcPr>
          <w:p w14:paraId="6C2AC0D9" w14:textId="77777777" w:rsidR="00992AAE" w:rsidRPr="0047058F" w:rsidRDefault="00992AAE" w:rsidP="003454A7">
            <w:pPr>
              <w:pStyle w:val="TableText"/>
              <w:spacing w:before="38" w:after="38"/>
              <w:jc w:val="right"/>
              <w:rPr>
                <w:sz w:val="13"/>
                <w:szCs w:val="13"/>
              </w:rPr>
            </w:pPr>
          </w:p>
        </w:tc>
        <w:tc>
          <w:tcPr>
            <w:tcW w:w="472" w:type="pct"/>
          </w:tcPr>
          <w:p w14:paraId="3F3543FD" w14:textId="77777777" w:rsidR="00992AAE" w:rsidRPr="0047058F" w:rsidRDefault="00992AAE" w:rsidP="003454A7">
            <w:pPr>
              <w:pStyle w:val="TableText"/>
              <w:spacing w:before="38" w:after="38"/>
              <w:jc w:val="right"/>
              <w:rPr>
                <w:sz w:val="13"/>
                <w:szCs w:val="13"/>
              </w:rPr>
            </w:pPr>
          </w:p>
        </w:tc>
        <w:tc>
          <w:tcPr>
            <w:tcW w:w="196" w:type="pct"/>
          </w:tcPr>
          <w:p w14:paraId="797E095D" w14:textId="77777777" w:rsidR="00992AAE" w:rsidRPr="0047058F" w:rsidRDefault="00992AAE" w:rsidP="003454A7">
            <w:pPr>
              <w:pStyle w:val="TableText"/>
              <w:spacing w:before="38" w:after="38"/>
              <w:jc w:val="right"/>
              <w:rPr>
                <w:sz w:val="13"/>
                <w:szCs w:val="13"/>
              </w:rPr>
            </w:pPr>
          </w:p>
        </w:tc>
        <w:tc>
          <w:tcPr>
            <w:tcW w:w="432" w:type="pct"/>
          </w:tcPr>
          <w:p w14:paraId="733A276C" w14:textId="77777777" w:rsidR="00992AAE" w:rsidRPr="0047058F" w:rsidRDefault="00992AAE" w:rsidP="003454A7">
            <w:pPr>
              <w:pStyle w:val="TableText"/>
              <w:spacing w:before="38" w:after="38"/>
              <w:jc w:val="right"/>
              <w:rPr>
                <w:sz w:val="13"/>
                <w:szCs w:val="13"/>
              </w:rPr>
            </w:pPr>
          </w:p>
        </w:tc>
        <w:tc>
          <w:tcPr>
            <w:tcW w:w="211" w:type="pct"/>
          </w:tcPr>
          <w:p w14:paraId="19075724" w14:textId="77777777" w:rsidR="00992AAE" w:rsidRPr="0047058F" w:rsidRDefault="00992AAE" w:rsidP="003454A7">
            <w:pPr>
              <w:pStyle w:val="TableText"/>
              <w:spacing w:before="38" w:after="38"/>
              <w:jc w:val="right"/>
              <w:rPr>
                <w:sz w:val="13"/>
                <w:szCs w:val="13"/>
              </w:rPr>
            </w:pPr>
          </w:p>
        </w:tc>
        <w:tc>
          <w:tcPr>
            <w:tcW w:w="431" w:type="pct"/>
          </w:tcPr>
          <w:p w14:paraId="49A6D220" w14:textId="77777777" w:rsidR="00992AAE" w:rsidRPr="0047058F" w:rsidRDefault="00992AAE" w:rsidP="003454A7">
            <w:pPr>
              <w:pStyle w:val="TableText"/>
              <w:spacing w:before="38" w:after="38"/>
              <w:jc w:val="right"/>
              <w:rPr>
                <w:sz w:val="13"/>
                <w:szCs w:val="13"/>
              </w:rPr>
            </w:pPr>
          </w:p>
        </w:tc>
        <w:tc>
          <w:tcPr>
            <w:tcW w:w="438" w:type="pct"/>
          </w:tcPr>
          <w:p w14:paraId="1FD7EB7F" w14:textId="77777777" w:rsidR="00992AAE" w:rsidRPr="0047058F" w:rsidRDefault="00992AAE" w:rsidP="003454A7">
            <w:pPr>
              <w:pStyle w:val="TableText"/>
              <w:spacing w:before="38" w:after="38"/>
              <w:jc w:val="right"/>
              <w:rPr>
                <w:color w:val="000000" w:themeColor="text1"/>
                <w:sz w:val="13"/>
                <w:szCs w:val="13"/>
              </w:rPr>
            </w:pPr>
          </w:p>
        </w:tc>
        <w:tc>
          <w:tcPr>
            <w:tcW w:w="438" w:type="pct"/>
          </w:tcPr>
          <w:p w14:paraId="397220C2" w14:textId="77777777" w:rsidR="00992AAE" w:rsidRPr="0047058F" w:rsidRDefault="00992AAE" w:rsidP="003454A7">
            <w:pPr>
              <w:pStyle w:val="TableText"/>
              <w:spacing w:before="38" w:after="38"/>
              <w:jc w:val="right"/>
              <w:rPr>
                <w:color w:val="000000" w:themeColor="text1"/>
                <w:sz w:val="13"/>
                <w:szCs w:val="13"/>
              </w:rPr>
            </w:pPr>
          </w:p>
        </w:tc>
        <w:tc>
          <w:tcPr>
            <w:tcW w:w="438" w:type="pct"/>
          </w:tcPr>
          <w:p w14:paraId="6A5F801A" w14:textId="77777777" w:rsidR="00992AAE" w:rsidRPr="0047058F" w:rsidRDefault="00992AAE" w:rsidP="003454A7">
            <w:pPr>
              <w:pStyle w:val="TableText"/>
              <w:spacing w:before="38" w:after="38"/>
              <w:jc w:val="right"/>
              <w:rPr>
                <w:color w:val="000000" w:themeColor="text1"/>
                <w:sz w:val="13"/>
                <w:szCs w:val="13"/>
              </w:rPr>
            </w:pPr>
          </w:p>
        </w:tc>
        <w:tc>
          <w:tcPr>
            <w:tcW w:w="439" w:type="pct"/>
          </w:tcPr>
          <w:p w14:paraId="6CC2462D" w14:textId="77777777" w:rsidR="00992AAE" w:rsidRPr="0047058F" w:rsidRDefault="00992AAE" w:rsidP="003454A7">
            <w:pPr>
              <w:pStyle w:val="TableText"/>
              <w:spacing w:before="38" w:after="38"/>
              <w:jc w:val="right"/>
              <w:rPr>
                <w:color w:val="000000" w:themeColor="text1"/>
                <w:sz w:val="13"/>
                <w:szCs w:val="13"/>
              </w:rPr>
            </w:pPr>
          </w:p>
        </w:tc>
        <w:tc>
          <w:tcPr>
            <w:tcW w:w="275" w:type="pct"/>
          </w:tcPr>
          <w:p w14:paraId="740B194A"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&lt; 0.0001</w:t>
            </w:r>
          </w:p>
        </w:tc>
        <w:tc>
          <w:tcPr>
            <w:tcW w:w="288" w:type="pct"/>
          </w:tcPr>
          <w:p w14:paraId="68D63047"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0.0493</w:t>
            </w:r>
          </w:p>
        </w:tc>
      </w:tr>
      <w:tr w:rsidR="008F70CA" w:rsidRPr="0047058F" w14:paraId="104D72EC" w14:textId="77777777" w:rsidTr="003454A7">
        <w:trPr>
          <w:cantSplit/>
        </w:trPr>
        <w:tc>
          <w:tcPr>
            <w:tcW w:w="746" w:type="pct"/>
          </w:tcPr>
          <w:p w14:paraId="365D71E5" w14:textId="77777777" w:rsidR="00992AAE" w:rsidRPr="0047058F" w:rsidRDefault="00992AAE" w:rsidP="003454A7">
            <w:pPr>
              <w:pStyle w:val="TableText"/>
              <w:spacing w:before="38" w:after="38"/>
              <w:ind w:left="144"/>
            </w:pPr>
            <w:r w:rsidRPr="0047058F">
              <w:t>Navy</w:t>
            </w:r>
          </w:p>
        </w:tc>
        <w:tc>
          <w:tcPr>
            <w:tcW w:w="196" w:type="pct"/>
          </w:tcPr>
          <w:p w14:paraId="39E73D6D" w14:textId="77777777" w:rsidR="00992AAE" w:rsidRPr="0047058F" w:rsidRDefault="00992AAE" w:rsidP="003454A7">
            <w:pPr>
              <w:pStyle w:val="TableText"/>
              <w:spacing w:before="38" w:after="38"/>
              <w:jc w:val="right"/>
              <w:rPr>
                <w:sz w:val="13"/>
                <w:szCs w:val="13"/>
              </w:rPr>
            </w:pPr>
            <w:r w:rsidRPr="0047058F">
              <w:rPr>
                <w:rFonts w:cs="Arial"/>
                <w:sz w:val="13"/>
                <w:szCs w:val="13"/>
              </w:rPr>
              <w:t>693</w:t>
            </w:r>
          </w:p>
        </w:tc>
        <w:tc>
          <w:tcPr>
            <w:tcW w:w="472" w:type="pct"/>
          </w:tcPr>
          <w:p w14:paraId="772C5343" w14:textId="77777777" w:rsidR="00992AAE" w:rsidRPr="0047058F" w:rsidRDefault="00992AAE" w:rsidP="003454A7">
            <w:pPr>
              <w:pStyle w:val="TableText"/>
              <w:spacing w:before="38" w:after="38"/>
              <w:jc w:val="right"/>
              <w:rPr>
                <w:sz w:val="13"/>
                <w:szCs w:val="13"/>
              </w:rPr>
            </w:pPr>
            <w:r w:rsidRPr="0047058F">
              <w:rPr>
                <w:rFonts w:cs="Arial"/>
                <w:sz w:val="13"/>
                <w:szCs w:val="13"/>
              </w:rPr>
              <w:t>75.5 (65.8–85.2)</w:t>
            </w:r>
          </w:p>
        </w:tc>
        <w:tc>
          <w:tcPr>
            <w:tcW w:w="196" w:type="pct"/>
          </w:tcPr>
          <w:p w14:paraId="7A833B48" w14:textId="77777777" w:rsidR="00992AAE" w:rsidRPr="0047058F" w:rsidRDefault="00992AAE" w:rsidP="003454A7">
            <w:pPr>
              <w:pStyle w:val="TableText"/>
              <w:spacing w:before="38" w:after="38"/>
              <w:jc w:val="right"/>
              <w:rPr>
                <w:sz w:val="13"/>
                <w:szCs w:val="13"/>
              </w:rPr>
            </w:pPr>
            <w:r w:rsidRPr="0047058F">
              <w:rPr>
                <w:rFonts w:cs="Arial"/>
                <w:sz w:val="13"/>
                <w:szCs w:val="13"/>
              </w:rPr>
              <w:t>145</w:t>
            </w:r>
          </w:p>
        </w:tc>
        <w:tc>
          <w:tcPr>
            <w:tcW w:w="432" w:type="pct"/>
          </w:tcPr>
          <w:p w14:paraId="1786226F" w14:textId="77777777" w:rsidR="00992AAE" w:rsidRPr="0047058F" w:rsidRDefault="00992AAE" w:rsidP="003454A7">
            <w:pPr>
              <w:pStyle w:val="TableText"/>
              <w:spacing w:before="38" w:after="38"/>
              <w:jc w:val="right"/>
              <w:rPr>
                <w:sz w:val="13"/>
                <w:szCs w:val="13"/>
              </w:rPr>
            </w:pPr>
            <w:r w:rsidRPr="0047058F">
              <w:rPr>
                <w:rFonts w:cs="Arial"/>
                <w:sz w:val="13"/>
                <w:szCs w:val="13"/>
              </w:rPr>
              <w:t>15.8 (0.0–33.8)</w:t>
            </w:r>
          </w:p>
        </w:tc>
        <w:tc>
          <w:tcPr>
            <w:tcW w:w="211" w:type="pct"/>
          </w:tcPr>
          <w:p w14:paraId="0FE3B7BF" w14:textId="77777777" w:rsidR="00992AAE" w:rsidRPr="0047058F" w:rsidRDefault="00992AAE" w:rsidP="003454A7">
            <w:pPr>
              <w:pStyle w:val="TableText"/>
              <w:spacing w:before="38" w:after="38"/>
              <w:jc w:val="right"/>
              <w:rPr>
                <w:sz w:val="13"/>
                <w:szCs w:val="13"/>
              </w:rPr>
            </w:pPr>
            <w:r w:rsidRPr="0047058F">
              <w:rPr>
                <w:rFonts w:cs="Arial"/>
                <w:sz w:val="13"/>
                <w:szCs w:val="13"/>
              </w:rPr>
              <w:t>80</w:t>
            </w:r>
          </w:p>
        </w:tc>
        <w:tc>
          <w:tcPr>
            <w:tcW w:w="431" w:type="pct"/>
          </w:tcPr>
          <w:p w14:paraId="2E0CCF70" w14:textId="77777777" w:rsidR="00992AAE" w:rsidRPr="0047058F" w:rsidRDefault="00992AAE" w:rsidP="003454A7">
            <w:pPr>
              <w:pStyle w:val="TableText"/>
              <w:spacing w:before="38" w:after="38"/>
              <w:jc w:val="right"/>
              <w:rPr>
                <w:sz w:val="13"/>
                <w:szCs w:val="13"/>
              </w:rPr>
            </w:pPr>
            <w:r w:rsidRPr="0047058F">
              <w:rPr>
                <w:rFonts w:cs="Arial"/>
                <w:sz w:val="13"/>
                <w:szCs w:val="13"/>
              </w:rPr>
              <w:t>8.7 (0.0–27.4)</w:t>
            </w:r>
          </w:p>
        </w:tc>
        <w:tc>
          <w:tcPr>
            <w:tcW w:w="438" w:type="pct"/>
          </w:tcPr>
          <w:p w14:paraId="3C7EC63E"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1.49 (1.16–1.92)</w:t>
            </w:r>
          </w:p>
        </w:tc>
        <w:tc>
          <w:tcPr>
            <w:tcW w:w="438" w:type="pct"/>
          </w:tcPr>
          <w:p w14:paraId="66880818"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1.41 (1.09–1.84)</w:t>
            </w:r>
          </w:p>
        </w:tc>
        <w:tc>
          <w:tcPr>
            <w:tcW w:w="438" w:type="pct"/>
          </w:tcPr>
          <w:p w14:paraId="0BAB7D2E"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1.27 (0.92–1.75)</w:t>
            </w:r>
          </w:p>
        </w:tc>
        <w:tc>
          <w:tcPr>
            <w:tcW w:w="439" w:type="pct"/>
          </w:tcPr>
          <w:p w14:paraId="4CEDF5DF"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1.25 (0.90–1.74)</w:t>
            </w:r>
          </w:p>
        </w:tc>
        <w:tc>
          <w:tcPr>
            <w:tcW w:w="275" w:type="pct"/>
          </w:tcPr>
          <w:p w14:paraId="5FFE53A3" w14:textId="77777777" w:rsidR="00992AAE" w:rsidRPr="0047058F" w:rsidRDefault="00992AAE" w:rsidP="003454A7">
            <w:pPr>
              <w:pStyle w:val="TableText"/>
              <w:spacing w:before="38" w:after="38"/>
              <w:jc w:val="right"/>
              <w:rPr>
                <w:color w:val="auto"/>
                <w:sz w:val="13"/>
                <w:szCs w:val="13"/>
              </w:rPr>
            </w:pPr>
          </w:p>
        </w:tc>
        <w:tc>
          <w:tcPr>
            <w:tcW w:w="288" w:type="pct"/>
          </w:tcPr>
          <w:p w14:paraId="3ADB7612" w14:textId="77777777" w:rsidR="00992AAE" w:rsidRPr="0047058F" w:rsidRDefault="00992AAE" w:rsidP="003454A7">
            <w:pPr>
              <w:pStyle w:val="TableText"/>
              <w:spacing w:before="38" w:after="38"/>
              <w:jc w:val="right"/>
              <w:rPr>
                <w:color w:val="auto"/>
                <w:sz w:val="13"/>
                <w:szCs w:val="13"/>
              </w:rPr>
            </w:pPr>
          </w:p>
        </w:tc>
      </w:tr>
      <w:tr w:rsidR="008F70CA" w:rsidRPr="0047058F" w14:paraId="6842C93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063E8E2C" w14:textId="77777777" w:rsidR="00992AAE" w:rsidRPr="0047058F" w:rsidRDefault="00992AAE" w:rsidP="003454A7">
            <w:pPr>
              <w:pStyle w:val="TableText"/>
              <w:spacing w:before="38" w:after="38"/>
              <w:ind w:left="144"/>
            </w:pPr>
            <w:r w:rsidRPr="0047058F">
              <w:t>Army</w:t>
            </w:r>
          </w:p>
        </w:tc>
        <w:tc>
          <w:tcPr>
            <w:tcW w:w="196" w:type="pct"/>
          </w:tcPr>
          <w:p w14:paraId="28E0D792" w14:textId="77777777" w:rsidR="00992AAE" w:rsidRPr="0047058F" w:rsidRDefault="00992AAE" w:rsidP="003454A7">
            <w:pPr>
              <w:pStyle w:val="TableText"/>
              <w:spacing w:before="38" w:after="38"/>
              <w:jc w:val="right"/>
              <w:rPr>
                <w:sz w:val="13"/>
                <w:szCs w:val="13"/>
              </w:rPr>
            </w:pPr>
            <w:r w:rsidRPr="0047058F">
              <w:rPr>
                <w:rFonts w:cs="Arial"/>
                <w:sz w:val="13"/>
                <w:szCs w:val="13"/>
              </w:rPr>
              <w:t>1343</w:t>
            </w:r>
          </w:p>
        </w:tc>
        <w:tc>
          <w:tcPr>
            <w:tcW w:w="472" w:type="pct"/>
          </w:tcPr>
          <w:p w14:paraId="54BACE9C" w14:textId="77777777" w:rsidR="00992AAE" w:rsidRPr="0047058F" w:rsidRDefault="00992AAE" w:rsidP="003454A7">
            <w:pPr>
              <w:pStyle w:val="TableText"/>
              <w:spacing w:before="38" w:after="38"/>
              <w:jc w:val="right"/>
              <w:rPr>
                <w:sz w:val="13"/>
                <w:szCs w:val="13"/>
              </w:rPr>
            </w:pPr>
            <w:r w:rsidRPr="0047058F">
              <w:rPr>
                <w:rFonts w:cs="Arial"/>
                <w:sz w:val="13"/>
                <w:szCs w:val="13"/>
              </w:rPr>
              <w:t>71.5 (61.0–82.0)</w:t>
            </w:r>
          </w:p>
        </w:tc>
        <w:tc>
          <w:tcPr>
            <w:tcW w:w="196" w:type="pct"/>
          </w:tcPr>
          <w:p w14:paraId="1D9516F5" w14:textId="77777777" w:rsidR="00992AAE" w:rsidRPr="0047058F" w:rsidRDefault="00992AAE" w:rsidP="003454A7">
            <w:pPr>
              <w:pStyle w:val="TableText"/>
              <w:spacing w:before="38" w:after="38"/>
              <w:jc w:val="right"/>
              <w:rPr>
                <w:sz w:val="13"/>
                <w:szCs w:val="13"/>
              </w:rPr>
            </w:pPr>
            <w:r w:rsidRPr="0047058F">
              <w:rPr>
                <w:rFonts w:cs="Arial"/>
                <w:sz w:val="13"/>
                <w:szCs w:val="13"/>
              </w:rPr>
              <w:t>326</w:t>
            </w:r>
          </w:p>
        </w:tc>
        <w:tc>
          <w:tcPr>
            <w:tcW w:w="432" w:type="pct"/>
          </w:tcPr>
          <w:p w14:paraId="7B9E7823" w14:textId="77777777" w:rsidR="00992AAE" w:rsidRPr="0047058F" w:rsidRDefault="00992AAE" w:rsidP="003454A7">
            <w:pPr>
              <w:pStyle w:val="TableText"/>
              <w:spacing w:before="38" w:after="38"/>
              <w:jc w:val="right"/>
              <w:rPr>
                <w:sz w:val="13"/>
                <w:szCs w:val="13"/>
              </w:rPr>
            </w:pPr>
            <w:r w:rsidRPr="0047058F">
              <w:rPr>
                <w:rFonts w:cs="Arial"/>
                <w:sz w:val="13"/>
                <w:szCs w:val="13"/>
              </w:rPr>
              <w:t>17.4 (0.0–35.2)</w:t>
            </w:r>
          </w:p>
        </w:tc>
        <w:tc>
          <w:tcPr>
            <w:tcW w:w="211" w:type="pct"/>
          </w:tcPr>
          <w:p w14:paraId="0973CD54" w14:textId="77777777" w:rsidR="00992AAE" w:rsidRPr="0047058F" w:rsidRDefault="00992AAE" w:rsidP="003454A7">
            <w:pPr>
              <w:pStyle w:val="TableText"/>
              <w:spacing w:before="38" w:after="38"/>
              <w:jc w:val="right"/>
              <w:rPr>
                <w:sz w:val="13"/>
                <w:szCs w:val="13"/>
              </w:rPr>
            </w:pPr>
            <w:r w:rsidRPr="0047058F">
              <w:rPr>
                <w:rFonts w:cs="Arial"/>
                <w:sz w:val="13"/>
                <w:szCs w:val="13"/>
              </w:rPr>
              <w:t>209</w:t>
            </w:r>
          </w:p>
        </w:tc>
        <w:tc>
          <w:tcPr>
            <w:tcW w:w="431" w:type="pct"/>
          </w:tcPr>
          <w:p w14:paraId="3A98D7AC" w14:textId="77777777" w:rsidR="00992AAE" w:rsidRPr="0047058F" w:rsidRDefault="00992AAE" w:rsidP="003454A7">
            <w:pPr>
              <w:pStyle w:val="TableText"/>
              <w:spacing w:before="38" w:after="38"/>
              <w:jc w:val="right"/>
              <w:rPr>
                <w:sz w:val="13"/>
                <w:szCs w:val="13"/>
              </w:rPr>
            </w:pPr>
            <w:r w:rsidRPr="0047058F">
              <w:rPr>
                <w:rFonts w:cs="Arial"/>
                <w:sz w:val="13"/>
                <w:szCs w:val="13"/>
              </w:rPr>
              <w:t>11.1 (0.0–29.6)</w:t>
            </w:r>
          </w:p>
        </w:tc>
        <w:tc>
          <w:tcPr>
            <w:tcW w:w="438" w:type="pct"/>
          </w:tcPr>
          <w:p w14:paraId="1496B841"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1.68 (1.35–2.08)</w:t>
            </w:r>
          </w:p>
        </w:tc>
        <w:tc>
          <w:tcPr>
            <w:tcW w:w="438" w:type="pct"/>
          </w:tcPr>
          <w:p w14:paraId="75275620"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1.01 (0.80–1.29)</w:t>
            </w:r>
          </w:p>
        </w:tc>
        <w:tc>
          <w:tcPr>
            <w:tcW w:w="438" w:type="pct"/>
          </w:tcPr>
          <w:p w14:paraId="011FF287"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1.68 (1.29–2.18)</w:t>
            </w:r>
          </w:p>
        </w:tc>
        <w:tc>
          <w:tcPr>
            <w:tcW w:w="439" w:type="pct"/>
          </w:tcPr>
          <w:p w14:paraId="41A7E3E8"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1.12 (0.84–1.49)</w:t>
            </w:r>
          </w:p>
        </w:tc>
        <w:tc>
          <w:tcPr>
            <w:tcW w:w="275" w:type="pct"/>
          </w:tcPr>
          <w:p w14:paraId="60DF2455" w14:textId="77777777" w:rsidR="00992AAE" w:rsidRPr="0047058F" w:rsidRDefault="00992AAE" w:rsidP="003454A7">
            <w:pPr>
              <w:pStyle w:val="TableText"/>
              <w:spacing w:before="38" w:after="38"/>
              <w:jc w:val="right"/>
              <w:rPr>
                <w:color w:val="auto"/>
                <w:sz w:val="13"/>
                <w:szCs w:val="13"/>
              </w:rPr>
            </w:pPr>
          </w:p>
        </w:tc>
        <w:tc>
          <w:tcPr>
            <w:tcW w:w="288" w:type="pct"/>
          </w:tcPr>
          <w:p w14:paraId="6B81A924" w14:textId="77777777" w:rsidR="00992AAE" w:rsidRPr="0047058F" w:rsidRDefault="00992AAE" w:rsidP="003454A7">
            <w:pPr>
              <w:pStyle w:val="TableText"/>
              <w:spacing w:before="38" w:after="38"/>
              <w:jc w:val="right"/>
              <w:rPr>
                <w:color w:val="auto"/>
                <w:sz w:val="13"/>
                <w:szCs w:val="13"/>
              </w:rPr>
            </w:pPr>
          </w:p>
        </w:tc>
      </w:tr>
      <w:tr w:rsidR="008F70CA" w:rsidRPr="0047058F" w14:paraId="7092FEE8" w14:textId="77777777" w:rsidTr="003454A7">
        <w:trPr>
          <w:cantSplit/>
        </w:trPr>
        <w:tc>
          <w:tcPr>
            <w:tcW w:w="746" w:type="pct"/>
          </w:tcPr>
          <w:p w14:paraId="652EBFB6" w14:textId="77777777" w:rsidR="00992AAE" w:rsidRPr="0047058F" w:rsidRDefault="00992AAE" w:rsidP="003454A7">
            <w:pPr>
              <w:pStyle w:val="TableText"/>
              <w:spacing w:before="38" w:after="38"/>
              <w:ind w:left="144"/>
            </w:pPr>
            <w:r w:rsidRPr="0047058F">
              <w:t>Air Force</w:t>
            </w:r>
          </w:p>
        </w:tc>
        <w:tc>
          <w:tcPr>
            <w:tcW w:w="196" w:type="pct"/>
          </w:tcPr>
          <w:p w14:paraId="4D7D9CCE" w14:textId="77777777" w:rsidR="00992AAE" w:rsidRPr="0047058F" w:rsidRDefault="00992AAE" w:rsidP="003454A7">
            <w:pPr>
              <w:pStyle w:val="TableText"/>
              <w:spacing w:before="38" w:after="38"/>
              <w:jc w:val="right"/>
              <w:rPr>
                <w:sz w:val="13"/>
                <w:szCs w:val="13"/>
              </w:rPr>
            </w:pPr>
            <w:r w:rsidRPr="0047058F">
              <w:rPr>
                <w:rFonts w:cs="Arial"/>
                <w:sz w:val="13"/>
                <w:szCs w:val="13"/>
              </w:rPr>
              <w:t>1149</w:t>
            </w:r>
          </w:p>
        </w:tc>
        <w:tc>
          <w:tcPr>
            <w:tcW w:w="472" w:type="pct"/>
          </w:tcPr>
          <w:p w14:paraId="66F5760E" w14:textId="77777777" w:rsidR="00992AAE" w:rsidRPr="0047058F" w:rsidRDefault="00992AAE" w:rsidP="003454A7">
            <w:pPr>
              <w:pStyle w:val="TableText"/>
              <w:spacing w:before="38" w:after="38"/>
              <w:jc w:val="right"/>
              <w:rPr>
                <w:sz w:val="13"/>
                <w:szCs w:val="13"/>
              </w:rPr>
            </w:pPr>
            <w:r w:rsidRPr="0047058F">
              <w:rPr>
                <w:rFonts w:cs="Arial"/>
                <w:sz w:val="13"/>
                <w:szCs w:val="13"/>
              </w:rPr>
              <w:t>80.6 (72.0–89.2)</w:t>
            </w:r>
          </w:p>
        </w:tc>
        <w:tc>
          <w:tcPr>
            <w:tcW w:w="196" w:type="pct"/>
          </w:tcPr>
          <w:p w14:paraId="71BEF483" w14:textId="77777777" w:rsidR="00992AAE" w:rsidRPr="0047058F" w:rsidRDefault="00992AAE" w:rsidP="003454A7">
            <w:pPr>
              <w:pStyle w:val="TableText"/>
              <w:spacing w:before="38" w:after="38"/>
              <w:jc w:val="right"/>
              <w:rPr>
                <w:sz w:val="13"/>
                <w:szCs w:val="13"/>
              </w:rPr>
            </w:pPr>
            <w:r w:rsidRPr="0047058F">
              <w:rPr>
                <w:rFonts w:cs="Arial"/>
                <w:sz w:val="13"/>
                <w:szCs w:val="13"/>
              </w:rPr>
              <w:t>170</w:t>
            </w:r>
          </w:p>
        </w:tc>
        <w:tc>
          <w:tcPr>
            <w:tcW w:w="432" w:type="pct"/>
          </w:tcPr>
          <w:p w14:paraId="45B74857" w14:textId="77777777" w:rsidR="00992AAE" w:rsidRPr="0047058F" w:rsidRDefault="00992AAE" w:rsidP="003454A7">
            <w:pPr>
              <w:pStyle w:val="TableText"/>
              <w:spacing w:before="38" w:after="38"/>
              <w:jc w:val="right"/>
              <w:rPr>
                <w:sz w:val="13"/>
                <w:szCs w:val="13"/>
              </w:rPr>
            </w:pPr>
            <w:r w:rsidRPr="0047058F">
              <w:rPr>
                <w:rFonts w:cs="Arial"/>
                <w:sz w:val="13"/>
                <w:szCs w:val="13"/>
              </w:rPr>
              <w:t>11.9 (0.0–30.3)</w:t>
            </w:r>
          </w:p>
        </w:tc>
        <w:tc>
          <w:tcPr>
            <w:tcW w:w="211" w:type="pct"/>
          </w:tcPr>
          <w:p w14:paraId="235F0A19" w14:textId="77777777" w:rsidR="00992AAE" w:rsidRPr="0047058F" w:rsidRDefault="00992AAE" w:rsidP="003454A7">
            <w:pPr>
              <w:pStyle w:val="TableText"/>
              <w:spacing w:before="38" w:after="38"/>
              <w:jc w:val="right"/>
              <w:rPr>
                <w:sz w:val="13"/>
                <w:szCs w:val="13"/>
              </w:rPr>
            </w:pPr>
            <w:r w:rsidRPr="0047058F">
              <w:rPr>
                <w:rFonts w:cs="Arial"/>
                <w:sz w:val="13"/>
                <w:szCs w:val="13"/>
              </w:rPr>
              <w:t>107</w:t>
            </w:r>
          </w:p>
        </w:tc>
        <w:tc>
          <w:tcPr>
            <w:tcW w:w="431" w:type="pct"/>
          </w:tcPr>
          <w:p w14:paraId="1013286B" w14:textId="77777777" w:rsidR="00992AAE" w:rsidRPr="0047058F" w:rsidRDefault="00992AAE" w:rsidP="003454A7">
            <w:pPr>
              <w:pStyle w:val="TableText"/>
              <w:spacing w:before="38" w:after="38"/>
              <w:jc w:val="right"/>
              <w:rPr>
                <w:sz w:val="13"/>
                <w:szCs w:val="13"/>
              </w:rPr>
            </w:pPr>
            <w:r w:rsidRPr="0047058F">
              <w:rPr>
                <w:rFonts w:cs="Arial"/>
                <w:sz w:val="13"/>
                <w:szCs w:val="13"/>
              </w:rPr>
              <w:t>7.5 (0.0–26.4)</w:t>
            </w:r>
          </w:p>
        </w:tc>
        <w:tc>
          <w:tcPr>
            <w:tcW w:w="438" w:type="pct"/>
          </w:tcPr>
          <w:p w14:paraId="4A024159"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5391E12D"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1E786021"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9" w:type="pct"/>
          </w:tcPr>
          <w:p w14:paraId="0B0C913B"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275" w:type="pct"/>
          </w:tcPr>
          <w:p w14:paraId="7C2C4398" w14:textId="77777777" w:rsidR="00992AAE" w:rsidRPr="0047058F" w:rsidRDefault="00992AAE" w:rsidP="003454A7">
            <w:pPr>
              <w:pStyle w:val="TableText"/>
              <w:spacing w:before="38" w:after="38"/>
              <w:jc w:val="right"/>
              <w:rPr>
                <w:color w:val="auto"/>
                <w:sz w:val="13"/>
                <w:szCs w:val="13"/>
              </w:rPr>
            </w:pPr>
          </w:p>
        </w:tc>
        <w:tc>
          <w:tcPr>
            <w:tcW w:w="288" w:type="pct"/>
          </w:tcPr>
          <w:p w14:paraId="492A2324" w14:textId="77777777" w:rsidR="00992AAE" w:rsidRPr="0047058F" w:rsidRDefault="00992AAE" w:rsidP="003454A7">
            <w:pPr>
              <w:pStyle w:val="TableText"/>
              <w:spacing w:before="38" w:after="38"/>
              <w:jc w:val="right"/>
              <w:rPr>
                <w:color w:val="auto"/>
                <w:sz w:val="13"/>
                <w:szCs w:val="13"/>
              </w:rPr>
            </w:pPr>
          </w:p>
        </w:tc>
      </w:tr>
      <w:tr w:rsidR="008F70CA" w:rsidRPr="0047058F" w14:paraId="39D8F0FC"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5249FA86" w14:textId="77777777" w:rsidR="00992AAE" w:rsidRPr="0047058F" w:rsidRDefault="00992AAE" w:rsidP="003454A7">
            <w:pPr>
              <w:pStyle w:val="TableText"/>
              <w:spacing w:before="38" w:after="38"/>
            </w:pPr>
            <w:r w:rsidRPr="0047058F">
              <w:t>Length of service</w:t>
            </w:r>
          </w:p>
        </w:tc>
        <w:tc>
          <w:tcPr>
            <w:tcW w:w="196" w:type="pct"/>
          </w:tcPr>
          <w:p w14:paraId="7B1CC469" w14:textId="77777777" w:rsidR="00992AAE" w:rsidRPr="0047058F" w:rsidRDefault="00992AAE" w:rsidP="003454A7">
            <w:pPr>
              <w:pStyle w:val="TableText"/>
              <w:spacing w:before="38" w:after="38"/>
              <w:jc w:val="right"/>
              <w:rPr>
                <w:sz w:val="13"/>
                <w:szCs w:val="13"/>
              </w:rPr>
            </w:pPr>
          </w:p>
        </w:tc>
        <w:tc>
          <w:tcPr>
            <w:tcW w:w="472" w:type="pct"/>
          </w:tcPr>
          <w:p w14:paraId="19A7F944" w14:textId="77777777" w:rsidR="00992AAE" w:rsidRPr="0047058F" w:rsidRDefault="00992AAE" w:rsidP="003454A7">
            <w:pPr>
              <w:pStyle w:val="TableText"/>
              <w:spacing w:before="38" w:after="38"/>
              <w:jc w:val="right"/>
              <w:rPr>
                <w:sz w:val="13"/>
                <w:szCs w:val="13"/>
              </w:rPr>
            </w:pPr>
          </w:p>
        </w:tc>
        <w:tc>
          <w:tcPr>
            <w:tcW w:w="196" w:type="pct"/>
          </w:tcPr>
          <w:p w14:paraId="5C1268C3" w14:textId="77777777" w:rsidR="00992AAE" w:rsidRPr="0047058F" w:rsidRDefault="00992AAE" w:rsidP="003454A7">
            <w:pPr>
              <w:pStyle w:val="TableText"/>
              <w:spacing w:before="38" w:after="38"/>
              <w:jc w:val="right"/>
              <w:rPr>
                <w:sz w:val="13"/>
                <w:szCs w:val="13"/>
              </w:rPr>
            </w:pPr>
          </w:p>
        </w:tc>
        <w:tc>
          <w:tcPr>
            <w:tcW w:w="432" w:type="pct"/>
          </w:tcPr>
          <w:p w14:paraId="4949F07C" w14:textId="77777777" w:rsidR="00992AAE" w:rsidRPr="0047058F" w:rsidRDefault="00992AAE" w:rsidP="003454A7">
            <w:pPr>
              <w:pStyle w:val="TableText"/>
              <w:spacing w:before="38" w:after="38"/>
              <w:jc w:val="right"/>
              <w:rPr>
                <w:sz w:val="13"/>
                <w:szCs w:val="13"/>
              </w:rPr>
            </w:pPr>
          </w:p>
        </w:tc>
        <w:tc>
          <w:tcPr>
            <w:tcW w:w="211" w:type="pct"/>
          </w:tcPr>
          <w:p w14:paraId="349B9140" w14:textId="77777777" w:rsidR="00992AAE" w:rsidRPr="0047058F" w:rsidRDefault="00992AAE" w:rsidP="003454A7">
            <w:pPr>
              <w:pStyle w:val="TableText"/>
              <w:spacing w:before="38" w:after="38"/>
              <w:jc w:val="right"/>
              <w:rPr>
                <w:sz w:val="13"/>
                <w:szCs w:val="13"/>
              </w:rPr>
            </w:pPr>
          </w:p>
        </w:tc>
        <w:tc>
          <w:tcPr>
            <w:tcW w:w="431" w:type="pct"/>
          </w:tcPr>
          <w:p w14:paraId="4F2013AC" w14:textId="77777777" w:rsidR="00992AAE" w:rsidRPr="0047058F" w:rsidRDefault="00992AAE" w:rsidP="003454A7">
            <w:pPr>
              <w:pStyle w:val="TableText"/>
              <w:spacing w:before="38" w:after="38"/>
              <w:jc w:val="right"/>
              <w:rPr>
                <w:sz w:val="13"/>
                <w:szCs w:val="13"/>
              </w:rPr>
            </w:pPr>
          </w:p>
        </w:tc>
        <w:tc>
          <w:tcPr>
            <w:tcW w:w="438" w:type="pct"/>
          </w:tcPr>
          <w:p w14:paraId="1C9F9C02" w14:textId="77777777" w:rsidR="00992AAE" w:rsidRPr="0047058F" w:rsidRDefault="00992AAE" w:rsidP="003454A7">
            <w:pPr>
              <w:pStyle w:val="TableText"/>
              <w:spacing w:before="38" w:after="38"/>
              <w:jc w:val="right"/>
              <w:rPr>
                <w:sz w:val="13"/>
                <w:szCs w:val="13"/>
              </w:rPr>
            </w:pPr>
          </w:p>
        </w:tc>
        <w:tc>
          <w:tcPr>
            <w:tcW w:w="438" w:type="pct"/>
          </w:tcPr>
          <w:p w14:paraId="3230A922" w14:textId="77777777" w:rsidR="00992AAE" w:rsidRPr="0047058F" w:rsidRDefault="00992AAE" w:rsidP="003454A7">
            <w:pPr>
              <w:pStyle w:val="TableText"/>
              <w:spacing w:before="38" w:after="38"/>
              <w:jc w:val="right"/>
              <w:rPr>
                <w:sz w:val="13"/>
                <w:szCs w:val="13"/>
              </w:rPr>
            </w:pPr>
          </w:p>
        </w:tc>
        <w:tc>
          <w:tcPr>
            <w:tcW w:w="438" w:type="pct"/>
          </w:tcPr>
          <w:p w14:paraId="0FD53DDE" w14:textId="77777777" w:rsidR="00992AAE" w:rsidRPr="0047058F" w:rsidRDefault="00992AAE" w:rsidP="003454A7">
            <w:pPr>
              <w:pStyle w:val="TableText"/>
              <w:spacing w:before="38" w:after="38"/>
              <w:jc w:val="right"/>
              <w:rPr>
                <w:sz w:val="13"/>
                <w:szCs w:val="13"/>
              </w:rPr>
            </w:pPr>
          </w:p>
        </w:tc>
        <w:tc>
          <w:tcPr>
            <w:tcW w:w="439" w:type="pct"/>
          </w:tcPr>
          <w:p w14:paraId="02B33030" w14:textId="77777777" w:rsidR="00992AAE" w:rsidRPr="0047058F" w:rsidRDefault="00992AAE" w:rsidP="003454A7">
            <w:pPr>
              <w:pStyle w:val="TableText"/>
              <w:spacing w:before="38" w:after="38"/>
              <w:jc w:val="right"/>
              <w:rPr>
                <w:sz w:val="13"/>
                <w:szCs w:val="13"/>
              </w:rPr>
            </w:pPr>
          </w:p>
        </w:tc>
        <w:tc>
          <w:tcPr>
            <w:tcW w:w="275" w:type="pct"/>
          </w:tcPr>
          <w:p w14:paraId="2F4C604E"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ns</w:t>
            </w:r>
          </w:p>
        </w:tc>
        <w:tc>
          <w:tcPr>
            <w:tcW w:w="288" w:type="pct"/>
          </w:tcPr>
          <w:p w14:paraId="20175307"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w:t>
            </w:r>
          </w:p>
        </w:tc>
      </w:tr>
      <w:tr w:rsidR="008F70CA" w:rsidRPr="0047058F" w14:paraId="27259926" w14:textId="77777777" w:rsidTr="003454A7">
        <w:trPr>
          <w:cantSplit/>
        </w:trPr>
        <w:tc>
          <w:tcPr>
            <w:tcW w:w="746" w:type="pct"/>
          </w:tcPr>
          <w:p w14:paraId="52A1CB49" w14:textId="77777777" w:rsidR="00992AAE" w:rsidRPr="0047058F" w:rsidRDefault="00992AAE" w:rsidP="003454A7">
            <w:pPr>
              <w:pStyle w:val="TableText"/>
              <w:spacing w:before="38" w:after="38"/>
              <w:ind w:left="144"/>
            </w:pPr>
            <w:r w:rsidRPr="0047058F">
              <w:t>1 month – 3.9 years</w:t>
            </w:r>
          </w:p>
        </w:tc>
        <w:tc>
          <w:tcPr>
            <w:tcW w:w="196" w:type="pct"/>
          </w:tcPr>
          <w:p w14:paraId="2400A443" w14:textId="77777777" w:rsidR="00992AAE" w:rsidRPr="0047058F" w:rsidRDefault="00992AAE" w:rsidP="003454A7">
            <w:pPr>
              <w:pStyle w:val="TableText"/>
              <w:spacing w:before="38" w:after="38"/>
              <w:jc w:val="right"/>
              <w:rPr>
                <w:sz w:val="13"/>
                <w:szCs w:val="13"/>
              </w:rPr>
            </w:pPr>
            <w:r w:rsidRPr="0047058F">
              <w:rPr>
                <w:rFonts w:cs="Arial"/>
                <w:sz w:val="13"/>
                <w:szCs w:val="13"/>
              </w:rPr>
              <w:t>310</w:t>
            </w:r>
          </w:p>
        </w:tc>
        <w:tc>
          <w:tcPr>
            <w:tcW w:w="472" w:type="pct"/>
          </w:tcPr>
          <w:p w14:paraId="47AA51AA" w14:textId="77777777" w:rsidR="00992AAE" w:rsidRPr="0047058F" w:rsidRDefault="00992AAE" w:rsidP="003454A7">
            <w:pPr>
              <w:pStyle w:val="TableText"/>
              <w:spacing w:before="38" w:after="38"/>
              <w:jc w:val="right"/>
              <w:rPr>
                <w:sz w:val="13"/>
                <w:szCs w:val="13"/>
              </w:rPr>
            </w:pPr>
            <w:r w:rsidRPr="0047058F">
              <w:rPr>
                <w:rFonts w:cs="Arial"/>
                <w:sz w:val="13"/>
                <w:szCs w:val="13"/>
              </w:rPr>
              <w:t>75.6 (65.9–85.3)</w:t>
            </w:r>
          </w:p>
        </w:tc>
        <w:tc>
          <w:tcPr>
            <w:tcW w:w="196" w:type="pct"/>
          </w:tcPr>
          <w:p w14:paraId="6C0BD0DB" w14:textId="77777777" w:rsidR="00992AAE" w:rsidRPr="0047058F" w:rsidRDefault="00992AAE" w:rsidP="003454A7">
            <w:pPr>
              <w:pStyle w:val="TableText"/>
              <w:spacing w:before="38" w:after="38"/>
              <w:jc w:val="right"/>
              <w:rPr>
                <w:sz w:val="13"/>
                <w:szCs w:val="13"/>
              </w:rPr>
            </w:pPr>
            <w:r w:rsidRPr="0047058F">
              <w:rPr>
                <w:rFonts w:cs="Arial"/>
                <w:sz w:val="13"/>
                <w:szCs w:val="13"/>
              </w:rPr>
              <w:t>58</w:t>
            </w:r>
          </w:p>
        </w:tc>
        <w:tc>
          <w:tcPr>
            <w:tcW w:w="432" w:type="pct"/>
          </w:tcPr>
          <w:p w14:paraId="1C584331" w14:textId="77777777" w:rsidR="00992AAE" w:rsidRPr="0047058F" w:rsidRDefault="00992AAE" w:rsidP="003454A7">
            <w:pPr>
              <w:pStyle w:val="TableText"/>
              <w:spacing w:before="38" w:after="38"/>
              <w:jc w:val="right"/>
              <w:rPr>
                <w:sz w:val="13"/>
                <w:szCs w:val="13"/>
              </w:rPr>
            </w:pPr>
            <w:r w:rsidRPr="0047058F">
              <w:rPr>
                <w:rFonts w:cs="Arial"/>
                <w:sz w:val="13"/>
                <w:szCs w:val="13"/>
              </w:rPr>
              <w:t>14.1 (0.0–32.3)</w:t>
            </w:r>
          </w:p>
        </w:tc>
        <w:tc>
          <w:tcPr>
            <w:tcW w:w="211" w:type="pct"/>
          </w:tcPr>
          <w:p w14:paraId="01167C5B" w14:textId="77777777" w:rsidR="00992AAE" w:rsidRPr="0047058F" w:rsidRDefault="00992AAE" w:rsidP="003454A7">
            <w:pPr>
              <w:pStyle w:val="TableText"/>
              <w:spacing w:before="38" w:after="38"/>
              <w:jc w:val="right"/>
              <w:rPr>
                <w:sz w:val="13"/>
                <w:szCs w:val="13"/>
              </w:rPr>
            </w:pPr>
            <w:r w:rsidRPr="0047058F">
              <w:rPr>
                <w:rFonts w:cs="Arial"/>
                <w:sz w:val="13"/>
                <w:szCs w:val="13"/>
              </w:rPr>
              <w:t>42</w:t>
            </w:r>
          </w:p>
        </w:tc>
        <w:tc>
          <w:tcPr>
            <w:tcW w:w="431" w:type="pct"/>
          </w:tcPr>
          <w:p w14:paraId="56AD6275" w14:textId="77777777" w:rsidR="00992AAE" w:rsidRPr="0047058F" w:rsidRDefault="00992AAE" w:rsidP="003454A7">
            <w:pPr>
              <w:pStyle w:val="TableText"/>
              <w:spacing w:before="38" w:after="38"/>
              <w:jc w:val="right"/>
              <w:rPr>
                <w:sz w:val="13"/>
                <w:szCs w:val="13"/>
              </w:rPr>
            </w:pPr>
            <w:r w:rsidRPr="0047058F">
              <w:rPr>
                <w:rFonts w:cs="Arial"/>
                <w:sz w:val="13"/>
                <w:szCs w:val="13"/>
              </w:rPr>
              <w:t>10.2 (0.0–28.8)</w:t>
            </w:r>
          </w:p>
        </w:tc>
        <w:tc>
          <w:tcPr>
            <w:tcW w:w="438" w:type="pct"/>
          </w:tcPr>
          <w:p w14:paraId="54A71392" w14:textId="77777777" w:rsidR="00992AAE" w:rsidRPr="0047058F" w:rsidRDefault="00992AAE" w:rsidP="003454A7">
            <w:pPr>
              <w:pStyle w:val="TableText"/>
              <w:spacing w:before="38" w:after="38"/>
              <w:jc w:val="right"/>
              <w:rPr>
                <w:sz w:val="13"/>
                <w:szCs w:val="13"/>
              </w:rPr>
            </w:pPr>
            <w:r w:rsidRPr="0047058F">
              <w:rPr>
                <w:rFonts w:cs="Arial"/>
                <w:sz w:val="13"/>
                <w:szCs w:val="13"/>
              </w:rPr>
              <w:t>0.78 (0.53–1.15)</w:t>
            </w:r>
          </w:p>
        </w:tc>
        <w:tc>
          <w:tcPr>
            <w:tcW w:w="438" w:type="pct"/>
          </w:tcPr>
          <w:p w14:paraId="28A6B104"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1DE1AC4A" w14:textId="77777777" w:rsidR="00992AAE" w:rsidRPr="0047058F" w:rsidRDefault="00992AAE" w:rsidP="003454A7">
            <w:pPr>
              <w:pStyle w:val="TableText"/>
              <w:spacing w:before="38" w:after="38"/>
              <w:jc w:val="right"/>
              <w:rPr>
                <w:sz w:val="13"/>
                <w:szCs w:val="13"/>
              </w:rPr>
            </w:pPr>
            <w:r w:rsidRPr="0047058F">
              <w:rPr>
                <w:rFonts w:cs="Arial"/>
                <w:sz w:val="13"/>
                <w:szCs w:val="13"/>
              </w:rPr>
              <w:t>1.23 (0.80–1.88)</w:t>
            </w:r>
          </w:p>
        </w:tc>
        <w:tc>
          <w:tcPr>
            <w:tcW w:w="439" w:type="pct"/>
          </w:tcPr>
          <w:p w14:paraId="759B5172"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629075F4" w14:textId="77777777" w:rsidR="00992AAE" w:rsidRPr="0047058F" w:rsidRDefault="00992AAE" w:rsidP="003454A7">
            <w:pPr>
              <w:pStyle w:val="TableText"/>
              <w:spacing w:before="38" w:after="38"/>
              <w:jc w:val="right"/>
              <w:rPr>
                <w:color w:val="auto"/>
                <w:sz w:val="13"/>
                <w:szCs w:val="13"/>
              </w:rPr>
            </w:pPr>
          </w:p>
        </w:tc>
        <w:tc>
          <w:tcPr>
            <w:tcW w:w="288" w:type="pct"/>
          </w:tcPr>
          <w:p w14:paraId="5B09EF13" w14:textId="77777777" w:rsidR="00992AAE" w:rsidRPr="0047058F" w:rsidRDefault="00992AAE" w:rsidP="003454A7">
            <w:pPr>
              <w:pStyle w:val="TableText"/>
              <w:spacing w:before="38" w:after="38"/>
              <w:jc w:val="right"/>
              <w:rPr>
                <w:color w:val="auto"/>
                <w:sz w:val="13"/>
                <w:szCs w:val="13"/>
              </w:rPr>
            </w:pPr>
          </w:p>
        </w:tc>
      </w:tr>
      <w:tr w:rsidR="008F70CA" w:rsidRPr="0047058F" w14:paraId="2D3BF81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68711A33" w14:textId="77777777" w:rsidR="00992AAE" w:rsidRPr="0047058F" w:rsidRDefault="00992AAE" w:rsidP="003454A7">
            <w:pPr>
              <w:pStyle w:val="TableText"/>
              <w:spacing w:before="38" w:after="38"/>
              <w:ind w:left="144"/>
            </w:pPr>
            <w:r w:rsidRPr="0047058F">
              <w:t>4 – 7.9 years</w:t>
            </w:r>
          </w:p>
        </w:tc>
        <w:tc>
          <w:tcPr>
            <w:tcW w:w="196" w:type="pct"/>
          </w:tcPr>
          <w:p w14:paraId="5606F6BC" w14:textId="77777777" w:rsidR="00992AAE" w:rsidRPr="0047058F" w:rsidRDefault="00992AAE" w:rsidP="003454A7">
            <w:pPr>
              <w:pStyle w:val="TableText"/>
              <w:spacing w:before="38" w:after="38"/>
              <w:jc w:val="right"/>
              <w:rPr>
                <w:sz w:val="13"/>
                <w:szCs w:val="13"/>
              </w:rPr>
            </w:pPr>
            <w:r w:rsidRPr="0047058F">
              <w:rPr>
                <w:rFonts w:cs="Arial"/>
                <w:sz w:val="13"/>
                <w:szCs w:val="13"/>
              </w:rPr>
              <w:t>523</w:t>
            </w:r>
          </w:p>
        </w:tc>
        <w:tc>
          <w:tcPr>
            <w:tcW w:w="472" w:type="pct"/>
          </w:tcPr>
          <w:p w14:paraId="64346CD3" w14:textId="77777777" w:rsidR="00992AAE" w:rsidRPr="0047058F" w:rsidRDefault="00992AAE" w:rsidP="003454A7">
            <w:pPr>
              <w:pStyle w:val="TableText"/>
              <w:spacing w:before="38" w:after="38"/>
              <w:jc w:val="right"/>
              <w:rPr>
                <w:sz w:val="13"/>
                <w:szCs w:val="13"/>
              </w:rPr>
            </w:pPr>
            <w:r w:rsidRPr="0047058F">
              <w:rPr>
                <w:rFonts w:cs="Arial"/>
                <w:sz w:val="13"/>
                <w:szCs w:val="13"/>
              </w:rPr>
              <w:t>74.0 (64.0–84.0)</w:t>
            </w:r>
          </w:p>
        </w:tc>
        <w:tc>
          <w:tcPr>
            <w:tcW w:w="196" w:type="pct"/>
          </w:tcPr>
          <w:p w14:paraId="4A3FD562" w14:textId="77777777" w:rsidR="00992AAE" w:rsidRPr="0047058F" w:rsidRDefault="00992AAE" w:rsidP="003454A7">
            <w:pPr>
              <w:pStyle w:val="TableText"/>
              <w:spacing w:before="38" w:after="38"/>
              <w:jc w:val="right"/>
              <w:rPr>
                <w:sz w:val="13"/>
                <w:szCs w:val="13"/>
              </w:rPr>
            </w:pPr>
            <w:r w:rsidRPr="0047058F">
              <w:rPr>
                <w:rFonts w:cs="Arial"/>
                <w:sz w:val="13"/>
                <w:szCs w:val="13"/>
              </w:rPr>
              <w:t>105</w:t>
            </w:r>
          </w:p>
        </w:tc>
        <w:tc>
          <w:tcPr>
            <w:tcW w:w="432" w:type="pct"/>
          </w:tcPr>
          <w:p w14:paraId="0DE9FEAD" w14:textId="77777777" w:rsidR="00992AAE" w:rsidRPr="0047058F" w:rsidRDefault="00992AAE" w:rsidP="003454A7">
            <w:pPr>
              <w:pStyle w:val="TableText"/>
              <w:spacing w:before="38" w:after="38"/>
              <w:jc w:val="right"/>
              <w:rPr>
                <w:sz w:val="13"/>
                <w:szCs w:val="13"/>
              </w:rPr>
            </w:pPr>
            <w:r w:rsidRPr="0047058F">
              <w:rPr>
                <w:rFonts w:cs="Arial"/>
                <w:sz w:val="13"/>
                <w:szCs w:val="13"/>
              </w:rPr>
              <w:t>14.9 (0.0–33.0)</w:t>
            </w:r>
          </w:p>
        </w:tc>
        <w:tc>
          <w:tcPr>
            <w:tcW w:w="211" w:type="pct"/>
          </w:tcPr>
          <w:p w14:paraId="64DBDFCD" w14:textId="77777777" w:rsidR="00992AAE" w:rsidRPr="0047058F" w:rsidRDefault="00992AAE" w:rsidP="003454A7">
            <w:pPr>
              <w:pStyle w:val="TableText"/>
              <w:spacing w:before="38" w:after="38"/>
              <w:jc w:val="right"/>
              <w:rPr>
                <w:sz w:val="13"/>
                <w:szCs w:val="13"/>
              </w:rPr>
            </w:pPr>
            <w:r w:rsidRPr="0047058F">
              <w:rPr>
                <w:rFonts w:cs="Arial"/>
                <w:sz w:val="13"/>
                <w:szCs w:val="13"/>
              </w:rPr>
              <w:t>79</w:t>
            </w:r>
          </w:p>
        </w:tc>
        <w:tc>
          <w:tcPr>
            <w:tcW w:w="431" w:type="pct"/>
          </w:tcPr>
          <w:p w14:paraId="6225BB13" w14:textId="77777777" w:rsidR="00992AAE" w:rsidRPr="0047058F" w:rsidRDefault="00992AAE" w:rsidP="003454A7">
            <w:pPr>
              <w:pStyle w:val="TableText"/>
              <w:spacing w:before="38" w:after="38"/>
              <w:jc w:val="right"/>
              <w:rPr>
                <w:sz w:val="13"/>
                <w:szCs w:val="13"/>
              </w:rPr>
            </w:pPr>
            <w:r w:rsidRPr="0047058F">
              <w:rPr>
                <w:rFonts w:cs="Arial"/>
                <w:sz w:val="13"/>
                <w:szCs w:val="13"/>
              </w:rPr>
              <w:t>11.2 (0.0–29.7)</w:t>
            </w:r>
          </w:p>
        </w:tc>
        <w:tc>
          <w:tcPr>
            <w:tcW w:w="438" w:type="pct"/>
          </w:tcPr>
          <w:p w14:paraId="5C86AE8D" w14:textId="77777777" w:rsidR="00992AAE" w:rsidRPr="0047058F" w:rsidRDefault="00992AAE" w:rsidP="003454A7">
            <w:pPr>
              <w:pStyle w:val="TableText"/>
              <w:spacing w:before="38" w:after="38"/>
              <w:jc w:val="right"/>
              <w:rPr>
                <w:sz w:val="13"/>
                <w:szCs w:val="13"/>
              </w:rPr>
            </w:pPr>
            <w:r w:rsidRPr="0047058F">
              <w:rPr>
                <w:rFonts w:cs="Arial"/>
                <w:sz w:val="13"/>
                <w:szCs w:val="13"/>
              </w:rPr>
              <w:t>1.11 (0.85–1.46)</w:t>
            </w:r>
          </w:p>
        </w:tc>
        <w:tc>
          <w:tcPr>
            <w:tcW w:w="438" w:type="pct"/>
          </w:tcPr>
          <w:p w14:paraId="35E35195"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6CBD8C5B" w14:textId="77777777" w:rsidR="00992AAE" w:rsidRPr="0047058F" w:rsidRDefault="00992AAE" w:rsidP="003454A7">
            <w:pPr>
              <w:pStyle w:val="TableText"/>
              <w:spacing w:before="38" w:after="38"/>
              <w:jc w:val="right"/>
              <w:rPr>
                <w:sz w:val="13"/>
                <w:szCs w:val="13"/>
              </w:rPr>
            </w:pPr>
            <w:r w:rsidRPr="0047058F">
              <w:rPr>
                <w:rFonts w:cs="Arial"/>
                <w:sz w:val="13"/>
                <w:szCs w:val="13"/>
              </w:rPr>
              <w:t>1.41 (1.02–1.94)</w:t>
            </w:r>
          </w:p>
        </w:tc>
        <w:tc>
          <w:tcPr>
            <w:tcW w:w="439" w:type="pct"/>
          </w:tcPr>
          <w:p w14:paraId="3EBE66FC"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2981A8FD" w14:textId="77777777" w:rsidR="00992AAE" w:rsidRPr="0047058F" w:rsidRDefault="00992AAE" w:rsidP="003454A7">
            <w:pPr>
              <w:pStyle w:val="TableText"/>
              <w:spacing w:before="38" w:after="38"/>
              <w:jc w:val="right"/>
              <w:rPr>
                <w:color w:val="auto"/>
                <w:sz w:val="13"/>
                <w:szCs w:val="13"/>
              </w:rPr>
            </w:pPr>
          </w:p>
        </w:tc>
        <w:tc>
          <w:tcPr>
            <w:tcW w:w="288" w:type="pct"/>
          </w:tcPr>
          <w:p w14:paraId="6E3CCAC6" w14:textId="77777777" w:rsidR="00992AAE" w:rsidRPr="0047058F" w:rsidRDefault="00992AAE" w:rsidP="003454A7">
            <w:pPr>
              <w:pStyle w:val="TableText"/>
              <w:spacing w:before="38" w:after="38"/>
              <w:jc w:val="right"/>
              <w:rPr>
                <w:color w:val="auto"/>
                <w:sz w:val="13"/>
                <w:szCs w:val="13"/>
              </w:rPr>
            </w:pPr>
          </w:p>
        </w:tc>
      </w:tr>
      <w:tr w:rsidR="008F70CA" w:rsidRPr="0047058F" w14:paraId="470097F3" w14:textId="77777777" w:rsidTr="003454A7">
        <w:trPr>
          <w:cantSplit/>
        </w:trPr>
        <w:tc>
          <w:tcPr>
            <w:tcW w:w="746" w:type="pct"/>
          </w:tcPr>
          <w:p w14:paraId="70A9E61E" w14:textId="77777777" w:rsidR="00992AAE" w:rsidRPr="0047058F" w:rsidRDefault="00992AAE" w:rsidP="003454A7">
            <w:pPr>
              <w:pStyle w:val="TableText"/>
              <w:spacing w:before="38" w:after="38"/>
              <w:ind w:left="144"/>
            </w:pPr>
            <w:r w:rsidRPr="0047058F">
              <w:t>8 – 11.9 years</w:t>
            </w:r>
          </w:p>
        </w:tc>
        <w:tc>
          <w:tcPr>
            <w:tcW w:w="196" w:type="pct"/>
          </w:tcPr>
          <w:p w14:paraId="40EE0396" w14:textId="77777777" w:rsidR="00992AAE" w:rsidRPr="0047058F" w:rsidRDefault="00992AAE" w:rsidP="003454A7">
            <w:pPr>
              <w:pStyle w:val="TableText"/>
              <w:spacing w:before="38" w:after="38"/>
              <w:jc w:val="right"/>
              <w:rPr>
                <w:sz w:val="13"/>
                <w:szCs w:val="13"/>
              </w:rPr>
            </w:pPr>
            <w:r w:rsidRPr="0047058F">
              <w:rPr>
                <w:rFonts w:cs="Arial"/>
                <w:sz w:val="13"/>
                <w:szCs w:val="13"/>
              </w:rPr>
              <w:t>473</w:t>
            </w:r>
          </w:p>
        </w:tc>
        <w:tc>
          <w:tcPr>
            <w:tcW w:w="472" w:type="pct"/>
          </w:tcPr>
          <w:p w14:paraId="060C608C" w14:textId="77777777" w:rsidR="00992AAE" w:rsidRPr="0047058F" w:rsidRDefault="00992AAE" w:rsidP="003454A7">
            <w:pPr>
              <w:pStyle w:val="TableText"/>
              <w:spacing w:before="38" w:after="38"/>
              <w:jc w:val="right"/>
              <w:rPr>
                <w:sz w:val="13"/>
                <w:szCs w:val="13"/>
              </w:rPr>
            </w:pPr>
            <w:r w:rsidRPr="0047058F">
              <w:rPr>
                <w:rFonts w:cs="Arial"/>
                <w:sz w:val="13"/>
                <w:szCs w:val="13"/>
              </w:rPr>
              <w:t>73.4 (63.3–83.5)</w:t>
            </w:r>
          </w:p>
        </w:tc>
        <w:tc>
          <w:tcPr>
            <w:tcW w:w="196" w:type="pct"/>
          </w:tcPr>
          <w:p w14:paraId="23E0802D" w14:textId="77777777" w:rsidR="00992AAE" w:rsidRPr="0047058F" w:rsidRDefault="00992AAE" w:rsidP="003454A7">
            <w:pPr>
              <w:pStyle w:val="TableText"/>
              <w:spacing w:before="38" w:after="38"/>
              <w:jc w:val="right"/>
              <w:rPr>
                <w:sz w:val="13"/>
                <w:szCs w:val="13"/>
              </w:rPr>
            </w:pPr>
            <w:r w:rsidRPr="0047058F">
              <w:rPr>
                <w:rFonts w:cs="Arial"/>
                <w:sz w:val="13"/>
                <w:szCs w:val="13"/>
              </w:rPr>
              <w:t>110</w:t>
            </w:r>
          </w:p>
        </w:tc>
        <w:tc>
          <w:tcPr>
            <w:tcW w:w="432" w:type="pct"/>
          </w:tcPr>
          <w:p w14:paraId="76A2035B" w14:textId="77777777" w:rsidR="00992AAE" w:rsidRPr="0047058F" w:rsidRDefault="00992AAE" w:rsidP="003454A7">
            <w:pPr>
              <w:pStyle w:val="TableText"/>
              <w:spacing w:before="38" w:after="38"/>
              <w:jc w:val="right"/>
              <w:rPr>
                <w:sz w:val="13"/>
                <w:szCs w:val="13"/>
              </w:rPr>
            </w:pPr>
            <w:r w:rsidRPr="0047058F">
              <w:rPr>
                <w:rFonts w:cs="Arial"/>
                <w:sz w:val="13"/>
                <w:szCs w:val="13"/>
              </w:rPr>
              <w:t>17.1 (0.0–34.9)</w:t>
            </w:r>
          </w:p>
        </w:tc>
        <w:tc>
          <w:tcPr>
            <w:tcW w:w="211" w:type="pct"/>
          </w:tcPr>
          <w:p w14:paraId="40679F10" w14:textId="77777777" w:rsidR="00992AAE" w:rsidRPr="0047058F" w:rsidRDefault="00992AAE" w:rsidP="003454A7">
            <w:pPr>
              <w:pStyle w:val="TableText"/>
              <w:spacing w:before="38" w:after="38"/>
              <w:jc w:val="right"/>
              <w:rPr>
                <w:sz w:val="13"/>
                <w:szCs w:val="13"/>
              </w:rPr>
            </w:pPr>
            <w:r w:rsidRPr="0047058F">
              <w:rPr>
                <w:rFonts w:cs="Arial"/>
                <w:sz w:val="13"/>
                <w:szCs w:val="13"/>
              </w:rPr>
              <w:t>61</w:t>
            </w:r>
          </w:p>
        </w:tc>
        <w:tc>
          <w:tcPr>
            <w:tcW w:w="431" w:type="pct"/>
          </w:tcPr>
          <w:p w14:paraId="624DFCF5" w14:textId="77777777" w:rsidR="00992AAE" w:rsidRPr="0047058F" w:rsidRDefault="00992AAE" w:rsidP="003454A7">
            <w:pPr>
              <w:pStyle w:val="TableText"/>
              <w:spacing w:before="38" w:after="38"/>
              <w:jc w:val="right"/>
              <w:rPr>
                <w:sz w:val="13"/>
                <w:szCs w:val="13"/>
              </w:rPr>
            </w:pPr>
            <w:r w:rsidRPr="0047058F">
              <w:rPr>
                <w:rFonts w:cs="Arial"/>
                <w:sz w:val="13"/>
                <w:szCs w:val="13"/>
              </w:rPr>
              <w:t>9.5 (0.0–28.1)</w:t>
            </w:r>
          </w:p>
        </w:tc>
        <w:tc>
          <w:tcPr>
            <w:tcW w:w="438" w:type="pct"/>
          </w:tcPr>
          <w:p w14:paraId="64EE1C2B" w14:textId="77777777" w:rsidR="00992AAE" w:rsidRPr="0047058F" w:rsidRDefault="00992AAE" w:rsidP="003454A7">
            <w:pPr>
              <w:pStyle w:val="TableText"/>
              <w:spacing w:before="38" w:after="38"/>
              <w:jc w:val="right"/>
              <w:rPr>
                <w:sz w:val="13"/>
                <w:szCs w:val="13"/>
              </w:rPr>
            </w:pPr>
            <w:r w:rsidRPr="0047058F">
              <w:rPr>
                <w:rFonts w:cs="Arial"/>
                <w:sz w:val="13"/>
                <w:szCs w:val="13"/>
              </w:rPr>
              <w:t>1.23 (0.94–1.60)</w:t>
            </w:r>
          </w:p>
        </w:tc>
        <w:tc>
          <w:tcPr>
            <w:tcW w:w="438" w:type="pct"/>
          </w:tcPr>
          <w:p w14:paraId="1DBB7D4F"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3CC2F174" w14:textId="77777777" w:rsidR="00992AAE" w:rsidRPr="0047058F" w:rsidRDefault="00992AAE" w:rsidP="003454A7">
            <w:pPr>
              <w:pStyle w:val="TableText"/>
              <w:spacing w:before="38" w:after="38"/>
              <w:jc w:val="right"/>
              <w:rPr>
                <w:sz w:val="13"/>
                <w:szCs w:val="13"/>
              </w:rPr>
            </w:pPr>
            <w:r w:rsidRPr="0047058F">
              <w:rPr>
                <w:rFonts w:cs="Arial"/>
                <w:sz w:val="13"/>
                <w:szCs w:val="13"/>
              </w:rPr>
              <w:t>1.18 (0.84–1.65)</w:t>
            </w:r>
          </w:p>
        </w:tc>
        <w:tc>
          <w:tcPr>
            <w:tcW w:w="439" w:type="pct"/>
          </w:tcPr>
          <w:p w14:paraId="1DB5B9FF"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5FAD30B8" w14:textId="77777777" w:rsidR="00992AAE" w:rsidRPr="0047058F" w:rsidRDefault="00992AAE" w:rsidP="003454A7">
            <w:pPr>
              <w:pStyle w:val="TableText"/>
              <w:spacing w:before="38" w:after="38"/>
              <w:jc w:val="right"/>
              <w:rPr>
                <w:color w:val="auto"/>
                <w:sz w:val="13"/>
                <w:szCs w:val="13"/>
              </w:rPr>
            </w:pPr>
          </w:p>
        </w:tc>
        <w:tc>
          <w:tcPr>
            <w:tcW w:w="288" w:type="pct"/>
          </w:tcPr>
          <w:p w14:paraId="1232EED2" w14:textId="77777777" w:rsidR="00992AAE" w:rsidRPr="0047058F" w:rsidRDefault="00992AAE" w:rsidP="003454A7">
            <w:pPr>
              <w:pStyle w:val="TableText"/>
              <w:spacing w:before="38" w:after="38"/>
              <w:jc w:val="right"/>
              <w:rPr>
                <w:color w:val="auto"/>
                <w:sz w:val="13"/>
                <w:szCs w:val="13"/>
              </w:rPr>
            </w:pPr>
          </w:p>
        </w:tc>
      </w:tr>
      <w:tr w:rsidR="008F70CA" w:rsidRPr="0047058F" w14:paraId="56812076"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7CD21ED0" w14:textId="77777777" w:rsidR="00992AAE" w:rsidRPr="0047058F" w:rsidRDefault="00992AAE" w:rsidP="003454A7">
            <w:pPr>
              <w:pStyle w:val="TableText"/>
              <w:spacing w:before="38" w:after="38"/>
              <w:ind w:left="144"/>
            </w:pPr>
            <w:r w:rsidRPr="0047058F">
              <w:t>12 – 19.9 years</w:t>
            </w:r>
          </w:p>
        </w:tc>
        <w:tc>
          <w:tcPr>
            <w:tcW w:w="196" w:type="pct"/>
          </w:tcPr>
          <w:p w14:paraId="23F51417" w14:textId="77777777" w:rsidR="00992AAE" w:rsidRPr="0047058F" w:rsidRDefault="00992AAE" w:rsidP="003454A7">
            <w:pPr>
              <w:pStyle w:val="TableText"/>
              <w:spacing w:before="38" w:after="38"/>
              <w:jc w:val="right"/>
              <w:rPr>
                <w:sz w:val="13"/>
                <w:szCs w:val="13"/>
              </w:rPr>
            </w:pPr>
            <w:r w:rsidRPr="0047058F">
              <w:rPr>
                <w:rFonts w:cs="Arial"/>
                <w:sz w:val="13"/>
                <w:szCs w:val="13"/>
              </w:rPr>
              <w:t>691</w:t>
            </w:r>
          </w:p>
        </w:tc>
        <w:tc>
          <w:tcPr>
            <w:tcW w:w="472" w:type="pct"/>
          </w:tcPr>
          <w:p w14:paraId="0C107A05" w14:textId="77777777" w:rsidR="00992AAE" w:rsidRPr="0047058F" w:rsidRDefault="00992AAE" w:rsidP="003454A7">
            <w:pPr>
              <w:pStyle w:val="TableText"/>
              <w:spacing w:before="38" w:after="38"/>
              <w:jc w:val="right"/>
              <w:rPr>
                <w:sz w:val="13"/>
                <w:szCs w:val="13"/>
              </w:rPr>
            </w:pPr>
            <w:r w:rsidRPr="0047058F">
              <w:rPr>
                <w:rFonts w:cs="Arial"/>
                <w:sz w:val="13"/>
                <w:szCs w:val="13"/>
              </w:rPr>
              <w:t>74.5 (64.6–84.4)</w:t>
            </w:r>
          </w:p>
        </w:tc>
        <w:tc>
          <w:tcPr>
            <w:tcW w:w="196" w:type="pct"/>
          </w:tcPr>
          <w:p w14:paraId="6F25C61D" w14:textId="77777777" w:rsidR="00992AAE" w:rsidRPr="0047058F" w:rsidRDefault="00992AAE" w:rsidP="003454A7">
            <w:pPr>
              <w:pStyle w:val="TableText"/>
              <w:spacing w:before="38" w:after="38"/>
              <w:jc w:val="right"/>
              <w:rPr>
                <w:sz w:val="13"/>
                <w:szCs w:val="13"/>
              </w:rPr>
            </w:pPr>
            <w:r w:rsidRPr="0047058F">
              <w:rPr>
                <w:rFonts w:cs="Arial"/>
                <w:sz w:val="13"/>
                <w:szCs w:val="13"/>
              </w:rPr>
              <w:t>150</w:t>
            </w:r>
          </w:p>
        </w:tc>
        <w:tc>
          <w:tcPr>
            <w:tcW w:w="432" w:type="pct"/>
          </w:tcPr>
          <w:p w14:paraId="172E3E80" w14:textId="77777777" w:rsidR="00992AAE" w:rsidRPr="0047058F" w:rsidRDefault="00992AAE" w:rsidP="003454A7">
            <w:pPr>
              <w:pStyle w:val="TableText"/>
              <w:spacing w:before="38" w:after="38"/>
              <w:jc w:val="right"/>
              <w:rPr>
                <w:sz w:val="13"/>
                <w:szCs w:val="13"/>
              </w:rPr>
            </w:pPr>
            <w:r w:rsidRPr="0047058F">
              <w:rPr>
                <w:rFonts w:cs="Arial"/>
                <w:sz w:val="13"/>
                <w:szCs w:val="13"/>
              </w:rPr>
              <w:t>16.2 (0.0–34.1)</w:t>
            </w:r>
          </w:p>
        </w:tc>
        <w:tc>
          <w:tcPr>
            <w:tcW w:w="211" w:type="pct"/>
          </w:tcPr>
          <w:p w14:paraId="642060A2" w14:textId="77777777" w:rsidR="00992AAE" w:rsidRPr="0047058F" w:rsidRDefault="00992AAE" w:rsidP="003454A7">
            <w:pPr>
              <w:pStyle w:val="TableText"/>
              <w:spacing w:before="38" w:after="38"/>
              <w:jc w:val="right"/>
              <w:rPr>
                <w:sz w:val="13"/>
                <w:szCs w:val="13"/>
              </w:rPr>
            </w:pPr>
            <w:r w:rsidRPr="0047058F">
              <w:rPr>
                <w:rFonts w:cs="Arial"/>
                <w:sz w:val="13"/>
                <w:szCs w:val="13"/>
              </w:rPr>
              <w:t>87</w:t>
            </w:r>
          </w:p>
        </w:tc>
        <w:tc>
          <w:tcPr>
            <w:tcW w:w="431" w:type="pct"/>
          </w:tcPr>
          <w:p w14:paraId="4928002A" w14:textId="77777777" w:rsidR="00992AAE" w:rsidRPr="0047058F" w:rsidRDefault="00992AAE" w:rsidP="003454A7">
            <w:pPr>
              <w:pStyle w:val="TableText"/>
              <w:spacing w:before="38" w:after="38"/>
              <w:jc w:val="right"/>
              <w:rPr>
                <w:sz w:val="13"/>
                <w:szCs w:val="13"/>
              </w:rPr>
            </w:pPr>
            <w:r w:rsidRPr="0047058F">
              <w:rPr>
                <w:rFonts w:cs="Arial"/>
                <w:sz w:val="13"/>
                <w:szCs w:val="13"/>
              </w:rPr>
              <w:t>9.4 (0.0–28.1)</w:t>
            </w:r>
          </w:p>
        </w:tc>
        <w:tc>
          <w:tcPr>
            <w:tcW w:w="438" w:type="pct"/>
          </w:tcPr>
          <w:p w14:paraId="1E9B38E1" w14:textId="77777777" w:rsidR="00992AAE" w:rsidRPr="0047058F" w:rsidRDefault="00992AAE" w:rsidP="003454A7">
            <w:pPr>
              <w:pStyle w:val="TableText"/>
              <w:spacing w:before="38" w:after="38"/>
              <w:jc w:val="right"/>
              <w:rPr>
                <w:sz w:val="13"/>
                <w:szCs w:val="13"/>
              </w:rPr>
            </w:pPr>
            <w:r w:rsidRPr="0047058F">
              <w:rPr>
                <w:rFonts w:cs="Arial"/>
                <w:sz w:val="13"/>
                <w:szCs w:val="13"/>
              </w:rPr>
              <w:t>1.20 (0.95–1.51)</w:t>
            </w:r>
          </w:p>
        </w:tc>
        <w:tc>
          <w:tcPr>
            <w:tcW w:w="438" w:type="pct"/>
          </w:tcPr>
          <w:p w14:paraId="43E1DF9D"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4B4C55A3" w14:textId="77777777" w:rsidR="00992AAE" w:rsidRPr="0047058F" w:rsidRDefault="00992AAE" w:rsidP="003454A7">
            <w:pPr>
              <w:pStyle w:val="TableText"/>
              <w:spacing w:before="38" w:after="38"/>
              <w:jc w:val="right"/>
              <w:rPr>
                <w:sz w:val="13"/>
                <w:szCs w:val="13"/>
              </w:rPr>
            </w:pPr>
            <w:r w:rsidRPr="0047058F">
              <w:rPr>
                <w:rFonts w:cs="Arial"/>
                <w:sz w:val="13"/>
                <w:szCs w:val="13"/>
              </w:rPr>
              <w:t>1.18 (0.88–1.59)</w:t>
            </w:r>
          </w:p>
        </w:tc>
        <w:tc>
          <w:tcPr>
            <w:tcW w:w="439" w:type="pct"/>
          </w:tcPr>
          <w:p w14:paraId="4A7E329E"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6668C085" w14:textId="77777777" w:rsidR="00992AAE" w:rsidRPr="0047058F" w:rsidRDefault="00992AAE" w:rsidP="003454A7">
            <w:pPr>
              <w:pStyle w:val="TableText"/>
              <w:spacing w:before="38" w:after="38"/>
              <w:jc w:val="right"/>
              <w:rPr>
                <w:color w:val="auto"/>
                <w:sz w:val="13"/>
                <w:szCs w:val="13"/>
              </w:rPr>
            </w:pPr>
          </w:p>
        </w:tc>
        <w:tc>
          <w:tcPr>
            <w:tcW w:w="288" w:type="pct"/>
          </w:tcPr>
          <w:p w14:paraId="5BAEA873" w14:textId="77777777" w:rsidR="00992AAE" w:rsidRPr="0047058F" w:rsidRDefault="00992AAE" w:rsidP="003454A7">
            <w:pPr>
              <w:pStyle w:val="TableText"/>
              <w:spacing w:before="38" w:after="38"/>
              <w:jc w:val="right"/>
              <w:rPr>
                <w:color w:val="auto"/>
                <w:sz w:val="13"/>
                <w:szCs w:val="13"/>
              </w:rPr>
            </w:pPr>
          </w:p>
        </w:tc>
      </w:tr>
      <w:tr w:rsidR="008F70CA" w:rsidRPr="0047058F" w14:paraId="5C05AA29" w14:textId="77777777" w:rsidTr="003454A7">
        <w:trPr>
          <w:cantSplit/>
        </w:trPr>
        <w:tc>
          <w:tcPr>
            <w:tcW w:w="746" w:type="pct"/>
            <w:tcBorders>
              <w:bottom w:val="single" w:sz="4" w:space="0" w:color="000000"/>
            </w:tcBorders>
          </w:tcPr>
          <w:p w14:paraId="32C74328" w14:textId="77777777" w:rsidR="00992AAE" w:rsidRPr="0047058F" w:rsidRDefault="00992AAE" w:rsidP="003454A7">
            <w:pPr>
              <w:pStyle w:val="TableText"/>
              <w:spacing w:before="38" w:after="38"/>
              <w:ind w:left="144"/>
            </w:pPr>
            <w:r w:rsidRPr="0047058F">
              <w:t>20+</w:t>
            </w:r>
          </w:p>
        </w:tc>
        <w:tc>
          <w:tcPr>
            <w:tcW w:w="196" w:type="pct"/>
            <w:tcBorders>
              <w:bottom w:val="single" w:sz="4" w:space="0" w:color="000000"/>
            </w:tcBorders>
          </w:tcPr>
          <w:p w14:paraId="21682BC7" w14:textId="77777777" w:rsidR="00992AAE" w:rsidRPr="0047058F" w:rsidRDefault="00992AAE" w:rsidP="003454A7">
            <w:pPr>
              <w:pStyle w:val="TableText"/>
              <w:spacing w:before="38" w:after="38"/>
              <w:jc w:val="right"/>
              <w:rPr>
                <w:sz w:val="13"/>
                <w:szCs w:val="13"/>
              </w:rPr>
            </w:pPr>
            <w:r w:rsidRPr="0047058F">
              <w:rPr>
                <w:rFonts w:cs="Arial"/>
                <w:sz w:val="13"/>
                <w:szCs w:val="13"/>
              </w:rPr>
              <w:t>1188</w:t>
            </w:r>
          </w:p>
        </w:tc>
        <w:tc>
          <w:tcPr>
            <w:tcW w:w="472" w:type="pct"/>
            <w:tcBorders>
              <w:bottom w:val="single" w:sz="4" w:space="0" w:color="000000"/>
            </w:tcBorders>
          </w:tcPr>
          <w:p w14:paraId="34642764" w14:textId="77777777" w:rsidR="00992AAE" w:rsidRPr="0047058F" w:rsidRDefault="00992AAE" w:rsidP="003454A7">
            <w:pPr>
              <w:pStyle w:val="TableText"/>
              <w:spacing w:before="38" w:after="38"/>
              <w:jc w:val="right"/>
              <w:rPr>
                <w:sz w:val="13"/>
                <w:szCs w:val="13"/>
              </w:rPr>
            </w:pPr>
            <w:r w:rsidRPr="0047058F">
              <w:rPr>
                <w:rFonts w:cs="Arial"/>
                <w:sz w:val="13"/>
                <w:szCs w:val="13"/>
              </w:rPr>
              <w:t>77.5 (68.2–86.8)</w:t>
            </w:r>
          </w:p>
        </w:tc>
        <w:tc>
          <w:tcPr>
            <w:tcW w:w="196" w:type="pct"/>
            <w:tcBorders>
              <w:bottom w:val="single" w:sz="4" w:space="0" w:color="000000"/>
            </w:tcBorders>
          </w:tcPr>
          <w:p w14:paraId="014806B7" w14:textId="77777777" w:rsidR="00992AAE" w:rsidRPr="0047058F" w:rsidRDefault="00992AAE" w:rsidP="003454A7">
            <w:pPr>
              <w:pStyle w:val="TableText"/>
              <w:spacing w:before="38" w:after="38"/>
              <w:jc w:val="right"/>
              <w:rPr>
                <w:sz w:val="13"/>
                <w:szCs w:val="13"/>
              </w:rPr>
            </w:pPr>
            <w:r w:rsidRPr="0047058F">
              <w:rPr>
                <w:rFonts w:cs="Arial"/>
                <w:sz w:val="13"/>
                <w:szCs w:val="13"/>
              </w:rPr>
              <w:t>218</w:t>
            </w:r>
          </w:p>
        </w:tc>
        <w:tc>
          <w:tcPr>
            <w:tcW w:w="432" w:type="pct"/>
            <w:tcBorders>
              <w:bottom w:val="single" w:sz="4" w:space="0" w:color="000000"/>
            </w:tcBorders>
          </w:tcPr>
          <w:p w14:paraId="433656B9" w14:textId="77777777" w:rsidR="00992AAE" w:rsidRPr="0047058F" w:rsidRDefault="00992AAE" w:rsidP="003454A7">
            <w:pPr>
              <w:pStyle w:val="TableText"/>
              <w:spacing w:before="38" w:after="38"/>
              <w:jc w:val="right"/>
              <w:rPr>
                <w:sz w:val="13"/>
                <w:szCs w:val="13"/>
              </w:rPr>
            </w:pPr>
            <w:r w:rsidRPr="0047058F">
              <w:rPr>
                <w:rFonts w:cs="Arial"/>
                <w:sz w:val="13"/>
                <w:szCs w:val="13"/>
              </w:rPr>
              <w:t>14.2 (0.0–32.4)</w:t>
            </w:r>
          </w:p>
        </w:tc>
        <w:tc>
          <w:tcPr>
            <w:tcW w:w="211" w:type="pct"/>
            <w:tcBorders>
              <w:bottom w:val="single" w:sz="4" w:space="0" w:color="000000"/>
            </w:tcBorders>
          </w:tcPr>
          <w:p w14:paraId="16A9D28C" w14:textId="77777777" w:rsidR="00992AAE" w:rsidRPr="0047058F" w:rsidRDefault="00992AAE" w:rsidP="003454A7">
            <w:pPr>
              <w:pStyle w:val="TableText"/>
              <w:spacing w:before="38" w:after="38"/>
              <w:jc w:val="right"/>
              <w:rPr>
                <w:sz w:val="13"/>
                <w:szCs w:val="13"/>
              </w:rPr>
            </w:pPr>
            <w:r w:rsidRPr="0047058F">
              <w:rPr>
                <w:rFonts w:cs="Arial"/>
                <w:sz w:val="13"/>
                <w:szCs w:val="13"/>
              </w:rPr>
              <w:t>127</w:t>
            </w:r>
          </w:p>
        </w:tc>
        <w:tc>
          <w:tcPr>
            <w:tcW w:w="431" w:type="pct"/>
            <w:tcBorders>
              <w:bottom w:val="single" w:sz="4" w:space="0" w:color="000000"/>
            </w:tcBorders>
          </w:tcPr>
          <w:p w14:paraId="0BFF13EA" w14:textId="77777777" w:rsidR="00992AAE" w:rsidRPr="0047058F" w:rsidRDefault="00992AAE" w:rsidP="003454A7">
            <w:pPr>
              <w:pStyle w:val="TableText"/>
              <w:spacing w:before="38" w:after="38"/>
              <w:jc w:val="right"/>
              <w:rPr>
                <w:sz w:val="13"/>
                <w:szCs w:val="13"/>
              </w:rPr>
            </w:pPr>
            <w:r w:rsidRPr="0047058F">
              <w:rPr>
                <w:rFonts w:cs="Arial"/>
                <w:sz w:val="13"/>
                <w:szCs w:val="13"/>
              </w:rPr>
              <w:t>8.3 (0.0–27.1)</w:t>
            </w:r>
          </w:p>
        </w:tc>
        <w:tc>
          <w:tcPr>
            <w:tcW w:w="438" w:type="pct"/>
            <w:tcBorders>
              <w:bottom w:val="single" w:sz="4" w:space="0" w:color="000000"/>
            </w:tcBorders>
          </w:tcPr>
          <w:p w14:paraId="53AB9D52"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Borders>
              <w:bottom w:val="single" w:sz="4" w:space="0" w:color="000000"/>
            </w:tcBorders>
          </w:tcPr>
          <w:p w14:paraId="79BF3E28"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Borders>
              <w:bottom w:val="single" w:sz="4" w:space="0" w:color="000000"/>
            </w:tcBorders>
          </w:tcPr>
          <w:p w14:paraId="38C08FE6"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Borders>
              <w:bottom w:val="single" w:sz="4" w:space="0" w:color="000000"/>
            </w:tcBorders>
          </w:tcPr>
          <w:p w14:paraId="4E5D3EB3"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Borders>
              <w:bottom w:val="single" w:sz="4" w:space="0" w:color="000000"/>
            </w:tcBorders>
          </w:tcPr>
          <w:p w14:paraId="6A3B3231" w14:textId="77777777" w:rsidR="00992AAE" w:rsidRPr="0047058F" w:rsidRDefault="00992AAE" w:rsidP="003454A7">
            <w:pPr>
              <w:pStyle w:val="TableText"/>
              <w:spacing w:before="38" w:after="38"/>
              <w:jc w:val="right"/>
              <w:rPr>
                <w:color w:val="auto"/>
                <w:sz w:val="13"/>
                <w:szCs w:val="13"/>
              </w:rPr>
            </w:pPr>
          </w:p>
        </w:tc>
        <w:tc>
          <w:tcPr>
            <w:tcW w:w="288" w:type="pct"/>
            <w:tcBorders>
              <w:bottom w:val="single" w:sz="4" w:space="0" w:color="000000"/>
            </w:tcBorders>
          </w:tcPr>
          <w:p w14:paraId="7C01617B" w14:textId="77777777" w:rsidR="00992AAE" w:rsidRPr="0047058F" w:rsidRDefault="00992AAE" w:rsidP="003454A7">
            <w:pPr>
              <w:pStyle w:val="TableText"/>
              <w:spacing w:before="38" w:after="38"/>
              <w:jc w:val="right"/>
              <w:rPr>
                <w:color w:val="auto"/>
                <w:sz w:val="13"/>
                <w:szCs w:val="13"/>
              </w:rPr>
            </w:pPr>
          </w:p>
        </w:tc>
      </w:tr>
      <w:tr w:rsidR="003454A7" w:rsidRPr="0047058F" w14:paraId="0B38959F"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5000" w:type="pct"/>
            <w:gridSpan w:val="13"/>
            <w:tcBorders>
              <w:top w:val="single" w:sz="4" w:space="0" w:color="000000"/>
              <w:bottom w:val="nil"/>
            </w:tcBorders>
          </w:tcPr>
          <w:p w14:paraId="605DD81C" w14:textId="26689917" w:rsidR="003454A7" w:rsidRPr="0047058F" w:rsidRDefault="003454A7" w:rsidP="003876A3">
            <w:pPr>
              <w:pStyle w:val="TableText"/>
              <w:spacing w:before="38" w:after="38"/>
              <w:rPr>
                <w:color w:val="auto"/>
                <w:sz w:val="13"/>
                <w:szCs w:val="13"/>
              </w:rPr>
            </w:pPr>
            <w:r w:rsidRPr="0047058F">
              <w:rPr>
                <w:rFonts w:eastAsia="Cambria"/>
                <w:b/>
                <w:color w:val="auto"/>
              </w:rPr>
              <w:t>Relationship status and satisfaction (time point 1)</w:t>
            </w:r>
          </w:p>
        </w:tc>
      </w:tr>
      <w:tr w:rsidR="008F70CA" w:rsidRPr="0047058F" w14:paraId="19A03BA2" w14:textId="77777777" w:rsidTr="003454A7">
        <w:trPr>
          <w:cantSplit/>
        </w:trPr>
        <w:tc>
          <w:tcPr>
            <w:tcW w:w="746" w:type="pct"/>
            <w:tcBorders>
              <w:top w:val="nil"/>
            </w:tcBorders>
          </w:tcPr>
          <w:p w14:paraId="14D0BA60" w14:textId="77777777" w:rsidR="00992AAE" w:rsidRPr="0047058F" w:rsidRDefault="00992AAE" w:rsidP="003454A7">
            <w:pPr>
              <w:pStyle w:val="TableText"/>
              <w:spacing w:before="38" w:after="38"/>
            </w:pPr>
            <w:r w:rsidRPr="0047058F">
              <w:t>In significant intimate relationship</w:t>
            </w:r>
          </w:p>
        </w:tc>
        <w:tc>
          <w:tcPr>
            <w:tcW w:w="196" w:type="pct"/>
            <w:tcBorders>
              <w:top w:val="nil"/>
            </w:tcBorders>
          </w:tcPr>
          <w:p w14:paraId="268A9E89" w14:textId="77777777" w:rsidR="00992AAE" w:rsidRPr="0047058F" w:rsidRDefault="00992AAE" w:rsidP="003454A7">
            <w:pPr>
              <w:pStyle w:val="TableText"/>
              <w:spacing w:before="38" w:after="38"/>
              <w:jc w:val="right"/>
              <w:rPr>
                <w:sz w:val="13"/>
                <w:szCs w:val="13"/>
              </w:rPr>
            </w:pPr>
          </w:p>
        </w:tc>
        <w:tc>
          <w:tcPr>
            <w:tcW w:w="472" w:type="pct"/>
            <w:tcBorders>
              <w:top w:val="nil"/>
            </w:tcBorders>
          </w:tcPr>
          <w:p w14:paraId="2EF0C74F" w14:textId="77777777" w:rsidR="00992AAE" w:rsidRPr="0047058F" w:rsidRDefault="00992AAE" w:rsidP="003454A7">
            <w:pPr>
              <w:pStyle w:val="TableText"/>
              <w:spacing w:before="38" w:after="38"/>
              <w:jc w:val="right"/>
              <w:rPr>
                <w:sz w:val="13"/>
                <w:szCs w:val="13"/>
              </w:rPr>
            </w:pPr>
          </w:p>
        </w:tc>
        <w:tc>
          <w:tcPr>
            <w:tcW w:w="196" w:type="pct"/>
            <w:tcBorders>
              <w:top w:val="nil"/>
            </w:tcBorders>
          </w:tcPr>
          <w:p w14:paraId="661AFDDC" w14:textId="77777777" w:rsidR="00992AAE" w:rsidRPr="0047058F" w:rsidRDefault="00992AAE" w:rsidP="003454A7">
            <w:pPr>
              <w:pStyle w:val="TableText"/>
              <w:spacing w:before="38" w:after="38"/>
              <w:jc w:val="right"/>
              <w:rPr>
                <w:sz w:val="13"/>
                <w:szCs w:val="13"/>
              </w:rPr>
            </w:pPr>
          </w:p>
        </w:tc>
        <w:tc>
          <w:tcPr>
            <w:tcW w:w="432" w:type="pct"/>
            <w:tcBorders>
              <w:top w:val="nil"/>
            </w:tcBorders>
          </w:tcPr>
          <w:p w14:paraId="3489CACC" w14:textId="77777777" w:rsidR="00992AAE" w:rsidRPr="0047058F" w:rsidRDefault="00992AAE" w:rsidP="003454A7">
            <w:pPr>
              <w:pStyle w:val="TableText"/>
              <w:spacing w:before="38" w:after="38"/>
              <w:jc w:val="right"/>
              <w:rPr>
                <w:sz w:val="13"/>
                <w:szCs w:val="13"/>
              </w:rPr>
            </w:pPr>
          </w:p>
        </w:tc>
        <w:tc>
          <w:tcPr>
            <w:tcW w:w="211" w:type="pct"/>
            <w:tcBorders>
              <w:top w:val="nil"/>
            </w:tcBorders>
          </w:tcPr>
          <w:p w14:paraId="2535C0D7" w14:textId="77777777" w:rsidR="00992AAE" w:rsidRPr="0047058F" w:rsidRDefault="00992AAE" w:rsidP="003454A7">
            <w:pPr>
              <w:pStyle w:val="TableText"/>
              <w:spacing w:before="38" w:after="38"/>
              <w:jc w:val="right"/>
              <w:rPr>
                <w:sz w:val="13"/>
                <w:szCs w:val="13"/>
              </w:rPr>
            </w:pPr>
          </w:p>
        </w:tc>
        <w:tc>
          <w:tcPr>
            <w:tcW w:w="431" w:type="pct"/>
            <w:tcBorders>
              <w:top w:val="nil"/>
            </w:tcBorders>
          </w:tcPr>
          <w:p w14:paraId="1A33AB95"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4B4A44CD"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7B3E45DC"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1F0AFD83" w14:textId="77777777" w:rsidR="00992AAE" w:rsidRPr="0047058F" w:rsidRDefault="00992AAE" w:rsidP="003454A7">
            <w:pPr>
              <w:pStyle w:val="TableText"/>
              <w:spacing w:before="38" w:after="38"/>
              <w:jc w:val="right"/>
              <w:rPr>
                <w:sz w:val="13"/>
                <w:szCs w:val="13"/>
              </w:rPr>
            </w:pPr>
          </w:p>
        </w:tc>
        <w:tc>
          <w:tcPr>
            <w:tcW w:w="439" w:type="pct"/>
            <w:tcBorders>
              <w:top w:val="nil"/>
            </w:tcBorders>
          </w:tcPr>
          <w:p w14:paraId="03AC5659" w14:textId="77777777" w:rsidR="00992AAE" w:rsidRPr="0047058F" w:rsidRDefault="00992AAE" w:rsidP="003454A7">
            <w:pPr>
              <w:pStyle w:val="TableText"/>
              <w:spacing w:before="38" w:after="38"/>
              <w:jc w:val="right"/>
              <w:rPr>
                <w:sz w:val="13"/>
                <w:szCs w:val="13"/>
              </w:rPr>
            </w:pPr>
          </w:p>
        </w:tc>
        <w:tc>
          <w:tcPr>
            <w:tcW w:w="275" w:type="pct"/>
            <w:tcBorders>
              <w:top w:val="nil"/>
            </w:tcBorders>
          </w:tcPr>
          <w:p w14:paraId="057939F3"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ns</w:t>
            </w:r>
          </w:p>
        </w:tc>
        <w:tc>
          <w:tcPr>
            <w:tcW w:w="288" w:type="pct"/>
            <w:tcBorders>
              <w:top w:val="nil"/>
            </w:tcBorders>
          </w:tcPr>
          <w:p w14:paraId="16B0D9CD"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w:t>
            </w:r>
          </w:p>
        </w:tc>
      </w:tr>
      <w:tr w:rsidR="008F70CA" w:rsidRPr="0047058F" w14:paraId="05D503B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331C6522" w14:textId="77777777" w:rsidR="00992AAE" w:rsidRPr="0047058F" w:rsidRDefault="00992AAE" w:rsidP="003454A7">
            <w:pPr>
              <w:pStyle w:val="TableText"/>
              <w:spacing w:before="38" w:after="38"/>
              <w:ind w:left="144"/>
            </w:pPr>
            <w:r w:rsidRPr="0047058F">
              <w:t>No</w:t>
            </w:r>
          </w:p>
        </w:tc>
        <w:tc>
          <w:tcPr>
            <w:tcW w:w="196" w:type="pct"/>
          </w:tcPr>
          <w:p w14:paraId="6360946E" w14:textId="77777777" w:rsidR="00992AAE" w:rsidRPr="0047058F" w:rsidRDefault="00992AAE" w:rsidP="003454A7">
            <w:pPr>
              <w:pStyle w:val="TableText"/>
              <w:spacing w:before="38" w:after="38"/>
              <w:jc w:val="right"/>
              <w:rPr>
                <w:sz w:val="13"/>
                <w:szCs w:val="13"/>
              </w:rPr>
            </w:pPr>
            <w:r w:rsidRPr="0047058F">
              <w:rPr>
                <w:rFonts w:cs="Arial"/>
                <w:sz w:val="13"/>
                <w:szCs w:val="13"/>
              </w:rPr>
              <w:t>384</w:t>
            </w:r>
          </w:p>
        </w:tc>
        <w:tc>
          <w:tcPr>
            <w:tcW w:w="472" w:type="pct"/>
          </w:tcPr>
          <w:p w14:paraId="0B2B19F4" w14:textId="77777777" w:rsidR="00992AAE" w:rsidRPr="0047058F" w:rsidRDefault="00992AAE" w:rsidP="003454A7">
            <w:pPr>
              <w:pStyle w:val="TableText"/>
              <w:spacing w:before="38" w:after="38"/>
              <w:jc w:val="right"/>
              <w:rPr>
                <w:sz w:val="13"/>
                <w:szCs w:val="13"/>
              </w:rPr>
            </w:pPr>
            <w:r w:rsidRPr="0047058F">
              <w:rPr>
                <w:rFonts w:cs="Arial"/>
                <w:sz w:val="13"/>
                <w:szCs w:val="13"/>
              </w:rPr>
              <w:t>71.2 (60.7–81.7)</w:t>
            </w:r>
          </w:p>
        </w:tc>
        <w:tc>
          <w:tcPr>
            <w:tcW w:w="196" w:type="pct"/>
          </w:tcPr>
          <w:p w14:paraId="0F8F5EE4" w14:textId="77777777" w:rsidR="00992AAE" w:rsidRPr="0047058F" w:rsidRDefault="00992AAE" w:rsidP="003454A7">
            <w:pPr>
              <w:pStyle w:val="TableText"/>
              <w:spacing w:before="38" w:after="38"/>
              <w:jc w:val="right"/>
              <w:rPr>
                <w:sz w:val="13"/>
                <w:szCs w:val="13"/>
              </w:rPr>
            </w:pPr>
            <w:r w:rsidRPr="0047058F">
              <w:rPr>
                <w:rFonts w:cs="Arial"/>
                <w:sz w:val="13"/>
                <w:szCs w:val="13"/>
              </w:rPr>
              <w:t>94</w:t>
            </w:r>
          </w:p>
        </w:tc>
        <w:tc>
          <w:tcPr>
            <w:tcW w:w="432" w:type="pct"/>
          </w:tcPr>
          <w:p w14:paraId="0A37FB9E" w14:textId="77777777" w:rsidR="00992AAE" w:rsidRPr="0047058F" w:rsidRDefault="00992AAE" w:rsidP="003454A7">
            <w:pPr>
              <w:pStyle w:val="TableText"/>
              <w:spacing w:before="38" w:after="38"/>
              <w:jc w:val="right"/>
              <w:rPr>
                <w:sz w:val="13"/>
                <w:szCs w:val="13"/>
              </w:rPr>
            </w:pPr>
            <w:r w:rsidRPr="0047058F">
              <w:rPr>
                <w:rFonts w:cs="Arial"/>
                <w:sz w:val="13"/>
                <w:szCs w:val="13"/>
              </w:rPr>
              <w:t>17.4 (0.0–35.2)</w:t>
            </w:r>
          </w:p>
        </w:tc>
        <w:tc>
          <w:tcPr>
            <w:tcW w:w="211" w:type="pct"/>
          </w:tcPr>
          <w:p w14:paraId="20BC8503" w14:textId="77777777" w:rsidR="00992AAE" w:rsidRPr="0047058F" w:rsidRDefault="00992AAE" w:rsidP="003454A7">
            <w:pPr>
              <w:pStyle w:val="TableText"/>
              <w:spacing w:before="38" w:after="38"/>
              <w:jc w:val="right"/>
              <w:rPr>
                <w:sz w:val="13"/>
                <w:szCs w:val="13"/>
              </w:rPr>
            </w:pPr>
            <w:r w:rsidRPr="0047058F">
              <w:rPr>
                <w:rFonts w:cs="Arial"/>
                <w:sz w:val="13"/>
                <w:szCs w:val="13"/>
              </w:rPr>
              <w:t>61</w:t>
            </w:r>
          </w:p>
        </w:tc>
        <w:tc>
          <w:tcPr>
            <w:tcW w:w="431" w:type="pct"/>
          </w:tcPr>
          <w:p w14:paraId="7B4788CC" w14:textId="77777777" w:rsidR="00992AAE" w:rsidRPr="0047058F" w:rsidRDefault="00992AAE" w:rsidP="003454A7">
            <w:pPr>
              <w:pStyle w:val="TableText"/>
              <w:spacing w:before="38" w:after="38"/>
              <w:jc w:val="right"/>
              <w:rPr>
                <w:sz w:val="13"/>
                <w:szCs w:val="13"/>
              </w:rPr>
            </w:pPr>
            <w:r w:rsidRPr="0047058F">
              <w:rPr>
                <w:rFonts w:cs="Arial"/>
                <w:sz w:val="13"/>
                <w:szCs w:val="13"/>
              </w:rPr>
              <w:t>11.3 (0.0–29.8)</w:t>
            </w:r>
          </w:p>
        </w:tc>
        <w:tc>
          <w:tcPr>
            <w:tcW w:w="438" w:type="pct"/>
          </w:tcPr>
          <w:p w14:paraId="0257E99B"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01A99D94"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630EE812"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4DE9D8F1"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1F347D8E" w14:textId="77777777" w:rsidR="00992AAE" w:rsidRPr="0047058F" w:rsidRDefault="00992AAE" w:rsidP="003454A7">
            <w:pPr>
              <w:pStyle w:val="TableText"/>
              <w:spacing w:before="38" w:after="38"/>
              <w:jc w:val="right"/>
              <w:rPr>
                <w:color w:val="auto"/>
                <w:sz w:val="13"/>
                <w:szCs w:val="13"/>
              </w:rPr>
            </w:pPr>
          </w:p>
        </w:tc>
        <w:tc>
          <w:tcPr>
            <w:tcW w:w="288" w:type="pct"/>
          </w:tcPr>
          <w:p w14:paraId="3BC1688F" w14:textId="77777777" w:rsidR="00992AAE" w:rsidRPr="0047058F" w:rsidRDefault="00992AAE" w:rsidP="003454A7">
            <w:pPr>
              <w:pStyle w:val="TableText"/>
              <w:spacing w:before="38" w:after="38"/>
              <w:jc w:val="right"/>
              <w:rPr>
                <w:color w:val="auto"/>
                <w:sz w:val="13"/>
                <w:szCs w:val="13"/>
              </w:rPr>
            </w:pPr>
          </w:p>
        </w:tc>
      </w:tr>
      <w:tr w:rsidR="008F70CA" w:rsidRPr="0047058F" w14:paraId="6999BD34" w14:textId="77777777" w:rsidTr="003454A7">
        <w:trPr>
          <w:cantSplit/>
        </w:trPr>
        <w:tc>
          <w:tcPr>
            <w:tcW w:w="746" w:type="pct"/>
          </w:tcPr>
          <w:p w14:paraId="57FCBEE0" w14:textId="77777777" w:rsidR="00992AAE" w:rsidRPr="0047058F" w:rsidRDefault="00992AAE" w:rsidP="003454A7">
            <w:pPr>
              <w:pStyle w:val="TableText"/>
              <w:spacing w:before="38" w:after="38"/>
              <w:ind w:left="144"/>
            </w:pPr>
            <w:r w:rsidRPr="0047058F">
              <w:t>Yes</w:t>
            </w:r>
          </w:p>
        </w:tc>
        <w:tc>
          <w:tcPr>
            <w:tcW w:w="196" w:type="pct"/>
          </w:tcPr>
          <w:p w14:paraId="16337C15" w14:textId="77777777" w:rsidR="00992AAE" w:rsidRPr="0047058F" w:rsidRDefault="00992AAE" w:rsidP="003454A7">
            <w:pPr>
              <w:pStyle w:val="TableText"/>
              <w:spacing w:before="38" w:after="38"/>
              <w:jc w:val="right"/>
              <w:rPr>
                <w:sz w:val="13"/>
                <w:szCs w:val="13"/>
              </w:rPr>
            </w:pPr>
            <w:r w:rsidRPr="0047058F">
              <w:rPr>
                <w:rFonts w:cs="Arial"/>
                <w:sz w:val="13"/>
                <w:szCs w:val="13"/>
              </w:rPr>
              <w:t>2801</w:t>
            </w:r>
          </w:p>
        </w:tc>
        <w:tc>
          <w:tcPr>
            <w:tcW w:w="472" w:type="pct"/>
          </w:tcPr>
          <w:p w14:paraId="502BE9E6" w14:textId="77777777" w:rsidR="00992AAE" w:rsidRPr="0047058F" w:rsidRDefault="00992AAE" w:rsidP="003454A7">
            <w:pPr>
              <w:pStyle w:val="TableText"/>
              <w:spacing w:before="38" w:after="38"/>
              <w:jc w:val="right"/>
              <w:rPr>
                <w:sz w:val="13"/>
                <w:szCs w:val="13"/>
              </w:rPr>
            </w:pPr>
            <w:r w:rsidRPr="0047058F">
              <w:rPr>
                <w:rFonts w:cs="Arial"/>
                <w:sz w:val="13"/>
                <w:szCs w:val="13"/>
              </w:rPr>
              <w:t>76.1 (66.5–85.7)</w:t>
            </w:r>
          </w:p>
        </w:tc>
        <w:tc>
          <w:tcPr>
            <w:tcW w:w="196" w:type="pct"/>
          </w:tcPr>
          <w:p w14:paraId="3FB90634" w14:textId="77777777" w:rsidR="00992AAE" w:rsidRPr="0047058F" w:rsidRDefault="00992AAE" w:rsidP="003454A7">
            <w:pPr>
              <w:pStyle w:val="TableText"/>
              <w:spacing w:before="38" w:after="38"/>
              <w:jc w:val="right"/>
              <w:rPr>
                <w:sz w:val="13"/>
                <w:szCs w:val="13"/>
              </w:rPr>
            </w:pPr>
            <w:r w:rsidRPr="0047058F">
              <w:rPr>
                <w:rFonts w:cs="Arial"/>
                <w:sz w:val="13"/>
                <w:szCs w:val="13"/>
              </w:rPr>
              <w:t>547</w:t>
            </w:r>
          </w:p>
        </w:tc>
        <w:tc>
          <w:tcPr>
            <w:tcW w:w="432" w:type="pct"/>
          </w:tcPr>
          <w:p w14:paraId="382FD714" w14:textId="77777777" w:rsidR="00992AAE" w:rsidRPr="0047058F" w:rsidRDefault="00992AAE" w:rsidP="003454A7">
            <w:pPr>
              <w:pStyle w:val="TableText"/>
              <w:spacing w:before="38" w:after="38"/>
              <w:jc w:val="right"/>
              <w:rPr>
                <w:sz w:val="13"/>
                <w:szCs w:val="13"/>
              </w:rPr>
            </w:pPr>
            <w:r w:rsidRPr="0047058F">
              <w:rPr>
                <w:rFonts w:cs="Arial"/>
                <w:sz w:val="13"/>
                <w:szCs w:val="13"/>
              </w:rPr>
              <w:t>14.9 (0.0–33.0)</w:t>
            </w:r>
          </w:p>
        </w:tc>
        <w:tc>
          <w:tcPr>
            <w:tcW w:w="211" w:type="pct"/>
          </w:tcPr>
          <w:p w14:paraId="1E5ADA1B" w14:textId="77777777" w:rsidR="00992AAE" w:rsidRPr="0047058F" w:rsidRDefault="00992AAE" w:rsidP="003454A7">
            <w:pPr>
              <w:pStyle w:val="TableText"/>
              <w:spacing w:before="38" w:after="38"/>
              <w:jc w:val="right"/>
              <w:rPr>
                <w:sz w:val="13"/>
                <w:szCs w:val="13"/>
              </w:rPr>
            </w:pPr>
            <w:r w:rsidRPr="0047058F">
              <w:rPr>
                <w:rFonts w:cs="Arial"/>
                <w:sz w:val="13"/>
                <w:szCs w:val="13"/>
              </w:rPr>
              <w:t>335</w:t>
            </w:r>
          </w:p>
        </w:tc>
        <w:tc>
          <w:tcPr>
            <w:tcW w:w="431" w:type="pct"/>
          </w:tcPr>
          <w:p w14:paraId="1E6E0E5C" w14:textId="77777777" w:rsidR="00992AAE" w:rsidRPr="0047058F" w:rsidRDefault="00992AAE" w:rsidP="003454A7">
            <w:pPr>
              <w:pStyle w:val="TableText"/>
              <w:spacing w:before="38" w:after="38"/>
              <w:jc w:val="right"/>
              <w:rPr>
                <w:sz w:val="13"/>
                <w:szCs w:val="13"/>
              </w:rPr>
            </w:pPr>
            <w:r w:rsidRPr="0047058F">
              <w:rPr>
                <w:rFonts w:cs="Arial"/>
                <w:sz w:val="13"/>
                <w:szCs w:val="13"/>
              </w:rPr>
              <w:t>9.1 (0.0–27.8)</w:t>
            </w:r>
          </w:p>
        </w:tc>
        <w:tc>
          <w:tcPr>
            <w:tcW w:w="438" w:type="pct"/>
          </w:tcPr>
          <w:p w14:paraId="7F299D02" w14:textId="77777777" w:rsidR="00992AAE" w:rsidRPr="0047058F" w:rsidRDefault="00992AAE" w:rsidP="003454A7">
            <w:pPr>
              <w:pStyle w:val="TableText"/>
              <w:spacing w:before="38" w:after="38"/>
              <w:jc w:val="right"/>
              <w:rPr>
                <w:sz w:val="13"/>
                <w:szCs w:val="13"/>
              </w:rPr>
            </w:pPr>
            <w:r w:rsidRPr="0047058F">
              <w:rPr>
                <w:rFonts w:cs="Arial"/>
                <w:sz w:val="13"/>
                <w:szCs w:val="13"/>
              </w:rPr>
              <w:t>0.89 (0.54–1.46)</w:t>
            </w:r>
          </w:p>
        </w:tc>
        <w:tc>
          <w:tcPr>
            <w:tcW w:w="438" w:type="pct"/>
          </w:tcPr>
          <w:p w14:paraId="7A7961C4"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1DA888C7" w14:textId="77777777" w:rsidR="00992AAE" w:rsidRPr="0047058F" w:rsidRDefault="00992AAE" w:rsidP="003454A7">
            <w:pPr>
              <w:pStyle w:val="TableText"/>
              <w:spacing w:before="38" w:after="38"/>
              <w:jc w:val="right"/>
              <w:rPr>
                <w:sz w:val="13"/>
                <w:szCs w:val="13"/>
              </w:rPr>
            </w:pPr>
            <w:r w:rsidRPr="0047058F">
              <w:rPr>
                <w:rFonts w:cs="Arial"/>
                <w:sz w:val="13"/>
                <w:szCs w:val="13"/>
              </w:rPr>
              <w:t>0.91 (0.49–1.67)</w:t>
            </w:r>
          </w:p>
        </w:tc>
        <w:tc>
          <w:tcPr>
            <w:tcW w:w="439" w:type="pct"/>
          </w:tcPr>
          <w:p w14:paraId="6593F569"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783AA30B" w14:textId="77777777" w:rsidR="00992AAE" w:rsidRPr="0047058F" w:rsidRDefault="00992AAE" w:rsidP="003454A7">
            <w:pPr>
              <w:pStyle w:val="TableText"/>
              <w:spacing w:before="38" w:after="38"/>
              <w:jc w:val="right"/>
              <w:rPr>
                <w:color w:val="auto"/>
                <w:sz w:val="13"/>
                <w:szCs w:val="13"/>
              </w:rPr>
            </w:pPr>
          </w:p>
        </w:tc>
        <w:tc>
          <w:tcPr>
            <w:tcW w:w="288" w:type="pct"/>
          </w:tcPr>
          <w:p w14:paraId="7C8DDE65" w14:textId="77777777" w:rsidR="00992AAE" w:rsidRPr="0047058F" w:rsidRDefault="00992AAE" w:rsidP="003454A7">
            <w:pPr>
              <w:pStyle w:val="TableText"/>
              <w:spacing w:before="38" w:after="38"/>
              <w:jc w:val="right"/>
              <w:rPr>
                <w:color w:val="auto"/>
                <w:sz w:val="13"/>
                <w:szCs w:val="13"/>
              </w:rPr>
            </w:pPr>
          </w:p>
        </w:tc>
      </w:tr>
      <w:tr w:rsidR="008F70CA" w:rsidRPr="0047058F" w14:paraId="6047552A"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49FC5F1D" w14:textId="77777777" w:rsidR="00992AAE" w:rsidRPr="0047058F" w:rsidRDefault="00992AAE" w:rsidP="003454A7">
            <w:pPr>
              <w:pStyle w:val="TableText"/>
              <w:spacing w:before="38" w:after="38"/>
            </w:pPr>
            <w:r w:rsidRPr="0047058F">
              <w:t>Satisfaction with relationship</w:t>
            </w:r>
          </w:p>
        </w:tc>
        <w:tc>
          <w:tcPr>
            <w:tcW w:w="196" w:type="pct"/>
          </w:tcPr>
          <w:p w14:paraId="71D9B299" w14:textId="77777777" w:rsidR="00992AAE" w:rsidRPr="0047058F" w:rsidRDefault="00992AAE" w:rsidP="003454A7">
            <w:pPr>
              <w:pStyle w:val="TableText"/>
              <w:spacing w:before="38" w:after="38"/>
              <w:jc w:val="right"/>
              <w:rPr>
                <w:sz w:val="13"/>
                <w:szCs w:val="13"/>
              </w:rPr>
            </w:pPr>
          </w:p>
        </w:tc>
        <w:tc>
          <w:tcPr>
            <w:tcW w:w="472" w:type="pct"/>
          </w:tcPr>
          <w:p w14:paraId="47A59A55" w14:textId="77777777" w:rsidR="00992AAE" w:rsidRPr="0047058F" w:rsidRDefault="00992AAE" w:rsidP="003454A7">
            <w:pPr>
              <w:pStyle w:val="TableText"/>
              <w:spacing w:before="38" w:after="38"/>
              <w:jc w:val="right"/>
              <w:rPr>
                <w:sz w:val="13"/>
                <w:szCs w:val="13"/>
              </w:rPr>
            </w:pPr>
          </w:p>
        </w:tc>
        <w:tc>
          <w:tcPr>
            <w:tcW w:w="196" w:type="pct"/>
          </w:tcPr>
          <w:p w14:paraId="371E875F" w14:textId="77777777" w:rsidR="00992AAE" w:rsidRPr="0047058F" w:rsidRDefault="00992AAE" w:rsidP="003454A7">
            <w:pPr>
              <w:pStyle w:val="TableText"/>
              <w:spacing w:before="38" w:after="38"/>
              <w:jc w:val="right"/>
              <w:rPr>
                <w:sz w:val="13"/>
                <w:szCs w:val="13"/>
              </w:rPr>
            </w:pPr>
          </w:p>
        </w:tc>
        <w:tc>
          <w:tcPr>
            <w:tcW w:w="432" w:type="pct"/>
          </w:tcPr>
          <w:p w14:paraId="293C0ED8" w14:textId="77777777" w:rsidR="00992AAE" w:rsidRPr="0047058F" w:rsidRDefault="00992AAE" w:rsidP="003454A7">
            <w:pPr>
              <w:pStyle w:val="TableText"/>
              <w:spacing w:before="38" w:after="38"/>
              <w:jc w:val="right"/>
              <w:rPr>
                <w:sz w:val="13"/>
                <w:szCs w:val="13"/>
              </w:rPr>
            </w:pPr>
          </w:p>
        </w:tc>
        <w:tc>
          <w:tcPr>
            <w:tcW w:w="211" w:type="pct"/>
          </w:tcPr>
          <w:p w14:paraId="00124B51" w14:textId="77777777" w:rsidR="00992AAE" w:rsidRPr="0047058F" w:rsidRDefault="00992AAE" w:rsidP="003454A7">
            <w:pPr>
              <w:pStyle w:val="TableText"/>
              <w:spacing w:before="38" w:after="38"/>
              <w:jc w:val="right"/>
              <w:rPr>
                <w:sz w:val="13"/>
                <w:szCs w:val="13"/>
              </w:rPr>
            </w:pPr>
          </w:p>
        </w:tc>
        <w:tc>
          <w:tcPr>
            <w:tcW w:w="431" w:type="pct"/>
          </w:tcPr>
          <w:p w14:paraId="58E0038B" w14:textId="77777777" w:rsidR="00992AAE" w:rsidRPr="0047058F" w:rsidRDefault="00992AAE" w:rsidP="003454A7">
            <w:pPr>
              <w:pStyle w:val="TableText"/>
              <w:spacing w:before="38" w:after="38"/>
              <w:jc w:val="right"/>
              <w:rPr>
                <w:sz w:val="13"/>
                <w:szCs w:val="13"/>
              </w:rPr>
            </w:pPr>
          </w:p>
        </w:tc>
        <w:tc>
          <w:tcPr>
            <w:tcW w:w="438" w:type="pct"/>
          </w:tcPr>
          <w:p w14:paraId="24F4D047" w14:textId="77777777" w:rsidR="00992AAE" w:rsidRPr="0047058F" w:rsidRDefault="00992AAE" w:rsidP="003454A7">
            <w:pPr>
              <w:pStyle w:val="TableText"/>
              <w:spacing w:before="38" w:after="38"/>
              <w:jc w:val="right"/>
              <w:rPr>
                <w:sz w:val="13"/>
                <w:szCs w:val="13"/>
              </w:rPr>
            </w:pPr>
          </w:p>
        </w:tc>
        <w:tc>
          <w:tcPr>
            <w:tcW w:w="438" w:type="pct"/>
          </w:tcPr>
          <w:p w14:paraId="5EE700AB" w14:textId="77777777" w:rsidR="00992AAE" w:rsidRPr="0047058F" w:rsidRDefault="00992AAE" w:rsidP="003454A7">
            <w:pPr>
              <w:pStyle w:val="TableText"/>
              <w:spacing w:before="38" w:after="38"/>
              <w:jc w:val="right"/>
              <w:rPr>
                <w:sz w:val="13"/>
                <w:szCs w:val="13"/>
              </w:rPr>
            </w:pPr>
          </w:p>
        </w:tc>
        <w:tc>
          <w:tcPr>
            <w:tcW w:w="438" w:type="pct"/>
          </w:tcPr>
          <w:p w14:paraId="5F1187E5" w14:textId="77777777" w:rsidR="00992AAE" w:rsidRPr="0047058F" w:rsidRDefault="00992AAE" w:rsidP="003454A7">
            <w:pPr>
              <w:pStyle w:val="TableText"/>
              <w:spacing w:before="38" w:after="38"/>
              <w:jc w:val="right"/>
              <w:rPr>
                <w:sz w:val="13"/>
                <w:szCs w:val="13"/>
              </w:rPr>
            </w:pPr>
          </w:p>
        </w:tc>
        <w:tc>
          <w:tcPr>
            <w:tcW w:w="439" w:type="pct"/>
          </w:tcPr>
          <w:p w14:paraId="3E974BFC" w14:textId="77777777" w:rsidR="00992AAE" w:rsidRPr="0047058F" w:rsidRDefault="00992AAE" w:rsidP="003454A7">
            <w:pPr>
              <w:pStyle w:val="TableText"/>
              <w:spacing w:before="38" w:after="38"/>
              <w:jc w:val="right"/>
              <w:rPr>
                <w:sz w:val="13"/>
                <w:szCs w:val="13"/>
              </w:rPr>
            </w:pPr>
          </w:p>
        </w:tc>
        <w:tc>
          <w:tcPr>
            <w:tcW w:w="275" w:type="pct"/>
          </w:tcPr>
          <w:p w14:paraId="4D4ADCAF"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ns</w:t>
            </w:r>
          </w:p>
        </w:tc>
        <w:tc>
          <w:tcPr>
            <w:tcW w:w="288" w:type="pct"/>
          </w:tcPr>
          <w:p w14:paraId="4C01131E"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w:t>
            </w:r>
          </w:p>
        </w:tc>
      </w:tr>
      <w:tr w:rsidR="008F70CA" w:rsidRPr="0047058F" w14:paraId="7DAA6467" w14:textId="77777777" w:rsidTr="003454A7">
        <w:trPr>
          <w:cantSplit/>
        </w:trPr>
        <w:tc>
          <w:tcPr>
            <w:tcW w:w="746" w:type="pct"/>
          </w:tcPr>
          <w:p w14:paraId="2B9B2259" w14:textId="77777777" w:rsidR="00992AAE" w:rsidRPr="0047058F" w:rsidRDefault="00992AAE" w:rsidP="000D2D22">
            <w:pPr>
              <w:pStyle w:val="TableText"/>
              <w:spacing w:before="38" w:after="38"/>
              <w:ind w:left="144"/>
            </w:pPr>
            <w:r w:rsidRPr="0047058F">
              <w:t xml:space="preserve">Very dissatisfied/ </w:t>
            </w:r>
            <w:r w:rsidR="000D2D22" w:rsidRPr="0047058F">
              <w:t>dissatisfied</w:t>
            </w:r>
            <w:r w:rsidRPr="0047058F">
              <w:t>/</w:t>
            </w:r>
            <w:r w:rsidR="000D2D22" w:rsidRPr="0047058F">
              <w:t>neither</w:t>
            </w:r>
          </w:p>
        </w:tc>
        <w:tc>
          <w:tcPr>
            <w:tcW w:w="196" w:type="pct"/>
          </w:tcPr>
          <w:p w14:paraId="79816DFF" w14:textId="77777777" w:rsidR="00992AAE" w:rsidRPr="0047058F" w:rsidRDefault="00992AAE" w:rsidP="003454A7">
            <w:pPr>
              <w:pStyle w:val="TableText"/>
              <w:spacing w:before="38" w:after="38"/>
              <w:jc w:val="right"/>
              <w:rPr>
                <w:sz w:val="13"/>
                <w:szCs w:val="13"/>
              </w:rPr>
            </w:pPr>
            <w:r w:rsidRPr="0047058F">
              <w:rPr>
                <w:rFonts w:cs="Arial"/>
                <w:sz w:val="13"/>
                <w:szCs w:val="13"/>
              </w:rPr>
              <w:t>230</w:t>
            </w:r>
          </w:p>
        </w:tc>
        <w:tc>
          <w:tcPr>
            <w:tcW w:w="472" w:type="pct"/>
          </w:tcPr>
          <w:p w14:paraId="7565BC48" w14:textId="77777777" w:rsidR="00992AAE" w:rsidRPr="0047058F" w:rsidRDefault="00992AAE" w:rsidP="003454A7">
            <w:pPr>
              <w:pStyle w:val="TableText"/>
              <w:spacing w:before="38" w:after="38"/>
              <w:jc w:val="right"/>
              <w:rPr>
                <w:sz w:val="13"/>
                <w:szCs w:val="13"/>
              </w:rPr>
            </w:pPr>
            <w:r w:rsidRPr="0047058F">
              <w:rPr>
                <w:rFonts w:cs="Arial"/>
                <w:sz w:val="13"/>
                <w:szCs w:val="13"/>
              </w:rPr>
              <w:t>72.3 (62.0–82.6)</w:t>
            </w:r>
          </w:p>
        </w:tc>
        <w:tc>
          <w:tcPr>
            <w:tcW w:w="196" w:type="pct"/>
          </w:tcPr>
          <w:p w14:paraId="5AF4FEAE" w14:textId="77777777" w:rsidR="00992AAE" w:rsidRPr="0047058F" w:rsidRDefault="00992AAE" w:rsidP="003454A7">
            <w:pPr>
              <w:pStyle w:val="TableText"/>
              <w:spacing w:before="38" w:after="38"/>
              <w:jc w:val="right"/>
              <w:rPr>
                <w:sz w:val="13"/>
                <w:szCs w:val="13"/>
              </w:rPr>
            </w:pPr>
            <w:r w:rsidRPr="0047058F">
              <w:rPr>
                <w:rFonts w:cs="Arial"/>
                <w:sz w:val="13"/>
                <w:szCs w:val="13"/>
              </w:rPr>
              <w:t>55</w:t>
            </w:r>
          </w:p>
        </w:tc>
        <w:tc>
          <w:tcPr>
            <w:tcW w:w="432" w:type="pct"/>
          </w:tcPr>
          <w:p w14:paraId="03DB420A" w14:textId="77777777" w:rsidR="00992AAE" w:rsidRPr="0047058F" w:rsidRDefault="00992AAE" w:rsidP="003454A7">
            <w:pPr>
              <w:pStyle w:val="TableText"/>
              <w:spacing w:before="38" w:after="38"/>
              <w:jc w:val="right"/>
              <w:rPr>
                <w:sz w:val="13"/>
                <w:szCs w:val="13"/>
              </w:rPr>
            </w:pPr>
            <w:r w:rsidRPr="0047058F">
              <w:rPr>
                <w:rFonts w:cs="Arial"/>
                <w:sz w:val="13"/>
                <w:szCs w:val="13"/>
              </w:rPr>
              <w:t>17.3 (0.0–35.1)</w:t>
            </w:r>
          </w:p>
        </w:tc>
        <w:tc>
          <w:tcPr>
            <w:tcW w:w="211" w:type="pct"/>
          </w:tcPr>
          <w:p w14:paraId="0D813188" w14:textId="77777777" w:rsidR="00992AAE" w:rsidRPr="0047058F" w:rsidRDefault="00992AAE" w:rsidP="003454A7">
            <w:pPr>
              <w:pStyle w:val="TableText"/>
              <w:spacing w:before="38" w:after="38"/>
              <w:jc w:val="right"/>
              <w:rPr>
                <w:sz w:val="13"/>
                <w:szCs w:val="13"/>
              </w:rPr>
            </w:pPr>
            <w:r w:rsidRPr="0047058F">
              <w:rPr>
                <w:rFonts w:cs="Arial"/>
                <w:sz w:val="13"/>
                <w:szCs w:val="13"/>
              </w:rPr>
              <w:t>33</w:t>
            </w:r>
          </w:p>
        </w:tc>
        <w:tc>
          <w:tcPr>
            <w:tcW w:w="431" w:type="pct"/>
          </w:tcPr>
          <w:p w14:paraId="3055F537" w14:textId="77777777" w:rsidR="00992AAE" w:rsidRPr="0047058F" w:rsidRDefault="00992AAE" w:rsidP="003454A7">
            <w:pPr>
              <w:pStyle w:val="TableText"/>
              <w:spacing w:before="38" w:after="38"/>
              <w:jc w:val="right"/>
              <w:rPr>
                <w:sz w:val="13"/>
                <w:szCs w:val="13"/>
              </w:rPr>
            </w:pPr>
            <w:r w:rsidRPr="0047058F">
              <w:rPr>
                <w:rFonts w:cs="Arial"/>
                <w:sz w:val="13"/>
                <w:szCs w:val="13"/>
              </w:rPr>
              <w:t>10.4 (0.0–29.0)</w:t>
            </w:r>
          </w:p>
        </w:tc>
        <w:tc>
          <w:tcPr>
            <w:tcW w:w="438" w:type="pct"/>
          </w:tcPr>
          <w:p w14:paraId="6CAD0B68" w14:textId="77777777" w:rsidR="00992AAE" w:rsidRPr="0047058F" w:rsidRDefault="00992AAE" w:rsidP="003454A7">
            <w:pPr>
              <w:pStyle w:val="TableText"/>
              <w:spacing w:before="38" w:after="38"/>
              <w:jc w:val="right"/>
              <w:rPr>
                <w:rFonts w:cs="Arial"/>
                <w:sz w:val="13"/>
                <w:szCs w:val="13"/>
              </w:rPr>
            </w:pPr>
            <w:r w:rsidRPr="0047058F">
              <w:rPr>
                <w:rFonts w:cs="Arial"/>
                <w:sz w:val="13"/>
                <w:szCs w:val="13"/>
              </w:rPr>
              <w:t>ref</w:t>
            </w:r>
          </w:p>
        </w:tc>
        <w:tc>
          <w:tcPr>
            <w:tcW w:w="438" w:type="pct"/>
          </w:tcPr>
          <w:p w14:paraId="459B791C"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438" w:type="pct"/>
          </w:tcPr>
          <w:p w14:paraId="78820966"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2FAF9347" w14:textId="77777777" w:rsidR="00992AAE" w:rsidRPr="0047058F" w:rsidRDefault="00992AAE" w:rsidP="003454A7">
            <w:pPr>
              <w:pStyle w:val="TableText"/>
              <w:spacing w:before="38" w:after="38"/>
              <w:jc w:val="right"/>
              <w:rPr>
                <w:sz w:val="13"/>
                <w:szCs w:val="13"/>
              </w:rPr>
            </w:pPr>
            <w:r w:rsidRPr="0047058F">
              <w:rPr>
                <w:sz w:val="13"/>
                <w:szCs w:val="13"/>
              </w:rPr>
              <w:t>–</w:t>
            </w:r>
          </w:p>
        </w:tc>
        <w:tc>
          <w:tcPr>
            <w:tcW w:w="275" w:type="pct"/>
          </w:tcPr>
          <w:p w14:paraId="7DB1E321" w14:textId="77777777" w:rsidR="00992AAE" w:rsidRPr="0047058F" w:rsidRDefault="00992AAE" w:rsidP="003454A7">
            <w:pPr>
              <w:pStyle w:val="TableText"/>
              <w:spacing w:before="38" w:after="38"/>
              <w:jc w:val="right"/>
              <w:rPr>
                <w:color w:val="auto"/>
                <w:sz w:val="13"/>
                <w:szCs w:val="13"/>
              </w:rPr>
            </w:pPr>
          </w:p>
        </w:tc>
        <w:tc>
          <w:tcPr>
            <w:tcW w:w="288" w:type="pct"/>
          </w:tcPr>
          <w:p w14:paraId="2C636F1D" w14:textId="77777777" w:rsidR="00992AAE" w:rsidRPr="0047058F" w:rsidRDefault="00992AAE" w:rsidP="003454A7">
            <w:pPr>
              <w:pStyle w:val="TableText"/>
              <w:spacing w:before="38" w:after="38"/>
              <w:jc w:val="right"/>
              <w:rPr>
                <w:color w:val="auto"/>
                <w:sz w:val="13"/>
                <w:szCs w:val="13"/>
              </w:rPr>
            </w:pPr>
          </w:p>
        </w:tc>
      </w:tr>
      <w:tr w:rsidR="008F70CA" w:rsidRPr="0047058F" w14:paraId="3D71F76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bottom w:val="single" w:sz="4" w:space="0" w:color="000000"/>
            </w:tcBorders>
          </w:tcPr>
          <w:p w14:paraId="0CDABE74" w14:textId="77777777" w:rsidR="00992AAE" w:rsidRPr="0047058F" w:rsidRDefault="000D2D22" w:rsidP="003454A7">
            <w:pPr>
              <w:pStyle w:val="TableText"/>
              <w:spacing w:before="38" w:after="38"/>
              <w:ind w:left="144"/>
              <w:rPr>
                <w:rFonts w:eastAsia="Cambria"/>
              </w:rPr>
            </w:pPr>
            <w:r>
              <w:rPr>
                <w:rFonts w:eastAsia="Cambria"/>
              </w:rPr>
              <w:t>Satisfied/</w:t>
            </w:r>
            <w:r w:rsidR="00992AAE" w:rsidRPr="0047058F">
              <w:rPr>
                <w:rFonts w:eastAsia="Cambria"/>
              </w:rPr>
              <w:t>very satisfied</w:t>
            </w:r>
          </w:p>
        </w:tc>
        <w:tc>
          <w:tcPr>
            <w:tcW w:w="196" w:type="pct"/>
            <w:tcBorders>
              <w:bottom w:val="single" w:sz="4" w:space="0" w:color="000000"/>
            </w:tcBorders>
          </w:tcPr>
          <w:p w14:paraId="3EC92582" w14:textId="77777777" w:rsidR="00992AAE" w:rsidRPr="0047058F" w:rsidRDefault="00992AAE" w:rsidP="003454A7">
            <w:pPr>
              <w:pStyle w:val="TableText"/>
              <w:spacing w:before="38" w:after="38"/>
              <w:jc w:val="right"/>
              <w:rPr>
                <w:sz w:val="13"/>
                <w:szCs w:val="13"/>
              </w:rPr>
            </w:pPr>
            <w:r w:rsidRPr="0047058F">
              <w:rPr>
                <w:rFonts w:cs="Arial"/>
                <w:sz w:val="13"/>
                <w:szCs w:val="13"/>
              </w:rPr>
              <w:t>2660</w:t>
            </w:r>
          </w:p>
        </w:tc>
        <w:tc>
          <w:tcPr>
            <w:tcW w:w="472" w:type="pct"/>
            <w:tcBorders>
              <w:bottom w:val="single" w:sz="4" w:space="0" w:color="000000"/>
            </w:tcBorders>
          </w:tcPr>
          <w:p w14:paraId="45B0BD00" w14:textId="77777777" w:rsidR="00992AAE" w:rsidRPr="0047058F" w:rsidRDefault="00992AAE" w:rsidP="003454A7">
            <w:pPr>
              <w:pStyle w:val="TableText"/>
              <w:spacing w:before="38" w:after="38"/>
              <w:jc w:val="right"/>
              <w:rPr>
                <w:sz w:val="13"/>
                <w:szCs w:val="13"/>
              </w:rPr>
            </w:pPr>
            <w:r w:rsidRPr="0047058F">
              <w:rPr>
                <w:rFonts w:cs="Arial"/>
                <w:sz w:val="13"/>
                <w:szCs w:val="13"/>
              </w:rPr>
              <w:t>76.3 (66.8–85.8)</w:t>
            </w:r>
          </w:p>
        </w:tc>
        <w:tc>
          <w:tcPr>
            <w:tcW w:w="196" w:type="pct"/>
            <w:tcBorders>
              <w:bottom w:val="single" w:sz="4" w:space="0" w:color="000000"/>
            </w:tcBorders>
          </w:tcPr>
          <w:p w14:paraId="284F7B7F" w14:textId="77777777" w:rsidR="00992AAE" w:rsidRPr="0047058F" w:rsidRDefault="00992AAE" w:rsidP="003454A7">
            <w:pPr>
              <w:pStyle w:val="TableText"/>
              <w:spacing w:before="38" w:after="38"/>
              <w:jc w:val="right"/>
              <w:rPr>
                <w:sz w:val="13"/>
                <w:szCs w:val="13"/>
              </w:rPr>
            </w:pPr>
            <w:r w:rsidRPr="0047058F">
              <w:rPr>
                <w:rFonts w:cs="Arial"/>
                <w:sz w:val="13"/>
                <w:szCs w:val="13"/>
              </w:rPr>
              <w:t>512</w:t>
            </w:r>
          </w:p>
        </w:tc>
        <w:tc>
          <w:tcPr>
            <w:tcW w:w="432" w:type="pct"/>
            <w:tcBorders>
              <w:bottom w:val="single" w:sz="4" w:space="0" w:color="000000"/>
            </w:tcBorders>
          </w:tcPr>
          <w:p w14:paraId="0C419074" w14:textId="77777777" w:rsidR="00992AAE" w:rsidRPr="0047058F" w:rsidRDefault="00992AAE" w:rsidP="003454A7">
            <w:pPr>
              <w:pStyle w:val="TableText"/>
              <w:spacing w:before="38" w:after="38"/>
              <w:jc w:val="right"/>
              <w:rPr>
                <w:sz w:val="13"/>
                <w:szCs w:val="13"/>
              </w:rPr>
            </w:pPr>
            <w:r w:rsidRPr="0047058F">
              <w:rPr>
                <w:rFonts w:cs="Arial"/>
                <w:sz w:val="13"/>
                <w:szCs w:val="13"/>
              </w:rPr>
              <w:t>14.7 (0.0–32.8)</w:t>
            </w:r>
          </w:p>
        </w:tc>
        <w:tc>
          <w:tcPr>
            <w:tcW w:w="211" w:type="pct"/>
            <w:tcBorders>
              <w:bottom w:val="single" w:sz="4" w:space="0" w:color="000000"/>
            </w:tcBorders>
          </w:tcPr>
          <w:p w14:paraId="4A4F7966" w14:textId="77777777" w:rsidR="00992AAE" w:rsidRPr="0047058F" w:rsidRDefault="00992AAE" w:rsidP="003454A7">
            <w:pPr>
              <w:pStyle w:val="TableText"/>
              <w:spacing w:before="38" w:after="38"/>
              <w:jc w:val="right"/>
              <w:rPr>
                <w:sz w:val="13"/>
                <w:szCs w:val="13"/>
              </w:rPr>
            </w:pPr>
            <w:r w:rsidRPr="0047058F">
              <w:rPr>
                <w:rFonts w:cs="Arial"/>
                <w:sz w:val="13"/>
                <w:szCs w:val="13"/>
              </w:rPr>
              <w:t>314</w:t>
            </w:r>
          </w:p>
        </w:tc>
        <w:tc>
          <w:tcPr>
            <w:tcW w:w="431" w:type="pct"/>
            <w:tcBorders>
              <w:bottom w:val="single" w:sz="4" w:space="0" w:color="000000"/>
            </w:tcBorders>
          </w:tcPr>
          <w:p w14:paraId="65F10DED" w14:textId="77777777" w:rsidR="00992AAE" w:rsidRPr="0047058F" w:rsidRDefault="00992AAE" w:rsidP="003454A7">
            <w:pPr>
              <w:pStyle w:val="TableText"/>
              <w:spacing w:before="38" w:after="38"/>
              <w:jc w:val="right"/>
              <w:rPr>
                <w:sz w:val="13"/>
                <w:szCs w:val="13"/>
              </w:rPr>
            </w:pPr>
            <w:r w:rsidRPr="0047058F">
              <w:rPr>
                <w:rFonts w:cs="Arial"/>
                <w:sz w:val="13"/>
                <w:szCs w:val="13"/>
              </w:rPr>
              <w:t>9.0 (0.0–27.7)</w:t>
            </w:r>
          </w:p>
        </w:tc>
        <w:tc>
          <w:tcPr>
            <w:tcW w:w="438" w:type="pct"/>
            <w:tcBorders>
              <w:bottom w:val="single" w:sz="4" w:space="0" w:color="000000"/>
            </w:tcBorders>
          </w:tcPr>
          <w:p w14:paraId="6BB02F10" w14:textId="77777777" w:rsidR="00992AAE" w:rsidRPr="0047058F" w:rsidRDefault="00992AAE" w:rsidP="003454A7">
            <w:pPr>
              <w:pStyle w:val="TableText"/>
              <w:spacing w:before="38" w:after="38"/>
              <w:jc w:val="right"/>
              <w:rPr>
                <w:sz w:val="13"/>
                <w:szCs w:val="13"/>
              </w:rPr>
            </w:pPr>
            <w:r w:rsidRPr="0047058F">
              <w:rPr>
                <w:rFonts w:cs="Arial"/>
                <w:sz w:val="13"/>
                <w:szCs w:val="13"/>
              </w:rPr>
              <w:t>0.80 (0.59–1.10)</w:t>
            </w:r>
          </w:p>
        </w:tc>
        <w:tc>
          <w:tcPr>
            <w:tcW w:w="438" w:type="pct"/>
            <w:tcBorders>
              <w:bottom w:val="single" w:sz="4" w:space="0" w:color="000000"/>
            </w:tcBorders>
          </w:tcPr>
          <w:p w14:paraId="610A5D37" w14:textId="77777777" w:rsidR="00992AAE" w:rsidRPr="0047058F" w:rsidRDefault="00992AAE" w:rsidP="003454A7">
            <w:pPr>
              <w:pStyle w:val="TableText"/>
              <w:spacing w:before="38" w:after="38"/>
              <w:jc w:val="right"/>
              <w:rPr>
                <w:sz w:val="13"/>
                <w:szCs w:val="13"/>
              </w:rPr>
            </w:pPr>
            <w:r w:rsidRPr="0047058F">
              <w:rPr>
                <w:rFonts w:cs="Arial"/>
                <w:sz w:val="13"/>
                <w:szCs w:val="13"/>
              </w:rPr>
              <w:t>–</w:t>
            </w:r>
          </w:p>
        </w:tc>
        <w:tc>
          <w:tcPr>
            <w:tcW w:w="438" w:type="pct"/>
            <w:tcBorders>
              <w:bottom w:val="single" w:sz="4" w:space="0" w:color="000000"/>
            </w:tcBorders>
          </w:tcPr>
          <w:p w14:paraId="65A6F01A" w14:textId="77777777" w:rsidR="00992AAE" w:rsidRPr="0047058F" w:rsidRDefault="00992AAE" w:rsidP="003454A7">
            <w:pPr>
              <w:pStyle w:val="TableText"/>
              <w:spacing w:before="38" w:after="38"/>
              <w:jc w:val="right"/>
              <w:rPr>
                <w:sz w:val="13"/>
                <w:szCs w:val="13"/>
              </w:rPr>
            </w:pPr>
            <w:r w:rsidRPr="0047058F">
              <w:rPr>
                <w:rFonts w:cs="Arial"/>
                <w:sz w:val="13"/>
                <w:szCs w:val="13"/>
              </w:rPr>
              <w:t>0.82 (0.56–1.21)</w:t>
            </w:r>
          </w:p>
        </w:tc>
        <w:tc>
          <w:tcPr>
            <w:tcW w:w="439" w:type="pct"/>
            <w:tcBorders>
              <w:bottom w:val="single" w:sz="4" w:space="0" w:color="000000"/>
            </w:tcBorders>
          </w:tcPr>
          <w:p w14:paraId="50560F94" w14:textId="77777777" w:rsidR="00992AAE" w:rsidRPr="0047058F" w:rsidRDefault="00992AAE" w:rsidP="003454A7">
            <w:pPr>
              <w:pStyle w:val="TableText"/>
              <w:spacing w:before="38" w:after="38"/>
              <w:jc w:val="right"/>
              <w:rPr>
                <w:sz w:val="13"/>
                <w:szCs w:val="13"/>
              </w:rPr>
            </w:pPr>
            <w:r w:rsidRPr="0047058F">
              <w:rPr>
                <w:rFonts w:cs="Arial"/>
                <w:sz w:val="13"/>
                <w:szCs w:val="13"/>
              </w:rPr>
              <w:t>–</w:t>
            </w:r>
          </w:p>
        </w:tc>
        <w:tc>
          <w:tcPr>
            <w:tcW w:w="275" w:type="pct"/>
            <w:tcBorders>
              <w:bottom w:val="single" w:sz="4" w:space="0" w:color="000000"/>
            </w:tcBorders>
          </w:tcPr>
          <w:p w14:paraId="10A07D75" w14:textId="77777777" w:rsidR="00992AAE" w:rsidRPr="0047058F" w:rsidRDefault="00992AAE" w:rsidP="003454A7">
            <w:pPr>
              <w:pStyle w:val="TableText"/>
              <w:spacing w:before="38" w:after="38"/>
              <w:jc w:val="right"/>
              <w:rPr>
                <w:color w:val="auto"/>
                <w:sz w:val="13"/>
                <w:szCs w:val="13"/>
              </w:rPr>
            </w:pPr>
          </w:p>
        </w:tc>
        <w:tc>
          <w:tcPr>
            <w:tcW w:w="288" w:type="pct"/>
            <w:tcBorders>
              <w:bottom w:val="single" w:sz="4" w:space="0" w:color="000000"/>
            </w:tcBorders>
          </w:tcPr>
          <w:p w14:paraId="77F99910" w14:textId="77777777" w:rsidR="00992AAE" w:rsidRPr="0047058F" w:rsidRDefault="00992AAE" w:rsidP="003454A7">
            <w:pPr>
              <w:pStyle w:val="TableText"/>
              <w:spacing w:before="38" w:after="38"/>
              <w:jc w:val="right"/>
              <w:rPr>
                <w:color w:val="auto"/>
                <w:sz w:val="13"/>
                <w:szCs w:val="13"/>
              </w:rPr>
            </w:pPr>
          </w:p>
        </w:tc>
      </w:tr>
      <w:tr w:rsidR="003454A7" w:rsidRPr="0047058F" w14:paraId="696F9C22" w14:textId="77777777" w:rsidTr="003454A7">
        <w:trPr>
          <w:cantSplit/>
        </w:trPr>
        <w:tc>
          <w:tcPr>
            <w:tcW w:w="5000" w:type="pct"/>
            <w:gridSpan w:val="13"/>
            <w:tcBorders>
              <w:top w:val="single" w:sz="4" w:space="0" w:color="000000"/>
              <w:bottom w:val="nil"/>
            </w:tcBorders>
          </w:tcPr>
          <w:p w14:paraId="582DA068" w14:textId="77777777" w:rsidR="003454A7" w:rsidRPr="0047058F" w:rsidRDefault="003454A7" w:rsidP="003454A7">
            <w:pPr>
              <w:pStyle w:val="TableText"/>
              <w:spacing w:before="38" w:after="38"/>
              <w:rPr>
                <w:color w:val="auto"/>
                <w:sz w:val="13"/>
                <w:szCs w:val="13"/>
              </w:rPr>
            </w:pPr>
            <w:r w:rsidRPr="0047058F">
              <w:rPr>
                <w:b/>
                <w:color w:val="auto"/>
              </w:rPr>
              <w:t>Suicidality, anger and resilience (time point 1)</w:t>
            </w:r>
          </w:p>
        </w:tc>
      </w:tr>
      <w:tr w:rsidR="008F70CA" w:rsidRPr="0047058F" w14:paraId="3B97F398"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top w:val="nil"/>
            </w:tcBorders>
          </w:tcPr>
          <w:p w14:paraId="79C5A2D5" w14:textId="77777777" w:rsidR="00992AAE" w:rsidRPr="0047058F" w:rsidRDefault="00992AAE" w:rsidP="003454A7">
            <w:pPr>
              <w:pStyle w:val="TableText"/>
              <w:spacing w:before="38" w:after="38"/>
            </w:pPr>
            <w:r w:rsidRPr="0047058F">
              <w:t>Any 12-month suicidality</w:t>
            </w:r>
          </w:p>
        </w:tc>
        <w:tc>
          <w:tcPr>
            <w:tcW w:w="196" w:type="pct"/>
            <w:tcBorders>
              <w:top w:val="nil"/>
            </w:tcBorders>
          </w:tcPr>
          <w:p w14:paraId="2E04C775" w14:textId="77777777" w:rsidR="00992AAE" w:rsidRPr="0047058F" w:rsidRDefault="00992AAE" w:rsidP="003454A7">
            <w:pPr>
              <w:pStyle w:val="TableText"/>
              <w:spacing w:before="38" w:after="38"/>
              <w:jc w:val="right"/>
              <w:rPr>
                <w:sz w:val="13"/>
                <w:szCs w:val="13"/>
              </w:rPr>
            </w:pPr>
          </w:p>
        </w:tc>
        <w:tc>
          <w:tcPr>
            <w:tcW w:w="472" w:type="pct"/>
            <w:tcBorders>
              <w:top w:val="nil"/>
            </w:tcBorders>
          </w:tcPr>
          <w:p w14:paraId="08649392" w14:textId="77777777" w:rsidR="00992AAE" w:rsidRPr="0047058F" w:rsidRDefault="00992AAE" w:rsidP="003454A7">
            <w:pPr>
              <w:pStyle w:val="TableText"/>
              <w:spacing w:before="38" w:after="38"/>
              <w:jc w:val="right"/>
              <w:rPr>
                <w:sz w:val="13"/>
                <w:szCs w:val="13"/>
              </w:rPr>
            </w:pPr>
          </w:p>
        </w:tc>
        <w:tc>
          <w:tcPr>
            <w:tcW w:w="196" w:type="pct"/>
            <w:tcBorders>
              <w:top w:val="nil"/>
            </w:tcBorders>
          </w:tcPr>
          <w:p w14:paraId="157E0722" w14:textId="77777777" w:rsidR="00992AAE" w:rsidRPr="0047058F" w:rsidRDefault="00992AAE" w:rsidP="003454A7">
            <w:pPr>
              <w:pStyle w:val="TableText"/>
              <w:spacing w:before="38" w:after="38"/>
              <w:jc w:val="right"/>
              <w:rPr>
                <w:sz w:val="13"/>
                <w:szCs w:val="13"/>
              </w:rPr>
            </w:pPr>
          </w:p>
        </w:tc>
        <w:tc>
          <w:tcPr>
            <w:tcW w:w="432" w:type="pct"/>
            <w:tcBorders>
              <w:top w:val="nil"/>
            </w:tcBorders>
          </w:tcPr>
          <w:p w14:paraId="1EE45495" w14:textId="77777777" w:rsidR="00992AAE" w:rsidRPr="0047058F" w:rsidRDefault="00992AAE" w:rsidP="003454A7">
            <w:pPr>
              <w:pStyle w:val="TableText"/>
              <w:spacing w:before="38" w:after="38"/>
              <w:jc w:val="right"/>
              <w:rPr>
                <w:sz w:val="13"/>
                <w:szCs w:val="13"/>
              </w:rPr>
            </w:pPr>
          </w:p>
        </w:tc>
        <w:tc>
          <w:tcPr>
            <w:tcW w:w="211" w:type="pct"/>
            <w:tcBorders>
              <w:top w:val="nil"/>
            </w:tcBorders>
          </w:tcPr>
          <w:p w14:paraId="388D9891" w14:textId="77777777" w:rsidR="00992AAE" w:rsidRPr="0047058F" w:rsidRDefault="00992AAE" w:rsidP="003454A7">
            <w:pPr>
              <w:pStyle w:val="TableText"/>
              <w:spacing w:before="38" w:after="38"/>
              <w:jc w:val="right"/>
              <w:rPr>
                <w:sz w:val="13"/>
                <w:szCs w:val="13"/>
              </w:rPr>
            </w:pPr>
          </w:p>
        </w:tc>
        <w:tc>
          <w:tcPr>
            <w:tcW w:w="431" w:type="pct"/>
            <w:tcBorders>
              <w:top w:val="nil"/>
            </w:tcBorders>
          </w:tcPr>
          <w:p w14:paraId="2B22D49C"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724327A8"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155540B6"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02A03028" w14:textId="77777777" w:rsidR="00992AAE" w:rsidRPr="0047058F" w:rsidRDefault="00992AAE" w:rsidP="003454A7">
            <w:pPr>
              <w:pStyle w:val="TableText"/>
              <w:spacing w:before="38" w:after="38"/>
              <w:jc w:val="right"/>
              <w:rPr>
                <w:sz w:val="13"/>
                <w:szCs w:val="13"/>
              </w:rPr>
            </w:pPr>
          </w:p>
        </w:tc>
        <w:tc>
          <w:tcPr>
            <w:tcW w:w="439" w:type="pct"/>
            <w:tcBorders>
              <w:top w:val="nil"/>
            </w:tcBorders>
          </w:tcPr>
          <w:p w14:paraId="56641E2F" w14:textId="77777777" w:rsidR="00992AAE" w:rsidRPr="0047058F" w:rsidRDefault="00992AAE" w:rsidP="003454A7">
            <w:pPr>
              <w:pStyle w:val="TableText"/>
              <w:spacing w:before="38" w:after="38"/>
              <w:jc w:val="right"/>
              <w:rPr>
                <w:sz w:val="13"/>
                <w:szCs w:val="13"/>
              </w:rPr>
            </w:pPr>
          </w:p>
        </w:tc>
        <w:tc>
          <w:tcPr>
            <w:tcW w:w="275" w:type="pct"/>
            <w:tcBorders>
              <w:top w:val="nil"/>
            </w:tcBorders>
          </w:tcPr>
          <w:p w14:paraId="59E6DEFF"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0.0039</w:t>
            </w:r>
          </w:p>
        </w:tc>
        <w:tc>
          <w:tcPr>
            <w:tcW w:w="288" w:type="pct"/>
            <w:tcBorders>
              <w:top w:val="nil"/>
            </w:tcBorders>
          </w:tcPr>
          <w:p w14:paraId="0905B907"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0.0019</w:t>
            </w:r>
          </w:p>
        </w:tc>
      </w:tr>
      <w:tr w:rsidR="008F70CA" w:rsidRPr="0047058F" w14:paraId="2F055280" w14:textId="77777777" w:rsidTr="003454A7">
        <w:trPr>
          <w:cantSplit/>
        </w:trPr>
        <w:tc>
          <w:tcPr>
            <w:tcW w:w="746" w:type="pct"/>
          </w:tcPr>
          <w:p w14:paraId="4F68F4F2" w14:textId="77777777" w:rsidR="00992AAE" w:rsidRPr="0047058F" w:rsidRDefault="00992AAE" w:rsidP="003454A7">
            <w:pPr>
              <w:pStyle w:val="TableText"/>
              <w:spacing w:before="38" w:after="38"/>
              <w:ind w:left="144"/>
            </w:pPr>
            <w:r w:rsidRPr="0047058F">
              <w:t>No</w:t>
            </w:r>
          </w:p>
        </w:tc>
        <w:tc>
          <w:tcPr>
            <w:tcW w:w="196" w:type="pct"/>
          </w:tcPr>
          <w:p w14:paraId="0889C2E1" w14:textId="77777777" w:rsidR="00992AAE" w:rsidRPr="0047058F" w:rsidRDefault="00992AAE" w:rsidP="003454A7">
            <w:pPr>
              <w:pStyle w:val="TableText"/>
              <w:spacing w:before="38" w:after="38"/>
              <w:jc w:val="right"/>
              <w:rPr>
                <w:sz w:val="13"/>
                <w:szCs w:val="13"/>
              </w:rPr>
            </w:pPr>
            <w:r w:rsidRPr="0047058F">
              <w:rPr>
                <w:rFonts w:cs="Arial"/>
                <w:sz w:val="13"/>
                <w:szCs w:val="13"/>
              </w:rPr>
              <w:t>3127</w:t>
            </w:r>
          </w:p>
        </w:tc>
        <w:tc>
          <w:tcPr>
            <w:tcW w:w="472" w:type="pct"/>
          </w:tcPr>
          <w:p w14:paraId="2805F8D9" w14:textId="77777777" w:rsidR="00992AAE" w:rsidRPr="0047058F" w:rsidRDefault="00992AAE" w:rsidP="003454A7">
            <w:pPr>
              <w:pStyle w:val="TableText"/>
              <w:spacing w:before="38" w:after="38"/>
              <w:jc w:val="right"/>
              <w:rPr>
                <w:sz w:val="13"/>
                <w:szCs w:val="13"/>
              </w:rPr>
            </w:pPr>
            <w:r w:rsidRPr="0047058F">
              <w:rPr>
                <w:rFonts w:cs="Arial"/>
                <w:sz w:val="13"/>
                <w:szCs w:val="13"/>
              </w:rPr>
              <w:t>75.6 (65.9–85.3)</w:t>
            </w:r>
          </w:p>
        </w:tc>
        <w:tc>
          <w:tcPr>
            <w:tcW w:w="196" w:type="pct"/>
          </w:tcPr>
          <w:p w14:paraId="08285EC6" w14:textId="77777777" w:rsidR="00992AAE" w:rsidRPr="0047058F" w:rsidRDefault="00992AAE" w:rsidP="003454A7">
            <w:pPr>
              <w:pStyle w:val="TableText"/>
              <w:spacing w:before="38" w:after="38"/>
              <w:jc w:val="right"/>
              <w:rPr>
                <w:sz w:val="13"/>
                <w:szCs w:val="13"/>
              </w:rPr>
            </w:pPr>
            <w:r w:rsidRPr="0047058F">
              <w:rPr>
                <w:rFonts w:cs="Arial"/>
                <w:sz w:val="13"/>
                <w:szCs w:val="13"/>
              </w:rPr>
              <w:t>626</w:t>
            </w:r>
          </w:p>
        </w:tc>
        <w:tc>
          <w:tcPr>
            <w:tcW w:w="432" w:type="pct"/>
          </w:tcPr>
          <w:p w14:paraId="0FC87F6A" w14:textId="77777777" w:rsidR="00992AAE" w:rsidRPr="0047058F" w:rsidRDefault="00992AAE" w:rsidP="003454A7">
            <w:pPr>
              <w:pStyle w:val="TableText"/>
              <w:spacing w:before="38" w:after="38"/>
              <w:jc w:val="right"/>
              <w:rPr>
                <w:sz w:val="13"/>
                <w:szCs w:val="13"/>
              </w:rPr>
            </w:pPr>
            <w:r w:rsidRPr="0047058F">
              <w:rPr>
                <w:rFonts w:cs="Arial"/>
                <w:sz w:val="13"/>
                <w:szCs w:val="13"/>
              </w:rPr>
              <w:t>15.1 (0.0–33.2)</w:t>
            </w:r>
          </w:p>
        </w:tc>
        <w:tc>
          <w:tcPr>
            <w:tcW w:w="211" w:type="pct"/>
          </w:tcPr>
          <w:p w14:paraId="19CCC2CD" w14:textId="77777777" w:rsidR="00992AAE" w:rsidRPr="0047058F" w:rsidRDefault="00992AAE" w:rsidP="003454A7">
            <w:pPr>
              <w:pStyle w:val="TableText"/>
              <w:spacing w:before="38" w:after="38"/>
              <w:jc w:val="right"/>
              <w:rPr>
                <w:sz w:val="13"/>
                <w:szCs w:val="13"/>
              </w:rPr>
            </w:pPr>
            <w:r w:rsidRPr="0047058F">
              <w:rPr>
                <w:rFonts w:cs="Arial"/>
                <w:sz w:val="13"/>
                <w:szCs w:val="13"/>
              </w:rPr>
              <w:t>381</w:t>
            </w:r>
          </w:p>
        </w:tc>
        <w:tc>
          <w:tcPr>
            <w:tcW w:w="431" w:type="pct"/>
          </w:tcPr>
          <w:p w14:paraId="5F59FC47" w14:textId="77777777" w:rsidR="00992AAE" w:rsidRPr="0047058F" w:rsidRDefault="00992AAE" w:rsidP="003454A7">
            <w:pPr>
              <w:pStyle w:val="TableText"/>
              <w:spacing w:before="38" w:after="38"/>
              <w:jc w:val="right"/>
              <w:rPr>
                <w:sz w:val="13"/>
                <w:szCs w:val="13"/>
              </w:rPr>
            </w:pPr>
            <w:r w:rsidRPr="0047058F">
              <w:rPr>
                <w:rFonts w:cs="Arial"/>
                <w:sz w:val="13"/>
                <w:szCs w:val="13"/>
              </w:rPr>
              <w:t>9.2 (0.0–27.9)</w:t>
            </w:r>
          </w:p>
        </w:tc>
        <w:tc>
          <w:tcPr>
            <w:tcW w:w="438" w:type="pct"/>
          </w:tcPr>
          <w:p w14:paraId="1A30066A"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3F72C316"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30B2EDC6"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5B58830B"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275" w:type="pct"/>
          </w:tcPr>
          <w:p w14:paraId="6DA82D16" w14:textId="77777777" w:rsidR="00992AAE" w:rsidRPr="0047058F" w:rsidRDefault="00992AAE" w:rsidP="003454A7">
            <w:pPr>
              <w:pStyle w:val="TableText"/>
              <w:spacing w:before="38" w:after="38"/>
              <w:jc w:val="right"/>
              <w:rPr>
                <w:color w:val="auto"/>
                <w:sz w:val="13"/>
                <w:szCs w:val="13"/>
              </w:rPr>
            </w:pPr>
          </w:p>
        </w:tc>
        <w:tc>
          <w:tcPr>
            <w:tcW w:w="288" w:type="pct"/>
          </w:tcPr>
          <w:p w14:paraId="67D69B01" w14:textId="77777777" w:rsidR="00992AAE" w:rsidRPr="0047058F" w:rsidRDefault="00992AAE" w:rsidP="003454A7">
            <w:pPr>
              <w:pStyle w:val="TableText"/>
              <w:spacing w:before="38" w:after="38"/>
              <w:jc w:val="right"/>
              <w:rPr>
                <w:color w:val="auto"/>
                <w:sz w:val="13"/>
                <w:szCs w:val="13"/>
              </w:rPr>
            </w:pPr>
          </w:p>
        </w:tc>
      </w:tr>
      <w:tr w:rsidR="008F70CA" w:rsidRPr="0047058F" w14:paraId="4AF39B14"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7A3AC9DE" w14:textId="77777777" w:rsidR="00992AAE" w:rsidRPr="0047058F" w:rsidRDefault="00992AAE" w:rsidP="003454A7">
            <w:pPr>
              <w:pStyle w:val="TableText"/>
              <w:spacing w:before="38" w:after="38"/>
              <w:ind w:left="144"/>
            </w:pPr>
            <w:r w:rsidRPr="0047058F">
              <w:t>Yes</w:t>
            </w:r>
          </w:p>
        </w:tc>
        <w:tc>
          <w:tcPr>
            <w:tcW w:w="196" w:type="pct"/>
          </w:tcPr>
          <w:p w14:paraId="3C5F53E4" w14:textId="77777777" w:rsidR="00992AAE" w:rsidRPr="0047058F" w:rsidRDefault="00992AAE" w:rsidP="003454A7">
            <w:pPr>
              <w:pStyle w:val="TableText"/>
              <w:spacing w:before="38" w:after="38"/>
              <w:jc w:val="right"/>
              <w:rPr>
                <w:sz w:val="13"/>
                <w:szCs w:val="13"/>
              </w:rPr>
            </w:pPr>
            <w:r w:rsidRPr="0047058F">
              <w:rPr>
                <w:rFonts w:cs="Arial"/>
                <w:sz w:val="13"/>
                <w:szCs w:val="13"/>
              </w:rPr>
              <w:t>58</w:t>
            </w:r>
          </w:p>
        </w:tc>
        <w:tc>
          <w:tcPr>
            <w:tcW w:w="472" w:type="pct"/>
          </w:tcPr>
          <w:p w14:paraId="3022309D" w14:textId="77777777" w:rsidR="00992AAE" w:rsidRPr="0047058F" w:rsidRDefault="00992AAE" w:rsidP="003454A7">
            <w:pPr>
              <w:pStyle w:val="TableText"/>
              <w:spacing w:before="38" w:after="38"/>
              <w:jc w:val="right"/>
              <w:rPr>
                <w:sz w:val="13"/>
                <w:szCs w:val="13"/>
              </w:rPr>
            </w:pPr>
            <w:r w:rsidRPr="0047058F">
              <w:rPr>
                <w:rFonts w:cs="Arial"/>
                <w:sz w:val="13"/>
                <w:szCs w:val="13"/>
              </w:rPr>
              <w:t>65.9 (54.5–77.3)</w:t>
            </w:r>
          </w:p>
        </w:tc>
        <w:tc>
          <w:tcPr>
            <w:tcW w:w="196" w:type="pct"/>
          </w:tcPr>
          <w:p w14:paraId="2AAFC842" w14:textId="77777777" w:rsidR="00992AAE" w:rsidRPr="0047058F" w:rsidRDefault="00992AAE" w:rsidP="003454A7">
            <w:pPr>
              <w:pStyle w:val="TableText"/>
              <w:spacing w:before="38" w:after="38"/>
              <w:jc w:val="right"/>
              <w:rPr>
                <w:sz w:val="13"/>
                <w:szCs w:val="13"/>
              </w:rPr>
            </w:pPr>
            <w:r w:rsidRPr="0047058F">
              <w:rPr>
                <w:rFonts w:cs="Arial"/>
                <w:sz w:val="13"/>
                <w:szCs w:val="13"/>
              </w:rPr>
              <w:t>15</w:t>
            </w:r>
          </w:p>
        </w:tc>
        <w:tc>
          <w:tcPr>
            <w:tcW w:w="432" w:type="pct"/>
          </w:tcPr>
          <w:p w14:paraId="34A261EC" w14:textId="77777777" w:rsidR="00992AAE" w:rsidRPr="0047058F" w:rsidRDefault="00992AAE" w:rsidP="003454A7">
            <w:pPr>
              <w:pStyle w:val="TableText"/>
              <w:spacing w:before="38" w:after="38"/>
              <w:jc w:val="right"/>
              <w:rPr>
                <w:sz w:val="13"/>
                <w:szCs w:val="13"/>
              </w:rPr>
            </w:pPr>
            <w:r w:rsidRPr="0047058F">
              <w:rPr>
                <w:rFonts w:cs="Arial"/>
                <w:sz w:val="13"/>
                <w:szCs w:val="13"/>
              </w:rPr>
              <w:t>17.0 (0.0–34.9)</w:t>
            </w:r>
          </w:p>
        </w:tc>
        <w:tc>
          <w:tcPr>
            <w:tcW w:w="211" w:type="pct"/>
          </w:tcPr>
          <w:p w14:paraId="54935B52" w14:textId="77777777" w:rsidR="00992AAE" w:rsidRPr="0047058F" w:rsidRDefault="00992AAE" w:rsidP="003454A7">
            <w:pPr>
              <w:pStyle w:val="TableText"/>
              <w:spacing w:before="38" w:after="38"/>
              <w:jc w:val="right"/>
              <w:rPr>
                <w:sz w:val="13"/>
                <w:szCs w:val="13"/>
              </w:rPr>
            </w:pPr>
            <w:r w:rsidRPr="0047058F">
              <w:rPr>
                <w:rFonts w:cs="Arial"/>
                <w:sz w:val="13"/>
                <w:szCs w:val="13"/>
              </w:rPr>
              <w:t>15</w:t>
            </w:r>
          </w:p>
        </w:tc>
        <w:tc>
          <w:tcPr>
            <w:tcW w:w="431" w:type="pct"/>
          </w:tcPr>
          <w:p w14:paraId="342348A8" w14:textId="77777777" w:rsidR="00992AAE" w:rsidRPr="0047058F" w:rsidRDefault="00992AAE" w:rsidP="003454A7">
            <w:pPr>
              <w:pStyle w:val="TableText"/>
              <w:spacing w:before="38" w:after="38"/>
              <w:jc w:val="right"/>
              <w:rPr>
                <w:sz w:val="13"/>
                <w:szCs w:val="13"/>
              </w:rPr>
            </w:pPr>
            <w:r w:rsidRPr="0047058F">
              <w:rPr>
                <w:rFonts w:cs="Arial"/>
                <w:sz w:val="13"/>
                <w:szCs w:val="13"/>
              </w:rPr>
              <w:t>17.0 (0.0–34.9)</w:t>
            </w:r>
          </w:p>
        </w:tc>
        <w:tc>
          <w:tcPr>
            <w:tcW w:w="438" w:type="pct"/>
          </w:tcPr>
          <w:p w14:paraId="48A73623" w14:textId="77777777" w:rsidR="00992AAE" w:rsidRPr="0047058F" w:rsidRDefault="00992AAE" w:rsidP="003454A7">
            <w:pPr>
              <w:pStyle w:val="TableText"/>
              <w:spacing w:before="38" w:after="38"/>
              <w:jc w:val="right"/>
              <w:rPr>
                <w:sz w:val="13"/>
                <w:szCs w:val="13"/>
              </w:rPr>
            </w:pPr>
            <w:r w:rsidRPr="0047058F">
              <w:rPr>
                <w:rFonts w:cs="Arial"/>
                <w:sz w:val="13"/>
                <w:szCs w:val="13"/>
              </w:rPr>
              <w:t>1.55 (0.83–2.91)</w:t>
            </w:r>
          </w:p>
        </w:tc>
        <w:tc>
          <w:tcPr>
            <w:tcW w:w="438" w:type="pct"/>
          </w:tcPr>
          <w:p w14:paraId="51D4C623" w14:textId="77777777" w:rsidR="00992AAE" w:rsidRPr="0047058F" w:rsidRDefault="00992AAE" w:rsidP="003454A7">
            <w:pPr>
              <w:pStyle w:val="TableText"/>
              <w:spacing w:before="38" w:after="38"/>
              <w:jc w:val="right"/>
              <w:rPr>
                <w:sz w:val="13"/>
                <w:szCs w:val="13"/>
              </w:rPr>
            </w:pPr>
            <w:r w:rsidRPr="0047058F">
              <w:rPr>
                <w:sz w:val="13"/>
                <w:szCs w:val="13"/>
              </w:rPr>
              <w:t>1.60 (0.83–3.08)</w:t>
            </w:r>
          </w:p>
        </w:tc>
        <w:tc>
          <w:tcPr>
            <w:tcW w:w="438" w:type="pct"/>
          </w:tcPr>
          <w:p w14:paraId="6AC21C5B" w14:textId="77777777" w:rsidR="00992AAE" w:rsidRPr="0047058F" w:rsidRDefault="00992AAE" w:rsidP="003454A7">
            <w:pPr>
              <w:pStyle w:val="TableText"/>
              <w:spacing w:before="38" w:after="38"/>
              <w:jc w:val="right"/>
              <w:rPr>
                <w:sz w:val="13"/>
                <w:szCs w:val="13"/>
              </w:rPr>
            </w:pPr>
            <w:r w:rsidRPr="0047058F">
              <w:rPr>
                <w:rFonts w:cs="Arial"/>
                <w:sz w:val="13"/>
                <w:szCs w:val="13"/>
              </w:rPr>
              <w:t>2.78 (1.51–5.14)</w:t>
            </w:r>
          </w:p>
        </w:tc>
        <w:tc>
          <w:tcPr>
            <w:tcW w:w="439" w:type="pct"/>
          </w:tcPr>
          <w:p w14:paraId="33C6C1A0" w14:textId="77777777" w:rsidR="00992AAE" w:rsidRPr="0047058F" w:rsidRDefault="00992AAE" w:rsidP="003454A7">
            <w:pPr>
              <w:pStyle w:val="TableText"/>
              <w:spacing w:before="38" w:after="38"/>
              <w:jc w:val="right"/>
              <w:rPr>
                <w:sz w:val="13"/>
                <w:szCs w:val="13"/>
              </w:rPr>
            </w:pPr>
            <w:r w:rsidRPr="0047058F">
              <w:rPr>
                <w:sz w:val="13"/>
                <w:szCs w:val="13"/>
              </w:rPr>
              <w:t>3.11 (1.65–5.86)</w:t>
            </w:r>
          </w:p>
        </w:tc>
        <w:tc>
          <w:tcPr>
            <w:tcW w:w="275" w:type="pct"/>
          </w:tcPr>
          <w:p w14:paraId="6AFEE68C" w14:textId="77777777" w:rsidR="00992AAE" w:rsidRPr="0047058F" w:rsidRDefault="00992AAE" w:rsidP="003454A7">
            <w:pPr>
              <w:pStyle w:val="TableText"/>
              <w:spacing w:before="38" w:after="38"/>
              <w:jc w:val="right"/>
              <w:rPr>
                <w:color w:val="auto"/>
                <w:sz w:val="13"/>
                <w:szCs w:val="13"/>
              </w:rPr>
            </w:pPr>
          </w:p>
        </w:tc>
        <w:tc>
          <w:tcPr>
            <w:tcW w:w="288" w:type="pct"/>
          </w:tcPr>
          <w:p w14:paraId="4FDF7761" w14:textId="77777777" w:rsidR="00992AAE" w:rsidRPr="0047058F" w:rsidRDefault="00992AAE" w:rsidP="003454A7">
            <w:pPr>
              <w:pStyle w:val="TableText"/>
              <w:spacing w:before="38" w:after="38"/>
              <w:jc w:val="right"/>
              <w:rPr>
                <w:color w:val="auto"/>
                <w:sz w:val="13"/>
                <w:szCs w:val="13"/>
              </w:rPr>
            </w:pPr>
          </w:p>
        </w:tc>
      </w:tr>
      <w:tr w:rsidR="008F70CA" w:rsidRPr="0047058F" w14:paraId="5B543D7B" w14:textId="77777777" w:rsidTr="003454A7">
        <w:trPr>
          <w:cantSplit/>
        </w:trPr>
        <w:tc>
          <w:tcPr>
            <w:tcW w:w="746" w:type="pct"/>
          </w:tcPr>
          <w:p w14:paraId="7E913C1B" w14:textId="77777777" w:rsidR="00992AAE" w:rsidRPr="0047058F" w:rsidRDefault="00992AAE" w:rsidP="003454A7">
            <w:pPr>
              <w:pStyle w:val="TableText"/>
              <w:spacing w:before="38" w:after="38"/>
              <w:rPr>
                <w:rFonts w:eastAsia="Cambria"/>
              </w:rPr>
            </w:pPr>
            <w:r w:rsidRPr="0047058F">
              <w:rPr>
                <w:rFonts w:eastAsia="Cambria"/>
              </w:rPr>
              <w:t>Problematic anger on DAR-5</w:t>
            </w:r>
          </w:p>
        </w:tc>
        <w:tc>
          <w:tcPr>
            <w:tcW w:w="196" w:type="pct"/>
          </w:tcPr>
          <w:p w14:paraId="24BBE2F4" w14:textId="77777777" w:rsidR="00992AAE" w:rsidRPr="0047058F" w:rsidRDefault="00992AAE" w:rsidP="003454A7">
            <w:pPr>
              <w:pStyle w:val="TableText"/>
              <w:spacing w:before="38" w:after="38"/>
              <w:jc w:val="right"/>
              <w:rPr>
                <w:sz w:val="13"/>
                <w:szCs w:val="13"/>
              </w:rPr>
            </w:pPr>
          </w:p>
        </w:tc>
        <w:tc>
          <w:tcPr>
            <w:tcW w:w="472" w:type="pct"/>
          </w:tcPr>
          <w:p w14:paraId="56FE69F4" w14:textId="77777777" w:rsidR="00992AAE" w:rsidRPr="0047058F" w:rsidRDefault="00992AAE" w:rsidP="003454A7">
            <w:pPr>
              <w:pStyle w:val="TableText"/>
              <w:spacing w:before="38" w:after="38"/>
              <w:jc w:val="right"/>
              <w:rPr>
                <w:sz w:val="13"/>
                <w:szCs w:val="13"/>
              </w:rPr>
            </w:pPr>
          </w:p>
        </w:tc>
        <w:tc>
          <w:tcPr>
            <w:tcW w:w="196" w:type="pct"/>
          </w:tcPr>
          <w:p w14:paraId="7933A222" w14:textId="77777777" w:rsidR="00992AAE" w:rsidRPr="0047058F" w:rsidRDefault="00992AAE" w:rsidP="003454A7">
            <w:pPr>
              <w:pStyle w:val="TableText"/>
              <w:spacing w:before="38" w:after="38"/>
              <w:jc w:val="right"/>
              <w:rPr>
                <w:sz w:val="13"/>
                <w:szCs w:val="13"/>
              </w:rPr>
            </w:pPr>
          </w:p>
        </w:tc>
        <w:tc>
          <w:tcPr>
            <w:tcW w:w="432" w:type="pct"/>
          </w:tcPr>
          <w:p w14:paraId="4CDFF327" w14:textId="77777777" w:rsidR="00992AAE" w:rsidRPr="0047058F" w:rsidRDefault="00992AAE" w:rsidP="003454A7">
            <w:pPr>
              <w:pStyle w:val="TableText"/>
              <w:spacing w:before="38" w:after="38"/>
              <w:jc w:val="right"/>
              <w:rPr>
                <w:sz w:val="13"/>
                <w:szCs w:val="13"/>
              </w:rPr>
            </w:pPr>
          </w:p>
        </w:tc>
        <w:tc>
          <w:tcPr>
            <w:tcW w:w="211" w:type="pct"/>
          </w:tcPr>
          <w:p w14:paraId="4680024C" w14:textId="77777777" w:rsidR="00992AAE" w:rsidRPr="0047058F" w:rsidRDefault="00992AAE" w:rsidP="003454A7">
            <w:pPr>
              <w:pStyle w:val="TableText"/>
              <w:spacing w:before="38" w:after="38"/>
              <w:jc w:val="right"/>
              <w:rPr>
                <w:sz w:val="13"/>
                <w:szCs w:val="13"/>
              </w:rPr>
            </w:pPr>
          </w:p>
        </w:tc>
        <w:tc>
          <w:tcPr>
            <w:tcW w:w="431" w:type="pct"/>
          </w:tcPr>
          <w:p w14:paraId="37E5035D" w14:textId="77777777" w:rsidR="00992AAE" w:rsidRPr="0047058F" w:rsidRDefault="00992AAE" w:rsidP="003454A7">
            <w:pPr>
              <w:pStyle w:val="TableText"/>
              <w:spacing w:before="38" w:after="38"/>
              <w:jc w:val="right"/>
              <w:rPr>
                <w:sz w:val="13"/>
                <w:szCs w:val="13"/>
              </w:rPr>
            </w:pPr>
          </w:p>
        </w:tc>
        <w:tc>
          <w:tcPr>
            <w:tcW w:w="438" w:type="pct"/>
          </w:tcPr>
          <w:p w14:paraId="67BED3E2" w14:textId="77777777" w:rsidR="00992AAE" w:rsidRPr="0047058F" w:rsidRDefault="00992AAE" w:rsidP="003454A7">
            <w:pPr>
              <w:pStyle w:val="TableText"/>
              <w:spacing w:before="38" w:after="38"/>
              <w:jc w:val="right"/>
              <w:rPr>
                <w:sz w:val="13"/>
                <w:szCs w:val="13"/>
              </w:rPr>
            </w:pPr>
          </w:p>
        </w:tc>
        <w:tc>
          <w:tcPr>
            <w:tcW w:w="438" w:type="pct"/>
          </w:tcPr>
          <w:p w14:paraId="1ED381C9" w14:textId="77777777" w:rsidR="00992AAE" w:rsidRPr="0047058F" w:rsidRDefault="00992AAE" w:rsidP="003454A7">
            <w:pPr>
              <w:pStyle w:val="TableText"/>
              <w:spacing w:before="38" w:after="38"/>
              <w:jc w:val="right"/>
              <w:rPr>
                <w:sz w:val="13"/>
                <w:szCs w:val="13"/>
              </w:rPr>
            </w:pPr>
          </w:p>
        </w:tc>
        <w:tc>
          <w:tcPr>
            <w:tcW w:w="438" w:type="pct"/>
          </w:tcPr>
          <w:p w14:paraId="3326B916" w14:textId="77777777" w:rsidR="00992AAE" w:rsidRPr="0047058F" w:rsidRDefault="00992AAE" w:rsidP="003454A7">
            <w:pPr>
              <w:pStyle w:val="TableText"/>
              <w:spacing w:before="38" w:after="38"/>
              <w:jc w:val="right"/>
              <w:rPr>
                <w:sz w:val="13"/>
                <w:szCs w:val="13"/>
              </w:rPr>
            </w:pPr>
          </w:p>
        </w:tc>
        <w:tc>
          <w:tcPr>
            <w:tcW w:w="439" w:type="pct"/>
          </w:tcPr>
          <w:p w14:paraId="6F975C41" w14:textId="77777777" w:rsidR="00992AAE" w:rsidRPr="0047058F" w:rsidRDefault="00992AAE" w:rsidP="003454A7">
            <w:pPr>
              <w:pStyle w:val="TableText"/>
              <w:spacing w:before="38" w:after="38"/>
              <w:jc w:val="right"/>
              <w:rPr>
                <w:sz w:val="13"/>
                <w:szCs w:val="13"/>
              </w:rPr>
            </w:pPr>
          </w:p>
        </w:tc>
        <w:tc>
          <w:tcPr>
            <w:tcW w:w="275" w:type="pct"/>
          </w:tcPr>
          <w:p w14:paraId="1CBB0C99"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&lt; 0.0001</w:t>
            </w:r>
          </w:p>
        </w:tc>
        <w:tc>
          <w:tcPr>
            <w:tcW w:w="288" w:type="pct"/>
          </w:tcPr>
          <w:p w14:paraId="4EDEFB1C"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0.0017</w:t>
            </w:r>
          </w:p>
        </w:tc>
      </w:tr>
      <w:tr w:rsidR="008F70CA" w:rsidRPr="0047058F" w14:paraId="45DEBCFD"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49C78F7E" w14:textId="77777777" w:rsidR="00992AAE" w:rsidRPr="0047058F" w:rsidRDefault="00992AAE" w:rsidP="003454A7">
            <w:pPr>
              <w:pStyle w:val="TableText"/>
              <w:spacing w:before="38" w:after="38"/>
              <w:ind w:left="144"/>
              <w:rPr>
                <w:rFonts w:eastAsiaTheme="minorEastAsia"/>
              </w:rPr>
            </w:pPr>
            <w:r w:rsidRPr="0047058F">
              <w:rPr>
                <w:rFonts w:eastAsiaTheme="minorEastAsia"/>
              </w:rPr>
              <w:t>No</w:t>
            </w:r>
          </w:p>
        </w:tc>
        <w:tc>
          <w:tcPr>
            <w:tcW w:w="196" w:type="pct"/>
          </w:tcPr>
          <w:p w14:paraId="07D8BFA0" w14:textId="77777777" w:rsidR="00992AAE" w:rsidRPr="0047058F" w:rsidRDefault="00992AAE" w:rsidP="003454A7">
            <w:pPr>
              <w:pStyle w:val="TableText"/>
              <w:spacing w:before="38" w:after="38"/>
              <w:jc w:val="right"/>
              <w:rPr>
                <w:sz w:val="13"/>
                <w:szCs w:val="13"/>
              </w:rPr>
            </w:pPr>
            <w:r w:rsidRPr="0047058F">
              <w:rPr>
                <w:rFonts w:cs="Arial"/>
                <w:sz w:val="13"/>
                <w:szCs w:val="13"/>
              </w:rPr>
              <w:t>3139</w:t>
            </w:r>
          </w:p>
        </w:tc>
        <w:tc>
          <w:tcPr>
            <w:tcW w:w="472" w:type="pct"/>
          </w:tcPr>
          <w:p w14:paraId="213C115A" w14:textId="77777777" w:rsidR="00992AAE" w:rsidRPr="0047058F" w:rsidRDefault="00992AAE" w:rsidP="003454A7">
            <w:pPr>
              <w:pStyle w:val="TableText"/>
              <w:spacing w:before="38" w:after="38"/>
              <w:jc w:val="right"/>
              <w:rPr>
                <w:sz w:val="13"/>
                <w:szCs w:val="13"/>
              </w:rPr>
            </w:pPr>
            <w:r w:rsidRPr="0047058F">
              <w:rPr>
                <w:rFonts w:cs="Arial"/>
                <w:sz w:val="13"/>
                <w:szCs w:val="13"/>
              </w:rPr>
              <w:t>75.9 (66.3–85.5)</w:t>
            </w:r>
          </w:p>
        </w:tc>
        <w:tc>
          <w:tcPr>
            <w:tcW w:w="196" w:type="pct"/>
          </w:tcPr>
          <w:p w14:paraId="18727454" w14:textId="77777777" w:rsidR="00992AAE" w:rsidRPr="0047058F" w:rsidRDefault="00992AAE" w:rsidP="003454A7">
            <w:pPr>
              <w:pStyle w:val="TableText"/>
              <w:spacing w:before="38" w:after="38"/>
              <w:jc w:val="right"/>
              <w:rPr>
                <w:sz w:val="13"/>
                <w:szCs w:val="13"/>
              </w:rPr>
            </w:pPr>
            <w:r w:rsidRPr="0047058F">
              <w:rPr>
                <w:rFonts w:cs="Arial"/>
                <w:sz w:val="13"/>
                <w:szCs w:val="13"/>
              </w:rPr>
              <w:t>615</w:t>
            </w:r>
          </w:p>
        </w:tc>
        <w:tc>
          <w:tcPr>
            <w:tcW w:w="432" w:type="pct"/>
          </w:tcPr>
          <w:p w14:paraId="79E56AB1" w14:textId="77777777" w:rsidR="00992AAE" w:rsidRPr="0047058F" w:rsidRDefault="00992AAE" w:rsidP="003454A7">
            <w:pPr>
              <w:pStyle w:val="TableText"/>
              <w:spacing w:before="38" w:after="38"/>
              <w:jc w:val="right"/>
              <w:rPr>
                <w:sz w:val="13"/>
                <w:szCs w:val="13"/>
              </w:rPr>
            </w:pPr>
            <w:r w:rsidRPr="0047058F">
              <w:rPr>
                <w:rFonts w:cs="Arial"/>
                <w:sz w:val="13"/>
                <w:szCs w:val="13"/>
              </w:rPr>
              <w:t>14.9 (0.0–33.0)</w:t>
            </w:r>
          </w:p>
        </w:tc>
        <w:tc>
          <w:tcPr>
            <w:tcW w:w="211" w:type="pct"/>
          </w:tcPr>
          <w:p w14:paraId="713B00A2" w14:textId="77777777" w:rsidR="00992AAE" w:rsidRPr="0047058F" w:rsidRDefault="00992AAE" w:rsidP="003454A7">
            <w:pPr>
              <w:pStyle w:val="TableText"/>
              <w:spacing w:before="38" w:after="38"/>
              <w:jc w:val="right"/>
              <w:rPr>
                <w:sz w:val="13"/>
                <w:szCs w:val="13"/>
              </w:rPr>
            </w:pPr>
            <w:r w:rsidRPr="0047058F">
              <w:rPr>
                <w:rFonts w:cs="Arial"/>
                <w:sz w:val="13"/>
                <w:szCs w:val="13"/>
              </w:rPr>
              <w:t>382</w:t>
            </w:r>
          </w:p>
        </w:tc>
        <w:tc>
          <w:tcPr>
            <w:tcW w:w="431" w:type="pct"/>
          </w:tcPr>
          <w:p w14:paraId="7F943C43" w14:textId="77777777" w:rsidR="00992AAE" w:rsidRPr="0047058F" w:rsidRDefault="00992AAE" w:rsidP="003454A7">
            <w:pPr>
              <w:pStyle w:val="TableText"/>
              <w:spacing w:before="38" w:after="38"/>
              <w:jc w:val="right"/>
              <w:rPr>
                <w:sz w:val="13"/>
                <w:szCs w:val="13"/>
              </w:rPr>
            </w:pPr>
            <w:r w:rsidRPr="0047058F">
              <w:rPr>
                <w:rFonts w:cs="Arial"/>
                <w:sz w:val="13"/>
                <w:szCs w:val="13"/>
              </w:rPr>
              <w:t>9.2 (0.0–27.9)</w:t>
            </w:r>
          </w:p>
        </w:tc>
        <w:tc>
          <w:tcPr>
            <w:tcW w:w="438" w:type="pct"/>
          </w:tcPr>
          <w:p w14:paraId="74D8C874"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3B8EFC8F"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777BBB82"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60D567F4"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275" w:type="pct"/>
          </w:tcPr>
          <w:p w14:paraId="7601F40C" w14:textId="77777777" w:rsidR="00992AAE" w:rsidRPr="0047058F" w:rsidRDefault="00992AAE" w:rsidP="003454A7">
            <w:pPr>
              <w:pStyle w:val="TableText"/>
              <w:spacing w:before="38" w:after="38"/>
              <w:jc w:val="right"/>
              <w:rPr>
                <w:color w:val="auto"/>
                <w:sz w:val="13"/>
                <w:szCs w:val="13"/>
              </w:rPr>
            </w:pPr>
          </w:p>
        </w:tc>
        <w:tc>
          <w:tcPr>
            <w:tcW w:w="288" w:type="pct"/>
          </w:tcPr>
          <w:p w14:paraId="43FC6C97" w14:textId="77777777" w:rsidR="00992AAE" w:rsidRPr="0047058F" w:rsidRDefault="00992AAE" w:rsidP="003454A7">
            <w:pPr>
              <w:pStyle w:val="TableText"/>
              <w:spacing w:before="38" w:after="38"/>
              <w:jc w:val="right"/>
              <w:rPr>
                <w:color w:val="auto"/>
                <w:sz w:val="13"/>
                <w:szCs w:val="13"/>
              </w:rPr>
            </w:pPr>
          </w:p>
        </w:tc>
      </w:tr>
      <w:tr w:rsidR="008F70CA" w:rsidRPr="0047058F" w14:paraId="545E0AEE" w14:textId="77777777" w:rsidTr="003454A7">
        <w:trPr>
          <w:cantSplit/>
        </w:trPr>
        <w:tc>
          <w:tcPr>
            <w:tcW w:w="746" w:type="pct"/>
          </w:tcPr>
          <w:p w14:paraId="0D05117A" w14:textId="77777777" w:rsidR="00992AAE" w:rsidRPr="0047058F" w:rsidRDefault="00992AAE" w:rsidP="003454A7">
            <w:pPr>
              <w:pStyle w:val="TableText"/>
              <w:spacing w:before="38" w:after="38"/>
              <w:ind w:left="144"/>
              <w:rPr>
                <w:rFonts w:eastAsiaTheme="minorEastAsia"/>
              </w:rPr>
            </w:pPr>
            <w:r w:rsidRPr="0047058F">
              <w:rPr>
                <w:rFonts w:eastAsiaTheme="minorEastAsia"/>
              </w:rPr>
              <w:t>Yes</w:t>
            </w:r>
          </w:p>
        </w:tc>
        <w:tc>
          <w:tcPr>
            <w:tcW w:w="196" w:type="pct"/>
          </w:tcPr>
          <w:p w14:paraId="167C2773" w14:textId="77777777" w:rsidR="00992AAE" w:rsidRPr="0047058F" w:rsidRDefault="00992AAE" w:rsidP="003454A7">
            <w:pPr>
              <w:pStyle w:val="TableText"/>
              <w:spacing w:before="38" w:after="38"/>
              <w:jc w:val="right"/>
              <w:rPr>
                <w:sz w:val="13"/>
                <w:szCs w:val="13"/>
              </w:rPr>
            </w:pPr>
            <w:r w:rsidRPr="0047058F">
              <w:rPr>
                <w:rFonts w:cs="Arial"/>
                <w:sz w:val="13"/>
                <w:szCs w:val="13"/>
              </w:rPr>
              <w:t>46</w:t>
            </w:r>
          </w:p>
        </w:tc>
        <w:tc>
          <w:tcPr>
            <w:tcW w:w="472" w:type="pct"/>
          </w:tcPr>
          <w:p w14:paraId="34022E1C" w14:textId="77777777" w:rsidR="00992AAE" w:rsidRPr="0047058F" w:rsidRDefault="00992AAE" w:rsidP="003454A7">
            <w:pPr>
              <w:pStyle w:val="TableText"/>
              <w:spacing w:before="38" w:after="38"/>
              <w:jc w:val="right"/>
              <w:rPr>
                <w:sz w:val="13"/>
                <w:szCs w:val="13"/>
              </w:rPr>
            </w:pPr>
            <w:r w:rsidRPr="0047058F">
              <w:rPr>
                <w:rFonts w:cs="Arial"/>
                <w:sz w:val="13"/>
                <w:szCs w:val="13"/>
              </w:rPr>
              <w:t>53.5 (40.1–66.9)</w:t>
            </w:r>
          </w:p>
        </w:tc>
        <w:tc>
          <w:tcPr>
            <w:tcW w:w="196" w:type="pct"/>
          </w:tcPr>
          <w:p w14:paraId="52AFBF03" w14:textId="77777777" w:rsidR="00992AAE" w:rsidRPr="0047058F" w:rsidRDefault="00992AAE" w:rsidP="003454A7">
            <w:pPr>
              <w:pStyle w:val="TableText"/>
              <w:spacing w:before="38" w:after="38"/>
              <w:jc w:val="right"/>
              <w:rPr>
                <w:sz w:val="13"/>
                <w:szCs w:val="13"/>
              </w:rPr>
            </w:pPr>
            <w:r w:rsidRPr="0047058F">
              <w:rPr>
                <w:rFonts w:cs="Arial"/>
                <w:sz w:val="13"/>
                <w:szCs w:val="13"/>
              </w:rPr>
              <w:t>26</w:t>
            </w:r>
          </w:p>
        </w:tc>
        <w:tc>
          <w:tcPr>
            <w:tcW w:w="432" w:type="pct"/>
          </w:tcPr>
          <w:p w14:paraId="3B3FC3EF" w14:textId="77777777" w:rsidR="00992AAE" w:rsidRPr="0047058F" w:rsidRDefault="00992AAE" w:rsidP="003454A7">
            <w:pPr>
              <w:pStyle w:val="TableText"/>
              <w:spacing w:before="38" w:after="38"/>
              <w:jc w:val="right"/>
              <w:rPr>
                <w:sz w:val="13"/>
                <w:szCs w:val="13"/>
              </w:rPr>
            </w:pPr>
            <w:r w:rsidRPr="0047058F">
              <w:rPr>
                <w:rFonts w:cs="Arial"/>
                <w:sz w:val="13"/>
                <w:szCs w:val="13"/>
              </w:rPr>
              <w:t>30.2 (13.8–46.6)</w:t>
            </w:r>
          </w:p>
        </w:tc>
        <w:tc>
          <w:tcPr>
            <w:tcW w:w="211" w:type="pct"/>
          </w:tcPr>
          <w:p w14:paraId="184C8C9B" w14:textId="77777777" w:rsidR="00992AAE" w:rsidRPr="0047058F" w:rsidRDefault="00992AAE" w:rsidP="003454A7">
            <w:pPr>
              <w:pStyle w:val="TableText"/>
              <w:spacing w:before="38" w:after="38"/>
              <w:jc w:val="right"/>
              <w:rPr>
                <w:sz w:val="13"/>
                <w:szCs w:val="13"/>
              </w:rPr>
            </w:pPr>
            <w:r w:rsidRPr="0047058F">
              <w:rPr>
                <w:rFonts w:cs="Arial"/>
                <w:sz w:val="13"/>
                <w:szCs w:val="13"/>
              </w:rPr>
              <w:t>14</w:t>
            </w:r>
          </w:p>
        </w:tc>
        <w:tc>
          <w:tcPr>
            <w:tcW w:w="431" w:type="pct"/>
          </w:tcPr>
          <w:p w14:paraId="4BBAD58C" w14:textId="77777777" w:rsidR="00992AAE" w:rsidRPr="0047058F" w:rsidRDefault="00992AAE" w:rsidP="003454A7">
            <w:pPr>
              <w:pStyle w:val="TableText"/>
              <w:spacing w:before="38" w:after="38"/>
              <w:jc w:val="right"/>
              <w:rPr>
                <w:sz w:val="13"/>
                <w:szCs w:val="13"/>
              </w:rPr>
            </w:pPr>
            <w:r w:rsidRPr="0047058F">
              <w:rPr>
                <w:rFonts w:cs="Arial"/>
                <w:sz w:val="13"/>
                <w:szCs w:val="13"/>
              </w:rPr>
              <w:t>16.3 (0.0–34.2)</w:t>
            </w:r>
          </w:p>
        </w:tc>
        <w:tc>
          <w:tcPr>
            <w:tcW w:w="438" w:type="pct"/>
          </w:tcPr>
          <w:p w14:paraId="599F4163" w14:textId="77777777" w:rsidR="00992AAE" w:rsidRPr="0047058F" w:rsidRDefault="00992AAE" w:rsidP="003454A7">
            <w:pPr>
              <w:pStyle w:val="TableText"/>
              <w:spacing w:before="38" w:after="38"/>
              <w:jc w:val="right"/>
              <w:rPr>
                <w:sz w:val="13"/>
                <w:szCs w:val="13"/>
              </w:rPr>
            </w:pPr>
            <w:r w:rsidRPr="0047058F">
              <w:rPr>
                <w:rFonts w:cs="Arial"/>
                <w:sz w:val="13"/>
                <w:szCs w:val="13"/>
              </w:rPr>
              <w:t>2.98 (1.81–4.92)</w:t>
            </w:r>
          </w:p>
        </w:tc>
        <w:tc>
          <w:tcPr>
            <w:tcW w:w="438" w:type="pct"/>
          </w:tcPr>
          <w:p w14:paraId="4D9C5186" w14:textId="77777777" w:rsidR="00992AAE" w:rsidRPr="0047058F" w:rsidRDefault="00992AAE" w:rsidP="003454A7">
            <w:pPr>
              <w:pStyle w:val="TableText"/>
              <w:spacing w:before="38" w:after="38"/>
              <w:jc w:val="right"/>
              <w:rPr>
                <w:sz w:val="13"/>
                <w:szCs w:val="13"/>
              </w:rPr>
            </w:pPr>
            <w:r w:rsidRPr="0047058F">
              <w:rPr>
                <w:rFonts w:cs="Arial"/>
                <w:sz w:val="13"/>
                <w:szCs w:val="13"/>
              </w:rPr>
              <w:t>2.48 (1.47–4.18)</w:t>
            </w:r>
          </w:p>
        </w:tc>
        <w:tc>
          <w:tcPr>
            <w:tcW w:w="438" w:type="pct"/>
          </w:tcPr>
          <w:p w14:paraId="00F0645D" w14:textId="77777777" w:rsidR="00992AAE" w:rsidRPr="0047058F" w:rsidRDefault="00992AAE" w:rsidP="003454A7">
            <w:pPr>
              <w:pStyle w:val="TableText"/>
              <w:spacing w:before="38" w:after="38"/>
              <w:jc w:val="right"/>
              <w:rPr>
                <w:sz w:val="13"/>
                <w:szCs w:val="13"/>
              </w:rPr>
            </w:pPr>
            <w:r w:rsidRPr="0047058F">
              <w:rPr>
                <w:rFonts w:cs="Arial"/>
                <w:sz w:val="13"/>
                <w:szCs w:val="13"/>
              </w:rPr>
              <w:t>2.52 (1.34–4.72)</w:t>
            </w:r>
          </w:p>
        </w:tc>
        <w:tc>
          <w:tcPr>
            <w:tcW w:w="439" w:type="pct"/>
          </w:tcPr>
          <w:p w14:paraId="2146FFBB" w14:textId="77777777" w:rsidR="00992AAE" w:rsidRPr="0047058F" w:rsidRDefault="00992AAE" w:rsidP="003454A7">
            <w:pPr>
              <w:pStyle w:val="TableText"/>
              <w:spacing w:before="38" w:after="38"/>
              <w:jc w:val="right"/>
              <w:rPr>
                <w:sz w:val="13"/>
                <w:szCs w:val="13"/>
              </w:rPr>
            </w:pPr>
            <w:r w:rsidRPr="0047058F">
              <w:rPr>
                <w:rFonts w:cs="Arial"/>
                <w:sz w:val="13"/>
                <w:szCs w:val="13"/>
              </w:rPr>
              <w:t>1.99 (1.04–3.80)</w:t>
            </w:r>
          </w:p>
        </w:tc>
        <w:tc>
          <w:tcPr>
            <w:tcW w:w="275" w:type="pct"/>
          </w:tcPr>
          <w:p w14:paraId="3BCD6866" w14:textId="77777777" w:rsidR="00992AAE" w:rsidRPr="0047058F" w:rsidRDefault="00992AAE" w:rsidP="003454A7">
            <w:pPr>
              <w:pStyle w:val="TableText"/>
              <w:spacing w:before="38" w:after="38"/>
              <w:jc w:val="right"/>
              <w:rPr>
                <w:color w:val="auto"/>
                <w:sz w:val="13"/>
                <w:szCs w:val="13"/>
              </w:rPr>
            </w:pPr>
          </w:p>
        </w:tc>
        <w:tc>
          <w:tcPr>
            <w:tcW w:w="288" w:type="pct"/>
          </w:tcPr>
          <w:p w14:paraId="522AF0A0" w14:textId="77777777" w:rsidR="00992AAE" w:rsidRPr="0047058F" w:rsidRDefault="00992AAE" w:rsidP="003454A7">
            <w:pPr>
              <w:pStyle w:val="TableText"/>
              <w:spacing w:before="38" w:after="38"/>
              <w:jc w:val="right"/>
              <w:rPr>
                <w:color w:val="auto"/>
                <w:sz w:val="13"/>
                <w:szCs w:val="13"/>
              </w:rPr>
            </w:pPr>
          </w:p>
        </w:tc>
      </w:tr>
      <w:tr w:rsidR="008F70CA" w:rsidRPr="0047058F" w14:paraId="3E7CCE19"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bottom w:val="single" w:sz="4" w:space="0" w:color="000000"/>
            </w:tcBorders>
          </w:tcPr>
          <w:p w14:paraId="36D64060" w14:textId="77777777" w:rsidR="00992AAE" w:rsidRPr="0047058F" w:rsidRDefault="00992AAE" w:rsidP="003454A7">
            <w:pPr>
              <w:pStyle w:val="TableText"/>
              <w:spacing w:before="38" w:after="38"/>
            </w:pPr>
            <w:r w:rsidRPr="0047058F">
              <w:t>Resilience (mean)</w:t>
            </w:r>
          </w:p>
        </w:tc>
        <w:tc>
          <w:tcPr>
            <w:tcW w:w="196" w:type="pct"/>
            <w:tcBorders>
              <w:bottom w:val="single" w:sz="4" w:space="0" w:color="000000"/>
            </w:tcBorders>
          </w:tcPr>
          <w:p w14:paraId="54707CA3" w14:textId="77777777" w:rsidR="00992AAE" w:rsidRPr="0047058F" w:rsidRDefault="00992AAE" w:rsidP="003454A7">
            <w:pPr>
              <w:pStyle w:val="TableText"/>
              <w:spacing w:before="38" w:after="38"/>
              <w:jc w:val="right"/>
              <w:rPr>
                <w:sz w:val="13"/>
                <w:szCs w:val="13"/>
              </w:rPr>
            </w:pPr>
            <w:r w:rsidRPr="0047058F">
              <w:rPr>
                <w:rFonts w:cs="Arial"/>
                <w:sz w:val="13"/>
                <w:szCs w:val="13"/>
              </w:rPr>
              <w:t>3185</w:t>
            </w:r>
          </w:p>
        </w:tc>
        <w:tc>
          <w:tcPr>
            <w:tcW w:w="472" w:type="pct"/>
            <w:tcBorders>
              <w:bottom w:val="single" w:sz="4" w:space="0" w:color="000000"/>
            </w:tcBorders>
          </w:tcPr>
          <w:p w14:paraId="7A6A6A47" w14:textId="77777777" w:rsidR="00992AAE" w:rsidRPr="0047058F" w:rsidRDefault="00992AAE" w:rsidP="003454A7">
            <w:pPr>
              <w:pStyle w:val="TableText"/>
              <w:spacing w:before="38" w:after="38"/>
              <w:jc w:val="right"/>
              <w:rPr>
                <w:sz w:val="13"/>
                <w:szCs w:val="13"/>
              </w:rPr>
            </w:pPr>
            <w:r w:rsidRPr="0047058F">
              <w:rPr>
                <w:rFonts w:cs="Arial"/>
                <w:sz w:val="13"/>
                <w:szCs w:val="13"/>
              </w:rPr>
              <w:t>7.22 (0.02)</w:t>
            </w:r>
          </w:p>
        </w:tc>
        <w:tc>
          <w:tcPr>
            <w:tcW w:w="196" w:type="pct"/>
            <w:tcBorders>
              <w:bottom w:val="single" w:sz="4" w:space="0" w:color="000000"/>
            </w:tcBorders>
          </w:tcPr>
          <w:p w14:paraId="5F7C29AA" w14:textId="77777777" w:rsidR="00992AAE" w:rsidRPr="0047058F" w:rsidRDefault="00992AAE" w:rsidP="003454A7">
            <w:pPr>
              <w:pStyle w:val="TableText"/>
              <w:spacing w:before="38" w:after="38"/>
              <w:jc w:val="right"/>
              <w:rPr>
                <w:sz w:val="13"/>
                <w:szCs w:val="13"/>
              </w:rPr>
            </w:pPr>
            <w:r w:rsidRPr="0047058F">
              <w:rPr>
                <w:rFonts w:cs="Arial"/>
                <w:sz w:val="13"/>
                <w:szCs w:val="13"/>
              </w:rPr>
              <w:t>641</w:t>
            </w:r>
          </w:p>
        </w:tc>
        <w:tc>
          <w:tcPr>
            <w:tcW w:w="432" w:type="pct"/>
            <w:tcBorders>
              <w:bottom w:val="single" w:sz="4" w:space="0" w:color="000000"/>
            </w:tcBorders>
          </w:tcPr>
          <w:p w14:paraId="395752F9" w14:textId="77777777" w:rsidR="00992AAE" w:rsidRPr="0047058F" w:rsidRDefault="00992AAE" w:rsidP="003454A7">
            <w:pPr>
              <w:pStyle w:val="TableText"/>
              <w:spacing w:before="38" w:after="38"/>
              <w:jc w:val="right"/>
              <w:rPr>
                <w:sz w:val="13"/>
                <w:szCs w:val="13"/>
              </w:rPr>
            </w:pPr>
            <w:r w:rsidRPr="0047058F">
              <w:rPr>
                <w:rFonts w:cs="Arial"/>
                <w:sz w:val="13"/>
                <w:szCs w:val="13"/>
              </w:rPr>
              <w:t>7.00 (0.05)</w:t>
            </w:r>
          </w:p>
        </w:tc>
        <w:tc>
          <w:tcPr>
            <w:tcW w:w="211" w:type="pct"/>
            <w:tcBorders>
              <w:bottom w:val="single" w:sz="4" w:space="0" w:color="000000"/>
            </w:tcBorders>
          </w:tcPr>
          <w:p w14:paraId="6616E9BB" w14:textId="77777777" w:rsidR="00992AAE" w:rsidRPr="0047058F" w:rsidRDefault="00992AAE" w:rsidP="003454A7">
            <w:pPr>
              <w:pStyle w:val="TableText"/>
              <w:spacing w:before="38" w:after="38"/>
              <w:jc w:val="right"/>
              <w:rPr>
                <w:sz w:val="13"/>
                <w:szCs w:val="13"/>
              </w:rPr>
            </w:pPr>
            <w:r w:rsidRPr="0047058F">
              <w:rPr>
                <w:rFonts w:cs="Arial"/>
                <w:sz w:val="13"/>
                <w:szCs w:val="13"/>
              </w:rPr>
              <w:t>396</w:t>
            </w:r>
          </w:p>
        </w:tc>
        <w:tc>
          <w:tcPr>
            <w:tcW w:w="431" w:type="pct"/>
            <w:tcBorders>
              <w:bottom w:val="single" w:sz="4" w:space="0" w:color="000000"/>
            </w:tcBorders>
          </w:tcPr>
          <w:p w14:paraId="18118B85" w14:textId="77777777" w:rsidR="00992AAE" w:rsidRPr="0047058F" w:rsidRDefault="00992AAE" w:rsidP="003454A7">
            <w:pPr>
              <w:pStyle w:val="TableText"/>
              <w:spacing w:before="38" w:after="38"/>
              <w:jc w:val="right"/>
              <w:rPr>
                <w:sz w:val="13"/>
                <w:szCs w:val="13"/>
              </w:rPr>
            </w:pPr>
            <w:r w:rsidRPr="0047058F">
              <w:rPr>
                <w:rFonts w:cs="Arial"/>
                <w:sz w:val="13"/>
                <w:szCs w:val="13"/>
              </w:rPr>
              <w:t>7.10 (0.06)</w:t>
            </w:r>
          </w:p>
        </w:tc>
        <w:tc>
          <w:tcPr>
            <w:tcW w:w="438" w:type="pct"/>
            <w:tcBorders>
              <w:bottom w:val="single" w:sz="4" w:space="0" w:color="000000"/>
            </w:tcBorders>
          </w:tcPr>
          <w:p w14:paraId="742225F6" w14:textId="77777777" w:rsidR="00992AAE" w:rsidRPr="0047058F" w:rsidRDefault="00992AAE" w:rsidP="003454A7">
            <w:pPr>
              <w:pStyle w:val="TableText"/>
              <w:spacing w:before="38" w:after="38"/>
              <w:jc w:val="right"/>
              <w:rPr>
                <w:sz w:val="13"/>
                <w:szCs w:val="13"/>
              </w:rPr>
            </w:pPr>
            <w:r w:rsidRPr="0047058F">
              <w:rPr>
                <w:rFonts w:cs="Arial"/>
                <w:sz w:val="13"/>
                <w:szCs w:val="13"/>
              </w:rPr>
              <w:t>0.86 (0.80–0.92)</w:t>
            </w:r>
          </w:p>
        </w:tc>
        <w:tc>
          <w:tcPr>
            <w:tcW w:w="438" w:type="pct"/>
            <w:tcBorders>
              <w:bottom w:val="single" w:sz="4" w:space="0" w:color="000000"/>
            </w:tcBorders>
          </w:tcPr>
          <w:p w14:paraId="5D17347E" w14:textId="77777777" w:rsidR="00992AAE" w:rsidRPr="0047058F" w:rsidRDefault="00992AAE" w:rsidP="003454A7">
            <w:pPr>
              <w:pStyle w:val="TableText"/>
              <w:spacing w:before="38" w:after="38"/>
              <w:jc w:val="right"/>
              <w:rPr>
                <w:sz w:val="13"/>
                <w:szCs w:val="13"/>
              </w:rPr>
            </w:pPr>
            <w:r w:rsidRPr="0047058F">
              <w:rPr>
                <w:sz w:val="13"/>
                <w:szCs w:val="13"/>
              </w:rPr>
              <w:t>0.88 (0.82–0.95)</w:t>
            </w:r>
          </w:p>
        </w:tc>
        <w:tc>
          <w:tcPr>
            <w:tcW w:w="438" w:type="pct"/>
            <w:tcBorders>
              <w:bottom w:val="single" w:sz="4" w:space="0" w:color="000000"/>
            </w:tcBorders>
          </w:tcPr>
          <w:p w14:paraId="5E45B5CA" w14:textId="77777777" w:rsidR="00992AAE" w:rsidRPr="0047058F" w:rsidRDefault="00992AAE" w:rsidP="003454A7">
            <w:pPr>
              <w:pStyle w:val="TableText"/>
              <w:spacing w:before="38" w:after="38"/>
              <w:jc w:val="right"/>
              <w:rPr>
                <w:sz w:val="13"/>
                <w:szCs w:val="13"/>
              </w:rPr>
            </w:pPr>
            <w:r w:rsidRPr="0047058F">
              <w:rPr>
                <w:rFonts w:cs="Arial"/>
                <w:sz w:val="13"/>
                <w:szCs w:val="13"/>
              </w:rPr>
              <w:t>0.94 (0.85–1.03)</w:t>
            </w:r>
          </w:p>
        </w:tc>
        <w:tc>
          <w:tcPr>
            <w:tcW w:w="439" w:type="pct"/>
            <w:tcBorders>
              <w:bottom w:val="single" w:sz="4" w:space="0" w:color="000000"/>
            </w:tcBorders>
          </w:tcPr>
          <w:p w14:paraId="335BF56D" w14:textId="77777777" w:rsidR="00992AAE" w:rsidRPr="0047058F" w:rsidRDefault="00992AAE" w:rsidP="003454A7">
            <w:pPr>
              <w:pStyle w:val="TableText"/>
              <w:spacing w:before="38" w:after="38"/>
              <w:jc w:val="right"/>
              <w:rPr>
                <w:sz w:val="13"/>
                <w:szCs w:val="13"/>
              </w:rPr>
            </w:pPr>
            <w:r w:rsidRPr="0047058F">
              <w:rPr>
                <w:sz w:val="13"/>
                <w:szCs w:val="13"/>
              </w:rPr>
              <w:t>0.97 (0.88–1.07)</w:t>
            </w:r>
          </w:p>
        </w:tc>
        <w:tc>
          <w:tcPr>
            <w:tcW w:w="275" w:type="pct"/>
            <w:tcBorders>
              <w:bottom w:val="single" w:sz="4" w:space="0" w:color="000000"/>
            </w:tcBorders>
          </w:tcPr>
          <w:p w14:paraId="69E337C7" w14:textId="77777777" w:rsidR="00992AAE" w:rsidRPr="0047058F" w:rsidRDefault="00992AAE" w:rsidP="003454A7">
            <w:pPr>
              <w:pStyle w:val="TableText"/>
              <w:spacing w:before="38" w:after="38"/>
              <w:jc w:val="right"/>
              <w:rPr>
                <w:color w:val="auto"/>
                <w:sz w:val="13"/>
                <w:szCs w:val="13"/>
              </w:rPr>
            </w:pPr>
            <w:r w:rsidRPr="0047058F">
              <w:rPr>
                <w:color w:val="auto"/>
                <w:sz w:val="13"/>
                <w:szCs w:val="13"/>
              </w:rPr>
              <w:t>&lt; 0.0001</w:t>
            </w:r>
          </w:p>
        </w:tc>
        <w:tc>
          <w:tcPr>
            <w:tcW w:w="288" w:type="pct"/>
            <w:tcBorders>
              <w:bottom w:val="single" w:sz="4" w:space="0" w:color="000000"/>
            </w:tcBorders>
          </w:tcPr>
          <w:p w14:paraId="4CDFBDAF"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0.0032</w:t>
            </w:r>
          </w:p>
        </w:tc>
      </w:tr>
      <w:tr w:rsidR="003454A7" w:rsidRPr="0047058F" w14:paraId="4ADE5C4C" w14:textId="77777777" w:rsidTr="003454A7">
        <w:trPr>
          <w:cantSplit/>
        </w:trPr>
        <w:tc>
          <w:tcPr>
            <w:tcW w:w="5000" w:type="pct"/>
            <w:gridSpan w:val="13"/>
            <w:tcBorders>
              <w:top w:val="single" w:sz="4" w:space="0" w:color="000000"/>
              <w:bottom w:val="nil"/>
            </w:tcBorders>
          </w:tcPr>
          <w:p w14:paraId="54FB61A8" w14:textId="77777777" w:rsidR="003454A7" w:rsidRPr="0047058F" w:rsidRDefault="003454A7" w:rsidP="003454A7">
            <w:pPr>
              <w:pStyle w:val="TableText"/>
              <w:spacing w:before="38" w:after="38"/>
              <w:rPr>
                <w:rFonts w:cs="Arial"/>
                <w:color w:val="auto"/>
                <w:sz w:val="13"/>
                <w:szCs w:val="13"/>
              </w:rPr>
            </w:pPr>
            <w:r w:rsidRPr="0047058F">
              <w:rPr>
                <w:b/>
                <w:color w:val="auto"/>
              </w:rPr>
              <w:t>Help seeking (time point 1)</w:t>
            </w:r>
          </w:p>
        </w:tc>
      </w:tr>
      <w:tr w:rsidR="008F70CA" w:rsidRPr="0047058F" w14:paraId="30C56E45"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top w:val="nil"/>
            </w:tcBorders>
          </w:tcPr>
          <w:p w14:paraId="4F87A986" w14:textId="77777777" w:rsidR="00992AAE" w:rsidRPr="0047058F" w:rsidRDefault="00992AAE" w:rsidP="003454A7">
            <w:pPr>
              <w:pStyle w:val="TableText"/>
              <w:spacing w:before="38" w:after="38"/>
            </w:pPr>
            <w:r w:rsidRPr="0047058F">
              <w:t>Seen any health professional in last month for feelings of psychological distress</w:t>
            </w:r>
          </w:p>
        </w:tc>
        <w:tc>
          <w:tcPr>
            <w:tcW w:w="196" w:type="pct"/>
            <w:tcBorders>
              <w:top w:val="nil"/>
            </w:tcBorders>
          </w:tcPr>
          <w:p w14:paraId="227F5252" w14:textId="77777777" w:rsidR="00992AAE" w:rsidRPr="0047058F" w:rsidRDefault="00992AAE" w:rsidP="003454A7">
            <w:pPr>
              <w:pStyle w:val="TableText"/>
              <w:spacing w:before="38" w:after="38"/>
              <w:jc w:val="right"/>
              <w:rPr>
                <w:sz w:val="13"/>
                <w:szCs w:val="13"/>
              </w:rPr>
            </w:pPr>
          </w:p>
        </w:tc>
        <w:tc>
          <w:tcPr>
            <w:tcW w:w="472" w:type="pct"/>
            <w:tcBorders>
              <w:top w:val="nil"/>
            </w:tcBorders>
          </w:tcPr>
          <w:p w14:paraId="0985E910" w14:textId="77777777" w:rsidR="00992AAE" w:rsidRPr="0047058F" w:rsidRDefault="00992AAE" w:rsidP="003454A7">
            <w:pPr>
              <w:pStyle w:val="TableText"/>
              <w:spacing w:before="38" w:after="38"/>
              <w:jc w:val="right"/>
              <w:rPr>
                <w:sz w:val="13"/>
                <w:szCs w:val="13"/>
              </w:rPr>
            </w:pPr>
          </w:p>
        </w:tc>
        <w:tc>
          <w:tcPr>
            <w:tcW w:w="196" w:type="pct"/>
            <w:tcBorders>
              <w:top w:val="nil"/>
            </w:tcBorders>
          </w:tcPr>
          <w:p w14:paraId="714AB30C" w14:textId="77777777" w:rsidR="00992AAE" w:rsidRPr="0047058F" w:rsidRDefault="00992AAE" w:rsidP="003454A7">
            <w:pPr>
              <w:pStyle w:val="TableText"/>
              <w:spacing w:before="38" w:after="38"/>
              <w:jc w:val="right"/>
              <w:rPr>
                <w:sz w:val="13"/>
                <w:szCs w:val="13"/>
              </w:rPr>
            </w:pPr>
          </w:p>
        </w:tc>
        <w:tc>
          <w:tcPr>
            <w:tcW w:w="432" w:type="pct"/>
            <w:tcBorders>
              <w:top w:val="nil"/>
            </w:tcBorders>
          </w:tcPr>
          <w:p w14:paraId="59C3C1F4" w14:textId="77777777" w:rsidR="00992AAE" w:rsidRPr="0047058F" w:rsidRDefault="00992AAE" w:rsidP="003454A7">
            <w:pPr>
              <w:pStyle w:val="TableText"/>
              <w:spacing w:before="38" w:after="38"/>
              <w:jc w:val="right"/>
              <w:rPr>
                <w:sz w:val="13"/>
                <w:szCs w:val="13"/>
              </w:rPr>
            </w:pPr>
          </w:p>
        </w:tc>
        <w:tc>
          <w:tcPr>
            <w:tcW w:w="211" w:type="pct"/>
            <w:tcBorders>
              <w:top w:val="nil"/>
            </w:tcBorders>
          </w:tcPr>
          <w:p w14:paraId="45F48B60" w14:textId="77777777" w:rsidR="00992AAE" w:rsidRPr="0047058F" w:rsidRDefault="00992AAE" w:rsidP="003454A7">
            <w:pPr>
              <w:pStyle w:val="TableText"/>
              <w:spacing w:before="38" w:after="38"/>
              <w:jc w:val="right"/>
              <w:rPr>
                <w:sz w:val="13"/>
                <w:szCs w:val="13"/>
              </w:rPr>
            </w:pPr>
          </w:p>
        </w:tc>
        <w:tc>
          <w:tcPr>
            <w:tcW w:w="431" w:type="pct"/>
            <w:tcBorders>
              <w:top w:val="nil"/>
            </w:tcBorders>
          </w:tcPr>
          <w:p w14:paraId="5193C4A1"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2CEB3DC4"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57AD438C" w14:textId="77777777" w:rsidR="00992AAE" w:rsidRPr="0047058F" w:rsidRDefault="00992AAE" w:rsidP="003454A7">
            <w:pPr>
              <w:pStyle w:val="TableText"/>
              <w:spacing w:before="38" w:after="38"/>
              <w:jc w:val="right"/>
              <w:rPr>
                <w:sz w:val="13"/>
                <w:szCs w:val="13"/>
              </w:rPr>
            </w:pPr>
          </w:p>
        </w:tc>
        <w:tc>
          <w:tcPr>
            <w:tcW w:w="438" w:type="pct"/>
            <w:tcBorders>
              <w:top w:val="nil"/>
            </w:tcBorders>
          </w:tcPr>
          <w:p w14:paraId="2D05264E" w14:textId="77777777" w:rsidR="00992AAE" w:rsidRPr="0047058F" w:rsidRDefault="00992AAE" w:rsidP="003454A7">
            <w:pPr>
              <w:pStyle w:val="TableText"/>
              <w:spacing w:before="38" w:after="38"/>
              <w:jc w:val="right"/>
              <w:rPr>
                <w:sz w:val="13"/>
                <w:szCs w:val="13"/>
              </w:rPr>
            </w:pPr>
          </w:p>
        </w:tc>
        <w:tc>
          <w:tcPr>
            <w:tcW w:w="439" w:type="pct"/>
            <w:tcBorders>
              <w:top w:val="nil"/>
            </w:tcBorders>
          </w:tcPr>
          <w:p w14:paraId="399B4D03" w14:textId="77777777" w:rsidR="00992AAE" w:rsidRPr="0047058F" w:rsidRDefault="00992AAE" w:rsidP="003454A7">
            <w:pPr>
              <w:pStyle w:val="TableText"/>
              <w:spacing w:before="38" w:after="38"/>
              <w:jc w:val="right"/>
              <w:rPr>
                <w:sz w:val="13"/>
                <w:szCs w:val="13"/>
              </w:rPr>
            </w:pPr>
          </w:p>
        </w:tc>
        <w:tc>
          <w:tcPr>
            <w:tcW w:w="275" w:type="pct"/>
            <w:tcBorders>
              <w:top w:val="nil"/>
            </w:tcBorders>
          </w:tcPr>
          <w:p w14:paraId="15E63B4B" w14:textId="77777777" w:rsidR="00992AAE" w:rsidRPr="0047058F" w:rsidRDefault="00992AAE" w:rsidP="003454A7">
            <w:pPr>
              <w:pStyle w:val="TableText"/>
              <w:spacing w:before="38" w:after="38"/>
              <w:jc w:val="right"/>
              <w:rPr>
                <w:rFonts w:cs="Arial"/>
                <w:color w:val="auto"/>
                <w:sz w:val="13"/>
                <w:szCs w:val="13"/>
              </w:rPr>
            </w:pPr>
            <w:r w:rsidRPr="0047058F">
              <w:rPr>
                <w:rFonts w:cs="Arial"/>
                <w:color w:val="auto"/>
                <w:sz w:val="13"/>
                <w:szCs w:val="13"/>
              </w:rPr>
              <w:t>0.0012</w:t>
            </w:r>
          </w:p>
        </w:tc>
        <w:tc>
          <w:tcPr>
            <w:tcW w:w="288" w:type="pct"/>
            <w:tcBorders>
              <w:top w:val="nil"/>
            </w:tcBorders>
          </w:tcPr>
          <w:p w14:paraId="3C7D5F7F" w14:textId="77777777" w:rsidR="00992AAE" w:rsidRPr="0047058F" w:rsidRDefault="00992AAE" w:rsidP="003454A7">
            <w:pPr>
              <w:pStyle w:val="TableText"/>
              <w:spacing w:before="38" w:after="38"/>
              <w:jc w:val="right"/>
              <w:rPr>
                <w:color w:val="auto"/>
                <w:sz w:val="13"/>
                <w:szCs w:val="13"/>
              </w:rPr>
            </w:pPr>
            <w:r w:rsidRPr="0047058F">
              <w:rPr>
                <w:rFonts w:cs="Arial"/>
                <w:color w:val="auto"/>
                <w:sz w:val="13"/>
                <w:szCs w:val="13"/>
              </w:rPr>
              <w:t>ns</w:t>
            </w:r>
          </w:p>
        </w:tc>
      </w:tr>
      <w:tr w:rsidR="008F70CA" w:rsidRPr="0047058F" w14:paraId="2E1AA1EF" w14:textId="77777777" w:rsidTr="003454A7">
        <w:trPr>
          <w:cantSplit/>
        </w:trPr>
        <w:tc>
          <w:tcPr>
            <w:tcW w:w="746" w:type="pct"/>
          </w:tcPr>
          <w:p w14:paraId="21240C75" w14:textId="77777777" w:rsidR="00992AAE" w:rsidRPr="0047058F" w:rsidRDefault="00992AAE" w:rsidP="003454A7">
            <w:pPr>
              <w:pStyle w:val="TableText"/>
              <w:spacing w:before="38" w:after="38"/>
              <w:ind w:left="144"/>
              <w:rPr>
                <w:rFonts w:eastAsia="Cambria"/>
              </w:rPr>
            </w:pPr>
            <w:r w:rsidRPr="0047058F">
              <w:rPr>
                <w:rFonts w:eastAsia="Cambria"/>
              </w:rPr>
              <w:t>No</w:t>
            </w:r>
          </w:p>
        </w:tc>
        <w:tc>
          <w:tcPr>
            <w:tcW w:w="196" w:type="pct"/>
          </w:tcPr>
          <w:p w14:paraId="7EFEB19A" w14:textId="77777777" w:rsidR="00992AAE" w:rsidRPr="0047058F" w:rsidRDefault="00992AAE" w:rsidP="003454A7">
            <w:pPr>
              <w:pStyle w:val="TableText"/>
              <w:spacing w:before="38" w:after="38"/>
              <w:jc w:val="right"/>
              <w:rPr>
                <w:sz w:val="13"/>
                <w:szCs w:val="13"/>
              </w:rPr>
            </w:pPr>
            <w:r w:rsidRPr="0047058F">
              <w:rPr>
                <w:rFonts w:cs="Arial"/>
                <w:sz w:val="13"/>
                <w:szCs w:val="13"/>
              </w:rPr>
              <w:t>3091</w:t>
            </w:r>
          </w:p>
        </w:tc>
        <w:tc>
          <w:tcPr>
            <w:tcW w:w="472" w:type="pct"/>
          </w:tcPr>
          <w:p w14:paraId="0BF05DA1" w14:textId="77777777" w:rsidR="00992AAE" w:rsidRPr="0047058F" w:rsidRDefault="00992AAE" w:rsidP="003454A7">
            <w:pPr>
              <w:pStyle w:val="TableText"/>
              <w:spacing w:before="38" w:after="38"/>
              <w:jc w:val="right"/>
              <w:rPr>
                <w:sz w:val="13"/>
                <w:szCs w:val="13"/>
              </w:rPr>
            </w:pPr>
            <w:r w:rsidRPr="0047058F">
              <w:rPr>
                <w:rFonts w:cs="Arial"/>
                <w:sz w:val="13"/>
                <w:szCs w:val="13"/>
              </w:rPr>
              <w:t>75.8 (66.2–85.4)</w:t>
            </w:r>
          </w:p>
        </w:tc>
        <w:tc>
          <w:tcPr>
            <w:tcW w:w="196" w:type="pct"/>
          </w:tcPr>
          <w:p w14:paraId="1F44A68F" w14:textId="77777777" w:rsidR="00992AAE" w:rsidRPr="0047058F" w:rsidRDefault="00992AAE" w:rsidP="003454A7">
            <w:pPr>
              <w:pStyle w:val="TableText"/>
              <w:spacing w:before="38" w:after="38"/>
              <w:jc w:val="right"/>
              <w:rPr>
                <w:sz w:val="13"/>
                <w:szCs w:val="13"/>
              </w:rPr>
            </w:pPr>
            <w:r w:rsidRPr="0047058F">
              <w:rPr>
                <w:rFonts w:cs="Arial"/>
                <w:sz w:val="13"/>
                <w:szCs w:val="13"/>
              </w:rPr>
              <w:t>603</w:t>
            </w:r>
          </w:p>
        </w:tc>
        <w:tc>
          <w:tcPr>
            <w:tcW w:w="432" w:type="pct"/>
          </w:tcPr>
          <w:p w14:paraId="27B670DA" w14:textId="77777777" w:rsidR="00992AAE" w:rsidRPr="0047058F" w:rsidRDefault="00992AAE" w:rsidP="003454A7">
            <w:pPr>
              <w:pStyle w:val="TableText"/>
              <w:spacing w:before="38" w:after="38"/>
              <w:jc w:val="right"/>
              <w:rPr>
                <w:sz w:val="13"/>
                <w:szCs w:val="13"/>
              </w:rPr>
            </w:pPr>
            <w:r w:rsidRPr="0047058F">
              <w:rPr>
                <w:rFonts w:cs="Arial"/>
                <w:sz w:val="13"/>
                <w:szCs w:val="13"/>
              </w:rPr>
              <w:t>14.8 (0.0–32.9)</w:t>
            </w:r>
          </w:p>
        </w:tc>
        <w:tc>
          <w:tcPr>
            <w:tcW w:w="211" w:type="pct"/>
          </w:tcPr>
          <w:p w14:paraId="1D1417D1" w14:textId="77777777" w:rsidR="00992AAE" w:rsidRPr="0047058F" w:rsidRDefault="00992AAE" w:rsidP="003454A7">
            <w:pPr>
              <w:pStyle w:val="TableText"/>
              <w:spacing w:before="38" w:after="38"/>
              <w:jc w:val="right"/>
              <w:rPr>
                <w:sz w:val="13"/>
                <w:szCs w:val="13"/>
              </w:rPr>
            </w:pPr>
            <w:r w:rsidRPr="0047058F">
              <w:rPr>
                <w:rFonts w:cs="Arial"/>
                <w:sz w:val="13"/>
                <w:szCs w:val="13"/>
              </w:rPr>
              <w:t>382</w:t>
            </w:r>
          </w:p>
        </w:tc>
        <w:tc>
          <w:tcPr>
            <w:tcW w:w="431" w:type="pct"/>
          </w:tcPr>
          <w:p w14:paraId="26E25E61" w14:textId="77777777" w:rsidR="00992AAE" w:rsidRPr="0047058F" w:rsidRDefault="00992AAE" w:rsidP="003454A7">
            <w:pPr>
              <w:pStyle w:val="TableText"/>
              <w:spacing w:before="38" w:after="38"/>
              <w:jc w:val="right"/>
              <w:rPr>
                <w:sz w:val="13"/>
                <w:szCs w:val="13"/>
              </w:rPr>
            </w:pPr>
            <w:r w:rsidRPr="0047058F">
              <w:rPr>
                <w:rFonts w:cs="Arial"/>
                <w:sz w:val="13"/>
                <w:szCs w:val="13"/>
              </w:rPr>
              <w:t>9.4 (0.0–28.1)</w:t>
            </w:r>
          </w:p>
        </w:tc>
        <w:tc>
          <w:tcPr>
            <w:tcW w:w="438" w:type="pct"/>
          </w:tcPr>
          <w:p w14:paraId="554B8495"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4D2A1DB2"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8" w:type="pct"/>
          </w:tcPr>
          <w:p w14:paraId="63C22023"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439" w:type="pct"/>
          </w:tcPr>
          <w:p w14:paraId="2957BCD4" w14:textId="77777777" w:rsidR="00992AAE" w:rsidRPr="0047058F" w:rsidRDefault="00992AAE" w:rsidP="003454A7">
            <w:pPr>
              <w:pStyle w:val="TableText"/>
              <w:spacing w:before="38" w:after="38"/>
              <w:jc w:val="right"/>
              <w:rPr>
                <w:sz w:val="13"/>
                <w:szCs w:val="13"/>
              </w:rPr>
            </w:pPr>
            <w:r w:rsidRPr="0047058F">
              <w:rPr>
                <w:sz w:val="13"/>
                <w:szCs w:val="13"/>
              </w:rPr>
              <w:t>ref</w:t>
            </w:r>
          </w:p>
        </w:tc>
        <w:tc>
          <w:tcPr>
            <w:tcW w:w="275" w:type="pct"/>
          </w:tcPr>
          <w:p w14:paraId="25F3C9E3" w14:textId="77777777" w:rsidR="00992AAE" w:rsidRPr="0047058F" w:rsidRDefault="00992AAE" w:rsidP="003454A7">
            <w:pPr>
              <w:pStyle w:val="TableText"/>
              <w:spacing w:before="38" w:after="38"/>
              <w:jc w:val="right"/>
              <w:rPr>
                <w:color w:val="auto"/>
                <w:sz w:val="13"/>
                <w:szCs w:val="13"/>
              </w:rPr>
            </w:pPr>
          </w:p>
        </w:tc>
        <w:tc>
          <w:tcPr>
            <w:tcW w:w="288" w:type="pct"/>
          </w:tcPr>
          <w:p w14:paraId="1494DE23" w14:textId="77777777" w:rsidR="00992AAE" w:rsidRPr="0047058F" w:rsidRDefault="00992AAE" w:rsidP="003454A7">
            <w:pPr>
              <w:pStyle w:val="TableText"/>
              <w:spacing w:before="38" w:after="38"/>
              <w:jc w:val="right"/>
              <w:rPr>
                <w:color w:val="auto"/>
                <w:sz w:val="13"/>
                <w:szCs w:val="13"/>
              </w:rPr>
            </w:pPr>
          </w:p>
        </w:tc>
      </w:tr>
      <w:tr w:rsidR="008F70CA" w:rsidRPr="0047058F" w14:paraId="7C946B41"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bottom w:val="single" w:sz="4" w:space="0" w:color="000000"/>
            </w:tcBorders>
          </w:tcPr>
          <w:p w14:paraId="4EC310A9" w14:textId="77777777" w:rsidR="00992AAE" w:rsidRPr="0047058F" w:rsidRDefault="00992AAE" w:rsidP="003454A7">
            <w:pPr>
              <w:pStyle w:val="TableText"/>
              <w:spacing w:before="38" w:after="38"/>
              <w:ind w:left="144"/>
              <w:rPr>
                <w:rFonts w:eastAsiaTheme="minorEastAsia"/>
              </w:rPr>
            </w:pPr>
            <w:r w:rsidRPr="0047058F">
              <w:rPr>
                <w:rFonts w:eastAsiaTheme="minorEastAsia"/>
              </w:rPr>
              <w:t>Yes</w:t>
            </w:r>
          </w:p>
        </w:tc>
        <w:tc>
          <w:tcPr>
            <w:tcW w:w="196" w:type="pct"/>
            <w:tcBorders>
              <w:bottom w:val="single" w:sz="4" w:space="0" w:color="000000"/>
            </w:tcBorders>
          </w:tcPr>
          <w:p w14:paraId="2C62FE22" w14:textId="77777777" w:rsidR="00992AAE" w:rsidRPr="0047058F" w:rsidRDefault="00992AAE" w:rsidP="003454A7">
            <w:pPr>
              <w:pStyle w:val="TableText"/>
              <w:spacing w:before="38" w:after="38"/>
              <w:jc w:val="right"/>
              <w:rPr>
                <w:sz w:val="13"/>
                <w:szCs w:val="13"/>
              </w:rPr>
            </w:pPr>
            <w:r w:rsidRPr="0047058F">
              <w:rPr>
                <w:rFonts w:cs="Arial"/>
                <w:sz w:val="13"/>
                <w:szCs w:val="13"/>
              </w:rPr>
              <w:t>94</w:t>
            </w:r>
          </w:p>
        </w:tc>
        <w:tc>
          <w:tcPr>
            <w:tcW w:w="472" w:type="pct"/>
            <w:tcBorders>
              <w:bottom w:val="single" w:sz="4" w:space="0" w:color="000000"/>
            </w:tcBorders>
          </w:tcPr>
          <w:p w14:paraId="6CBC36EA" w14:textId="77777777" w:rsidR="00992AAE" w:rsidRPr="0047058F" w:rsidRDefault="00992AAE" w:rsidP="003454A7">
            <w:pPr>
              <w:pStyle w:val="TableText"/>
              <w:spacing w:before="38" w:after="38"/>
              <w:jc w:val="right"/>
              <w:rPr>
                <w:sz w:val="13"/>
                <w:szCs w:val="13"/>
              </w:rPr>
            </w:pPr>
            <w:r w:rsidRPr="0047058F">
              <w:rPr>
                <w:rFonts w:cs="Arial"/>
                <w:sz w:val="13"/>
                <w:szCs w:val="13"/>
              </w:rPr>
              <w:t>64.4 (52.7–76.1)</w:t>
            </w:r>
          </w:p>
        </w:tc>
        <w:tc>
          <w:tcPr>
            <w:tcW w:w="196" w:type="pct"/>
            <w:tcBorders>
              <w:bottom w:val="single" w:sz="4" w:space="0" w:color="000000"/>
            </w:tcBorders>
          </w:tcPr>
          <w:p w14:paraId="0B93A3AD" w14:textId="77777777" w:rsidR="00992AAE" w:rsidRPr="0047058F" w:rsidRDefault="00992AAE" w:rsidP="003454A7">
            <w:pPr>
              <w:pStyle w:val="TableText"/>
              <w:spacing w:before="38" w:after="38"/>
              <w:jc w:val="right"/>
              <w:rPr>
                <w:sz w:val="13"/>
                <w:szCs w:val="13"/>
              </w:rPr>
            </w:pPr>
            <w:r w:rsidRPr="0047058F">
              <w:rPr>
                <w:rFonts w:cs="Arial"/>
                <w:sz w:val="13"/>
                <w:szCs w:val="13"/>
              </w:rPr>
              <w:t>38</w:t>
            </w:r>
          </w:p>
        </w:tc>
        <w:tc>
          <w:tcPr>
            <w:tcW w:w="432" w:type="pct"/>
            <w:tcBorders>
              <w:bottom w:val="single" w:sz="4" w:space="0" w:color="000000"/>
            </w:tcBorders>
          </w:tcPr>
          <w:p w14:paraId="39FAD048" w14:textId="77777777" w:rsidR="00992AAE" w:rsidRPr="0047058F" w:rsidRDefault="00992AAE" w:rsidP="003454A7">
            <w:pPr>
              <w:pStyle w:val="TableText"/>
              <w:spacing w:before="38" w:after="38"/>
              <w:jc w:val="right"/>
              <w:rPr>
                <w:sz w:val="13"/>
                <w:szCs w:val="13"/>
              </w:rPr>
            </w:pPr>
            <w:r w:rsidRPr="0047058F">
              <w:rPr>
                <w:rFonts w:cs="Arial"/>
                <w:sz w:val="13"/>
                <w:szCs w:val="13"/>
              </w:rPr>
              <w:t>26.0 (9.1–42.9)</w:t>
            </w:r>
          </w:p>
        </w:tc>
        <w:tc>
          <w:tcPr>
            <w:tcW w:w="211" w:type="pct"/>
            <w:tcBorders>
              <w:bottom w:val="single" w:sz="4" w:space="0" w:color="000000"/>
            </w:tcBorders>
          </w:tcPr>
          <w:p w14:paraId="661528FB" w14:textId="77777777" w:rsidR="00992AAE" w:rsidRPr="0047058F" w:rsidRDefault="00992AAE" w:rsidP="003454A7">
            <w:pPr>
              <w:pStyle w:val="TableText"/>
              <w:spacing w:before="38" w:after="38"/>
              <w:jc w:val="right"/>
              <w:rPr>
                <w:sz w:val="13"/>
                <w:szCs w:val="13"/>
              </w:rPr>
            </w:pPr>
            <w:r w:rsidRPr="0047058F">
              <w:rPr>
                <w:rFonts w:cs="Arial"/>
                <w:sz w:val="13"/>
                <w:szCs w:val="13"/>
              </w:rPr>
              <w:t>14</w:t>
            </w:r>
          </w:p>
        </w:tc>
        <w:tc>
          <w:tcPr>
            <w:tcW w:w="431" w:type="pct"/>
            <w:tcBorders>
              <w:bottom w:val="single" w:sz="4" w:space="0" w:color="000000"/>
            </w:tcBorders>
          </w:tcPr>
          <w:p w14:paraId="54D20252" w14:textId="77777777" w:rsidR="00992AAE" w:rsidRPr="0047058F" w:rsidRDefault="00992AAE" w:rsidP="003454A7">
            <w:pPr>
              <w:pStyle w:val="TableText"/>
              <w:spacing w:before="38" w:after="38"/>
              <w:jc w:val="right"/>
              <w:rPr>
                <w:sz w:val="13"/>
                <w:szCs w:val="13"/>
              </w:rPr>
            </w:pPr>
            <w:r w:rsidRPr="0047058F">
              <w:rPr>
                <w:rFonts w:cs="Arial"/>
                <w:sz w:val="13"/>
                <w:szCs w:val="13"/>
              </w:rPr>
              <w:t>9.6 (0.0–28.2)</w:t>
            </w:r>
          </w:p>
        </w:tc>
        <w:tc>
          <w:tcPr>
            <w:tcW w:w="438" w:type="pct"/>
            <w:tcBorders>
              <w:bottom w:val="single" w:sz="4" w:space="0" w:color="000000"/>
            </w:tcBorders>
          </w:tcPr>
          <w:p w14:paraId="17AFD52A" w14:textId="77777777" w:rsidR="00992AAE" w:rsidRPr="0047058F" w:rsidRDefault="00992AAE" w:rsidP="003454A7">
            <w:pPr>
              <w:pStyle w:val="TableText"/>
              <w:spacing w:before="38" w:after="38"/>
              <w:jc w:val="right"/>
              <w:rPr>
                <w:sz w:val="13"/>
                <w:szCs w:val="13"/>
              </w:rPr>
            </w:pPr>
            <w:r w:rsidRPr="0047058F">
              <w:rPr>
                <w:rFonts w:cs="Arial"/>
                <w:sz w:val="13"/>
                <w:szCs w:val="13"/>
              </w:rPr>
              <w:t>2.12 (1.42–3.17)</w:t>
            </w:r>
          </w:p>
        </w:tc>
        <w:tc>
          <w:tcPr>
            <w:tcW w:w="438" w:type="pct"/>
            <w:tcBorders>
              <w:bottom w:val="single" w:sz="4" w:space="0" w:color="000000"/>
            </w:tcBorders>
          </w:tcPr>
          <w:p w14:paraId="4F9169C6" w14:textId="77777777" w:rsidR="00992AAE" w:rsidRPr="0047058F" w:rsidRDefault="00992AAE" w:rsidP="003454A7">
            <w:pPr>
              <w:pStyle w:val="TableText"/>
              <w:spacing w:before="38" w:after="38"/>
              <w:jc w:val="right"/>
              <w:rPr>
                <w:sz w:val="13"/>
                <w:szCs w:val="13"/>
              </w:rPr>
            </w:pPr>
            <w:r w:rsidRPr="0047058F">
              <w:rPr>
                <w:sz w:val="13"/>
                <w:szCs w:val="13"/>
              </w:rPr>
              <w:t>1.58 (1.04–2.42)</w:t>
            </w:r>
          </w:p>
        </w:tc>
        <w:tc>
          <w:tcPr>
            <w:tcW w:w="438" w:type="pct"/>
            <w:tcBorders>
              <w:bottom w:val="single" w:sz="4" w:space="0" w:color="000000"/>
            </w:tcBorders>
          </w:tcPr>
          <w:p w14:paraId="1893AFA4" w14:textId="77777777" w:rsidR="00992AAE" w:rsidRPr="0047058F" w:rsidRDefault="00992AAE" w:rsidP="003454A7">
            <w:pPr>
              <w:pStyle w:val="TableText"/>
              <w:spacing w:before="38" w:after="38"/>
              <w:jc w:val="right"/>
              <w:rPr>
                <w:sz w:val="13"/>
                <w:szCs w:val="13"/>
              </w:rPr>
            </w:pPr>
            <w:r w:rsidRPr="0047058F">
              <w:rPr>
                <w:rFonts w:cs="Arial"/>
                <w:sz w:val="13"/>
                <w:szCs w:val="13"/>
              </w:rPr>
              <w:t>1.15 (0.62–2.13)</w:t>
            </w:r>
          </w:p>
        </w:tc>
        <w:tc>
          <w:tcPr>
            <w:tcW w:w="439" w:type="pct"/>
            <w:tcBorders>
              <w:bottom w:val="single" w:sz="4" w:space="0" w:color="000000"/>
            </w:tcBorders>
          </w:tcPr>
          <w:p w14:paraId="74C5F0D4" w14:textId="77777777" w:rsidR="00992AAE" w:rsidRPr="0047058F" w:rsidRDefault="00992AAE" w:rsidP="003454A7">
            <w:pPr>
              <w:pStyle w:val="TableText"/>
              <w:spacing w:before="38" w:after="38"/>
              <w:jc w:val="right"/>
              <w:rPr>
                <w:sz w:val="13"/>
                <w:szCs w:val="13"/>
              </w:rPr>
            </w:pPr>
            <w:r w:rsidRPr="0047058F">
              <w:rPr>
                <w:sz w:val="13"/>
                <w:szCs w:val="13"/>
              </w:rPr>
              <w:t>0.87 (0.46–1.63)</w:t>
            </w:r>
          </w:p>
        </w:tc>
        <w:tc>
          <w:tcPr>
            <w:tcW w:w="275" w:type="pct"/>
            <w:tcBorders>
              <w:bottom w:val="single" w:sz="4" w:space="0" w:color="000000"/>
            </w:tcBorders>
          </w:tcPr>
          <w:p w14:paraId="68B4F571" w14:textId="77777777" w:rsidR="00992AAE" w:rsidRPr="0047058F" w:rsidRDefault="00992AAE" w:rsidP="003454A7">
            <w:pPr>
              <w:pStyle w:val="TableText"/>
              <w:spacing w:before="38" w:after="38"/>
              <w:jc w:val="right"/>
              <w:rPr>
                <w:color w:val="auto"/>
                <w:sz w:val="13"/>
                <w:szCs w:val="13"/>
              </w:rPr>
            </w:pPr>
          </w:p>
        </w:tc>
        <w:tc>
          <w:tcPr>
            <w:tcW w:w="288" w:type="pct"/>
            <w:tcBorders>
              <w:bottom w:val="single" w:sz="4" w:space="0" w:color="000000"/>
            </w:tcBorders>
          </w:tcPr>
          <w:p w14:paraId="0138D6C8" w14:textId="77777777" w:rsidR="00992AAE" w:rsidRPr="0047058F" w:rsidRDefault="00992AAE" w:rsidP="003454A7">
            <w:pPr>
              <w:pStyle w:val="TableText"/>
              <w:spacing w:before="38" w:after="38"/>
              <w:jc w:val="right"/>
              <w:rPr>
                <w:color w:val="auto"/>
                <w:sz w:val="13"/>
                <w:szCs w:val="13"/>
              </w:rPr>
            </w:pPr>
          </w:p>
        </w:tc>
      </w:tr>
      <w:tr w:rsidR="003454A7" w:rsidRPr="0047058F" w14:paraId="08353B8C" w14:textId="77777777" w:rsidTr="003454A7">
        <w:trPr>
          <w:cantSplit/>
        </w:trPr>
        <w:tc>
          <w:tcPr>
            <w:tcW w:w="5000" w:type="pct"/>
            <w:gridSpan w:val="13"/>
            <w:tcBorders>
              <w:top w:val="single" w:sz="4" w:space="0" w:color="000000"/>
              <w:bottom w:val="nil"/>
            </w:tcBorders>
          </w:tcPr>
          <w:p w14:paraId="64E38A15" w14:textId="382E4388" w:rsidR="003454A7" w:rsidRPr="0047058F" w:rsidRDefault="003454A7" w:rsidP="003876A3">
            <w:pPr>
              <w:pStyle w:val="TableText"/>
              <w:spacing w:before="38" w:after="38"/>
              <w:rPr>
                <w:color w:val="000000" w:themeColor="text1"/>
                <w:sz w:val="13"/>
                <w:szCs w:val="13"/>
              </w:rPr>
            </w:pPr>
            <w:r w:rsidRPr="0047058F">
              <w:rPr>
                <w:rFonts w:eastAsiaTheme="minorEastAsia"/>
                <w:b/>
                <w:color w:val="auto"/>
                <w:lang w:eastAsia="en-AU"/>
              </w:rPr>
              <w:t>Lifetime trauma and deployment exposures (time point 2)</w:t>
            </w:r>
          </w:p>
        </w:tc>
      </w:tr>
      <w:tr w:rsidR="008F70CA" w:rsidRPr="0047058F" w14:paraId="63D78992"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Borders>
              <w:top w:val="nil"/>
            </w:tcBorders>
          </w:tcPr>
          <w:p w14:paraId="7D3A1D42" w14:textId="77777777" w:rsidR="00992AAE" w:rsidRPr="0047058F" w:rsidRDefault="00992AAE" w:rsidP="003454A7">
            <w:pPr>
              <w:pStyle w:val="TableText"/>
              <w:spacing w:before="38" w:after="38"/>
              <w:rPr>
                <w:rFonts w:eastAsia="Cambria"/>
                <w:color w:val="000000" w:themeColor="text1"/>
              </w:rPr>
            </w:pPr>
            <w:r w:rsidRPr="0047058F">
              <w:rPr>
                <w:rFonts w:eastAsia="Cambria"/>
                <w:color w:val="000000" w:themeColor="text1"/>
              </w:rPr>
              <w:t>Number of different traumatic deployment exposures</w:t>
            </w:r>
          </w:p>
        </w:tc>
        <w:tc>
          <w:tcPr>
            <w:tcW w:w="196" w:type="pct"/>
            <w:tcBorders>
              <w:top w:val="nil"/>
            </w:tcBorders>
          </w:tcPr>
          <w:p w14:paraId="39815E0B" w14:textId="77777777" w:rsidR="00992AAE" w:rsidRPr="0047058F" w:rsidRDefault="00992AAE" w:rsidP="003454A7">
            <w:pPr>
              <w:pStyle w:val="TableText"/>
              <w:spacing w:before="38" w:after="38"/>
              <w:jc w:val="right"/>
              <w:rPr>
                <w:color w:val="000000" w:themeColor="text1"/>
                <w:sz w:val="13"/>
                <w:szCs w:val="13"/>
              </w:rPr>
            </w:pPr>
          </w:p>
        </w:tc>
        <w:tc>
          <w:tcPr>
            <w:tcW w:w="472" w:type="pct"/>
            <w:tcBorders>
              <w:top w:val="nil"/>
            </w:tcBorders>
          </w:tcPr>
          <w:p w14:paraId="3301A995" w14:textId="77777777" w:rsidR="00992AAE" w:rsidRPr="0047058F" w:rsidRDefault="00992AAE" w:rsidP="003454A7">
            <w:pPr>
              <w:pStyle w:val="TableText"/>
              <w:spacing w:before="38" w:after="38"/>
              <w:jc w:val="right"/>
              <w:rPr>
                <w:color w:val="000000" w:themeColor="text1"/>
                <w:sz w:val="13"/>
                <w:szCs w:val="13"/>
              </w:rPr>
            </w:pPr>
          </w:p>
        </w:tc>
        <w:tc>
          <w:tcPr>
            <w:tcW w:w="196" w:type="pct"/>
            <w:tcBorders>
              <w:top w:val="nil"/>
            </w:tcBorders>
          </w:tcPr>
          <w:p w14:paraId="61D38DF2" w14:textId="77777777" w:rsidR="00992AAE" w:rsidRPr="0047058F" w:rsidRDefault="00992AAE" w:rsidP="003454A7">
            <w:pPr>
              <w:pStyle w:val="TableText"/>
              <w:spacing w:before="38" w:after="38"/>
              <w:jc w:val="right"/>
              <w:rPr>
                <w:color w:val="000000" w:themeColor="text1"/>
                <w:sz w:val="13"/>
                <w:szCs w:val="13"/>
              </w:rPr>
            </w:pPr>
          </w:p>
        </w:tc>
        <w:tc>
          <w:tcPr>
            <w:tcW w:w="432" w:type="pct"/>
            <w:tcBorders>
              <w:top w:val="nil"/>
            </w:tcBorders>
          </w:tcPr>
          <w:p w14:paraId="0BF96E6F" w14:textId="77777777" w:rsidR="00992AAE" w:rsidRPr="0047058F" w:rsidRDefault="00992AAE" w:rsidP="003454A7">
            <w:pPr>
              <w:pStyle w:val="TableText"/>
              <w:spacing w:before="38" w:after="38"/>
              <w:jc w:val="right"/>
              <w:rPr>
                <w:color w:val="000000" w:themeColor="text1"/>
                <w:sz w:val="13"/>
                <w:szCs w:val="13"/>
              </w:rPr>
            </w:pPr>
          </w:p>
        </w:tc>
        <w:tc>
          <w:tcPr>
            <w:tcW w:w="211" w:type="pct"/>
            <w:tcBorders>
              <w:top w:val="nil"/>
            </w:tcBorders>
          </w:tcPr>
          <w:p w14:paraId="7B0E52EA" w14:textId="77777777" w:rsidR="00992AAE" w:rsidRPr="0047058F" w:rsidRDefault="00992AAE" w:rsidP="003454A7">
            <w:pPr>
              <w:pStyle w:val="TableText"/>
              <w:spacing w:before="38" w:after="38"/>
              <w:jc w:val="right"/>
              <w:rPr>
                <w:color w:val="000000" w:themeColor="text1"/>
                <w:sz w:val="13"/>
                <w:szCs w:val="13"/>
              </w:rPr>
            </w:pPr>
          </w:p>
        </w:tc>
        <w:tc>
          <w:tcPr>
            <w:tcW w:w="431" w:type="pct"/>
            <w:tcBorders>
              <w:top w:val="nil"/>
            </w:tcBorders>
          </w:tcPr>
          <w:p w14:paraId="6F8FDCDB" w14:textId="77777777" w:rsidR="00992AAE" w:rsidRPr="0047058F" w:rsidRDefault="00992AAE" w:rsidP="003454A7">
            <w:pPr>
              <w:pStyle w:val="TableText"/>
              <w:spacing w:before="38" w:after="38"/>
              <w:jc w:val="right"/>
              <w:rPr>
                <w:color w:val="000000" w:themeColor="text1"/>
                <w:sz w:val="13"/>
                <w:szCs w:val="13"/>
              </w:rPr>
            </w:pPr>
          </w:p>
        </w:tc>
        <w:tc>
          <w:tcPr>
            <w:tcW w:w="438" w:type="pct"/>
            <w:tcBorders>
              <w:top w:val="nil"/>
            </w:tcBorders>
          </w:tcPr>
          <w:p w14:paraId="7D18B584" w14:textId="77777777" w:rsidR="00992AAE" w:rsidRPr="0047058F" w:rsidRDefault="00992AAE" w:rsidP="003454A7">
            <w:pPr>
              <w:pStyle w:val="TableText"/>
              <w:spacing w:before="38" w:after="38"/>
              <w:jc w:val="right"/>
              <w:rPr>
                <w:color w:val="000000" w:themeColor="text1"/>
                <w:sz w:val="13"/>
                <w:szCs w:val="13"/>
              </w:rPr>
            </w:pPr>
          </w:p>
        </w:tc>
        <w:tc>
          <w:tcPr>
            <w:tcW w:w="438" w:type="pct"/>
            <w:tcBorders>
              <w:top w:val="nil"/>
            </w:tcBorders>
          </w:tcPr>
          <w:p w14:paraId="37F881D0" w14:textId="77777777" w:rsidR="00992AAE" w:rsidRPr="0047058F" w:rsidRDefault="00992AAE" w:rsidP="003454A7">
            <w:pPr>
              <w:pStyle w:val="TableText"/>
              <w:spacing w:before="38" w:after="38"/>
              <w:jc w:val="right"/>
              <w:rPr>
                <w:color w:val="000000" w:themeColor="text1"/>
                <w:sz w:val="13"/>
                <w:szCs w:val="13"/>
              </w:rPr>
            </w:pPr>
          </w:p>
        </w:tc>
        <w:tc>
          <w:tcPr>
            <w:tcW w:w="438" w:type="pct"/>
            <w:tcBorders>
              <w:top w:val="nil"/>
            </w:tcBorders>
          </w:tcPr>
          <w:p w14:paraId="5398E1F3" w14:textId="77777777" w:rsidR="00992AAE" w:rsidRPr="0047058F" w:rsidRDefault="00992AAE" w:rsidP="003454A7">
            <w:pPr>
              <w:pStyle w:val="TableText"/>
              <w:spacing w:before="38" w:after="38"/>
              <w:jc w:val="right"/>
              <w:rPr>
                <w:color w:val="000000" w:themeColor="text1"/>
                <w:sz w:val="13"/>
                <w:szCs w:val="13"/>
              </w:rPr>
            </w:pPr>
          </w:p>
        </w:tc>
        <w:tc>
          <w:tcPr>
            <w:tcW w:w="439" w:type="pct"/>
            <w:tcBorders>
              <w:top w:val="nil"/>
            </w:tcBorders>
          </w:tcPr>
          <w:p w14:paraId="2B211BDE" w14:textId="77777777" w:rsidR="00992AAE" w:rsidRPr="0047058F" w:rsidRDefault="00992AAE" w:rsidP="003454A7">
            <w:pPr>
              <w:pStyle w:val="TableText"/>
              <w:spacing w:before="38" w:after="38"/>
              <w:jc w:val="right"/>
              <w:rPr>
                <w:color w:val="000000" w:themeColor="text1"/>
                <w:sz w:val="13"/>
                <w:szCs w:val="13"/>
              </w:rPr>
            </w:pPr>
          </w:p>
        </w:tc>
        <w:tc>
          <w:tcPr>
            <w:tcW w:w="275" w:type="pct"/>
            <w:tcBorders>
              <w:top w:val="nil"/>
            </w:tcBorders>
          </w:tcPr>
          <w:p w14:paraId="3036DF67"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&lt; 0.0001</w:t>
            </w:r>
          </w:p>
        </w:tc>
        <w:tc>
          <w:tcPr>
            <w:tcW w:w="288" w:type="pct"/>
            <w:tcBorders>
              <w:top w:val="nil"/>
            </w:tcBorders>
          </w:tcPr>
          <w:p w14:paraId="44253E65"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&lt; 0.0001</w:t>
            </w:r>
          </w:p>
        </w:tc>
      </w:tr>
      <w:tr w:rsidR="008F70CA" w:rsidRPr="0047058F" w14:paraId="5FC3122D" w14:textId="77777777" w:rsidTr="003454A7">
        <w:trPr>
          <w:cantSplit/>
        </w:trPr>
        <w:tc>
          <w:tcPr>
            <w:tcW w:w="746" w:type="pct"/>
          </w:tcPr>
          <w:p w14:paraId="5EC5A0EB" w14:textId="77777777" w:rsidR="00992AAE" w:rsidRPr="0047058F" w:rsidRDefault="00992AAE" w:rsidP="003454A7">
            <w:pPr>
              <w:pStyle w:val="TableText"/>
              <w:spacing w:before="38" w:after="38"/>
              <w:ind w:left="144"/>
              <w:rPr>
                <w:rFonts w:eastAsia="Cambria"/>
                <w:color w:val="000000" w:themeColor="text1"/>
              </w:rPr>
            </w:pPr>
            <w:r w:rsidRPr="0047058F">
              <w:rPr>
                <w:rFonts w:eastAsia="Cambria"/>
                <w:color w:val="000000" w:themeColor="text1"/>
              </w:rPr>
              <w:t>Low</w:t>
            </w:r>
          </w:p>
        </w:tc>
        <w:tc>
          <w:tcPr>
            <w:tcW w:w="196" w:type="pct"/>
          </w:tcPr>
          <w:p w14:paraId="5EBB5360"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1697</w:t>
            </w:r>
          </w:p>
        </w:tc>
        <w:tc>
          <w:tcPr>
            <w:tcW w:w="472" w:type="pct"/>
          </w:tcPr>
          <w:p w14:paraId="537A7B51"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82.2 (73.9–90.5)</w:t>
            </w:r>
          </w:p>
        </w:tc>
        <w:tc>
          <w:tcPr>
            <w:tcW w:w="196" w:type="pct"/>
          </w:tcPr>
          <w:p w14:paraId="1CD9AC6B"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219</w:t>
            </w:r>
          </w:p>
        </w:tc>
        <w:tc>
          <w:tcPr>
            <w:tcW w:w="432" w:type="pct"/>
          </w:tcPr>
          <w:p w14:paraId="65B83E1D"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10.6 (0.0–29.1)</w:t>
            </w:r>
          </w:p>
        </w:tc>
        <w:tc>
          <w:tcPr>
            <w:tcW w:w="211" w:type="pct"/>
          </w:tcPr>
          <w:p w14:paraId="6833D60B"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149</w:t>
            </w:r>
          </w:p>
        </w:tc>
        <w:tc>
          <w:tcPr>
            <w:tcW w:w="431" w:type="pct"/>
          </w:tcPr>
          <w:p w14:paraId="27A75956"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7.2 (0.0–26.1)</w:t>
            </w:r>
          </w:p>
        </w:tc>
        <w:tc>
          <w:tcPr>
            <w:tcW w:w="438" w:type="pct"/>
          </w:tcPr>
          <w:p w14:paraId="5A1AFCF3"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5866E5C5"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7E899B31"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9" w:type="pct"/>
          </w:tcPr>
          <w:p w14:paraId="0013A4D6"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275" w:type="pct"/>
          </w:tcPr>
          <w:p w14:paraId="0CA746F0"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08592A94" w14:textId="77777777" w:rsidR="00992AAE" w:rsidRPr="0047058F" w:rsidRDefault="00992AAE" w:rsidP="003454A7">
            <w:pPr>
              <w:pStyle w:val="TableText"/>
              <w:spacing w:before="38" w:after="38"/>
              <w:jc w:val="right"/>
              <w:rPr>
                <w:color w:val="000000" w:themeColor="text1"/>
                <w:sz w:val="13"/>
                <w:szCs w:val="13"/>
              </w:rPr>
            </w:pPr>
          </w:p>
        </w:tc>
      </w:tr>
      <w:tr w:rsidR="008F70CA" w:rsidRPr="0047058F" w14:paraId="2FA16007"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599D28A6" w14:textId="77777777" w:rsidR="00992AAE" w:rsidRPr="0047058F" w:rsidRDefault="00992AAE" w:rsidP="003454A7">
            <w:pPr>
              <w:pStyle w:val="TableText"/>
              <w:spacing w:before="38" w:after="38"/>
              <w:ind w:left="144"/>
              <w:rPr>
                <w:rFonts w:eastAsia="Cambria"/>
                <w:color w:val="000000" w:themeColor="text1"/>
              </w:rPr>
            </w:pPr>
            <w:r w:rsidRPr="0047058F">
              <w:rPr>
                <w:rFonts w:eastAsia="Cambria"/>
                <w:color w:val="000000" w:themeColor="text1"/>
              </w:rPr>
              <w:t>Moderate</w:t>
            </w:r>
          </w:p>
        </w:tc>
        <w:tc>
          <w:tcPr>
            <w:tcW w:w="196" w:type="pct"/>
          </w:tcPr>
          <w:p w14:paraId="7D2D49EF"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790</w:t>
            </w:r>
          </w:p>
        </w:tc>
        <w:tc>
          <w:tcPr>
            <w:tcW w:w="472" w:type="pct"/>
          </w:tcPr>
          <w:p w14:paraId="4D7A49AA"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75.8 (66.2–85.4)</w:t>
            </w:r>
          </w:p>
        </w:tc>
        <w:tc>
          <w:tcPr>
            <w:tcW w:w="196" w:type="pct"/>
          </w:tcPr>
          <w:p w14:paraId="6768D1B4"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158</w:t>
            </w:r>
          </w:p>
        </w:tc>
        <w:tc>
          <w:tcPr>
            <w:tcW w:w="432" w:type="pct"/>
          </w:tcPr>
          <w:p w14:paraId="3B41C327"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15.2 (0.0–33.2)</w:t>
            </w:r>
          </w:p>
        </w:tc>
        <w:tc>
          <w:tcPr>
            <w:tcW w:w="211" w:type="pct"/>
          </w:tcPr>
          <w:p w14:paraId="64E8840F"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94</w:t>
            </w:r>
          </w:p>
        </w:tc>
        <w:tc>
          <w:tcPr>
            <w:tcW w:w="431" w:type="pct"/>
          </w:tcPr>
          <w:p w14:paraId="471F2BEF"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9.0 (0.0–27.7)</w:t>
            </w:r>
          </w:p>
        </w:tc>
        <w:tc>
          <w:tcPr>
            <w:tcW w:w="438" w:type="pct"/>
          </w:tcPr>
          <w:p w14:paraId="11E54CAA"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1.51 (1.19–1.92)</w:t>
            </w:r>
          </w:p>
        </w:tc>
        <w:tc>
          <w:tcPr>
            <w:tcW w:w="438" w:type="pct"/>
          </w:tcPr>
          <w:p w14:paraId="24BACB42"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1.26 (0.98–1.62)</w:t>
            </w:r>
          </w:p>
        </w:tc>
        <w:tc>
          <w:tcPr>
            <w:tcW w:w="438" w:type="pct"/>
          </w:tcPr>
          <w:p w14:paraId="2D1470FA"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1.45 (1.09–1.94)</w:t>
            </w:r>
          </w:p>
        </w:tc>
        <w:tc>
          <w:tcPr>
            <w:tcW w:w="439" w:type="pct"/>
          </w:tcPr>
          <w:p w14:paraId="043F0409"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1.31 (0.96–1.77)</w:t>
            </w:r>
          </w:p>
        </w:tc>
        <w:tc>
          <w:tcPr>
            <w:tcW w:w="275" w:type="pct"/>
          </w:tcPr>
          <w:p w14:paraId="008A7F40"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5C4073A5" w14:textId="77777777" w:rsidR="00992AAE" w:rsidRPr="0047058F" w:rsidRDefault="00992AAE" w:rsidP="003454A7">
            <w:pPr>
              <w:pStyle w:val="TableText"/>
              <w:spacing w:before="38" w:after="38"/>
              <w:jc w:val="right"/>
              <w:rPr>
                <w:color w:val="000000" w:themeColor="text1"/>
                <w:sz w:val="13"/>
                <w:szCs w:val="13"/>
              </w:rPr>
            </w:pPr>
          </w:p>
        </w:tc>
      </w:tr>
      <w:tr w:rsidR="008F70CA" w:rsidRPr="0047058F" w14:paraId="02DCEE13" w14:textId="77777777" w:rsidTr="003454A7">
        <w:trPr>
          <w:cantSplit/>
        </w:trPr>
        <w:tc>
          <w:tcPr>
            <w:tcW w:w="746" w:type="pct"/>
          </w:tcPr>
          <w:p w14:paraId="5CEDBEBD" w14:textId="77777777" w:rsidR="00992AAE" w:rsidRPr="0047058F" w:rsidRDefault="00992AAE" w:rsidP="003454A7">
            <w:pPr>
              <w:pStyle w:val="TableText"/>
              <w:spacing w:before="38" w:after="38"/>
              <w:ind w:left="144"/>
              <w:rPr>
                <w:rFonts w:eastAsia="Cambria"/>
                <w:color w:val="000000" w:themeColor="text1"/>
              </w:rPr>
            </w:pPr>
            <w:r w:rsidRPr="0047058F">
              <w:rPr>
                <w:rFonts w:eastAsia="Cambria"/>
                <w:color w:val="000000" w:themeColor="text1"/>
              </w:rPr>
              <w:t>High</w:t>
            </w:r>
          </w:p>
        </w:tc>
        <w:tc>
          <w:tcPr>
            <w:tcW w:w="196" w:type="pct"/>
          </w:tcPr>
          <w:p w14:paraId="27BB3C77"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698</w:t>
            </w:r>
          </w:p>
        </w:tc>
        <w:tc>
          <w:tcPr>
            <w:tcW w:w="472" w:type="pct"/>
          </w:tcPr>
          <w:p w14:paraId="550B78F8"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62.6 (50.6–74.6)</w:t>
            </w:r>
          </w:p>
        </w:tc>
        <w:tc>
          <w:tcPr>
            <w:tcW w:w="196" w:type="pct"/>
          </w:tcPr>
          <w:p w14:paraId="342CB6D5"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264</w:t>
            </w:r>
          </w:p>
        </w:tc>
        <w:tc>
          <w:tcPr>
            <w:tcW w:w="432" w:type="pct"/>
          </w:tcPr>
          <w:p w14:paraId="326EE312"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23.7 (6.6–40.8)</w:t>
            </w:r>
          </w:p>
        </w:tc>
        <w:tc>
          <w:tcPr>
            <w:tcW w:w="211" w:type="pct"/>
          </w:tcPr>
          <w:p w14:paraId="6309ED46"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153</w:t>
            </w:r>
          </w:p>
        </w:tc>
        <w:tc>
          <w:tcPr>
            <w:tcW w:w="431" w:type="pct"/>
          </w:tcPr>
          <w:p w14:paraId="0EE07811" w14:textId="77777777" w:rsidR="00992AAE" w:rsidRPr="0047058F" w:rsidRDefault="00992AAE" w:rsidP="003454A7">
            <w:pPr>
              <w:pStyle w:val="TableText"/>
              <w:spacing w:before="38" w:after="38"/>
              <w:jc w:val="right"/>
              <w:rPr>
                <w:color w:val="000000" w:themeColor="text1"/>
                <w:sz w:val="13"/>
                <w:szCs w:val="13"/>
              </w:rPr>
            </w:pPr>
            <w:r w:rsidRPr="0047058F">
              <w:rPr>
                <w:rFonts w:cs="Arial"/>
                <w:sz w:val="13"/>
                <w:szCs w:val="13"/>
              </w:rPr>
              <w:t>13.7 (0.0–31.9)</w:t>
            </w:r>
          </w:p>
        </w:tc>
        <w:tc>
          <w:tcPr>
            <w:tcW w:w="438" w:type="pct"/>
          </w:tcPr>
          <w:p w14:paraId="546ACB4A"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2.94 (2.38–3.64)</w:t>
            </w:r>
          </w:p>
        </w:tc>
        <w:tc>
          <w:tcPr>
            <w:tcW w:w="438" w:type="pct"/>
          </w:tcPr>
          <w:p w14:paraId="2005A8AE"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1.87 (1.44–2.43)</w:t>
            </w:r>
          </w:p>
        </w:tc>
        <w:tc>
          <w:tcPr>
            <w:tcW w:w="438" w:type="pct"/>
          </w:tcPr>
          <w:p w14:paraId="1424EA0A"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2.56 (1.98–3.33)</w:t>
            </w:r>
          </w:p>
        </w:tc>
        <w:tc>
          <w:tcPr>
            <w:tcW w:w="439" w:type="pct"/>
          </w:tcPr>
          <w:p w14:paraId="67333867"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1.89 (1.37–2.61)</w:t>
            </w:r>
          </w:p>
        </w:tc>
        <w:tc>
          <w:tcPr>
            <w:tcW w:w="275" w:type="pct"/>
          </w:tcPr>
          <w:p w14:paraId="3307BF28"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4B3D1F0C" w14:textId="77777777" w:rsidR="00992AAE" w:rsidRPr="0047058F" w:rsidRDefault="00992AAE" w:rsidP="003454A7">
            <w:pPr>
              <w:pStyle w:val="TableText"/>
              <w:spacing w:before="38" w:after="38"/>
              <w:jc w:val="right"/>
              <w:rPr>
                <w:color w:val="000000" w:themeColor="text1"/>
                <w:sz w:val="13"/>
                <w:szCs w:val="13"/>
              </w:rPr>
            </w:pPr>
          </w:p>
        </w:tc>
      </w:tr>
      <w:tr w:rsidR="008F70CA" w:rsidRPr="0047058F" w14:paraId="4160029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70A5F2CA" w14:textId="77777777" w:rsidR="00992AAE" w:rsidRPr="0047058F" w:rsidRDefault="00992AAE" w:rsidP="003454A7">
            <w:pPr>
              <w:pStyle w:val="TableText"/>
              <w:spacing w:before="38" w:after="38"/>
              <w:rPr>
                <w:rFonts w:cs="Arial"/>
                <w:color w:val="000000" w:themeColor="text1"/>
              </w:rPr>
            </w:pPr>
            <w:r w:rsidRPr="0047058F">
              <w:rPr>
                <w:color w:val="000000" w:themeColor="text1"/>
              </w:rPr>
              <w:t>Number of lifetime trauma types</w:t>
            </w:r>
          </w:p>
        </w:tc>
        <w:tc>
          <w:tcPr>
            <w:tcW w:w="196" w:type="pct"/>
          </w:tcPr>
          <w:p w14:paraId="29602FD0" w14:textId="77777777" w:rsidR="00992AAE" w:rsidRPr="0047058F" w:rsidRDefault="00992AAE" w:rsidP="003454A7">
            <w:pPr>
              <w:pStyle w:val="TableText"/>
              <w:spacing w:before="38" w:after="38"/>
              <w:jc w:val="right"/>
              <w:rPr>
                <w:rFonts w:cs="Arial"/>
                <w:color w:val="000000" w:themeColor="text1"/>
                <w:sz w:val="13"/>
                <w:szCs w:val="13"/>
              </w:rPr>
            </w:pPr>
          </w:p>
        </w:tc>
        <w:tc>
          <w:tcPr>
            <w:tcW w:w="472" w:type="pct"/>
          </w:tcPr>
          <w:p w14:paraId="6A1715DA" w14:textId="77777777" w:rsidR="00992AAE" w:rsidRPr="0047058F" w:rsidRDefault="00992AAE" w:rsidP="003454A7">
            <w:pPr>
              <w:pStyle w:val="TableText"/>
              <w:spacing w:before="38" w:after="38"/>
              <w:jc w:val="right"/>
              <w:rPr>
                <w:rFonts w:cs="Arial"/>
                <w:color w:val="000000" w:themeColor="text1"/>
                <w:sz w:val="13"/>
                <w:szCs w:val="13"/>
              </w:rPr>
            </w:pPr>
          </w:p>
        </w:tc>
        <w:tc>
          <w:tcPr>
            <w:tcW w:w="196" w:type="pct"/>
          </w:tcPr>
          <w:p w14:paraId="12AE3D7D" w14:textId="77777777" w:rsidR="00992AAE" w:rsidRPr="0047058F" w:rsidRDefault="00992AAE" w:rsidP="003454A7">
            <w:pPr>
              <w:pStyle w:val="TableText"/>
              <w:spacing w:before="38" w:after="38"/>
              <w:jc w:val="right"/>
              <w:rPr>
                <w:rFonts w:cs="Arial"/>
                <w:color w:val="000000" w:themeColor="text1"/>
                <w:sz w:val="13"/>
                <w:szCs w:val="13"/>
              </w:rPr>
            </w:pPr>
          </w:p>
        </w:tc>
        <w:tc>
          <w:tcPr>
            <w:tcW w:w="432" w:type="pct"/>
          </w:tcPr>
          <w:p w14:paraId="4179B076" w14:textId="77777777" w:rsidR="00992AAE" w:rsidRPr="0047058F" w:rsidRDefault="00992AAE" w:rsidP="003454A7">
            <w:pPr>
              <w:pStyle w:val="TableText"/>
              <w:spacing w:before="38" w:after="38"/>
              <w:jc w:val="right"/>
              <w:rPr>
                <w:rFonts w:cs="Arial"/>
                <w:color w:val="000000" w:themeColor="text1"/>
                <w:sz w:val="13"/>
                <w:szCs w:val="13"/>
              </w:rPr>
            </w:pPr>
          </w:p>
        </w:tc>
        <w:tc>
          <w:tcPr>
            <w:tcW w:w="211" w:type="pct"/>
          </w:tcPr>
          <w:p w14:paraId="747386B7" w14:textId="77777777" w:rsidR="00992AAE" w:rsidRPr="0047058F" w:rsidRDefault="00992AAE" w:rsidP="003454A7">
            <w:pPr>
              <w:pStyle w:val="TableText"/>
              <w:spacing w:before="38" w:after="38"/>
              <w:jc w:val="right"/>
              <w:rPr>
                <w:rFonts w:cs="Arial"/>
                <w:color w:val="000000" w:themeColor="text1"/>
                <w:sz w:val="13"/>
                <w:szCs w:val="13"/>
              </w:rPr>
            </w:pPr>
          </w:p>
        </w:tc>
        <w:tc>
          <w:tcPr>
            <w:tcW w:w="431" w:type="pct"/>
          </w:tcPr>
          <w:p w14:paraId="0F04113F" w14:textId="77777777" w:rsidR="00992AAE" w:rsidRPr="0047058F" w:rsidRDefault="00992AAE" w:rsidP="003454A7">
            <w:pPr>
              <w:pStyle w:val="TableText"/>
              <w:spacing w:before="38" w:after="38"/>
              <w:jc w:val="right"/>
              <w:rPr>
                <w:rFonts w:cs="Arial"/>
                <w:color w:val="000000" w:themeColor="text1"/>
                <w:sz w:val="13"/>
                <w:szCs w:val="13"/>
              </w:rPr>
            </w:pPr>
          </w:p>
        </w:tc>
        <w:tc>
          <w:tcPr>
            <w:tcW w:w="438" w:type="pct"/>
          </w:tcPr>
          <w:p w14:paraId="2A164D9E" w14:textId="77777777" w:rsidR="00992AAE" w:rsidRPr="0047058F" w:rsidRDefault="00992AAE" w:rsidP="003454A7">
            <w:pPr>
              <w:pStyle w:val="TableText"/>
              <w:spacing w:before="38" w:after="38"/>
              <w:jc w:val="right"/>
              <w:rPr>
                <w:color w:val="000000" w:themeColor="text1"/>
                <w:sz w:val="13"/>
                <w:szCs w:val="13"/>
              </w:rPr>
            </w:pPr>
          </w:p>
        </w:tc>
        <w:tc>
          <w:tcPr>
            <w:tcW w:w="438" w:type="pct"/>
          </w:tcPr>
          <w:p w14:paraId="34AC74ED" w14:textId="77777777" w:rsidR="00992AAE" w:rsidRPr="0047058F" w:rsidRDefault="00992AAE" w:rsidP="003454A7">
            <w:pPr>
              <w:pStyle w:val="TableText"/>
              <w:spacing w:before="38" w:after="38"/>
              <w:jc w:val="right"/>
              <w:rPr>
                <w:color w:val="000000" w:themeColor="text1"/>
                <w:sz w:val="13"/>
                <w:szCs w:val="13"/>
              </w:rPr>
            </w:pPr>
          </w:p>
        </w:tc>
        <w:tc>
          <w:tcPr>
            <w:tcW w:w="438" w:type="pct"/>
          </w:tcPr>
          <w:p w14:paraId="570E695C" w14:textId="77777777" w:rsidR="00992AAE" w:rsidRPr="0047058F" w:rsidRDefault="00992AAE" w:rsidP="003454A7">
            <w:pPr>
              <w:pStyle w:val="TableText"/>
              <w:spacing w:before="38" w:after="38"/>
              <w:jc w:val="right"/>
              <w:rPr>
                <w:color w:val="000000" w:themeColor="text1"/>
                <w:sz w:val="13"/>
                <w:szCs w:val="13"/>
              </w:rPr>
            </w:pPr>
          </w:p>
        </w:tc>
        <w:tc>
          <w:tcPr>
            <w:tcW w:w="439" w:type="pct"/>
          </w:tcPr>
          <w:p w14:paraId="5EECD047" w14:textId="77777777" w:rsidR="00992AAE" w:rsidRPr="0047058F" w:rsidRDefault="00992AAE" w:rsidP="003454A7">
            <w:pPr>
              <w:pStyle w:val="TableText"/>
              <w:spacing w:before="38" w:after="38"/>
              <w:jc w:val="right"/>
              <w:rPr>
                <w:color w:val="000000" w:themeColor="text1"/>
                <w:sz w:val="13"/>
                <w:szCs w:val="13"/>
              </w:rPr>
            </w:pPr>
          </w:p>
        </w:tc>
        <w:tc>
          <w:tcPr>
            <w:tcW w:w="275" w:type="pct"/>
          </w:tcPr>
          <w:p w14:paraId="3DFF162D"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7E0282C7" w14:textId="77777777" w:rsidR="00992AAE" w:rsidRPr="0047058F" w:rsidRDefault="00992AAE" w:rsidP="003454A7">
            <w:pPr>
              <w:pStyle w:val="TableText"/>
              <w:spacing w:before="38" w:after="38"/>
              <w:jc w:val="right"/>
              <w:rPr>
                <w:color w:val="000000" w:themeColor="text1"/>
                <w:sz w:val="13"/>
                <w:szCs w:val="13"/>
              </w:rPr>
            </w:pPr>
          </w:p>
        </w:tc>
      </w:tr>
      <w:tr w:rsidR="008F70CA" w:rsidRPr="0047058F" w14:paraId="26988324" w14:textId="77777777" w:rsidTr="003454A7">
        <w:trPr>
          <w:cantSplit/>
        </w:trPr>
        <w:tc>
          <w:tcPr>
            <w:tcW w:w="746" w:type="pct"/>
          </w:tcPr>
          <w:p w14:paraId="1B50C6F5" w14:textId="77777777" w:rsidR="00992AAE" w:rsidRPr="0047058F" w:rsidRDefault="00992AAE" w:rsidP="003454A7">
            <w:pPr>
              <w:pStyle w:val="TableText"/>
              <w:spacing w:before="38" w:after="38"/>
              <w:ind w:left="144"/>
              <w:rPr>
                <w:rFonts w:cs="Arial"/>
                <w:color w:val="000000" w:themeColor="text1"/>
              </w:rPr>
            </w:pPr>
            <w:r w:rsidRPr="0047058F">
              <w:rPr>
                <w:rFonts w:cs="Arial"/>
                <w:color w:val="000000" w:themeColor="text1"/>
              </w:rPr>
              <w:t>0–1</w:t>
            </w:r>
          </w:p>
        </w:tc>
        <w:tc>
          <w:tcPr>
            <w:tcW w:w="196" w:type="pct"/>
          </w:tcPr>
          <w:p w14:paraId="04ED65E5"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1497</w:t>
            </w:r>
          </w:p>
        </w:tc>
        <w:tc>
          <w:tcPr>
            <w:tcW w:w="472" w:type="pct"/>
          </w:tcPr>
          <w:p w14:paraId="226AC135"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84.5 (76.8–92.2)</w:t>
            </w:r>
          </w:p>
        </w:tc>
        <w:tc>
          <w:tcPr>
            <w:tcW w:w="196" w:type="pct"/>
          </w:tcPr>
          <w:p w14:paraId="7482DEE0"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152</w:t>
            </w:r>
          </w:p>
        </w:tc>
        <w:tc>
          <w:tcPr>
            <w:tcW w:w="432" w:type="pct"/>
          </w:tcPr>
          <w:p w14:paraId="5BAD224C"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8.6 (0.0–27.3)</w:t>
            </w:r>
          </w:p>
        </w:tc>
        <w:tc>
          <w:tcPr>
            <w:tcW w:w="211" w:type="pct"/>
          </w:tcPr>
          <w:p w14:paraId="1C099F3E"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123</w:t>
            </w:r>
          </w:p>
        </w:tc>
        <w:tc>
          <w:tcPr>
            <w:tcW w:w="431" w:type="pct"/>
          </w:tcPr>
          <w:p w14:paraId="382EDB00"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6.9 (0.0–25.8)</w:t>
            </w:r>
          </w:p>
        </w:tc>
        <w:tc>
          <w:tcPr>
            <w:tcW w:w="438" w:type="pct"/>
          </w:tcPr>
          <w:p w14:paraId="789461CB"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6F789DEE"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8" w:type="pct"/>
          </w:tcPr>
          <w:p w14:paraId="014FB6F7"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439" w:type="pct"/>
          </w:tcPr>
          <w:p w14:paraId="6A2ACCD0"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ref</w:t>
            </w:r>
          </w:p>
        </w:tc>
        <w:tc>
          <w:tcPr>
            <w:tcW w:w="275" w:type="pct"/>
          </w:tcPr>
          <w:p w14:paraId="0700326A"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&lt; 0.0001</w:t>
            </w:r>
          </w:p>
        </w:tc>
        <w:tc>
          <w:tcPr>
            <w:tcW w:w="288" w:type="pct"/>
          </w:tcPr>
          <w:p w14:paraId="2D9ACC33" w14:textId="77777777" w:rsidR="00992AAE" w:rsidRPr="0047058F" w:rsidRDefault="00992AAE" w:rsidP="003454A7">
            <w:pPr>
              <w:pStyle w:val="TableText"/>
              <w:spacing w:before="38" w:after="38"/>
              <w:jc w:val="right"/>
              <w:rPr>
                <w:color w:val="000000" w:themeColor="text1"/>
                <w:sz w:val="13"/>
                <w:szCs w:val="13"/>
              </w:rPr>
            </w:pPr>
            <w:r w:rsidRPr="0047058F">
              <w:rPr>
                <w:color w:val="000000" w:themeColor="text1"/>
                <w:sz w:val="13"/>
                <w:szCs w:val="13"/>
              </w:rPr>
              <w:t>&lt; 0.0001</w:t>
            </w:r>
          </w:p>
        </w:tc>
      </w:tr>
      <w:tr w:rsidR="008F70CA" w:rsidRPr="0047058F" w14:paraId="338AE553"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746" w:type="pct"/>
          </w:tcPr>
          <w:p w14:paraId="43EBC1E9" w14:textId="77777777" w:rsidR="00992AAE" w:rsidRPr="0047058F" w:rsidRDefault="00992AAE" w:rsidP="003454A7">
            <w:pPr>
              <w:pStyle w:val="TableText"/>
              <w:spacing w:before="38" w:after="38"/>
              <w:ind w:left="144"/>
              <w:rPr>
                <w:color w:val="000000" w:themeColor="text1"/>
              </w:rPr>
            </w:pPr>
            <w:r w:rsidRPr="0047058F">
              <w:rPr>
                <w:rFonts w:cs="Arial"/>
                <w:color w:val="000000" w:themeColor="text1"/>
              </w:rPr>
              <w:t>2–3</w:t>
            </w:r>
          </w:p>
        </w:tc>
        <w:tc>
          <w:tcPr>
            <w:tcW w:w="196" w:type="pct"/>
          </w:tcPr>
          <w:p w14:paraId="467AEC93"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981</w:t>
            </w:r>
          </w:p>
        </w:tc>
        <w:tc>
          <w:tcPr>
            <w:tcW w:w="472" w:type="pct"/>
          </w:tcPr>
          <w:p w14:paraId="74D29093"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77.1 (67.7–86.5)</w:t>
            </w:r>
          </w:p>
        </w:tc>
        <w:tc>
          <w:tcPr>
            <w:tcW w:w="196" w:type="pct"/>
          </w:tcPr>
          <w:p w14:paraId="4D015B0D"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181</w:t>
            </w:r>
          </w:p>
        </w:tc>
        <w:tc>
          <w:tcPr>
            <w:tcW w:w="432" w:type="pct"/>
          </w:tcPr>
          <w:p w14:paraId="480EE11B"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14.2 (0.0–32.4)</w:t>
            </w:r>
          </w:p>
        </w:tc>
        <w:tc>
          <w:tcPr>
            <w:tcW w:w="211" w:type="pct"/>
          </w:tcPr>
          <w:p w14:paraId="7DDEAB69"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110</w:t>
            </w:r>
          </w:p>
        </w:tc>
        <w:tc>
          <w:tcPr>
            <w:tcW w:w="431" w:type="pct"/>
          </w:tcPr>
          <w:p w14:paraId="6262DCD8"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8.6 (0.0–27.3)</w:t>
            </w:r>
          </w:p>
        </w:tc>
        <w:tc>
          <w:tcPr>
            <w:tcW w:w="438" w:type="pct"/>
          </w:tcPr>
          <w:p w14:paraId="05BF347F"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1.79 (1.40–2.29)</w:t>
            </w:r>
          </w:p>
        </w:tc>
        <w:tc>
          <w:tcPr>
            <w:tcW w:w="438" w:type="pct"/>
          </w:tcPr>
          <w:p w14:paraId="134DA071"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1.65 (1.28–2.12)</w:t>
            </w:r>
          </w:p>
        </w:tc>
        <w:tc>
          <w:tcPr>
            <w:tcW w:w="438" w:type="pct"/>
          </w:tcPr>
          <w:p w14:paraId="2410BA49"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1.35 (1.01–1.81)</w:t>
            </w:r>
          </w:p>
        </w:tc>
        <w:tc>
          <w:tcPr>
            <w:tcW w:w="439" w:type="pct"/>
          </w:tcPr>
          <w:p w14:paraId="30C754F1"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1.25 (0.92–1.68)</w:t>
            </w:r>
          </w:p>
        </w:tc>
        <w:tc>
          <w:tcPr>
            <w:tcW w:w="275" w:type="pct"/>
          </w:tcPr>
          <w:p w14:paraId="6A1273E5"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60F509EE" w14:textId="77777777" w:rsidR="00992AAE" w:rsidRPr="0047058F" w:rsidRDefault="00992AAE" w:rsidP="003454A7">
            <w:pPr>
              <w:pStyle w:val="TableText"/>
              <w:spacing w:before="38" w:after="38"/>
              <w:jc w:val="right"/>
              <w:rPr>
                <w:color w:val="000000" w:themeColor="text1"/>
                <w:sz w:val="13"/>
                <w:szCs w:val="13"/>
              </w:rPr>
            </w:pPr>
          </w:p>
        </w:tc>
      </w:tr>
      <w:tr w:rsidR="008F70CA" w:rsidRPr="0047058F" w14:paraId="5A7198B6" w14:textId="77777777" w:rsidTr="003454A7">
        <w:trPr>
          <w:cantSplit/>
        </w:trPr>
        <w:tc>
          <w:tcPr>
            <w:tcW w:w="746" w:type="pct"/>
          </w:tcPr>
          <w:p w14:paraId="728C7046" w14:textId="77777777" w:rsidR="00992AAE" w:rsidRPr="0047058F" w:rsidRDefault="00992AAE" w:rsidP="003454A7">
            <w:pPr>
              <w:pStyle w:val="TableText"/>
              <w:spacing w:before="38" w:after="38"/>
              <w:ind w:left="144"/>
              <w:rPr>
                <w:color w:val="000000" w:themeColor="text1"/>
              </w:rPr>
            </w:pPr>
            <w:r w:rsidRPr="0047058F">
              <w:rPr>
                <w:rFonts w:cs="Arial"/>
                <w:color w:val="000000" w:themeColor="text1"/>
              </w:rPr>
              <w:t>4+</w:t>
            </w:r>
          </w:p>
        </w:tc>
        <w:tc>
          <w:tcPr>
            <w:tcW w:w="196" w:type="pct"/>
          </w:tcPr>
          <w:p w14:paraId="10BC2671"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707</w:t>
            </w:r>
          </w:p>
        </w:tc>
        <w:tc>
          <w:tcPr>
            <w:tcW w:w="472" w:type="pct"/>
          </w:tcPr>
          <w:p w14:paraId="1D1B7E04"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60.0 (47.6–72.4)</w:t>
            </w:r>
          </w:p>
        </w:tc>
        <w:tc>
          <w:tcPr>
            <w:tcW w:w="196" w:type="pct"/>
          </w:tcPr>
          <w:p w14:paraId="42BE2570"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308</w:t>
            </w:r>
          </w:p>
        </w:tc>
        <w:tc>
          <w:tcPr>
            <w:tcW w:w="432" w:type="pct"/>
          </w:tcPr>
          <w:p w14:paraId="13AF0631"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26.1 (9.3–42.9)</w:t>
            </w:r>
          </w:p>
        </w:tc>
        <w:tc>
          <w:tcPr>
            <w:tcW w:w="211" w:type="pct"/>
          </w:tcPr>
          <w:p w14:paraId="3C8D4ABC"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163</w:t>
            </w:r>
          </w:p>
        </w:tc>
        <w:tc>
          <w:tcPr>
            <w:tcW w:w="431" w:type="pct"/>
          </w:tcPr>
          <w:p w14:paraId="1378EC56" w14:textId="77777777" w:rsidR="00992AAE" w:rsidRPr="0047058F" w:rsidRDefault="00992AAE" w:rsidP="003454A7">
            <w:pPr>
              <w:pStyle w:val="TableText"/>
              <w:spacing w:before="38" w:after="38"/>
              <w:jc w:val="right"/>
              <w:rPr>
                <w:rFonts w:cs="Arial"/>
                <w:color w:val="000000" w:themeColor="text1"/>
                <w:sz w:val="13"/>
                <w:szCs w:val="13"/>
              </w:rPr>
            </w:pPr>
            <w:r w:rsidRPr="0047058F">
              <w:rPr>
                <w:rFonts w:cs="Arial"/>
                <w:color w:val="000000" w:themeColor="text1"/>
                <w:sz w:val="13"/>
                <w:szCs w:val="13"/>
              </w:rPr>
              <w:t>13.8 (0.0–32.0)</w:t>
            </w:r>
          </w:p>
        </w:tc>
        <w:tc>
          <w:tcPr>
            <w:tcW w:w="438" w:type="pct"/>
          </w:tcPr>
          <w:p w14:paraId="210F5126"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4.12 (3.28–5.18)</w:t>
            </w:r>
          </w:p>
        </w:tc>
        <w:tc>
          <w:tcPr>
            <w:tcW w:w="438" w:type="pct"/>
          </w:tcPr>
          <w:p w14:paraId="63A8D13B"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3.17 (2.45–4.11)</w:t>
            </w:r>
          </w:p>
        </w:tc>
        <w:tc>
          <w:tcPr>
            <w:tcW w:w="438" w:type="pct"/>
          </w:tcPr>
          <w:p w14:paraId="5E6FA7A3"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2.81 (2.15–3.67)</w:t>
            </w:r>
          </w:p>
        </w:tc>
        <w:tc>
          <w:tcPr>
            <w:tcW w:w="439" w:type="pct"/>
          </w:tcPr>
          <w:p w14:paraId="7C7F04EF" w14:textId="77777777" w:rsidR="00992AAE" w:rsidRPr="0047058F" w:rsidRDefault="00992AAE" w:rsidP="003454A7">
            <w:pPr>
              <w:pStyle w:val="TableText"/>
              <w:spacing w:before="38" w:after="38"/>
              <w:jc w:val="right"/>
              <w:rPr>
                <w:color w:val="000000" w:themeColor="text1"/>
                <w:sz w:val="13"/>
                <w:szCs w:val="13"/>
              </w:rPr>
            </w:pPr>
            <w:r w:rsidRPr="0047058F">
              <w:rPr>
                <w:rFonts w:cs="Arial"/>
                <w:color w:val="000000" w:themeColor="text1"/>
                <w:sz w:val="13"/>
                <w:szCs w:val="13"/>
              </w:rPr>
              <w:t>2.16 (1.59–2.94)</w:t>
            </w:r>
          </w:p>
        </w:tc>
        <w:tc>
          <w:tcPr>
            <w:tcW w:w="275" w:type="pct"/>
          </w:tcPr>
          <w:p w14:paraId="2FED342B" w14:textId="77777777" w:rsidR="00992AAE" w:rsidRPr="0047058F" w:rsidRDefault="00992AAE" w:rsidP="003454A7">
            <w:pPr>
              <w:pStyle w:val="TableText"/>
              <w:spacing w:before="38" w:after="38"/>
              <w:jc w:val="right"/>
              <w:rPr>
                <w:color w:val="000000" w:themeColor="text1"/>
                <w:sz w:val="13"/>
                <w:szCs w:val="13"/>
              </w:rPr>
            </w:pPr>
          </w:p>
        </w:tc>
        <w:tc>
          <w:tcPr>
            <w:tcW w:w="288" w:type="pct"/>
          </w:tcPr>
          <w:p w14:paraId="39F72C77" w14:textId="77777777" w:rsidR="00992AAE" w:rsidRPr="0047058F" w:rsidRDefault="00992AAE" w:rsidP="003454A7">
            <w:pPr>
              <w:pStyle w:val="TableText"/>
              <w:spacing w:before="38" w:after="38"/>
              <w:jc w:val="right"/>
              <w:rPr>
                <w:color w:val="000000" w:themeColor="text1"/>
                <w:sz w:val="13"/>
                <w:szCs w:val="13"/>
              </w:rPr>
            </w:pPr>
          </w:p>
        </w:tc>
      </w:tr>
    </w:tbl>
    <w:p w14:paraId="52FC62E5" w14:textId="77777777" w:rsidR="00992AAE" w:rsidRPr="0047058F" w:rsidRDefault="00992AAE" w:rsidP="007A0888">
      <w:pPr>
        <w:pStyle w:val="TableNotes"/>
      </w:pPr>
      <w:r w:rsidRPr="0047058F">
        <w:t>ns = not significant</w:t>
      </w:r>
    </w:p>
    <w:p w14:paraId="376AD0CC" w14:textId="77777777" w:rsidR="00784201" w:rsidRPr="0047058F" w:rsidRDefault="00784201" w:rsidP="00992AAE"/>
    <w:p w14:paraId="17D8E147" w14:textId="77777777" w:rsidR="00ED05E6" w:rsidRPr="0047058F" w:rsidRDefault="00ED05E6" w:rsidP="00992AAE">
      <w:pPr>
        <w:sectPr w:rsidR="00ED05E6" w:rsidRPr="0047058F" w:rsidSect="00147BFC">
          <w:footerReference w:type="even" r:id="rId77"/>
          <w:footerReference w:type="default" r:id="rId78"/>
          <w:pgSz w:w="14170" w:h="9979" w:orient="landscape" w:code="243"/>
          <w:pgMar w:top="1872" w:right="1440" w:bottom="1152" w:left="1440" w:header="576" w:footer="576" w:gutter="0"/>
          <w:cols w:space="708"/>
          <w:docGrid w:linePitch="360"/>
        </w:sectPr>
      </w:pPr>
    </w:p>
    <w:p w14:paraId="20968498" w14:textId="77777777" w:rsidR="00992AAE" w:rsidRPr="0047058F" w:rsidRDefault="00992AAE" w:rsidP="003454A7">
      <w:r w:rsidRPr="0047058F">
        <w:t>Table 6.5 presents the results of univariate and multivariate predictive modelling of the effect of demographic, service-related and other factors on disorder status in 2015 among those cohort members who had subsyndromal symptoms in 2010.</w:t>
      </w:r>
    </w:p>
    <w:p w14:paraId="4969773C" w14:textId="77777777" w:rsidR="00992AAE" w:rsidRPr="0047058F" w:rsidRDefault="00992AAE" w:rsidP="003454A7">
      <w:r w:rsidRPr="0047058F">
        <w:t>When examining the subgroup who were subsyndromal in 2010, analyses showed significant univariate associations for sex, rank, Service, suicidality, anger, resilience, deployment exposures and lifetime trauma on the likelihood of retaining subsyndromal status or moving into probable disorder, compared to having no disorder in 2015. When examined in a combined multivariate model, the effects of rank, anger, resilience, deployment exposures and lifetime trauma all remained significant.</w:t>
      </w:r>
    </w:p>
    <w:p w14:paraId="6E102597" w14:textId="77777777" w:rsidR="00992AAE" w:rsidRPr="0047058F" w:rsidRDefault="00992AAE" w:rsidP="003454A7">
      <w:r w:rsidRPr="0047058F">
        <w:t xml:space="preserve">Anger, resilience, deployment exposures and lifetime trauma exposure all predicted retention of subsyndromal status as well as movement into probable disorder in 2015. Scoring above the cut-off for problematic anger in 2010 was associated with a greater likelihood of retaining subsyndromal symptoms (OR </w:t>
      </w:r>
      <w:r w:rsidRPr="0047058F">
        <w:rPr>
          <w:rFonts w:cs="Arial"/>
          <w:szCs w:val="14"/>
        </w:rPr>
        <w:t>1.58</w:t>
      </w:r>
      <w:r w:rsidRPr="0047058F">
        <w:t xml:space="preserve">; 95% CI 1.10, 2.25) or moving to probable disorder (OR </w:t>
      </w:r>
      <w:r w:rsidRPr="0047058F">
        <w:rPr>
          <w:rFonts w:cs="Arial"/>
          <w:szCs w:val="14"/>
        </w:rPr>
        <w:t xml:space="preserve">2.14; </w:t>
      </w:r>
      <w:r w:rsidRPr="0047058F">
        <w:t xml:space="preserve">95% CI 1.43, 3.18), compared to having no disorder in 2015. Higher self-reported resilience was associated with lower likelihood of retaining subsyndromal symptoms (OR </w:t>
      </w:r>
      <w:r w:rsidRPr="0047058F">
        <w:rPr>
          <w:rFonts w:cs="Arial"/>
        </w:rPr>
        <w:t>0.86</w:t>
      </w:r>
      <w:r w:rsidRPr="0047058F">
        <w:t xml:space="preserve">; 95% CI 0.79, 0.95) or moving to probable disorder (OR 0.88; 95% CI 0.79, 0.98), compared to no disorder in 2015. Having high deployment exposure (compared to low) was associated with the likelihood of retaining subsyndromal symptoms (OR </w:t>
      </w:r>
      <w:r w:rsidRPr="0047058F">
        <w:rPr>
          <w:rFonts w:cs="Arial"/>
        </w:rPr>
        <w:t>1.78</w:t>
      </w:r>
      <w:r w:rsidRPr="0047058F">
        <w:t xml:space="preserve">; 95% CI 1.31, 2.42) or having a probable disorder (OR </w:t>
      </w:r>
      <w:r w:rsidRPr="0047058F">
        <w:rPr>
          <w:rFonts w:cs="Arial"/>
        </w:rPr>
        <w:t>2.97</w:t>
      </w:r>
      <w:r w:rsidRPr="0047058F">
        <w:t xml:space="preserve">; 95% CI 2.04, 4.32), compared to being disorder free in 2015. Again, there was increasing risk of retaining subsyndromal symptoms with increasing lifetime trauma exposure. Specifically, compared to those reporting 0 to 1 lifetime trauma types, reporting 2 to 3 types (OR 1.59; 95% CI 1.17, 2.17) was associated with greater likelihood, and for those reporting 4+ types, the likelihood was greater again (OR 3.13; 95% CI 2.27, 4.32). Again, reporting 4+ lifetime trauma exposure types was also associated with having a probable disorder (OR </w:t>
      </w:r>
      <w:r w:rsidRPr="0047058F">
        <w:rPr>
          <w:rFonts w:cs="Arial"/>
        </w:rPr>
        <w:t>2.96</w:t>
      </w:r>
      <w:r w:rsidRPr="0047058F">
        <w:t>; 95% CI 1.98, 4.44) compared to being disorder free in 2015.</w:t>
      </w:r>
    </w:p>
    <w:p w14:paraId="7C7F082A" w14:textId="77777777" w:rsidR="00992AAE" w:rsidRPr="0047058F" w:rsidRDefault="00992AAE" w:rsidP="00992AAE">
      <w:r w:rsidRPr="0047058F">
        <w:t>Rank was also significantly associated with the likelihood of moving from subsyndromal disorder in 2010 to probable disorder in 2015, compared to having no disorder in 2015. Specifically, compared to Officers, those who were Non-Commissioned Officers (OR </w:t>
      </w:r>
      <w:r w:rsidRPr="0047058F">
        <w:rPr>
          <w:rFonts w:eastAsia="Times New Roman" w:cs="Arial"/>
          <w:szCs w:val="14"/>
        </w:rPr>
        <w:t>1.79</w:t>
      </w:r>
      <w:r w:rsidRPr="0047058F">
        <w:t xml:space="preserve">; 95% CI 1.28, 2.49) and those who were other ranks (OR </w:t>
      </w:r>
      <w:r w:rsidRPr="0047058F">
        <w:rPr>
          <w:rFonts w:eastAsia="Times New Roman" w:cs="Arial"/>
          <w:szCs w:val="14"/>
        </w:rPr>
        <w:t>3.91</w:t>
      </w:r>
      <w:r w:rsidRPr="0047058F">
        <w:t>; 95% CI 2.38, 6.42) were more likely to have progressed to probable disorder than to have no disorder in 2015.</w:t>
      </w:r>
    </w:p>
    <w:p w14:paraId="30692C45" w14:textId="77777777" w:rsidR="00ED05E6" w:rsidRPr="0047058F" w:rsidRDefault="00ED05E6" w:rsidP="00784201">
      <w:pPr>
        <w:sectPr w:rsidR="00ED05E6" w:rsidRPr="0047058F" w:rsidSect="00ED05E6">
          <w:footerReference w:type="even" r:id="rId79"/>
          <w:footerReference w:type="default" r:id="rId80"/>
          <w:pgSz w:w="9979" w:h="14170" w:code="243"/>
          <w:pgMar w:top="1440" w:right="1152" w:bottom="1440" w:left="1728" w:header="576" w:footer="576" w:gutter="0"/>
          <w:cols w:space="708"/>
          <w:docGrid w:linePitch="360"/>
        </w:sectPr>
      </w:pPr>
    </w:p>
    <w:p w14:paraId="4DD41407" w14:textId="0889AC30" w:rsidR="006D5661" w:rsidRPr="0047058F" w:rsidRDefault="006D5661" w:rsidP="006D5661">
      <w:pPr>
        <w:pStyle w:val="TableName"/>
      </w:pPr>
      <w:bookmarkStart w:id="475" w:name="_Toc529117547"/>
      <w:bookmarkStart w:id="476" w:name="_Toc532473617"/>
      <w:r w:rsidRPr="0047058F">
        <w:t>Table 6.5</w:t>
      </w:r>
      <w:r w:rsidRPr="0047058F">
        <w:tab/>
        <w:t xml:space="preserve">Proportion of longitudinal cohort, who had </w:t>
      </w:r>
      <w:r w:rsidRPr="0047058F">
        <w:rPr>
          <w:u w:val="single"/>
        </w:rPr>
        <w:t>subsyndromal disorder in 2010</w:t>
      </w:r>
      <w:r w:rsidRPr="0047058F">
        <w:t>, with no disorder, subsyndromal disorder and probable disorder in 2015 according to various predictors</w:t>
      </w:r>
      <w:bookmarkEnd w:id="475"/>
      <w:bookmarkEnd w:id="476"/>
    </w:p>
    <w:tbl>
      <w:tblPr>
        <w:tblStyle w:val="TWRPTable"/>
        <w:tblW w:w="5000" w:type="pct"/>
        <w:tblLayout w:type="fixed"/>
        <w:tblCellMar>
          <w:left w:w="86" w:type="dxa"/>
          <w:right w:w="86" w:type="dxa"/>
        </w:tblCellMar>
        <w:tblLook w:val="04A0" w:firstRow="1" w:lastRow="0" w:firstColumn="1" w:lastColumn="0" w:noHBand="0" w:noVBand="1"/>
        <w:tblDescription w:val="Table 6.5 Proportion of longitudinal cohort, who had subsyndromal disorder in 2010, with no disorder, subsyndromal disorder and probable disorder in 2015 according to various predictors"/>
      </w:tblPr>
      <w:tblGrid>
        <w:gridCol w:w="1720"/>
        <w:gridCol w:w="436"/>
        <w:gridCol w:w="1080"/>
        <w:gridCol w:w="450"/>
        <w:gridCol w:w="990"/>
        <w:gridCol w:w="450"/>
        <w:gridCol w:w="990"/>
        <w:gridCol w:w="1074"/>
        <w:gridCol w:w="986"/>
        <w:gridCol w:w="986"/>
        <w:gridCol w:w="986"/>
        <w:gridCol w:w="657"/>
        <w:gridCol w:w="657"/>
      </w:tblGrid>
      <w:tr w:rsidR="003454A7" w:rsidRPr="0047058F" w14:paraId="3AA758D0"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1720" w:type="dxa"/>
            <w:vMerge w:val="restart"/>
          </w:tcPr>
          <w:p w14:paraId="5C113CE3" w14:textId="77777777" w:rsidR="003454A7" w:rsidRPr="0047058F" w:rsidRDefault="003454A7" w:rsidP="00C91013">
            <w:pPr>
              <w:pStyle w:val="TableText"/>
              <w:spacing w:before="38" w:after="38"/>
              <w:rPr>
                <w:lang w:eastAsia="ja-JP"/>
              </w:rPr>
            </w:pPr>
            <w:r w:rsidRPr="0047058F">
              <w:rPr>
                <w:lang w:eastAsia="ja-JP"/>
              </w:rPr>
              <w:t>Predictors</w:t>
            </w:r>
          </w:p>
        </w:tc>
        <w:tc>
          <w:tcPr>
            <w:tcW w:w="9742" w:type="dxa"/>
            <w:gridSpan w:val="12"/>
          </w:tcPr>
          <w:p w14:paraId="1C59C355" w14:textId="77777777" w:rsidR="003454A7" w:rsidRPr="0047058F" w:rsidRDefault="003454A7" w:rsidP="00C91013">
            <w:pPr>
              <w:pStyle w:val="TableText"/>
              <w:spacing w:before="38" w:after="38"/>
              <w:jc w:val="center"/>
            </w:pPr>
            <w:r w:rsidRPr="0047058F">
              <w:rPr>
                <w:rFonts w:eastAsia="MS Mincho"/>
              </w:rPr>
              <w:t>2015 Transition and Wellbeing Research Programme</w:t>
            </w:r>
          </w:p>
        </w:tc>
      </w:tr>
      <w:tr w:rsidR="003454A7" w:rsidRPr="0047058F" w14:paraId="028CBD75"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1720" w:type="dxa"/>
            <w:vMerge/>
          </w:tcPr>
          <w:p w14:paraId="41070199" w14:textId="77777777" w:rsidR="003454A7" w:rsidRPr="0047058F" w:rsidRDefault="003454A7" w:rsidP="00C91013">
            <w:pPr>
              <w:pStyle w:val="TableText"/>
              <w:spacing w:before="38" w:after="38"/>
              <w:rPr>
                <w:lang w:eastAsia="ja-JP"/>
              </w:rPr>
            </w:pPr>
          </w:p>
        </w:tc>
        <w:tc>
          <w:tcPr>
            <w:tcW w:w="4396" w:type="dxa"/>
            <w:gridSpan w:val="6"/>
          </w:tcPr>
          <w:p w14:paraId="44D522D9" w14:textId="77777777" w:rsidR="003454A7" w:rsidRPr="0047058F" w:rsidRDefault="003454A7" w:rsidP="00C91013">
            <w:pPr>
              <w:pStyle w:val="TableText"/>
              <w:spacing w:before="38" w:after="38"/>
              <w:jc w:val="center"/>
            </w:pPr>
            <w:r w:rsidRPr="0047058F">
              <w:t>Descriptive statistics</w:t>
            </w:r>
          </w:p>
        </w:tc>
        <w:tc>
          <w:tcPr>
            <w:tcW w:w="4032" w:type="dxa"/>
            <w:gridSpan w:val="4"/>
          </w:tcPr>
          <w:p w14:paraId="3FA6B79F" w14:textId="77777777" w:rsidR="003454A7" w:rsidRPr="0047058F" w:rsidRDefault="003454A7" w:rsidP="00C91013">
            <w:pPr>
              <w:pStyle w:val="TableText"/>
              <w:spacing w:before="38" w:after="38"/>
              <w:jc w:val="center"/>
            </w:pPr>
            <w:r w:rsidRPr="0047058F">
              <w:t>Odds ratios</w:t>
            </w:r>
          </w:p>
        </w:tc>
        <w:tc>
          <w:tcPr>
            <w:tcW w:w="1314" w:type="dxa"/>
            <w:gridSpan w:val="2"/>
            <w:vMerge w:val="restart"/>
          </w:tcPr>
          <w:p w14:paraId="79DF31F7" w14:textId="77777777" w:rsidR="003454A7" w:rsidRPr="0047058F" w:rsidRDefault="003454A7" w:rsidP="00C91013">
            <w:pPr>
              <w:pStyle w:val="TableText"/>
              <w:spacing w:before="38" w:after="38"/>
              <w:jc w:val="center"/>
            </w:pPr>
            <w:r w:rsidRPr="0047058F">
              <w:t xml:space="preserve">Overall </w:t>
            </w:r>
            <w:r w:rsidRPr="00657620">
              <w:rPr>
                <w:i/>
              </w:rPr>
              <w:t>p</w:t>
            </w:r>
            <w:r w:rsidRPr="0047058F">
              <w:t>-values</w:t>
            </w:r>
          </w:p>
        </w:tc>
      </w:tr>
      <w:tr w:rsidR="003454A7" w:rsidRPr="0047058F" w14:paraId="14B9A910"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1720" w:type="dxa"/>
            <w:vMerge/>
          </w:tcPr>
          <w:p w14:paraId="6C4CD431" w14:textId="77777777" w:rsidR="003454A7" w:rsidRPr="0047058F" w:rsidRDefault="003454A7" w:rsidP="00C91013">
            <w:pPr>
              <w:pStyle w:val="TableText"/>
              <w:spacing w:before="38" w:after="38"/>
              <w:rPr>
                <w:lang w:eastAsia="ja-JP"/>
              </w:rPr>
            </w:pPr>
          </w:p>
        </w:tc>
        <w:tc>
          <w:tcPr>
            <w:tcW w:w="1516" w:type="dxa"/>
            <w:gridSpan w:val="2"/>
          </w:tcPr>
          <w:p w14:paraId="5A755FD3" w14:textId="77777777" w:rsidR="003454A7" w:rsidRPr="0047058F" w:rsidRDefault="003454A7" w:rsidP="00C91013">
            <w:pPr>
              <w:pStyle w:val="TableText"/>
              <w:spacing w:before="38" w:after="38"/>
              <w:jc w:val="center"/>
            </w:pPr>
            <w:r w:rsidRPr="0047058F">
              <w:t>No disorder (ref)</w:t>
            </w:r>
          </w:p>
        </w:tc>
        <w:tc>
          <w:tcPr>
            <w:tcW w:w="1440" w:type="dxa"/>
            <w:gridSpan w:val="2"/>
          </w:tcPr>
          <w:p w14:paraId="63EA1484" w14:textId="77777777" w:rsidR="003454A7" w:rsidRPr="0047058F" w:rsidRDefault="003454A7" w:rsidP="00C91013">
            <w:pPr>
              <w:pStyle w:val="TableText"/>
              <w:spacing w:before="38" w:after="38"/>
              <w:jc w:val="center"/>
            </w:pPr>
            <w:r w:rsidRPr="0047058F">
              <w:t>Subsyndromal disorder</w:t>
            </w:r>
          </w:p>
        </w:tc>
        <w:tc>
          <w:tcPr>
            <w:tcW w:w="1440" w:type="dxa"/>
            <w:gridSpan w:val="2"/>
          </w:tcPr>
          <w:p w14:paraId="2621F741" w14:textId="77777777" w:rsidR="003454A7" w:rsidRPr="0047058F" w:rsidRDefault="003454A7" w:rsidP="00C91013">
            <w:pPr>
              <w:pStyle w:val="TableText"/>
              <w:spacing w:before="38" w:after="38"/>
              <w:jc w:val="center"/>
            </w:pPr>
            <w:r w:rsidRPr="0047058F">
              <w:t>Probable disorder</w:t>
            </w:r>
          </w:p>
        </w:tc>
        <w:tc>
          <w:tcPr>
            <w:tcW w:w="2060" w:type="dxa"/>
            <w:gridSpan w:val="2"/>
          </w:tcPr>
          <w:p w14:paraId="0017304A" w14:textId="1F5B95FA" w:rsidR="003454A7" w:rsidRPr="0047058F" w:rsidRDefault="003454A7" w:rsidP="00C91013">
            <w:pPr>
              <w:pStyle w:val="TableText"/>
              <w:spacing w:before="38" w:after="38"/>
              <w:jc w:val="center"/>
            </w:pPr>
            <w:r w:rsidRPr="0047058F">
              <w:t>Subsyndromal disorder vs No</w:t>
            </w:r>
            <w:r w:rsidR="004B7F47">
              <w:t> </w:t>
            </w:r>
            <w:r w:rsidRPr="0047058F">
              <w:t>disorder</w:t>
            </w:r>
          </w:p>
        </w:tc>
        <w:tc>
          <w:tcPr>
            <w:tcW w:w="1972" w:type="dxa"/>
            <w:gridSpan w:val="2"/>
          </w:tcPr>
          <w:p w14:paraId="14A438CA" w14:textId="34DCA2D8" w:rsidR="003454A7" w:rsidRPr="0047058F" w:rsidRDefault="003454A7" w:rsidP="00C91013">
            <w:pPr>
              <w:pStyle w:val="TableText"/>
              <w:spacing w:before="38" w:after="38"/>
              <w:jc w:val="center"/>
            </w:pPr>
            <w:r w:rsidRPr="0047058F">
              <w:t>Probable disorder vs No</w:t>
            </w:r>
            <w:r w:rsidR="004B7F47">
              <w:t> </w:t>
            </w:r>
            <w:r w:rsidRPr="0047058F">
              <w:t>disorder</w:t>
            </w:r>
          </w:p>
        </w:tc>
        <w:tc>
          <w:tcPr>
            <w:tcW w:w="1314" w:type="dxa"/>
            <w:gridSpan w:val="2"/>
            <w:vMerge/>
          </w:tcPr>
          <w:p w14:paraId="7B234FCF" w14:textId="77777777" w:rsidR="003454A7" w:rsidRPr="0047058F" w:rsidRDefault="003454A7" w:rsidP="00C91013">
            <w:pPr>
              <w:pStyle w:val="TableText"/>
              <w:spacing w:before="38" w:after="38"/>
              <w:jc w:val="center"/>
            </w:pPr>
          </w:p>
        </w:tc>
      </w:tr>
      <w:tr w:rsidR="003454A7" w:rsidRPr="0047058F" w14:paraId="20489B95" w14:textId="77777777" w:rsidTr="003454A7">
        <w:trPr>
          <w:cnfStyle w:val="100000000000" w:firstRow="1" w:lastRow="0" w:firstColumn="0" w:lastColumn="0" w:oddVBand="0" w:evenVBand="0" w:oddHBand="0" w:evenHBand="0" w:firstRowFirstColumn="0" w:firstRowLastColumn="0" w:lastRowFirstColumn="0" w:lastRowLastColumn="0"/>
          <w:cantSplit/>
          <w:tblHeader/>
        </w:trPr>
        <w:tc>
          <w:tcPr>
            <w:tcW w:w="1720" w:type="dxa"/>
            <w:vMerge/>
          </w:tcPr>
          <w:p w14:paraId="31978BA0" w14:textId="77777777" w:rsidR="003454A7" w:rsidRPr="0047058F" w:rsidRDefault="003454A7" w:rsidP="00C91013">
            <w:pPr>
              <w:pStyle w:val="TableText"/>
              <w:spacing w:before="38" w:after="38"/>
              <w:rPr>
                <w:rFonts w:eastAsia="Cambria" w:cs="Arial"/>
              </w:rPr>
            </w:pPr>
          </w:p>
        </w:tc>
        <w:tc>
          <w:tcPr>
            <w:tcW w:w="436" w:type="dxa"/>
          </w:tcPr>
          <w:p w14:paraId="1DD45789" w14:textId="77777777" w:rsidR="003454A7" w:rsidRPr="007E4B66" w:rsidRDefault="003454A7" w:rsidP="00C91013">
            <w:pPr>
              <w:pStyle w:val="TableText"/>
              <w:spacing w:before="38" w:after="38"/>
              <w:jc w:val="right"/>
              <w:rPr>
                <w:szCs w:val="14"/>
              </w:rPr>
            </w:pPr>
            <w:r w:rsidRPr="007E4B66">
              <w:rPr>
                <w:szCs w:val="14"/>
              </w:rPr>
              <w:t>n</w:t>
            </w:r>
          </w:p>
        </w:tc>
        <w:tc>
          <w:tcPr>
            <w:tcW w:w="1080" w:type="dxa"/>
          </w:tcPr>
          <w:p w14:paraId="762EF783" w14:textId="77777777" w:rsidR="003454A7" w:rsidRPr="007E4B66" w:rsidRDefault="003454A7" w:rsidP="00C91013">
            <w:pPr>
              <w:pStyle w:val="TableText"/>
              <w:spacing w:before="38" w:after="38"/>
              <w:jc w:val="right"/>
              <w:rPr>
                <w:szCs w:val="14"/>
              </w:rPr>
            </w:pPr>
            <w:r w:rsidRPr="007E4B66">
              <w:rPr>
                <w:szCs w:val="14"/>
              </w:rPr>
              <w:t>% (95% CI) /</w:t>
            </w:r>
            <w:r w:rsidRPr="007E4B66">
              <w:rPr>
                <w:szCs w:val="14"/>
              </w:rPr>
              <w:br/>
              <w:t>Mean (SE)</w:t>
            </w:r>
          </w:p>
        </w:tc>
        <w:tc>
          <w:tcPr>
            <w:tcW w:w="450" w:type="dxa"/>
          </w:tcPr>
          <w:p w14:paraId="02DA4724" w14:textId="77777777" w:rsidR="003454A7" w:rsidRPr="007E4B66" w:rsidRDefault="003454A7" w:rsidP="00C91013">
            <w:pPr>
              <w:pStyle w:val="TableText"/>
              <w:spacing w:before="38" w:after="38"/>
              <w:jc w:val="right"/>
              <w:rPr>
                <w:szCs w:val="14"/>
              </w:rPr>
            </w:pPr>
            <w:r w:rsidRPr="007E4B66">
              <w:rPr>
                <w:szCs w:val="14"/>
              </w:rPr>
              <w:t>n</w:t>
            </w:r>
          </w:p>
        </w:tc>
        <w:tc>
          <w:tcPr>
            <w:tcW w:w="990" w:type="dxa"/>
          </w:tcPr>
          <w:p w14:paraId="0AE7EEF2" w14:textId="77777777" w:rsidR="003454A7" w:rsidRPr="007E4B66" w:rsidRDefault="003454A7" w:rsidP="00C91013">
            <w:pPr>
              <w:pStyle w:val="TableText"/>
              <w:spacing w:before="38" w:after="38"/>
              <w:jc w:val="right"/>
              <w:rPr>
                <w:szCs w:val="14"/>
              </w:rPr>
            </w:pPr>
            <w:r w:rsidRPr="007E4B66">
              <w:rPr>
                <w:szCs w:val="14"/>
              </w:rPr>
              <w:t>% (95% CI) /</w:t>
            </w:r>
            <w:r w:rsidRPr="007E4B66">
              <w:rPr>
                <w:szCs w:val="14"/>
              </w:rPr>
              <w:br/>
              <w:t>Mean (SE)</w:t>
            </w:r>
          </w:p>
        </w:tc>
        <w:tc>
          <w:tcPr>
            <w:tcW w:w="450" w:type="dxa"/>
          </w:tcPr>
          <w:p w14:paraId="7EC67C99" w14:textId="77777777" w:rsidR="003454A7" w:rsidRPr="007E4B66" w:rsidRDefault="003454A7" w:rsidP="00C91013">
            <w:pPr>
              <w:pStyle w:val="TableText"/>
              <w:spacing w:before="38" w:after="38"/>
              <w:jc w:val="right"/>
              <w:rPr>
                <w:szCs w:val="14"/>
              </w:rPr>
            </w:pPr>
            <w:r w:rsidRPr="007E4B66">
              <w:rPr>
                <w:szCs w:val="14"/>
              </w:rPr>
              <w:t>n</w:t>
            </w:r>
          </w:p>
        </w:tc>
        <w:tc>
          <w:tcPr>
            <w:tcW w:w="990" w:type="dxa"/>
          </w:tcPr>
          <w:p w14:paraId="1FA703BE" w14:textId="77777777" w:rsidR="003454A7" w:rsidRPr="007E4B66" w:rsidRDefault="003454A7" w:rsidP="00C91013">
            <w:pPr>
              <w:pStyle w:val="TableText"/>
              <w:spacing w:before="38" w:after="38"/>
              <w:jc w:val="right"/>
              <w:rPr>
                <w:szCs w:val="14"/>
              </w:rPr>
            </w:pPr>
            <w:r w:rsidRPr="007E4B66">
              <w:rPr>
                <w:szCs w:val="14"/>
              </w:rPr>
              <w:t>% (95% CI) /</w:t>
            </w:r>
            <w:r w:rsidRPr="007E4B66">
              <w:rPr>
                <w:szCs w:val="14"/>
              </w:rPr>
              <w:br/>
              <w:t>Mean (SE)</w:t>
            </w:r>
          </w:p>
        </w:tc>
        <w:tc>
          <w:tcPr>
            <w:tcW w:w="1074" w:type="dxa"/>
          </w:tcPr>
          <w:p w14:paraId="654758A1" w14:textId="77777777" w:rsidR="003454A7" w:rsidRPr="007E4B66" w:rsidRDefault="003454A7" w:rsidP="00C91013">
            <w:pPr>
              <w:pStyle w:val="TableText"/>
              <w:spacing w:before="38" w:after="38"/>
              <w:jc w:val="right"/>
              <w:rPr>
                <w:szCs w:val="14"/>
              </w:rPr>
            </w:pPr>
            <w:r w:rsidRPr="007E4B66">
              <w:rPr>
                <w:szCs w:val="14"/>
              </w:rPr>
              <w:t>OR (95% CI)</w:t>
            </w:r>
          </w:p>
        </w:tc>
        <w:tc>
          <w:tcPr>
            <w:tcW w:w="986" w:type="dxa"/>
          </w:tcPr>
          <w:p w14:paraId="7D1FF2B3" w14:textId="77777777" w:rsidR="003454A7" w:rsidRPr="007E4B66" w:rsidRDefault="003454A7" w:rsidP="00C91013">
            <w:pPr>
              <w:pStyle w:val="TableText"/>
              <w:spacing w:before="38" w:after="38"/>
              <w:jc w:val="right"/>
              <w:rPr>
                <w:szCs w:val="14"/>
              </w:rPr>
            </w:pPr>
            <w:r w:rsidRPr="007E4B66">
              <w:rPr>
                <w:szCs w:val="14"/>
              </w:rPr>
              <w:t>Adjusted OR (95% CI)</w:t>
            </w:r>
          </w:p>
        </w:tc>
        <w:tc>
          <w:tcPr>
            <w:tcW w:w="986" w:type="dxa"/>
          </w:tcPr>
          <w:p w14:paraId="4DAEB18A" w14:textId="77777777" w:rsidR="003454A7" w:rsidRPr="007E4B66" w:rsidRDefault="003454A7" w:rsidP="00C91013">
            <w:pPr>
              <w:pStyle w:val="TableText"/>
              <w:spacing w:before="38" w:after="38"/>
              <w:jc w:val="right"/>
              <w:rPr>
                <w:szCs w:val="14"/>
              </w:rPr>
            </w:pPr>
            <w:r w:rsidRPr="007E4B66">
              <w:rPr>
                <w:szCs w:val="14"/>
              </w:rPr>
              <w:t>OR (95% CI)</w:t>
            </w:r>
          </w:p>
        </w:tc>
        <w:tc>
          <w:tcPr>
            <w:tcW w:w="986" w:type="dxa"/>
          </w:tcPr>
          <w:p w14:paraId="41DDE65B" w14:textId="77777777" w:rsidR="003454A7" w:rsidRPr="007E4B66" w:rsidRDefault="003454A7" w:rsidP="00C91013">
            <w:pPr>
              <w:pStyle w:val="TableText"/>
              <w:spacing w:before="38" w:after="38"/>
              <w:jc w:val="right"/>
              <w:rPr>
                <w:szCs w:val="14"/>
              </w:rPr>
            </w:pPr>
            <w:r w:rsidRPr="007E4B66">
              <w:rPr>
                <w:szCs w:val="14"/>
              </w:rPr>
              <w:t>Adjusted OR (95% CI)</w:t>
            </w:r>
          </w:p>
        </w:tc>
        <w:tc>
          <w:tcPr>
            <w:tcW w:w="657" w:type="dxa"/>
          </w:tcPr>
          <w:p w14:paraId="78DB081F" w14:textId="77777777" w:rsidR="003454A7" w:rsidRPr="007E4B66" w:rsidRDefault="003454A7" w:rsidP="00C91013">
            <w:pPr>
              <w:pStyle w:val="TableText"/>
              <w:spacing w:before="38" w:after="38"/>
              <w:jc w:val="right"/>
              <w:rPr>
                <w:szCs w:val="14"/>
              </w:rPr>
            </w:pPr>
            <w:r w:rsidRPr="00657620">
              <w:rPr>
                <w:i/>
                <w:szCs w:val="14"/>
              </w:rPr>
              <w:t>p</w:t>
            </w:r>
            <w:r w:rsidRPr="007E4B66">
              <w:rPr>
                <w:szCs w:val="14"/>
              </w:rPr>
              <w:t>-value</w:t>
            </w:r>
          </w:p>
        </w:tc>
        <w:tc>
          <w:tcPr>
            <w:tcW w:w="657" w:type="dxa"/>
          </w:tcPr>
          <w:p w14:paraId="05D39004" w14:textId="77777777" w:rsidR="003454A7" w:rsidRPr="007E4B66" w:rsidRDefault="003454A7" w:rsidP="00C91013">
            <w:pPr>
              <w:pStyle w:val="TableText"/>
              <w:spacing w:before="38" w:after="38"/>
              <w:jc w:val="right"/>
              <w:rPr>
                <w:szCs w:val="14"/>
              </w:rPr>
            </w:pPr>
            <w:r w:rsidRPr="00657620">
              <w:rPr>
                <w:i/>
                <w:szCs w:val="14"/>
              </w:rPr>
              <w:t>p</w:t>
            </w:r>
            <w:r w:rsidRPr="007E4B66">
              <w:rPr>
                <w:szCs w:val="14"/>
              </w:rPr>
              <w:t>-value for adjusted model</w:t>
            </w:r>
          </w:p>
        </w:tc>
      </w:tr>
      <w:tr w:rsidR="003454A7" w:rsidRPr="0047058F" w14:paraId="455207B6"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1462" w:type="dxa"/>
            <w:gridSpan w:val="13"/>
          </w:tcPr>
          <w:p w14:paraId="1C856A77" w14:textId="77777777" w:rsidR="003454A7" w:rsidRPr="0047058F" w:rsidRDefault="003454A7" w:rsidP="00C91013">
            <w:pPr>
              <w:pStyle w:val="TableText"/>
              <w:spacing w:before="38" w:after="38"/>
              <w:rPr>
                <w:color w:val="000000" w:themeColor="text1"/>
                <w:sz w:val="13"/>
                <w:szCs w:val="13"/>
              </w:rPr>
            </w:pPr>
            <w:r w:rsidRPr="0047058F">
              <w:rPr>
                <w:rFonts w:eastAsia="Cambria" w:cs="Arial"/>
                <w:b/>
              </w:rPr>
              <w:t>Demographic factors (time point 1)</w:t>
            </w:r>
          </w:p>
        </w:tc>
      </w:tr>
      <w:tr w:rsidR="003454A7" w:rsidRPr="0047058F" w14:paraId="538D4F3D" w14:textId="77777777" w:rsidTr="003454A7">
        <w:trPr>
          <w:cantSplit/>
        </w:trPr>
        <w:tc>
          <w:tcPr>
            <w:tcW w:w="1720" w:type="dxa"/>
          </w:tcPr>
          <w:p w14:paraId="76FE9899" w14:textId="77777777" w:rsidR="006D5661" w:rsidRPr="0047058F" w:rsidRDefault="006D5661" w:rsidP="00C91013">
            <w:pPr>
              <w:pStyle w:val="TableText"/>
              <w:spacing w:before="38" w:after="38"/>
              <w:rPr>
                <w:rFonts w:cs="Arial"/>
              </w:rPr>
            </w:pPr>
            <w:r w:rsidRPr="0047058F">
              <w:rPr>
                <w:rFonts w:cs="Arial"/>
              </w:rPr>
              <w:t>Age (mean)</w:t>
            </w:r>
          </w:p>
        </w:tc>
        <w:tc>
          <w:tcPr>
            <w:tcW w:w="436" w:type="dxa"/>
          </w:tcPr>
          <w:p w14:paraId="20310A5D" w14:textId="77777777" w:rsidR="006D5661" w:rsidRPr="0047058F" w:rsidRDefault="006D5661" w:rsidP="00C91013">
            <w:pPr>
              <w:pStyle w:val="TableText"/>
              <w:spacing w:before="38" w:after="38"/>
              <w:jc w:val="right"/>
              <w:rPr>
                <w:sz w:val="13"/>
                <w:szCs w:val="13"/>
              </w:rPr>
            </w:pPr>
            <w:r w:rsidRPr="0047058F">
              <w:rPr>
                <w:rFonts w:cs="Arial"/>
                <w:sz w:val="13"/>
                <w:szCs w:val="13"/>
              </w:rPr>
              <w:t>747</w:t>
            </w:r>
          </w:p>
        </w:tc>
        <w:tc>
          <w:tcPr>
            <w:tcW w:w="1080" w:type="dxa"/>
          </w:tcPr>
          <w:p w14:paraId="1467511A" w14:textId="77777777" w:rsidR="006D5661" w:rsidRPr="0047058F" w:rsidRDefault="006D5661" w:rsidP="00C91013">
            <w:pPr>
              <w:pStyle w:val="TableText"/>
              <w:spacing w:before="38" w:after="38"/>
              <w:jc w:val="right"/>
              <w:rPr>
                <w:sz w:val="13"/>
                <w:szCs w:val="13"/>
              </w:rPr>
            </w:pPr>
            <w:r w:rsidRPr="0047058F">
              <w:rPr>
                <w:rFonts w:cs="Arial"/>
                <w:sz w:val="13"/>
                <w:szCs w:val="13"/>
              </w:rPr>
              <w:t>38.23 (0.35)</w:t>
            </w:r>
          </w:p>
        </w:tc>
        <w:tc>
          <w:tcPr>
            <w:tcW w:w="450" w:type="dxa"/>
          </w:tcPr>
          <w:p w14:paraId="5A9F1894" w14:textId="77777777" w:rsidR="006D5661" w:rsidRPr="0047058F" w:rsidRDefault="006D5661" w:rsidP="00C91013">
            <w:pPr>
              <w:pStyle w:val="TableText"/>
              <w:spacing w:before="38" w:after="38"/>
              <w:jc w:val="right"/>
              <w:rPr>
                <w:sz w:val="13"/>
                <w:szCs w:val="13"/>
              </w:rPr>
            </w:pPr>
            <w:r w:rsidRPr="0047058F">
              <w:rPr>
                <w:rFonts w:cs="Arial"/>
                <w:sz w:val="13"/>
                <w:szCs w:val="13"/>
              </w:rPr>
              <w:t>649</w:t>
            </w:r>
          </w:p>
        </w:tc>
        <w:tc>
          <w:tcPr>
            <w:tcW w:w="990" w:type="dxa"/>
          </w:tcPr>
          <w:p w14:paraId="247EC035" w14:textId="77777777" w:rsidR="006D5661" w:rsidRPr="0047058F" w:rsidRDefault="006D5661" w:rsidP="00C91013">
            <w:pPr>
              <w:pStyle w:val="TableText"/>
              <w:spacing w:before="38" w:after="38"/>
              <w:jc w:val="right"/>
              <w:rPr>
                <w:sz w:val="13"/>
                <w:szCs w:val="13"/>
              </w:rPr>
            </w:pPr>
            <w:r w:rsidRPr="0047058F">
              <w:rPr>
                <w:rFonts w:cs="Arial"/>
                <w:sz w:val="13"/>
                <w:szCs w:val="13"/>
              </w:rPr>
              <w:t>38.62 (0.36)</w:t>
            </w:r>
          </w:p>
        </w:tc>
        <w:tc>
          <w:tcPr>
            <w:tcW w:w="450" w:type="dxa"/>
          </w:tcPr>
          <w:p w14:paraId="2DA06DF3" w14:textId="77777777" w:rsidR="006D5661" w:rsidRPr="0047058F" w:rsidRDefault="006D5661" w:rsidP="00C91013">
            <w:pPr>
              <w:pStyle w:val="TableText"/>
              <w:spacing w:before="38" w:after="38"/>
              <w:jc w:val="right"/>
              <w:rPr>
                <w:sz w:val="13"/>
                <w:szCs w:val="13"/>
              </w:rPr>
            </w:pPr>
            <w:r w:rsidRPr="0047058F">
              <w:rPr>
                <w:rFonts w:cs="Arial"/>
                <w:sz w:val="13"/>
                <w:szCs w:val="13"/>
              </w:rPr>
              <w:t>341</w:t>
            </w:r>
          </w:p>
        </w:tc>
        <w:tc>
          <w:tcPr>
            <w:tcW w:w="990" w:type="dxa"/>
          </w:tcPr>
          <w:p w14:paraId="7EA6BBB2" w14:textId="77777777" w:rsidR="006D5661" w:rsidRPr="0047058F" w:rsidRDefault="006D5661" w:rsidP="00C91013">
            <w:pPr>
              <w:pStyle w:val="TableText"/>
              <w:spacing w:before="38" w:after="38"/>
              <w:jc w:val="right"/>
              <w:rPr>
                <w:sz w:val="13"/>
                <w:szCs w:val="13"/>
              </w:rPr>
            </w:pPr>
            <w:r w:rsidRPr="0047058F">
              <w:rPr>
                <w:rFonts w:cs="Arial"/>
                <w:sz w:val="13"/>
                <w:szCs w:val="13"/>
              </w:rPr>
              <w:t>38.07 (0.50)</w:t>
            </w:r>
          </w:p>
        </w:tc>
        <w:tc>
          <w:tcPr>
            <w:tcW w:w="1074" w:type="dxa"/>
          </w:tcPr>
          <w:p w14:paraId="5D7B9340" w14:textId="77777777" w:rsidR="006D5661" w:rsidRPr="0047058F" w:rsidRDefault="006D5661" w:rsidP="00C91013">
            <w:pPr>
              <w:pStyle w:val="TableText"/>
              <w:spacing w:before="38" w:after="38"/>
              <w:jc w:val="right"/>
              <w:rPr>
                <w:sz w:val="13"/>
                <w:szCs w:val="13"/>
              </w:rPr>
            </w:pPr>
            <w:r w:rsidRPr="0047058F">
              <w:rPr>
                <w:sz w:val="13"/>
                <w:szCs w:val="13"/>
              </w:rPr>
              <w:t>1.01 (0.99–1.02)</w:t>
            </w:r>
          </w:p>
        </w:tc>
        <w:tc>
          <w:tcPr>
            <w:tcW w:w="986" w:type="dxa"/>
          </w:tcPr>
          <w:p w14:paraId="68CCD431"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4F542C1" w14:textId="77777777" w:rsidR="006D5661" w:rsidRPr="0047058F" w:rsidRDefault="006D5661" w:rsidP="00C91013">
            <w:pPr>
              <w:pStyle w:val="TableText"/>
              <w:spacing w:before="38" w:after="38"/>
              <w:jc w:val="right"/>
              <w:rPr>
                <w:sz w:val="13"/>
                <w:szCs w:val="13"/>
              </w:rPr>
            </w:pPr>
            <w:r w:rsidRPr="0047058F">
              <w:rPr>
                <w:sz w:val="13"/>
                <w:szCs w:val="13"/>
              </w:rPr>
              <w:t>1.00 (0.99–1.02)</w:t>
            </w:r>
          </w:p>
        </w:tc>
        <w:tc>
          <w:tcPr>
            <w:tcW w:w="986" w:type="dxa"/>
          </w:tcPr>
          <w:p w14:paraId="200EAF9F"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6E742181"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ns</w:t>
            </w:r>
          </w:p>
        </w:tc>
        <w:tc>
          <w:tcPr>
            <w:tcW w:w="657" w:type="dxa"/>
          </w:tcPr>
          <w:p w14:paraId="78363B49"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w:t>
            </w:r>
          </w:p>
        </w:tc>
      </w:tr>
      <w:tr w:rsidR="003454A7" w:rsidRPr="0047058F" w14:paraId="577D748A"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6F25AA67" w14:textId="77777777" w:rsidR="006D5661" w:rsidRPr="0047058F" w:rsidRDefault="006D5661" w:rsidP="00C91013">
            <w:pPr>
              <w:pStyle w:val="TableText"/>
              <w:spacing w:before="38" w:after="38"/>
              <w:rPr>
                <w:rFonts w:cs="Arial"/>
              </w:rPr>
            </w:pPr>
            <w:r w:rsidRPr="0047058F">
              <w:rPr>
                <w:rFonts w:cs="Arial"/>
              </w:rPr>
              <w:t>Sex</w:t>
            </w:r>
          </w:p>
        </w:tc>
        <w:tc>
          <w:tcPr>
            <w:tcW w:w="436" w:type="dxa"/>
          </w:tcPr>
          <w:p w14:paraId="13072A0E" w14:textId="77777777" w:rsidR="006D5661" w:rsidRPr="0047058F" w:rsidRDefault="006D5661" w:rsidP="00C91013">
            <w:pPr>
              <w:pStyle w:val="TableText"/>
              <w:spacing w:before="38" w:after="38"/>
              <w:jc w:val="right"/>
              <w:rPr>
                <w:sz w:val="13"/>
                <w:szCs w:val="13"/>
              </w:rPr>
            </w:pPr>
          </w:p>
        </w:tc>
        <w:tc>
          <w:tcPr>
            <w:tcW w:w="1080" w:type="dxa"/>
          </w:tcPr>
          <w:p w14:paraId="14E51FA6" w14:textId="77777777" w:rsidR="006D5661" w:rsidRPr="0047058F" w:rsidRDefault="006D5661" w:rsidP="00C91013">
            <w:pPr>
              <w:pStyle w:val="TableText"/>
              <w:spacing w:before="38" w:after="38"/>
              <w:jc w:val="right"/>
              <w:rPr>
                <w:sz w:val="13"/>
                <w:szCs w:val="13"/>
              </w:rPr>
            </w:pPr>
          </w:p>
        </w:tc>
        <w:tc>
          <w:tcPr>
            <w:tcW w:w="450" w:type="dxa"/>
          </w:tcPr>
          <w:p w14:paraId="34FBDE80" w14:textId="77777777" w:rsidR="006D5661" w:rsidRPr="0047058F" w:rsidRDefault="006D5661" w:rsidP="00C91013">
            <w:pPr>
              <w:pStyle w:val="TableText"/>
              <w:spacing w:before="38" w:after="38"/>
              <w:jc w:val="right"/>
              <w:rPr>
                <w:sz w:val="13"/>
                <w:szCs w:val="13"/>
              </w:rPr>
            </w:pPr>
          </w:p>
        </w:tc>
        <w:tc>
          <w:tcPr>
            <w:tcW w:w="990" w:type="dxa"/>
          </w:tcPr>
          <w:p w14:paraId="3D939B02" w14:textId="77777777" w:rsidR="006D5661" w:rsidRPr="0047058F" w:rsidRDefault="006D5661" w:rsidP="00C91013">
            <w:pPr>
              <w:pStyle w:val="TableText"/>
              <w:spacing w:before="38" w:after="38"/>
              <w:jc w:val="right"/>
              <w:rPr>
                <w:sz w:val="13"/>
                <w:szCs w:val="13"/>
              </w:rPr>
            </w:pPr>
          </w:p>
        </w:tc>
        <w:tc>
          <w:tcPr>
            <w:tcW w:w="450" w:type="dxa"/>
          </w:tcPr>
          <w:p w14:paraId="62AE72A4" w14:textId="77777777" w:rsidR="006D5661" w:rsidRPr="0047058F" w:rsidRDefault="006D5661" w:rsidP="00C91013">
            <w:pPr>
              <w:pStyle w:val="TableText"/>
              <w:spacing w:before="38" w:after="38"/>
              <w:jc w:val="right"/>
              <w:rPr>
                <w:sz w:val="13"/>
                <w:szCs w:val="13"/>
              </w:rPr>
            </w:pPr>
          </w:p>
        </w:tc>
        <w:tc>
          <w:tcPr>
            <w:tcW w:w="990" w:type="dxa"/>
          </w:tcPr>
          <w:p w14:paraId="5970F264" w14:textId="77777777" w:rsidR="006D5661" w:rsidRPr="0047058F" w:rsidRDefault="006D5661" w:rsidP="00C91013">
            <w:pPr>
              <w:pStyle w:val="TableText"/>
              <w:spacing w:before="38" w:after="38"/>
              <w:jc w:val="right"/>
              <w:rPr>
                <w:sz w:val="13"/>
                <w:szCs w:val="13"/>
              </w:rPr>
            </w:pPr>
          </w:p>
        </w:tc>
        <w:tc>
          <w:tcPr>
            <w:tcW w:w="1074" w:type="dxa"/>
          </w:tcPr>
          <w:p w14:paraId="5D0FC6FC" w14:textId="77777777" w:rsidR="006D5661" w:rsidRPr="0047058F" w:rsidRDefault="006D5661" w:rsidP="00C91013">
            <w:pPr>
              <w:pStyle w:val="TableText"/>
              <w:spacing w:before="38" w:after="38"/>
              <w:jc w:val="right"/>
              <w:rPr>
                <w:sz w:val="13"/>
                <w:szCs w:val="13"/>
              </w:rPr>
            </w:pPr>
          </w:p>
        </w:tc>
        <w:tc>
          <w:tcPr>
            <w:tcW w:w="986" w:type="dxa"/>
          </w:tcPr>
          <w:p w14:paraId="41519786" w14:textId="77777777" w:rsidR="006D5661" w:rsidRPr="0047058F" w:rsidRDefault="006D5661" w:rsidP="00C91013">
            <w:pPr>
              <w:pStyle w:val="TableText"/>
              <w:spacing w:before="38" w:after="38"/>
              <w:jc w:val="right"/>
              <w:rPr>
                <w:sz w:val="13"/>
                <w:szCs w:val="13"/>
              </w:rPr>
            </w:pPr>
          </w:p>
        </w:tc>
        <w:tc>
          <w:tcPr>
            <w:tcW w:w="986" w:type="dxa"/>
          </w:tcPr>
          <w:p w14:paraId="722ED1AF" w14:textId="77777777" w:rsidR="006D5661" w:rsidRPr="0047058F" w:rsidRDefault="006D5661" w:rsidP="00C91013">
            <w:pPr>
              <w:pStyle w:val="TableText"/>
              <w:spacing w:before="38" w:after="38"/>
              <w:jc w:val="right"/>
              <w:rPr>
                <w:sz w:val="13"/>
                <w:szCs w:val="13"/>
              </w:rPr>
            </w:pPr>
          </w:p>
        </w:tc>
        <w:tc>
          <w:tcPr>
            <w:tcW w:w="986" w:type="dxa"/>
          </w:tcPr>
          <w:p w14:paraId="092F16E5" w14:textId="77777777" w:rsidR="006D5661" w:rsidRPr="0047058F" w:rsidRDefault="006D5661" w:rsidP="00C91013">
            <w:pPr>
              <w:pStyle w:val="TableText"/>
              <w:spacing w:before="38" w:after="38"/>
              <w:jc w:val="right"/>
              <w:rPr>
                <w:sz w:val="13"/>
                <w:szCs w:val="13"/>
              </w:rPr>
            </w:pPr>
          </w:p>
        </w:tc>
        <w:tc>
          <w:tcPr>
            <w:tcW w:w="657" w:type="dxa"/>
          </w:tcPr>
          <w:p w14:paraId="6E8E0D74"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0.0214</w:t>
            </w:r>
          </w:p>
        </w:tc>
        <w:tc>
          <w:tcPr>
            <w:tcW w:w="657" w:type="dxa"/>
          </w:tcPr>
          <w:p w14:paraId="5AA7192B"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ns</w:t>
            </w:r>
          </w:p>
        </w:tc>
      </w:tr>
      <w:tr w:rsidR="003454A7" w:rsidRPr="0047058F" w14:paraId="53673922" w14:textId="77777777" w:rsidTr="003454A7">
        <w:trPr>
          <w:cantSplit/>
        </w:trPr>
        <w:tc>
          <w:tcPr>
            <w:tcW w:w="1720" w:type="dxa"/>
          </w:tcPr>
          <w:p w14:paraId="02ECBDE2" w14:textId="77777777" w:rsidR="006D5661" w:rsidRPr="0047058F" w:rsidRDefault="006D5661" w:rsidP="00C91013">
            <w:pPr>
              <w:pStyle w:val="TableText"/>
              <w:spacing w:before="38" w:after="38"/>
              <w:ind w:left="144"/>
              <w:rPr>
                <w:rFonts w:cs="Arial"/>
              </w:rPr>
            </w:pPr>
            <w:r w:rsidRPr="0047058F">
              <w:rPr>
                <w:rFonts w:cs="Arial"/>
              </w:rPr>
              <w:t>Female</w:t>
            </w:r>
          </w:p>
        </w:tc>
        <w:tc>
          <w:tcPr>
            <w:tcW w:w="436" w:type="dxa"/>
          </w:tcPr>
          <w:p w14:paraId="4F3D4238" w14:textId="77777777" w:rsidR="006D5661" w:rsidRPr="0047058F" w:rsidRDefault="006D5661" w:rsidP="00C91013">
            <w:pPr>
              <w:pStyle w:val="TableText"/>
              <w:spacing w:before="38" w:after="38"/>
              <w:jc w:val="right"/>
              <w:rPr>
                <w:sz w:val="13"/>
                <w:szCs w:val="13"/>
              </w:rPr>
            </w:pPr>
            <w:r w:rsidRPr="0047058F">
              <w:rPr>
                <w:rFonts w:cs="Arial"/>
                <w:sz w:val="13"/>
                <w:szCs w:val="13"/>
              </w:rPr>
              <w:t>146</w:t>
            </w:r>
          </w:p>
        </w:tc>
        <w:tc>
          <w:tcPr>
            <w:tcW w:w="1080" w:type="dxa"/>
          </w:tcPr>
          <w:p w14:paraId="7C22443F" w14:textId="77777777" w:rsidR="006D5661" w:rsidRPr="0047058F" w:rsidRDefault="006D5661" w:rsidP="00C91013">
            <w:pPr>
              <w:pStyle w:val="TableText"/>
              <w:spacing w:before="38" w:after="38"/>
              <w:jc w:val="right"/>
              <w:rPr>
                <w:sz w:val="13"/>
                <w:szCs w:val="13"/>
              </w:rPr>
            </w:pPr>
            <w:r w:rsidRPr="0047058F">
              <w:rPr>
                <w:rFonts w:cs="Arial"/>
                <w:sz w:val="13"/>
                <w:szCs w:val="13"/>
              </w:rPr>
              <w:t>49.7 (35.8–63.6)</w:t>
            </w:r>
          </w:p>
        </w:tc>
        <w:tc>
          <w:tcPr>
            <w:tcW w:w="450" w:type="dxa"/>
          </w:tcPr>
          <w:p w14:paraId="49A116ED" w14:textId="77777777" w:rsidR="006D5661" w:rsidRPr="0047058F" w:rsidRDefault="006D5661" w:rsidP="00C91013">
            <w:pPr>
              <w:pStyle w:val="TableText"/>
              <w:spacing w:before="38" w:after="38"/>
              <w:jc w:val="right"/>
              <w:rPr>
                <w:sz w:val="13"/>
                <w:szCs w:val="13"/>
              </w:rPr>
            </w:pPr>
            <w:r w:rsidRPr="0047058F">
              <w:rPr>
                <w:rFonts w:cs="Arial"/>
                <w:sz w:val="13"/>
                <w:szCs w:val="13"/>
              </w:rPr>
              <w:t>99</w:t>
            </w:r>
          </w:p>
        </w:tc>
        <w:tc>
          <w:tcPr>
            <w:tcW w:w="990" w:type="dxa"/>
          </w:tcPr>
          <w:p w14:paraId="43F96D9F" w14:textId="77777777" w:rsidR="006D5661" w:rsidRPr="0047058F" w:rsidRDefault="006D5661" w:rsidP="00C91013">
            <w:pPr>
              <w:pStyle w:val="TableText"/>
              <w:spacing w:before="38" w:after="38"/>
              <w:jc w:val="right"/>
              <w:rPr>
                <w:sz w:val="13"/>
                <w:szCs w:val="13"/>
              </w:rPr>
            </w:pPr>
            <w:r w:rsidRPr="0047058F">
              <w:rPr>
                <w:rFonts w:cs="Arial"/>
                <w:sz w:val="13"/>
                <w:szCs w:val="13"/>
              </w:rPr>
              <w:t>33.7 (17.7–49.7)</w:t>
            </w:r>
          </w:p>
        </w:tc>
        <w:tc>
          <w:tcPr>
            <w:tcW w:w="450" w:type="dxa"/>
          </w:tcPr>
          <w:p w14:paraId="52EF3956" w14:textId="77777777" w:rsidR="006D5661" w:rsidRPr="0047058F" w:rsidRDefault="006D5661" w:rsidP="00C91013">
            <w:pPr>
              <w:pStyle w:val="TableText"/>
              <w:spacing w:before="38" w:after="38"/>
              <w:jc w:val="right"/>
              <w:rPr>
                <w:sz w:val="13"/>
                <w:szCs w:val="13"/>
              </w:rPr>
            </w:pPr>
            <w:r w:rsidRPr="0047058F">
              <w:rPr>
                <w:rFonts w:cs="Arial"/>
                <w:sz w:val="13"/>
                <w:szCs w:val="13"/>
              </w:rPr>
              <w:t>49</w:t>
            </w:r>
          </w:p>
        </w:tc>
        <w:tc>
          <w:tcPr>
            <w:tcW w:w="990" w:type="dxa"/>
          </w:tcPr>
          <w:p w14:paraId="3E778A82" w14:textId="77777777" w:rsidR="006D5661" w:rsidRPr="0047058F" w:rsidRDefault="006D5661" w:rsidP="00C91013">
            <w:pPr>
              <w:pStyle w:val="TableText"/>
              <w:spacing w:before="38" w:after="38"/>
              <w:jc w:val="right"/>
              <w:rPr>
                <w:sz w:val="13"/>
                <w:szCs w:val="13"/>
              </w:rPr>
            </w:pPr>
            <w:r w:rsidRPr="0047058F">
              <w:rPr>
                <w:rFonts w:cs="Arial"/>
                <w:sz w:val="13"/>
                <w:szCs w:val="13"/>
              </w:rPr>
              <w:t>16.7 (0.0–34.6)</w:t>
            </w:r>
          </w:p>
        </w:tc>
        <w:tc>
          <w:tcPr>
            <w:tcW w:w="1074" w:type="dxa"/>
          </w:tcPr>
          <w:p w14:paraId="0B097725"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052C78B9"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620001D"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64B12722"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7B3731F1"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0F83EEA7"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7B909719"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Borders>
              <w:bottom w:val="single" w:sz="4" w:space="0" w:color="000000"/>
            </w:tcBorders>
          </w:tcPr>
          <w:p w14:paraId="3A07BD98" w14:textId="77777777" w:rsidR="006D5661" w:rsidRPr="0047058F" w:rsidRDefault="006D5661" w:rsidP="00C91013">
            <w:pPr>
              <w:pStyle w:val="TableText"/>
              <w:spacing w:before="38" w:after="38"/>
              <w:ind w:left="144"/>
              <w:rPr>
                <w:rFonts w:cs="Arial"/>
              </w:rPr>
            </w:pPr>
            <w:r w:rsidRPr="0047058F">
              <w:rPr>
                <w:rFonts w:cs="Arial"/>
              </w:rPr>
              <w:t>Male</w:t>
            </w:r>
          </w:p>
        </w:tc>
        <w:tc>
          <w:tcPr>
            <w:tcW w:w="436" w:type="dxa"/>
            <w:tcBorders>
              <w:bottom w:val="single" w:sz="4" w:space="0" w:color="000000"/>
            </w:tcBorders>
          </w:tcPr>
          <w:p w14:paraId="56014DCE" w14:textId="77777777" w:rsidR="006D5661" w:rsidRPr="0047058F" w:rsidRDefault="006D5661" w:rsidP="00C91013">
            <w:pPr>
              <w:pStyle w:val="TableText"/>
              <w:spacing w:before="38" w:after="38"/>
              <w:jc w:val="right"/>
              <w:rPr>
                <w:sz w:val="13"/>
                <w:szCs w:val="13"/>
              </w:rPr>
            </w:pPr>
            <w:r w:rsidRPr="0047058F">
              <w:rPr>
                <w:rFonts w:cs="Arial"/>
                <w:sz w:val="13"/>
                <w:szCs w:val="13"/>
              </w:rPr>
              <w:t>601</w:t>
            </w:r>
          </w:p>
        </w:tc>
        <w:tc>
          <w:tcPr>
            <w:tcW w:w="1080" w:type="dxa"/>
            <w:tcBorders>
              <w:bottom w:val="single" w:sz="4" w:space="0" w:color="000000"/>
            </w:tcBorders>
          </w:tcPr>
          <w:p w14:paraId="0B12ACA9" w14:textId="77777777" w:rsidR="006D5661" w:rsidRPr="0047058F" w:rsidRDefault="006D5661" w:rsidP="00C91013">
            <w:pPr>
              <w:pStyle w:val="TableText"/>
              <w:spacing w:before="38" w:after="38"/>
              <w:jc w:val="right"/>
              <w:rPr>
                <w:sz w:val="13"/>
                <w:szCs w:val="13"/>
              </w:rPr>
            </w:pPr>
            <w:r w:rsidRPr="0047058F">
              <w:rPr>
                <w:rFonts w:cs="Arial"/>
                <w:sz w:val="13"/>
                <w:szCs w:val="13"/>
              </w:rPr>
              <w:t>41.6 (26.6–56.6)</w:t>
            </w:r>
          </w:p>
        </w:tc>
        <w:tc>
          <w:tcPr>
            <w:tcW w:w="450" w:type="dxa"/>
            <w:tcBorders>
              <w:bottom w:val="single" w:sz="4" w:space="0" w:color="000000"/>
            </w:tcBorders>
          </w:tcPr>
          <w:p w14:paraId="6676742F" w14:textId="77777777" w:rsidR="006D5661" w:rsidRPr="0047058F" w:rsidRDefault="006D5661" w:rsidP="00C91013">
            <w:pPr>
              <w:pStyle w:val="TableText"/>
              <w:spacing w:before="38" w:after="38"/>
              <w:jc w:val="right"/>
              <w:rPr>
                <w:sz w:val="13"/>
                <w:szCs w:val="13"/>
              </w:rPr>
            </w:pPr>
            <w:r w:rsidRPr="0047058F">
              <w:rPr>
                <w:rFonts w:cs="Arial"/>
                <w:sz w:val="13"/>
                <w:szCs w:val="13"/>
              </w:rPr>
              <w:t>550</w:t>
            </w:r>
          </w:p>
        </w:tc>
        <w:tc>
          <w:tcPr>
            <w:tcW w:w="990" w:type="dxa"/>
            <w:tcBorders>
              <w:bottom w:val="single" w:sz="4" w:space="0" w:color="000000"/>
            </w:tcBorders>
          </w:tcPr>
          <w:p w14:paraId="69541007" w14:textId="77777777" w:rsidR="006D5661" w:rsidRPr="0047058F" w:rsidRDefault="006D5661" w:rsidP="00C91013">
            <w:pPr>
              <w:pStyle w:val="TableText"/>
              <w:spacing w:before="38" w:after="38"/>
              <w:jc w:val="right"/>
              <w:rPr>
                <w:sz w:val="13"/>
                <w:szCs w:val="13"/>
              </w:rPr>
            </w:pPr>
            <w:r w:rsidRPr="0047058F">
              <w:rPr>
                <w:rFonts w:cs="Arial"/>
                <w:sz w:val="13"/>
                <w:szCs w:val="13"/>
              </w:rPr>
              <w:t>38.1 (22.7–53.5)</w:t>
            </w:r>
          </w:p>
        </w:tc>
        <w:tc>
          <w:tcPr>
            <w:tcW w:w="450" w:type="dxa"/>
            <w:tcBorders>
              <w:bottom w:val="single" w:sz="4" w:space="0" w:color="000000"/>
            </w:tcBorders>
          </w:tcPr>
          <w:p w14:paraId="58F7DE64" w14:textId="77777777" w:rsidR="006D5661" w:rsidRPr="0047058F" w:rsidRDefault="006D5661" w:rsidP="00C91013">
            <w:pPr>
              <w:pStyle w:val="TableText"/>
              <w:spacing w:before="38" w:after="38"/>
              <w:jc w:val="right"/>
              <w:rPr>
                <w:sz w:val="13"/>
                <w:szCs w:val="13"/>
              </w:rPr>
            </w:pPr>
            <w:r w:rsidRPr="0047058F">
              <w:rPr>
                <w:rFonts w:cs="Arial"/>
                <w:sz w:val="13"/>
                <w:szCs w:val="13"/>
              </w:rPr>
              <w:t>292</w:t>
            </w:r>
          </w:p>
        </w:tc>
        <w:tc>
          <w:tcPr>
            <w:tcW w:w="990" w:type="dxa"/>
            <w:tcBorders>
              <w:bottom w:val="single" w:sz="4" w:space="0" w:color="000000"/>
            </w:tcBorders>
          </w:tcPr>
          <w:p w14:paraId="381B9A37" w14:textId="77777777" w:rsidR="006D5661" w:rsidRPr="0047058F" w:rsidRDefault="006D5661" w:rsidP="00C91013">
            <w:pPr>
              <w:pStyle w:val="TableText"/>
              <w:spacing w:before="38" w:after="38"/>
              <w:jc w:val="right"/>
              <w:rPr>
                <w:sz w:val="13"/>
                <w:szCs w:val="13"/>
              </w:rPr>
            </w:pPr>
            <w:r w:rsidRPr="0047058F">
              <w:rPr>
                <w:rFonts w:cs="Arial"/>
                <w:sz w:val="13"/>
                <w:szCs w:val="13"/>
              </w:rPr>
              <w:t>20.2 (2.7–37.7)</w:t>
            </w:r>
          </w:p>
        </w:tc>
        <w:tc>
          <w:tcPr>
            <w:tcW w:w="1074" w:type="dxa"/>
            <w:tcBorders>
              <w:bottom w:val="single" w:sz="4" w:space="0" w:color="000000"/>
            </w:tcBorders>
          </w:tcPr>
          <w:p w14:paraId="15F7FB70" w14:textId="77777777" w:rsidR="006D5661" w:rsidRPr="0047058F" w:rsidRDefault="006D5661" w:rsidP="00C91013">
            <w:pPr>
              <w:pStyle w:val="TableText"/>
              <w:spacing w:before="38" w:after="38"/>
              <w:jc w:val="right"/>
              <w:rPr>
                <w:sz w:val="13"/>
                <w:szCs w:val="13"/>
              </w:rPr>
            </w:pPr>
            <w:r w:rsidRPr="0047058F">
              <w:rPr>
                <w:sz w:val="13"/>
                <w:szCs w:val="13"/>
              </w:rPr>
              <w:t>1.49 (1.08–2.05)</w:t>
            </w:r>
          </w:p>
        </w:tc>
        <w:tc>
          <w:tcPr>
            <w:tcW w:w="986" w:type="dxa"/>
            <w:tcBorders>
              <w:bottom w:val="single" w:sz="4" w:space="0" w:color="000000"/>
            </w:tcBorders>
          </w:tcPr>
          <w:p w14:paraId="6575A7CA" w14:textId="77777777" w:rsidR="006D5661" w:rsidRPr="0047058F" w:rsidRDefault="006D5661" w:rsidP="00C91013">
            <w:pPr>
              <w:pStyle w:val="TableText"/>
              <w:spacing w:before="38" w:after="38"/>
              <w:jc w:val="right"/>
              <w:rPr>
                <w:sz w:val="13"/>
                <w:szCs w:val="13"/>
              </w:rPr>
            </w:pPr>
            <w:r w:rsidRPr="0047058F">
              <w:rPr>
                <w:color w:val="auto"/>
                <w:sz w:val="13"/>
                <w:szCs w:val="13"/>
              </w:rPr>
              <w:t>–</w:t>
            </w:r>
          </w:p>
        </w:tc>
        <w:tc>
          <w:tcPr>
            <w:tcW w:w="986" w:type="dxa"/>
            <w:tcBorders>
              <w:bottom w:val="single" w:sz="4" w:space="0" w:color="000000"/>
            </w:tcBorders>
          </w:tcPr>
          <w:p w14:paraId="6DB2E1BF" w14:textId="77777777" w:rsidR="006D5661" w:rsidRPr="0047058F" w:rsidRDefault="006D5661" w:rsidP="00C91013">
            <w:pPr>
              <w:pStyle w:val="TableText"/>
              <w:spacing w:before="38" w:after="38"/>
              <w:jc w:val="right"/>
              <w:rPr>
                <w:sz w:val="13"/>
                <w:szCs w:val="13"/>
              </w:rPr>
            </w:pPr>
            <w:r w:rsidRPr="0047058F">
              <w:rPr>
                <w:sz w:val="13"/>
                <w:szCs w:val="13"/>
              </w:rPr>
              <w:t>1.53 (1.02–2.28)</w:t>
            </w:r>
          </w:p>
        </w:tc>
        <w:tc>
          <w:tcPr>
            <w:tcW w:w="986" w:type="dxa"/>
            <w:tcBorders>
              <w:bottom w:val="single" w:sz="4" w:space="0" w:color="000000"/>
            </w:tcBorders>
          </w:tcPr>
          <w:p w14:paraId="028B55C6" w14:textId="77777777" w:rsidR="006D5661" w:rsidRPr="0047058F" w:rsidRDefault="006D5661" w:rsidP="00C91013">
            <w:pPr>
              <w:pStyle w:val="TableText"/>
              <w:spacing w:before="38" w:after="38"/>
              <w:jc w:val="right"/>
              <w:rPr>
                <w:sz w:val="13"/>
                <w:szCs w:val="13"/>
              </w:rPr>
            </w:pPr>
            <w:r w:rsidRPr="0047058F">
              <w:rPr>
                <w:color w:val="auto"/>
                <w:sz w:val="13"/>
                <w:szCs w:val="13"/>
              </w:rPr>
              <w:t>–</w:t>
            </w:r>
          </w:p>
        </w:tc>
        <w:tc>
          <w:tcPr>
            <w:tcW w:w="657" w:type="dxa"/>
            <w:tcBorders>
              <w:bottom w:val="single" w:sz="4" w:space="0" w:color="000000"/>
            </w:tcBorders>
          </w:tcPr>
          <w:p w14:paraId="36664A4C" w14:textId="77777777" w:rsidR="006D5661" w:rsidRPr="0047058F" w:rsidRDefault="006D5661" w:rsidP="00C91013">
            <w:pPr>
              <w:pStyle w:val="TableText"/>
              <w:spacing w:before="38" w:after="38"/>
              <w:jc w:val="right"/>
              <w:rPr>
                <w:color w:val="000000" w:themeColor="text1"/>
                <w:sz w:val="13"/>
                <w:szCs w:val="13"/>
              </w:rPr>
            </w:pPr>
          </w:p>
        </w:tc>
        <w:tc>
          <w:tcPr>
            <w:tcW w:w="657" w:type="dxa"/>
            <w:tcBorders>
              <w:bottom w:val="single" w:sz="4" w:space="0" w:color="000000"/>
            </w:tcBorders>
          </w:tcPr>
          <w:p w14:paraId="0D3D1663"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5818C4D2" w14:textId="77777777" w:rsidTr="003454A7">
        <w:trPr>
          <w:cantSplit/>
        </w:trPr>
        <w:tc>
          <w:tcPr>
            <w:tcW w:w="11462" w:type="dxa"/>
            <w:gridSpan w:val="13"/>
            <w:tcBorders>
              <w:top w:val="single" w:sz="4" w:space="0" w:color="000000"/>
              <w:bottom w:val="nil"/>
            </w:tcBorders>
          </w:tcPr>
          <w:p w14:paraId="750190B1" w14:textId="77777777" w:rsidR="003454A7" w:rsidRPr="0047058F" w:rsidRDefault="003454A7" w:rsidP="00C91013">
            <w:pPr>
              <w:pStyle w:val="TableText"/>
              <w:spacing w:before="38" w:after="38"/>
              <w:rPr>
                <w:sz w:val="13"/>
                <w:szCs w:val="13"/>
              </w:rPr>
            </w:pPr>
            <w:r w:rsidRPr="0047058F">
              <w:rPr>
                <w:b/>
                <w:color w:val="000000" w:themeColor="text1"/>
              </w:rPr>
              <w:t>Service factors (time point 1)</w:t>
            </w:r>
          </w:p>
        </w:tc>
      </w:tr>
      <w:tr w:rsidR="003454A7" w:rsidRPr="0047058F" w14:paraId="3901CBCC"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Borders>
              <w:top w:val="nil"/>
            </w:tcBorders>
          </w:tcPr>
          <w:p w14:paraId="49438321" w14:textId="77777777" w:rsidR="006D5661" w:rsidRPr="0047058F" w:rsidRDefault="006D5661" w:rsidP="00C91013">
            <w:pPr>
              <w:pStyle w:val="TableText"/>
              <w:spacing w:before="38" w:after="38"/>
              <w:rPr>
                <w:rFonts w:eastAsia="Cambria" w:cs="Arial"/>
              </w:rPr>
            </w:pPr>
            <w:r w:rsidRPr="0047058F">
              <w:rPr>
                <w:rFonts w:eastAsia="Cambria" w:cs="Arial"/>
              </w:rPr>
              <w:t>Rank</w:t>
            </w:r>
          </w:p>
        </w:tc>
        <w:tc>
          <w:tcPr>
            <w:tcW w:w="436" w:type="dxa"/>
            <w:tcBorders>
              <w:top w:val="nil"/>
            </w:tcBorders>
          </w:tcPr>
          <w:p w14:paraId="3E0A76D5" w14:textId="77777777" w:rsidR="006D5661" w:rsidRPr="0047058F" w:rsidRDefault="006D5661" w:rsidP="00C91013">
            <w:pPr>
              <w:pStyle w:val="TableText"/>
              <w:spacing w:before="38" w:after="38"/>
              <w:jc w:val="right"/>
              <w:rPr>
                <w:sz w:val="13"/>
                <w:szCs w:val="13"/>
              </w:rPr>
            </w:pPr>
          </w:p>
        </w:tc>
        <w:tc>
          <w:tcPr>
            <w:tcW w:w="1080" w:type="dxa"/>
            <w:tcBorders>
              <w:top w:val="nil"/>
            </w:tcBorders>
          </w:tcPr>
          <w:p w14:paraId="327DAE29"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1A8F1A23"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7EEA6FE0"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02D2E94D"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704CEB70" w14:textId="77777777" w:rsidR="006D5661" w:rsidRPr="0047058F" w:rsidRDefault="006D5661" w:rsidP="00C91013">
            <w:pPr>
              <w:pStyle w:val="TableText"/>
              <w:spacing w:before="38" w:after="38"/>
              <w:jc w:val="right"/>
              <w:rPr>
                <w:sz w:val="13"/>
                <w:szCs w:val="13"/>
              </w:rPr>
            </w:pPr>
          </w:p>
        </w:tc>
        <w:tc>
          <w:tcPr>
            <w:tcW w:w="1074" w:type="dxa"/>
            <w:tcBorders>
              <w:top w:val="nil"/>
            </w:tcBorders>
          </w:tcPr>
          <w:p w14:paraId="51F117EF"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292FFA20"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309B7059"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5631CE30" w14:textId="77777777" w:rsidR="006D5661" w:rsidRPr="0047058F" w:rsidRDefault="006D5661" w:rsidP="00C91013">
            <w:pPr>
              <w:pStyle w:val="TableText"/>
              <w:spacing w:before="38" w:after="38"/>
              <w:jc w:val="right"/>
              <w:rPr>
                <w:sz w:val="13"/>
                <w:szCs w:val="13"/>
              </w:rPr>
            </w:pPr>
          </w:p>
        </w:tc>
        <w:tc>
          <w:tcPr>
            <w:tcW w:w="657" w:type="dxa"/>
            <w:tcBorders>
              <w:top w:val="nil"/>
            </w:tcBorders>
          </w:tcPr>
          <w:p w14:paraId="4FBFE8B2"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0.0001</w:t>
            </w:r>
          </w:p>
        </w:tc>
        <w:tc>
          <w:tcPr>
            <w:tcW w:w="657" w:type="dxa"/>
            <w:tcBorders>
              <w:top w:val="nil"/>
            </w:tcBorders>
          </w:tcPr>
          <w:p w14:paraId="104EC5AA" w14:textId="77777777" w:rsidR="006D5661" w:rsidRPr="0047058F" w:rsidRDefault="006D5661" w:rsidP="00C91013">
            <w:pPr>
              <w:pStyle w:val="TableText"/>
              <w:spacing w:before="38" w:after="38"/>
              <w:jc w:val="right"/>
              <w:rPr>
                <w:rFonts w:eastAsia="Times New Roman" w:cs="Arial"/>
                <w:color w:val="000000" w:themeColor="text1"/>
                <w:sz w:val="13"/>
                <w:szCs w:val="13"/>
              </w:rPr>
            </w:pPr>
            <w:r w:rsidRPr="0047058F">
              <w:rPr>
                <w:sz w:val="13"/>
                <w:szCs w:val="13"/>
              </w:rPr>
              <w:t>&lt; 0.0001</w:t>
            </w:r>
          </w:p>
        </w:tc>
      </w:tr>
      <w:tr w:rsidR="003454A7" w:rsidRPr="0047058F" w14:paraId="7E830659" w14:textId="77777777" w:rsidTr="003454A7">
        <w:trPr>
          <w:cantSplit/>
        </w:trPr>
        <w:tc>
          <w:tcPr>
            <w:tcW w:w="1720" w:type="dxa"/>
          </w:tcPr>
          <w:p w14:paraId="14F41E10" w14:textId="77777777" w:rsidR="006D5661" w:rsidRPr="0047058F" w:rsidRDefault="006D5661" w:rsidP="00C91013">
            <w:pPr>
              <w:pStyle w:val="TableText"/>
              <w:spacing w:before="38" w:after="38"/>
              <w:ind w:left="144"/>
              <w:rPr>
                <w:rFonts w:cs="Arial"/>
              </w:rPr>
            </w:pPr>
            <w:r w:rsidRPr="0047058F">
              <w:rPr>
                <w:rFonts w:cs="Arial"/>
              </w:rPr>
              <w:t>Officer</w:t>
            </w:r>
          </w:p>
        </w:tc>
        <w:tc>
          <w:tcPr>
            <w:tcW w:w="436" w:type="dxa"/>
          </w:tcPr>
          <w:p w14:paraId="74321431" w14:textId="77777777" w:rsidR="006D5661" w:rsidRPr="0047058F" w:rsidRDefault="006D5661" w:rsidP="00C91013">
            <w:pPr>
              <w:pStyle w:val="TableText"/>
              <w:spacing w:before="38" w:after="38"/>
              <w:jc w:val="right"/>
              <w:rPr>
                <w:sz w:val="13"/>
                <w:szCs w:val="13"/>
              </w:rPr>
            </w:pPr>
            <w:r w:rsidRPr="0047058F">
              <w:rPr>
                <w:rFonts w:cs="Arial"/>
                <w:sz w:val="13"/>
                <w:szCs w:val="13"/>
              </w:rPr>
              <w:t>303</w:t>
            </w:r>
          </w:p>
        </w:tc>
        <w:tc>
          <w:tcPr>
            <w:tcW w:w="1080" w:type="dxa"/>
          </w:tcPr>
          <w:p w14:paraId="403D8779" w14:textId="77777777" w:rsidR="006D5661" w:rsidRPr="0047058F" w:rsidRDefault="006D5661" w:rsidP="00C91013">
            <w:pPr>
              <w:pStyle w:val="TableText"/>
              <w:spacing w:before="38" w:after="38"/>
              <w:jc w:val="right"/>
              <w:rPr>
                <w:sz w:val="13"/>
                <w:szCs w:val="13"/>
              </w:rPr>
            </w:pPr>
            <w:r w:rsidRPr="0047058F">
              <w:rPr>
                <w:rFonts w:cs="Arial"/>
                <w:sz w:val="13"/>
                <w:szCs w:val="13"/>
              </w:rPr>
              <w:t>49.8 (35.9–63.7)</w:t>
            </w:r>
          </w:p>
        </w:tc>
        <w:tc>
          <w:tcPr>
            <w:tcW w:w="450" w:type="dxa"/>
          </w:tcPr>
          <w:p w14:paraId="1383078C" w14:textId="77777777" w:rsidR="006D5661" w:rsidRPr="0047058F" w:rsidRDefault="006D5661" w:rsidP="00C91013">
            <w:pPr>
              <w:pStyle w:val="TableText"/>
              <w:spacing w:before="38" w:after="38"/>
              <w:jc w:val="right"/>
              <w:rPr>
                <w:sz w:val="13"/>
                <w:szCs w:val="13"/>
              </w:rPr>
            </w:pPr>
            <w:r w:rsidRPr="0047058F">
              <w:rPr>
                <w:rFonts w:cs="Arial"/>
                <w:sz w:val="13"/>
                <w:szCs w:val="13"/>
              </w:rPr>
              <w:t>220</w:t>
            </w:r>
          </w:p>
        </w:tc>
        <w:tc>
          <w:tcPr>
            <w:tcW w:w="990" w:type="dxa"/>
          </w:tcPr>
          <w:p w14:paraId="24C5507D" w14:textId="77777777" w:rsidR="006D5661" w:rsidRPr="0047058F" w:rsidRDefault="006D5661" w:rsidP="00C91013">
            <w:pPr>
              <w:pStyle w:val="TableText"/>
              <w:spacing w:before="38" w:after="38"/>
              <w:jc w:val="right"/>
              <w:rPr>
                <w:sz w:val="13"/>
                <w:szCs w:val="13"/>
              </w:rPr>
            </w:pPr>
            <w:r w:rsidRPr="0047058F">
              <w:rPr>
                <w:rFonts w:cs="Arial"/>
                <w:sz w:val="13"/>
                <w:szCs w:val="13"/>
              </w:rPr>
              <w:t>36.1 (20.4–51.8)</w:t>
            </w:r>
          </w:p>
        </w:tc>
        <w:tc>
          <w:tcPr>
            <w:tcW w:w="450" w:type="dxa"/>
          </w:tcPr>
          <w:p w14:paraId="40ADA1F4" w14:textId="77777777" w:rsidR="006D5661" w:rsidRPr="0047058F" w:rsidRDefault="006D5661" w:rsidP="00C91013">
            <w:pPr>
              <w:pStyle w:val="TableText"/>
              <w:spacing w:before="38" w:after="38"/>
              <w:jc w:val="right"/>
              <w:rPr>
                <w:sz w:val="13"/>
                <w:szCs w:val="13"/>
              </w:rPr>
            </w:pPr>
            <w:r w:rsidRPr="0047058F">
              <w:rPr>
                <w:rFonts w:cs="Arial"/>
                <w:sz w:val="13"/>
                <w:szCs w:val="13"/>
              </w:rPr>
              <w:t>86</w:t>
            </w:r>
          </w:p>
        </w:tc>
        <w:tc>
          <w:tcPr>
            <w:tcW w:w="990" w:type="dxa"/>
          </w:tcPr>
          <w:p w14:paraId="602ADF9C" w14:textId="77777777" w:rsidR="006D5661" w:rsidRPr="0047058F" w:rsidRDefault="006D5661" w:rsidP="00C91013">
            <w:pPr>
              <w:pStyle w:val="TableText"/>
              <w:spacing w:before="38" w:after="38"/>
              <w:jc w:val="right"/>
              <w:rPr>
                <w:sz w:val="13"/>
                <w:szCs w:val="13"/>
              </w:rPr>
            </w:pPr>
            <w:r w:rsidRPr="0047058F">
              <w:rPr>
                <w:rFonts w:cs="Arial"/>
                <w:sz w:val="13"/>
                <w:szCs w:val="13"/>
              </w:rPr>
              <w:t>14.1 (0.0–32.3)</w:t>
            </w:r>
          </w:p>
        </w:tc>
        <w:tc>
          <w:tcPr>
            <w:tcW w:w="1074" w:type="dxa"/>
          </w:tcPr>
          <w:p w14:paraId="67D158EF"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654DACED"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6FEFF3B6"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6365715F"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657" w:type="dxa"/>
          </w:tcPr>
          <w:p w14:paraId="45BB24D9"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378182C8"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72CA1D7D"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0397806B" w14:textId="4810C6AD" w:rsidR="006D5661" w:rsidRPr="0047058F" w:rsidRDefault="006D5661" w:rsidP="00C91013">
            <w:pPr>
              <w:pStyle w:val="TableText"/>
              <w:spacing w:before="38" w:after="38"/>
              <w:ind w:left="144"/>
              <w:rPr>
                <w:rFonts w:cs="Arial"/>
              </w:rPr>
            </w:pPr>
            <w:r w:rsidRPr="0047058F">
              <w:rPr>
                <w:rFonts w:cs="Arial"/>
              </w:rPr>
              <w:t>Non</w:t>
            </w:r>
            <w:r w:rsidR="00A94F9F">
              <w:rPr>
                <w:rFonts w:cs="Arial"/>
              </w:rPr>
              <w:t>-</w:t>
            </w:r>
            <w:r w:rsidRPr="0047058F">
              <w:rPr>
                <w:rFonts w:cs="Arial"/>
              </w:rPr>
              <w:t>Commissioned Officer</w:t>
            </w:r>
          </w:p>
        </w:tc>
        <w:tc>
          <w:tcPr>
            <w:tcW w:w="436" w:type="dxa"/>
          </w:tcPr>
          <w:p w14:paraId="6626348D" w14:textId="77777777" w:rsidR="006D5661" w:rsidRPr="0047058F" w:rsidRDefault="006D5661" w:rsidP="00C91013">
            <w:pPr>
              <w:pStyle w:val="TableText"/>
              <w:spacing w:before="38" w:after="38"/>
              <w:jc w:val="right"/>
              <w:rPr>
                <w:sz w:val="13"/>
                <w:szCs w:val="13"/>
              </w:rPr>
            </w:pPr>
            <w:r w:rsidRPr="0047058F">
              <w:rPr>
                <w:rFonts w:cs="Arial"/>
                <w:sz w:val="13"/>
                <w:szCs w:val="13"/>
              </w:rPr>
              <w:t>367</w:t>
            </w:r>
          </w:p>
        </w:tc>
        <w:tc>
          <w:tcPr>
            <w:tcW w:w="1080" w:type="dxa"/>
          </w:tcPr>
          <w:p w14:paraId="62BB0174" w14:textId="77777777" w:rsidR="006D5661" w:rsidRPr="0047058F" w:rsidRDefault="006D5661" w:rsidP="00C91013">
            <w:pPr>
              <w:pStyle w:val="TableText"/>
              <w:spacing w:before="38" w:after="38"/>
              <w:jc w:val="right"/>
              <w:rPr>
                <w:sz w:val="13"/>
                <w:szCs w:val="13"/>
              </w:rPr>
            </w:pPr>
            <w:r w:rsidRPr="0047058F">
              <w:rPr>
                <w:rFonts w:cs="Arial"/>
                <w:sz w:val="13"/>
                <w:szCs w:val="13"/>
              </w:rPr>
              <w:t>40.2 (25.0–55.4)</w:t>
            </w:r>
          </w:p>
        </w:tc>
        <w:tc>
          <w:tcPr>
            <w:tcW w:w="450" w:type="dxa"/>
          </w:tcPr>
          <w:p w14:paraId="3B339F20" w14:textId="77777777" w:rsidR="006D5661" w:rsidRPr="0047058F" w:rsidRDefault="006D5661" w:rsidP="00C91013">
            <w:pPr>
              <w:pStyle w:val="TableText"/>
              <w:spacing w:before="38" w:after="38"/>
              <w:jc w:val="right"/>
              <w:rPr>
                <w:sz w:val="13"/>
                <w:szCs w:val="13"/>
              </w:rPr>
            </w:pPr>
            <w:r w:rsidRPr="0047058F">
              <w:rPr>
                <w:rFonts w:cs="Arial"/>
                <w:sz w:val="13"/>
                <w:szCs w:val="13"/>
              </w:rPr>
              <w:t>353</w:t>
            </w:r>
          </w:p>
        </w:tc>
        <w:tc>
          <w:tcPr>
            <w:tcW w:w="990" w:type="dxa"/>
          </w:tcPr>
          <w:p w14:paraId="466C5C40" w14:textId="77777777" w:rsidR="006D5661" w:rsidRPr="0047058F" w:rsidRDefault="006D5661" w:rsidP="00C91013">
            <w:pPr>
              <w:pStyle w:val="TableText"/>
              <w:spacing w:before="38" w:after="38"/>
              <w:jc w:val="right"/>
              <w:rPr>
                <w:sz w:val="13"/>
                <w:szCs w:val="13"/>
              </w:rPr>
            </w:pPr>
            <w:r w:rsidRPr="0047058F">
              <w:rPr>
                <w:rFonts w:cs="Arial"/>
                <w:sz w:val="13"/>
                <w:szCs w:val="13"/>
              </w:rPr>
              <w:t>38.7 (23.4–54.0)</w:t>
            </w:r>
          </w:p>
        </w:tc>
        <w:tc>
          <w:tcPr>
            <w:tcW w:w="450" w:type="dxa"/>
          </w:tcPr>
          <w:p w14:paraId="461BE3FB" w14:textId="77777777" w:rsidR="006D5661" w:rsidRPr="0047058F" w:rsidRDefault="006D5661" w:rsidP="00C91013">
            <w:pPr>
              <w:pStyle w:val="TableText"/>
              <w:spacing w:before="38" w:after="38"/>
              <w:jc w:val="right"/>
              <w:rPr>
                <w:sz w:val="13"/>
                <w:szCs w:val="13"/>
              </w:rPr>
            </w:pPr>
            <w:r w:rsidRPr="0047058F">
              <w:rPr>
                <w:rFonts w:cs="Arial"/>
                <w:sz w:val="13"/>
                <w:szCs w:val="13"/>
              </w:rPr>
              <w:t>192</w:t>
            </w:r>
          </w:p>
        </w:tc>
        <w:tc>
          <w:tcPr>
            <w:tcW w:w="990" w:type="dxa"/>
          </w:tcPr>
          <w:p w14:paraId="37060121" w14:textId="77777777" w:rsidR="006D5661" w:rsidRPr="0047058F" w:rsidRDefault="006D5661" w:rsidP="00C91013">
            <w:pPr>
              <w:pStyle w:val="TableText"/>
              <w:spacing w:before="38" w:after="38"/>
              <w:jc w:val="right"/>
              <w:rPr>
                <w:sz w:val="13"/>
                <w:szCs w:val="13"/>
              </w:rPr>
            </w:pPr>
            <w:r w:rsidRPr="0047058F">
              <w:rPr>
                <w:rFonts w:cs="Arial"/>
                <w:sz w:val="13"/>
                <w:szCs w:val="13"/>
              </w:rPr>
              <w:t>21.1 (3.7–38.5)</w:t>
            </w:r>
          </w:p>
        </w:tc>
        <w:tc>
          <w:tcPr>
            <w:tcW w:w="1074" w:type="dxa"/>
          </w:tcPr>
          <w:p w14:paraId="7C662CDF" w14:textId="77777777" w:rsidR="006D5661" w:rsidRPr="0047058F" w:rsidRDefault="006D5661" w:rsidP="00C91013">
            <w:pPr>
              <w:pStyle w:val="TableText"/>
              <w:spacing w:before="38" w:after="38"/>
              <w:jc w:val="right"/>
              <w:rPr>
                <w:sz w:val="13"/>
                <w:szCs w:val="13"/>
              </w:rPr>
            </w:pPr>
            <w:r w:rsidRPr="0047058F">
              <w:rPr>
                <w:rFonts w:cs="Arial"/>
                <w:sz w:val="13"/>
                <w:szCs w:val="13"/>
              </w:rPr>
              <w:t>1.27 (1.00–1.62)</w:t>
            </w:r>
          </w:p>
        </w:tc>
        <w:tc>
          <w:tcPr>
            <w:tcW w:w="986" w:type="dxa"/>
          </w:tcPr>
          <w:p w14:paraId="76D457B3" w14:textId="77777777" w:rsidR="006D5661" w:rsidRPr="0047058F" w:rsidRDefault="006D5661" w:rsidP="00C91013">
            <w:pPr>
              <w:pStyle w:val="TableText"/>
              <w:spacing w:before="38" w:after="38"/>
              <w:jc w:val="right"/>
              <w:rPr>
                <w:sz w:val="13"/>
                <w:szCs w:val="13"/>
              </w:rPr>
            </w:pPr>
            <w:r w:rsidRPr="0047058F">
              <w:rPr>
                <w:rFonts w:cs="Arial"/>
                <w:sz w:val="13"/>
                <w:szCs w:val="13"/>
              </w:rPr>
              <w:t>1.20 (0.93–1.55)</w:t>
            </w:r>
          </w:p>
        </w:tc>
        <w:tc>
          <w:tcPr>
            <w:tcW w:w="986" w:type="dxa"/>
          </w:tcPr>
          <w:p w14:paraId="4B35756C" w14:textId="77777777" w:rsidR="006D5661" w:rsidRPr="0047058F" w:rsidRDefault="006D5661" w:rsidP="00C91013">
            <w:pPr>
              <w:pStyle w:val="TableText"/>
              <w:spacing w:before="38" w:after="38"/>
              <w:jc w:val="right"/>
              <w:rPr>
                <w:sz w:val="13"/>
                <w:szCs w:val="13"/>
              </w:rPr>
            </w:pPr>
            <w:r w:rsidRPr="0047058F">
              <w:rPr>
                <w:rFonts w:cs="Arial"/>
                <w:sz w:val="13"/>
                <w:szCs w:val="13"/>
              </w:rPr>
              <w:t>1.88 (1.37–2.57)</w:t>
            </w:r>
          </w:p>
        </w:tc>
        <w:tc>
          <w:tcPr>
            <w:tcW w:w="986" w:type="dxa"/>
          </w:tcPr>
          <w:p w14:paraId="5CE692C3" w14:textId="77777777" w:rsidR="006D5661" w:rsidRPr="0047058F" w:rsidRDefault="006D5661" w:rsidP="00C91013">
            <w:pPr>
              <w:pStyle w:val="TableText"/>
              <w:spacing w:before="38" w:after="38"/>
              <w:jc w:val="right"/>
              <w:rPr>
                <w:sz w:val="13"/>
                <w:szCs w:val="13"/>
              </w:rPr>
            </w:pPr>
            <w:r w:rsidRPr="0047058F">
              <w:rPr>
                <w:rFonts w:cs="Arial"/>
                <w:sz w:val="13"/>
                <w:szCs w:val="13"/>
              </w:rPr>
              <w:t>1.79 (1.28–2.49)</w:t>
            </w:r>
          </w:p>
        </w:tc>
        <w:tc>
          <w:tcPr>
            <w:tcW w:w="657" w:type="dxa"/>
          </w:tcPr>
          <w:p w14:paraId="14993D93"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55DBF81C"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787D33BE" w14:textId="77777777" w:rsidTr="003454A7">
        <w:trPr>
          <w:cantSplit/>
        </w:trPr>
        <w:tc>
          <w:tcPr>
            <w:tcW w:w="1720" w:type="dxa"/>
          </w:tcPr>
          <w:p w14:paraId="4EDA4403" w14:textId="77777777" w:rsidR="006D5661" w:rsidRPr="0047058F" w:rsidRDefault="006D5661" w:rsidP="00C91013">
            <w:pPr>
              <w:pStyle w:val="TableText"/>
              <w:spacing w:before="38" w:after="38"/>
              <w:ind w:left="144"/>
              <w:rPr>
                <w:rFonts w:cs="Arial"/>
              </w:rPr>
            </w:pPr>
            <w:r w:rsidRPr="0047058F">
              <w:rPr>
                <w:rFonts w:cs="Arial"/>
              </w:rPr>
              <w:t>Other</w:t>
            </w:r>
          </w:p>
        </w:tc>
        <w:tc>
          <w:tcPr>
            <w:tcW w:w="436" w:type="dxa"/>
          </w:tcPr>
          <w:p w14:paraId="26700DD2" w14:textId="77777777" w:rsidR="006D5661" w:rsidRPr="0047058F" w:rsidRDefault="006D5661" w:rsidP="00C91013">
            <w:pPr>
              <w:pStyle w:val="TableText"/>
              <w:spacing w:before="38" w:after="38"/>
              <w:jc w:val="right"/>
              <w:rPr>
                <w:sz w:val="13"/>
                <w:szCs w:val="13"/>
              </w:rPr>
            </w:pPr>
            <w:r w:rsidRPr="0047058F">
              <w:rPr>
                <w:rFonts w:cs="Arial"/>
                <w:sz w:val="13"/>
                <w:szCs w:val="13"/>
              </w:rPr>
              <w:t>77</w:t>
            </w:r>
          </w:p>
        </w:tc>
        <w:tc>
          <w:tcPr>
            <w:tcW w:w="1080" w:type="dxa"/>
          </w:tcPr>
          <w:p w14:paraId="33CEE5E4" w14:textId="77777777" w:rsidR="006D5661" w:rsidRPr="0047058F" w:rsidRDefault="006D5661" w:rsidP="00C91013">
            <w:pPr>
              <w:pStyle w:val="TableText"/>
              <w:spacing w:before="38" w:after="38"/>
              <w:jc w:val="right"/>
              <w:rPr>
                <w:sz w:val="13"/>
                <w:szCs w:val="13"/>
              </w:rPr>
            </w:pPr>
            <w:r w:rsidRPr="0047058F">
              <w:rPr>
                <w:rFonts w:cs="Arial"/>
                <w:sz w:val="13"/>
                <w:szCs w:val="13"/>
              </w:rPr>
              <w:t>35.6 (19.9–51.3)</w:t>
            </w:r>
          </w:p>
        </w:tc>
        <w:tc>
          <w:tcPr>
            <w:tcW w:w="450" w:type="dxa"/>
          </w:tcPr>
          <w:p w14:paraId="235622F0" w14:textId="77777777" w:rsidR="006D5661" w:rsidRPr="0047058F" w:rsidRDefault="006D5661" w:rsidP="00C91013">
            <w:pPr>
              <w:pStyle w:val="TableText"/>
              <w:spacing w:before="38" w:after="38"/>
              <w:jc w:val="right"/>
              <w:rPr>
                <w:sz w:val="13"/>
                <w:szCs w:val="13"/>
              </w:rPr>
            </w:pPr>
            <w:r w:rsidRPr="0047058F">
              <w:rPr>
                <w:rFonts w:cs="Arial"/>
                <w:sz w:val="13"/>
                <w:szCs w:val="13"/>
              </w:rPr>
              <w:t>76</w:t>
            </w:r>
          </w:p>
        </w:tc>
        <w:tc>
          <w:tcPr>
            <w:tcW w:w="990" w:type="dxa"/>
          </w:tcPr>
          <w:p w14:paraId="3A871320" w14:textId="77777777" w:rsidR="006D5661" w:rsidRPr="0047058F" w:rsidRDefault="006D5661" w:rsidP="00C91013">
            <w:pPr>
              <w:pStyle w:val="TableText"/>
              <w:spacing w:before="38" w:after="38"/>
              <w:jc w:val="right"/>
              <w:rPr>
                <w:sz w:val="13"/>
                <w:szCs w:val="13"/>
              </w:rPr>
            </w:pPr>
            <w:r w:rsidRPr="0047058F">
              <w:rPr>
                <w:rFonts w:cs="Arial"/>
                <w:sz w:val="13"/>
                <w:szCs w:val="13"/>
              </w:rPr>
              <w:t>35.2 (19.4–51.0)</w:t>
            </w:r>
          </w:p>
        </w:tc>
        <w:tc>
          <w:tcPr>
            <w:tcW w:w="450" w:type="dxa"/>
          </w:tcPr>
          <w:p w14:paraId="6AF58678" w14:textId="77777777" w:rsidR="006D5661" w:rsidRPr="0047058F" w:rsidRDefault="006D5661" w:rsidP="00C91013">
            <w:pPr>
              <w:pStyle w:val="TableText"/>
              <w:spacing w:before="38" w:after="38"/>
              <w:jc w:val="right"/>
              <w:rPr>
                <w:sz w:val="13"/>
                <w:szCs w:val="13"/>
              </w:rPr>
            </w:pPr>
            <w:r w:rsidRPr="0047058F">
              <w:rPr>
                <w:rFonts w:cs="Arial"/>
                <w:sz w:val="13"/>
                <w:szCs w:val="13"/>
              </w:rPr>
              <w:t>63</w:t>
            </w:r>
          </w:p>
        </w:tc>
        <w:tc>
          <w:tcPr>
            <w:tcW w:w="990" w:type="dxa"/>
          </w:tcPr>
          <w:p w14:paraId="68348D3F" w14:textId="77777777" w:rsidR="006D5661" w:rsidRPr="0047058F" w:rsidRDefault="006D5661" w:rsidP="00C91013">
            <w:pPr>
              <w:pStyle w:val="TableText"/>
              <w:spacing w:before="38" w:after="38"/>
              <w:jc w:val="right"/>
              <w:rPr>
                <w:sz w:val="13"/>
                <w:szCs w:val="13"/>
              </w:rPr>
            </w:pPr>
            <w:r w:rsidRPr="0047058F">
              <w:rPr>
                <w:rFonts w:cs="Arial"/>
                <w:sz w:val="13"/>
                <w:szCs w:val="13"/>
              </w:rPr>
              <w:t>29.2 (12.7–45.7)</w:t>
            </w:r>
          </w:p>
        </w:tc>
        <w:tc>
          <w:tcPr>
            <w:tcW w:w="1074" w:type="dxa"/>
          </w:tcPr>
          <w:p w14:paraId="431B9A34" w14:textId="77777777" w:rsidR="006D5661" w:rsidRPr="0047058F" w:rsidRDefault="006D5661" w:rsidP="00C91013">
            <w:pPr>
              <w:pStyle w:val="TableText"/>
              <w:spacing w:before="38" w:after="38"/>
              <w:jc w:val="right"/>
              <w:rPr>
                <w:sz w:val="13"/>
                <w:szCs w:val="13"/>
              </w:rPr>
            </w:pPr>
            <w:r w:rsidRPr="0047058F">
              <w:rPr>
                <w:rFonts w:cs="Arial"/>
                <w:sz w:val="13"/>
                <w:szCs w:val="13"/>
              </w:rPr>
              <w:t>1.39 (0.91–2.13)</w:t>
            </w:r>
          </w:p>
        </w:tc>
        <w:tc>
          <w:tcPr>
            <w:tcW w:w="986" w:type="dxa"/>
          </w:tcPr>
          <w:p w14:paraId="14F7A173" w14:textId="77777777" w:rsidR="006D5661" w:rsidRPr="0047058F" w:rsidRDefault="006D5661" w:rsidP="00C91013">
            <w:pPr>
              <w:pStyle w:val="TableText"/>
              <w:spacing w:before="38" w:after="38"/>
              <w:jc w:val="right"/>
              <w:rPr>
                <w:sz w:val="13"/>
                <w:szCs w:val="13"/>
              </w:rPr>
            </w:pPr>
            <w:r w:rsidRPr="0047058F">
              <w:rPr>
                <w:rFonts w:cs="Arial"/>
                <w:sz w:val="13"/>
                <w:szCs w:val="13"/>
              </w:rPr>
              <w:t>1.53 (0.98–2.38)</w:t>
            </w:r>
          </w:p>
        </w:tc>
        <w:tc>
          <w:tcPr>
            <w:tcW w:w="986" w:type="dxa"/>
          </w:tcPr>
          <w:p w14:paraId="7AF9631C" w14:textId="77777777" w:rsidR="006D5661" w:rsidRPr="0047058F" w:rsidRDefault="006D5661" w:rsidP="00C91013">
            <w:pPr>
              <w:pStyle w:val="TableText"/>
              <w:spacing w:before="38" w:after="38"/>
              <w:jc w:val="right"/>
              <w:rPr>
                <w:sz w:val="13"/>
                <w:szCs w:val="13"/>
              </w:rPr>
            </w:pPr>
            <w:r w:rsidRPr="0047058F">
              <w:rPr>
                <w:rFonts w:cs="Arial"/>
                <w:sz w:val="13"/>
                <w:szCs w:val="13"/>
              </w:rPr>
              <w:t>3.39 (2.13–5.39)</w:t>
            </w:r>
          </w:p>
        </w:tc>
        <w:tc>
          <w:tcPr>
            <w:tcW w:w="986" w:type="dxa"/>
          </w:tcPr>
          <w:p w14:paraId="4C5C1B10" w14:textId="77777777" w:rsidR="006D5661" w:rsidRPr="0047058F" w:rsidRDefault="006D5661" w:rsidP="00C91013">
            <w:pPr>
              <w:pStyle w:val="TableText"/>
              <w:spacing w:before="38" w:after="38"/>
              <w:jc w:val="right"/>
              <w:rPr>
                <w:sz w:val="13"/>
                <w:szCs w:val="13"/>
              </w:rPr>
            </w:pPr>
            <w:r w:rsidRPr="0047058F">
              <w:rPr>
                <w:rFonts w:cs="Arial"/>
                <w:sz w:val="13"/>
                <w:szCs w:val="13"/>
              </w:rPr>
              <w:t>3.91 (2.38–6.42)</w:t>
            </w:r>
          </w:p>
        </w:tc>
        <w:tc>
          <w:tcPr>
            <w:tcW w:w="657" w:type="dxa"/>
          </w:tcPr>
          <w:p w14:paraId="04871241"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4CD3E822"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443BB168"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76370697" w14:textId="77777777" w:rsidR="006D5661" w:rsidRPr="0047058F" w:rsidRDefault="006D5661" w:rsidP="00C91013">
            <w:pPr>
              <w:pStyle w:val="TableText"/>
              <w:spacing w:before="38" w:after="38"/>
              <w:rPr>
                <w:rFonts w:cs="Arial"/>
              </w:rPr>
            </w:pPr>
            <w:r w:rsidRPr="0047058F">
              <w:rPr>
                <w:rFonts w:cs="Arial"/>
              </w:rPr>
              <w:t>Service</w:t>
            </w:r>
          </w:p>
        </w:tc>
        <w:tc>
          <w:tcPr>
            <w:tcW w:w="436" w:type="dxa"/>
          </w:tcPr>
          <w:p w14:paraId="3804D7C0" w14:textId="77777777" w:rsidR="006D5661" w:rsidRPr="0047058F" w:rsidRDefault="006D5661" w:rsidP="00C91013">
            <w:pPr>
              <w:pStyle w:val="TableText"/>
              <w:spacing w:before="38" w:after="38"/>
              <w:jc w:val="right"/>
              <w:rPr>
                <w:sz w:val="13"/>
                <w:szCs w:val="13"/>
              </w:rPr>
            </w:pPr>
          </w:p>
        </w:tc>
        <w:tc>
          <w:tcPr>
            <w:tcW w:w="1080" w:type="dxa"/>
          </w:tcPr>
          <w:p w14:paraId="2CD5B532" w14:textId="77777777" w:rsidR="006D5661" w:rsidRPr="0047058F" w:rsidRDefault="006D5661" w:rsidP="00C91013">
            <w:pPr>
              <w:pStyle w:val="TableText"/>
              <w:spacing w:before="38" w:after="38"/>
              <w:jc w:val="right"/>
              <w:rPr>
                <w:sz w:val="13"/>
                <w:szCs w:val="13"/>
              </w:rPr>
            </w:pPr>
          </w:p>
        </w:tc>
        <w:tc>
          <w:tcPr>
            <w:tcW w:w="450" w:type="dxa"/>
          </w:tcPr>
          <w:p w14:paraId="1D950DD7" w14:textId="77777777" w:rsidR="006D5661" w:rsidRPr="0047058F" w:rsidRDefault="006D5661" w:rsidP="00C91013">
            <w:pPr>
              <w:pStyle w:val="TableText"/>
              <w:spacing w:before="38" w:after="38"/>
              <w:jc w:val="right"/>
              <w:rPr>
                <w:sz w:val="13"/>
                <w:szCs w:val="13"/>
              </w:rPr>
            </w:pPr>
          </w:p>
        </w:tc>
        <w:tc>
          <w:tcPr>
            <w:tcW w:w="990" w:type="dxa"/>
          </w:tcPr>
          <w:p w14:paraId="7A40C04D" w14:textId="77777777" w:rsidR="006D5661" w:rsidRPr="0047058F" w:rsidRDefault="006D5661" w:rsidP="00C91013">
            <w:pPr>
              <w:pStyle w:val="TableText"/>
              <w:spacing w:before="38" w:after="38"/>
              <w:jc w:val="right"/>
              <w:rPr>
                <w:sz w:val="13"/>
                <w:szCs w:val="13"/>
              </w:rPr>
            </w:pPr>
          </w:p>
        </w:tc>
        <w:tc>
          <w:tcPr>
            <w:tcW w:w="450" w:type="dxa"/>
          </w:tcPr>
          <w:p w14:paraId="211E49F4" w14:textId="77777777" w:rsidR="006D5661" w:rsidRPr="0047058F" w:rsidRDefault="006D5661" w:rsidP="00C91013">
            <w:pPr>
              <w:pStyle w:val="TableText"/>
              <w:spacing w:before="38" w:after="38"/>
              <w:jc w:val="right"/>
              <w:rPr>
                <w:sz w:val="13"/>
                <w:szCs w:val="13"/>
              </w:rPr>
            </w:pPr>
          </w:p>
        </w:tc>
        <w:tc>
          <w:tcPr>
            <w:tcW w:w="990" w:type="dxa"/>
          </w:tcPr>
          <w:p w14:paraId="2207D269" w14:textId="77777777" w:rsidR="006D5661" w:rsidRPr="0047058F" w:rsidRDefault="006D5661" w:rsidP="00C91013">
            <w:pPr>
              <w:pStyle w:val="TableText"/>
              <w:spacing w:before="38" w:after="38"/>
              <w:jc w:val="right"/>
              <w:rPr>
                <w:sz w:val="13"/>
                <w:szCs w:val="13"/>
              </w:rPr>
            </w:pPr>
          </w:p>
        </w:tc>
        <w:tc>
          <w:tcPr>
            <w:tcW w:w="1074" w:type="dxa"/>
          </w:tcPr>
          <w:p w14:paraId="211FC589" w14:textId="77777777" w:rsidR="006D5661" w:rsidRPr="0047058F" w:rsidRDefault="006D5661" w:rsidP="00C91013">
            <w:pPr>
              <w:pStyle w:val="TableText"/>
              <w:spacing w:before="38" w:after="38"/>
              <w:jc w:val="right"/>
              <w:rPr>
                <w:sz w:val="13"/>
                <w:szCs w:val="13"/>
              </w:rPr>
            </w:pPr>
          </w:p>
        </w:tc>
        <w:tc>
          <w:tcPr>
            <w:tcW w:w="986" w:type="dxa"/>
          </w:tcPr>
          <w:p w14:paraId="5AE9E5DF" w14:textId="77777777" w:rsidR="006D5661" w:rsidRPr="0047058F" w:rsidRDefault="006D5661" w:rsidP="00C91013">
            <w:pPr>
              <w:pStyle w:val="TableText"/>
              <w:spacing w:before="38" w:after="38"/>
              <w:jc w:val="right"/>
              <w:rPr>
                <w:sz w:val="13"/>
                <w:szCs w:val="13"/>
              </w:rPr>
            </w:pPr>
          </w:p>
        </w:tc>
        <w:tc>
          <w:tcPr>
            <w:tcW w:w="986" w:type="dxa"/>
          </w:tcPr>
          <w:p w14:paraId="5A247254" w14:textId="77777777" w:rsidR="006D5661" w:rsidRPr="0047058F" w:rsidRDefault="006D5661" w:rsidP="00C91013">
            <w:pPr>
              <w:pStyle w:val="TableText"/>
              <w:spacing w:before="38" w:after="38"/>
              <w:jc w:val="right"/>
              <w:rPr>
                <w:sz w:val="13"/>
                <w:szCs w:val="13"/>
              </w:rPr>
            </w:pPr>
          </w:p>
        </w:tc>
        <w:tc>
          <w:tcPr>
            <w:tcW w:w="986" w:type="dxa"/>
          </w:tcPr>
          <w:p w14:paraId="4342E3F2" w14:textId="77777777" w:rsidR="006D5661" w:rsidRPr="0047058F" w:rsidRDefault="006D5661" w:rsidP="00C91013">
            <w:pPr>
              <w:pStyle w:val="TableText"/>
              <w:spacing w:before="38" w:after="38"/>
              <w:jc w:val="right"/>
              <w:rPr>
                <w:sz w:val="13"/>
                <w:szCs w:val="13"/>
              </w:rPr>
            </w:pPr>
          </w:p>
        </w:tc>
        <w:tc>
          <w:tcPr>
            <w:tcW w:w="657" w:type="dxa"/>
          </w:tcPr>
          <w:p w14:paraId="782F962C"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0.0027</w:t>
            </w:r>
          </w:p>
        </w:tc>
        <w:tc>
          <w:tcPr>
            <w:tcW w:w="657" w:type="dxa"/>
          </w:tcPr>
          <w:p w14:paraId="54A11F54"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ns</w:t>
            </w:r>
          </w:p>
        </w:tc>
      </w:tr>
      <w:tr w:rsidR="003454A7" w:rsidRPr="0047058F" w14:paraId="2811F04B" w14:textId="77777777" w:rsidTr="003454A7">
        <w:trPr>
          <w:cantSplit/>
        </w:trPr>
        <w:tc>
          <w:tcPr>
            <w:tcW w:w="1720" w:type="dxa"/>
          </w:tcPr>
          <w:p w14:paraId="4111BF18" w14:textId="77777777" w:rsidR="006D5661" w:rsidRPr="0047058F" w:rsidRDefault="006D5661" w:rsidP="00C91013">
            <w:pPr>
              <w:pStyle w:val="TableText"/>
              <w:spacing w:before="38" w:after="38"/>
              <w:ind w:left="144"/>
              <w:rPr>
                <w:rFonts w:cs="Arial"/>
              </w:rPr>
            </w:pPr>
            <w:r w:rsidRPr="0047058F">
              <w:rPr>
                <w:rFonts w:cs="Arial"/>
              </w:rPr>
              <w:t>Navy</w:t>
            </w:r>
          </w:p>
        </w:tc>
        <w:tc>
          <w:tcPr>
            <w:tcW w:w="436" w:type="dxa"/>
          </w:tcPr>
          <w:p w14:paraId="60DCCD2A" w14:textId="77777777" w:rsidR="006D5661" w:rsidRPr="0047058F" w:rsidRDefault="006D5661" w:rsidP="00C91013">
            <w:pPr>
              <w:pStyle w:val="TableText"/>
              <w:spacing w:before="38" w:after="38"/>
              <w:jc w:val="right"/>
              <w:rPr>
                <w:sz w:val="13"/>
                <w:szCs w:val="13"/>
              </w:rPr>
            </w:pPr>
            <w:r w:rsidRPr="0047058F">
              <w:rPr>
                <w:rFonts w:cs="Arial"/>
                <w:sz w:val="13"/>
                <w:szCs w:val="13"/>
              </w:rPr>
              <w:t>180</w:t>
            </w:r>
          </w:p>
        </w:tc>
        <w:tc>
          <w:tcPr>
            <w:tcW w:w="1080" w:type="dxa"/>
          </w:tcPr>
          <w:p w14:paraId="11B7AF1C" w14:textId="77777777" w:rsidR="006D5661" w:rsidRPr="0047058F" w:rsidRDefault="006D5661" w:rsidP="00C91013">
            <w:pPr>
              <w:pStyle w:val="TableText"/>
              <w:spacing w:before="38" w:after="38"/>
              <w:jc w:val="right"/>
              <w:rPr>
                <w:sz w:val="13"/>
                <w:szCs w:val="13"/>
              </w:rPr>
            </w:pPr>
            <w:r w:rsidRPr="0047058F">
              <w:rPr>
                <w:rFonts w:cs="Arial"/>
                <w:sz w:val="13"/>
                <w:szCs w:val="13"/>
              </w:rPr>
              <w:t>45.2 (30.7–59.7)</w:t>
            </w:r>
          </w:p>
        </w:tc>
        <w:tc>
          <w:tcPr>
            <w:tcW w:w="450" w:type="dxa"/>
          </w:tcPr>
          <w:p w14:paraId="4EC57965" w14:textId="77777777" w:rsidR="006D5661" w:rsidRPr="0047058F" w:rsidRDefault="006D5661" w:rsidP="00C91013">
            <w:pPr>
              <w:pStyle w:val="TableText"/>
              <w:spacing w:before="38" w:after="38"/>
              <w:jc w:val="right"/>
              <w:rPr>
                <w:sz w:val="13"/>
                <w:szCs w:val="13"/>
              </w:rPr>
            </w:pPr>
            <w:r w:rsidRPr="0047058F">
              <w:rPr>
                <w:rFonts w:cs="Arial"/>
                <w:sz w:val="13"/>
                <w:szCs w:val="13"/>
              </w:rPr>
              <w:t>142</w:t>
            </w:r>
          </w:p>
        </w:tc>
        <w:tc>
          <w:tcPr>
            <w:tcW w:w="990" w:type="dxa"/>
          </w:tcPr>
          <w:p w14:paraId="08CF08B0" w14:textId="77777777" w:rsidR="006D5661" w:rsidRPr="0047058F" w:rsidRDefault="006D5661" w:rsidP="00C91013">
            <w:pPr>
              <w:pStyle w:val="TableText"/>
              <w:spacing w:before="38" w:after="38"/>
              <w:jc w:val="right"/>
              <w:rPr>
                <w:sz w:val="13"/>
                <w:szCs w:val="13"/>
              </w:rPr>
            </w:pPr>
            <w:r w:rsidRPr="0047058F">
              <w:rPr>
                <w:rFonts w:cs="Arial"/>
                <w:sz w:val="13"/>
                <w:szCs w:val="13"/>
              </w:rPr>
              <w:t>35.7 (20.0–51.4)</w:t>
            </w:r>
          </w:p>
        </w:tc>
        <w:tc>
          <w:tcPr>
            <w:tcW w:w="450" w:type="dxa"/>
          </w:tcPr>
          <w:p w14:paraId="098CF81F" w14:textId="77777777" w:rsidR="006D5661" w:rsidRPr="0047058F" w:rsidRDefault="006D5661" w:rsidP="00C91013">
            <w:pPr>
              <w:pStyle w:val="TableText"/>
              <w:spacing w:before="38" w:after="38"/>
              <w:jc w:val="right"/>
              <w:rPr>
                <w:sz w:val="13"/>
                <w:szCs w:val="13"/>
              </w:rPr>
            </w:pPr>
            <w:r w:rsidRPr="0047058F">
              <w:rPr>
                <w:rFonts w:cs="Arial"/>
                <w:sz w:val="13"/>
                <w:szCs w:val="13"/>
              </w:rPr>
              <w:t>76</w:t>
            </w:r>
          </w:p>
        </w:tc>
        <w:tc>
          <w:tcPr>
            <w:tcW w:w="990" w:type="dxa"/>
          </w:tcPr>
          <w:p w14:paraId="001768E0" w14:textId="77777777" w:rsidR="006D5661" w:rsidRPr="0047058F" w:rsidRDefault="006D5661" w:rsidP="00C91013">
            <w:pPr>
              <w:pStyle w:val="TableText"/>
              <w:spacing w:before="38" w:after="38"/>
              <w:jc w:val="right"/>
              <w:rPr>
                <w:sz w:val="13"/>
                <w:szCs w:val="13"/>
              </w:rPr>
            </w:pPr>
            <w:r w:rsidRPr="0047058F">
              <w:rPr>
                <w:rFonts w:cs="Arial"/>
                <w:sz w:val="13"/>
                <w:szCs w:val="13"/>
              </w:rPr>
              <w:t>19.1 (1.5–36.7)</w:t>
            </w:r>
          </w:p>
        </w:tc>
        <w:tc>
          <w:tcPr>
            <w:tcW w:w="1074" w:type="dxa"/>
          </w:tcPr>
          <w:p w14:paraId="1D1F01EA" w14:textId="77777777" w:rsidR="006D5661" w:rsidRPr="0047058F" w:rsidRDefault="006D5661" w:rsidP="00C91013">
            <w:pPr>
              <w:pStyle w:val="TableText"/>
              <w:spacing w:before="38" w:after="38"/>
              <w:jc w:val="right"/>
              <w:rPr>
                <w:sz w:val="13"/>
                <w:szCs w:val="13"/>
              </w:rPr>
            </w:pPr>
            <w:r w:rsidRPr="0047058F">
              <w:rPr>
                <w:sz w:val="13"/>
                <w:szCs w:val="13"/>
              </w:rPr>
              <w:t>0.98 (0.72–1.34)</w:t>
            </w:r>
          </w:p>
        </w:tc>
        <w:tc>
          <w:tcPr>
            <w:tcW w:w="986" w:type="dxa"/>
          </w:tcPr>
          <w:p w14:paraId="49992BC0"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4303FA4" w14:textId="77777777" w:rsidR="006D5661" w:rsidRPr="0047058F" w:rsidRDefault="006D5661" w:rsidP="00C91013">
            <w:pPr>
              <w:pStyle w:val="TableText"/>
              <w:spacing w:before="38" w:after="38"/>
              <w:jc w:val="right"/>
              <w:rPr>
                <w:sz w:val="13"/>
                <w:szCs w:val="13"/>
              </w:rPr>
            </w:pPr>
            <w:r w:rsidRPr="0047058F">
              <w:rPr>
                <w:sz w:val="13"/>
                <w:szCs w:val="13"/>
              </w:rPr>
              <w:t>1.34 (0.91–1.98)</w:t>
            </w:r>
          </w:p>
        </w:tc>
        <w:tc>
          <w:tcPr>
            <w:tcW w:w="986" w:type="dxa"/>
          </w:tcPr>
          <w:p w14:paraId="1A0636B8"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7B6DF6E6"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44A5CF63"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1DD1F9D6"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533C333A" w14:textId="77777777" w:rsidR="006D5661" w:rsidRPr="0047058F" w:rsidRDefault="006D5661" w:rsidP="00C91013">
            <w:pPr>
              <w:pStyle w:val="TableText"/>
              <w:spacing w:before="38" w:after="38"/>
              <w:ind w:left="144"/>
              <w:rPr>
                <w:rFonts w:cs="Arial"/>
              </w:rPr>
            </w:pPr>
            <w:r w:rsidRPr="0047058F">
              <w:rPr>
                <w:rFonts w:cs="Arial"/>
              </w:rPr>
              <w:t>Army</w:t>
            </w:r>
          </w:p>
        </w:tc>
        <w:tc>
          <w:tcPr>
            <w:tcW w:w="436" w:type="dxa"/>
          </w:tcPr>
          <w:p w14:paraId="47862AEF" w14:textId="77777777" w:rsidR="006D5661" w:rsidRPr="0047058F" w:rsidRDefault="006D5661" w:rsidP="00C91013">
            <w:pPr>
              <w:pStyle w:val="TableText"/>
              <w:spacing w:before="38" w:after="38"/>
              <w:jc w:val="right"/>
              <w:rPr>
                <w:sz w:val="13"/>
                <w:szCs w:val="13"/>
              </w:rPr>
            </w:pPr>
            <w:r w:rsidRPr="0047058F">
              <w:rPr>
                <w:rFonts w:cs="Arial"/>
                <w:sz w:val="13"/>
                <w:szCs w:val="13"/>
              </w:rPr>
              <w:t>314</w:t>
            </w:r>
          </w:p>
        </w:tc>
        <w:tc>
          <w:tcPr>
            <w:tcW w:w="1080" w:type="dxa"/>
          </w:tcPr>
          <w:p w14:paraId="0129FE20" w14:textId="77777777" w:rsidR="006D5661" w:rsidRPr="0047058F" w:rsidRDefault="006D5661" w:rsidP="00C91013">
            <w:pPr>
              <w:pStyle w:val="TableText"/>
              <w:spacing w:before="38" w:after="38"/>
              <w:jc w:val="right"/>
              <w:rPr>
                <w:sz w:val="13"/>
                <w:szCs w:val="13"/>
              </w:rPr>
            </w:pPr>
            <w:r w:rsidRPr="0047058F">
              <w:rPr>
                <w:rFonts w:cs="Arial"/>
                <w:sz w:val="13"/>
                <w:szCs w:val="13"/>
              </w:rPr>
              <w:t>38.9 (23.6–54.2)</w:t>
            </w:r>
          </w:p>
        </w:tc>
        <w:tc>
          <w:tcPr>
            <w:tcW w:w="450" w:type="dxa"/>
          </w:tcPr>
          <w:p w14:paraId="4306C94C" w14:textId="77777777" w:rsidR="006D5661" w:rsidRPr="0047058F" w:rsidRDefault="006D5661" w:rsidP="00C91013">
            <w:pPr>
              <w:pStyle w:val="TableText"/>
              <w:spacing w:before="38" w:after="38"/>
              <w:jc w:val="right"/>
              <w:rPr>
                <w:sz w:val="13"/>
                <w:szCs w:val="13"/>
              </w:rPr>
            </w:pPr>
            <w:r w:rsidRPr="0047058F">
              <w:rPr>
                <w:rFonts w:cs="Arial"/>
                <w:sz w:val="13"/>
                <w:szCs w:val="13"/>
              </w:rPr>
              <w:t>312</w:t>
            </w:r>
          </w:p>
        </w:tc>
        <w:tc>
          <w:tcPr>
            <w:tcW w:w="990" w:type="dxa"/>
          </w:tcPr>
          <w:p w14:paraId="766540E0" w14:textId="77777777" w:rsidR="006D5661" w:rsidRPr="0047058F" w:rsidRDefault="006D5661" w:rsidP="00C91013">
            <w:pPr>
              <w:pStyle w:val="TableText"/>
              <w:spacing w:before="38" w:after="38"/>
              <w:jc w:val="right"/>
              <w:rPr>
                <w:sz w:val="13"/>
                <w:szCs w:val="13"/>
              </w:rPr>
            </w:pPr>
            <w:r w:rsidRPr="0047058F">
              <w:rPr>
                <w:rFonts w:cs="Arial"/>
                <w:sz w:val="13"/>
                <w:szCs w:val="13"/>
              </w:rPr>
              <w:t>38.6 (23.2–54.0)</w:t>
            </w:r>
          </w:p>
        </w:tc>
        <w:tc>
          <w:tcPr>
            <w:tcW w:w="450" w:type="dxa"/>
          </w:tcPr>
          <w:p w14:paraId="2576B5A2" w14:textId="77777777" w:rsidR="006D5661" w:rsidRPr="0047058F" w:rsidRDefault="006D5661" w:rsidP="00C91013">
            <w:pPr>
              <w:pStyle w:val="TableText"/>
              <w:spacing w:before="38" w:after="38"/>
              <w:jc w:val="right"/>
              <w:rPr>
                <w:sz w:val="13"/>
                <w:szCs w:val="13"/>
              </w:rPr>
            </w:pPr>
            <w:r w:rsidRPr="0047058F">
              <w:rPr>
                <w:rFonts w:cs="Arial"/>
                <w:sz w:val="13"/>
                <w:szCs w:val="13"/>
              </w:rPr>
              <w:t>182</w:t>
            </w:r>
          </w:p>
        </w:tc>
        <w:tc>
          <w:tcPr>
            <w:tcW w:w="990" w:type="dxa"/>
          </w:tcPr>
          <w:p w14:paraId="5622BCD3" w14:textId="77777777" w:rsidR="006D5661" w:rsidRPr="0047058F" w:rsidRDefault="006D5661" w:rsidP="00C91013">
            <w:pPr>
              <w:pStyle w:val="TableText"/>
              <w:spacing w:before="38" w:after="38"/>
              <w:jc w:val="right"/>
              <w:rPr>
                <w:sz w:val="13"/>
                <w:szCs w:val="13"/>
              </w:rPr>
            </w:pPr>
            <w:r w:rsidRPr="0047058F">
              <w:rPr>
                <w:rFonts w:cs="Arial"/>
                <w:sz w:val="13"/>
                <w:szCs w:val="13"/>
              </w:rPr>
              <w:t>22.5 (5.2–39.8)</w:t>
            </w:r>
          </w:p>
        </w:tc>
        <w:tc>
          <w:tcPr>
            <w:tcW w:w="1074" w:type="dxa"/>
          </w:tcPr>
          <w:p w14:paraId="0DB2D49B" w14:textId="77777777" w:rsidR="006D5661" w:rsidRPr="0047058F" w:rsidRDefault="006D5661" w:rsidP="00C91013">
            <w:pPr>
              <w:pStyle w:val="TableText"/>
              <w:spacing w:before="38" w:after="38"/>
              <w:jc w:val="right"/>
              <w:rPr>
                <w:sz w:val="13"/>
                <w:szCs w:val="13"/>
              </w:rPr>
            </w:pPr>
            <w:r w:rsidRPr="0047058F">
              <w:rPr>
                <w:sz w:val="13"/>
                <w:szCs w:val="13"/>
              </w:rPr>
              <w:t>1.29 (0.99–1.67)</w:t>
            </w:r>
          </w:p>
        </w:tc>
        <w:tc>
          <w:tcPr>
            <w:tcW w:w="986" w:type="dxa"/>
          </w:tcPr>
          <w:p w14:paraId="2092EBA4"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3F66C84C" w14:textId="77777777" w:rsidR="006D5661" w:rsidRPr="0047058F" w:rsidRDefault="006D5661" w:rsidP="00C91013">
            <w:pPr>
              <w:pStyle w:val="TableText"/>
              <w:spacing w:before="38" w:after="38"/>
              <w:jc w:val="right"/>
              <w:rPr>
                <w:sz w:val="13"/>
                <w:szCs w:val="13"/>
              </w:rPr>
            </w:pPr>
            <w:r w:rsidRPr="0047058F">
              <w:rPr>
                <w:sz w:val="13"/>
                <w:szCs w:val="13"/>
              </w:rPr>
              <w:t>1.90 (1.36–2.63)</w:t>
            </w:r>
          </w:p>
        </w:tc>
        <w:tc>
          <w:tcPr>
            <w:tcW w:w="986" w:type="dxa"/>
          </w:tcPr>
          <w:p w14:paraId="651EDDA7"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6C2A4BE6"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2DAE968A"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175A659A" w14:textId="77777777" w:rsidTr="003454A7">
        <w:trPr>
          <w:cantSplit/>
        </w:trPr>
        <w:tc>
          <w:tcPr>
            <w:tcW w:w="1720" w:type="dxa"/>
          </w:tcPr>
          <w:p w14:paraId="1B6A4815" w14:textId="77777777" w:rsidR="006D5661" w:rsidRPr="0047058F" w:rsidRDefault="006D5661" w:rsidP="00C91013">
            <w:pPr>
              <w:pStyle w:val="TableText"/>
              <w:spacing w:before="38" w:after="38"/>
              <w:ind w:left="144"/>
              <w:rPr>
                <w:rFonts w:cs="Arial"/>
              </w:rPr>
            </w:pPr>
            <w:r w:rsidRPr="0047058F">
              <w:rPr>
                <w:rFonts w:cs="Arial"/>
              </w:rPr>
              <w:t>Air Force</w:t>
            </w:r>
          </w:p>
        </w:tc>
        <w:tc>
          <w:tcPr>
            <w:tcW w:w="436" w:type="dxa"/>
          </w:tcPr>
          <w:p w14:paraId="575C1017" w14:textId="77777777" w:rsidR="006D5661" w:rsidRPr="0047058F" w:rsidRDefault="006D5661" w:rsidP="00C91013">
            <w:pPr>
              <w:pStyle w:val="TableText"/>
              <w:spacing w:before="38" w:after="38"/>
              <w:jc w:val="right"/>
              <w:rPr>
                <w:sz w:val="13"/>
                <w:szCs w:val="13"/>
              </w:rPr>
            </w:pPr>
            <w:r w:rsidRPr="0047058F">
              <w:rPr>
                <w:rFonts w:cs="Arial"/>
                <w:sz w:val="13"/>
                <w:szCs w:val="13"/>
              </w:rPr>
              <w:t>253</w:t>
            </w:r>
          </w:p>
        </w:tc>
        <w:tc>
          <w:tcPr>
            <w:tcW w:w="1080" w:type="dxa"/>
          </w:tcPr>
          <w:p w14:paraId="01E2209F" w14:textId="77777777" w:rsidR="006D5661" w:rsidRPr="0047058F" w:rsidRDefault="006D5661" w:rsidP="00C91013">
            <w:pPr>
              <w:pStyle w:val="TableText"/>
              <w:spacing w:before="38" w:after="38"/>
              <w:jc w:val="right"/>
              <w:rPr>
                <w:sz w:val="13"/>
                <w:szCs w:val="13"/>
              </w:rPr>
            </w:pPr>
            <w:r w:rsidRPr="0047058F">
              <w:rPr>
                <w:rFonts w:cs="Arial"/>
                <w:sz w:val="13"/>
                <w:szCs w:val="13"/>
              </w:rPr>
              <w:t>47.6 (33.4–61.8)</w:t>
            </w:r>
          </w:p>
        </w:tc>
        <w:tc>
          <w:tcPr>
            <w:tcW w:w="450" w:type="dxa"/>
          </w:tcPr>
          <w:p w14:paraId="5B0A1434" w14:textId="77777777" w:rsidR="006D5661" w:rsidRPr="0047058F" w:rsidRDefault="006D5661" w:rsidP="00C91013">
            <w:pPr>
              <w:pStyle w:val="TableText"/>
              <w:spacing w:before="38" w:after="38"/>
              <w:jc w:val="right"/>
              <w:rPr>
                <w:sz w:val="13"/>
                <w:szCs w:val="13"/>
              </w:rPr>
            </w:pPr>
            <w:r w:rsidRPr="0047058F">
              <w:rPr>
                <w:rFonts w:cs="Arial"/>
                <w:sz w:val="13"/>
                <w:szCs w:val="13"/>
              </w:rPr>
              <w:t>195</w:t>
            </w:r>
          </w:p>
        </w:tc>
        <w:tc>
          <w:tcPr>
            <w:tcW w:w="990" w:type="dxa"/>
          </w:tcPr>
          <w:p w14:paraId="2CB601AF" w14:textId="77777777" w:rsidR="006D5661" w:rsidRPr="0047058F" w:rsidRDefault="006D5661" w:rsidP="00C91013">
            <w:pPr>
              <w:pStyle w:val="TableText"/>
              <w:spacing w:before="38" w:after="38"/>
              <w:jc w:val="right"/>
              <w:rPr>
                <w:sz w:val="13"/>
                <w:szCs w:val="13"/>
              </w:rPr>
            </w:pPr>
            <w:r w:rsidRPr="0047058F">
              <w:rPr>
                <w:rFonts w:cs="Arial"/>
                <w:sz w:val="13"/>
                <w:szCs w:val="13"/>
              </w:rPr>
              <w:t>36.7 (21.1–52.3)</w:t>
            </w:r>
          </w:p>
        </w:tc>
        <w:tc>
          <w:tcPr>
            <w:tcW w:w="450" w:type="dxa"/>
          </w:tcPr>
          <w:p w14:paraId="5D6B6B8B" w14:textId="77777777" w:rsidR="006D5661" w:rsidRPr="0047058F" w:rsidRDefault="006D5661" w:rsidP="00C91013">
            <w:pPr>
              <w:pStyle w:val="TableText"/>
              <w:spacing w:before="38" w:after="38"/>
              <w:jc w:val="right"/>
              <w:rPr>
                <w:sz w:val="13"/>
                <w:szCs w:val="13"/>
              </w:rPr>
            </w:pPr>
            <w:r w:rsidRPr="0047058F">
              <w:rPr>
                <w:rFonts w:cs="Arial"/>
                <w:sz w:val="13"/>
                <w:szCs w:val="13"/>
              </w:rPr>
              <w:t>83</w:t>
            </w:r>
          </w:p>
        </w:tc>
        <w:tc>
          <w:tcPr>
            <w:tcW w:w="990" w:type="dxa"/>
          </w:tcPr>
          <w:p w14:paraId="7D098C95" w14:textId="77777777" w:rsidR="006D5661" w:rsidRPr="0047058F" w:rsidRDefault="006D5661" w:rsidP="00C91013">
            <w:pPr>
              <w:pStyle w:val="TableText"/>
              <w:spacing w:before="38" w:after="38"/>
              <w:jc w:val="right"/>
              <w:rPr>
                <w:sz w:val="13"/>
                <w:szCs w:val="13"/>
              </w:rPr>
            </w:pPr>
            <w:r w:rsidRPr="0047058F">
              <w:rPr>
                <w:rFonts w:cs="Arial"/>
                <w:sz w:val="13"/>
                <w:szCs w:val="13"/>
              </w:rPr>
              <w:t>15.6 (0.0–33.6)</w:t>
            </w:r>
          </w:p>
        </w:tc>
        <w:tc>
          <w:tcPr>
            <w:tcW w:w="1074" w:type="dxa"/>
          </w:tcPr>
          <w:p w14:paraId="72632F34"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6216E07D"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22AF0C54"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3078C217"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23BAC273"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4EC2844D"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0CBCB33E"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01F88071" w14:textId="77777777" w:rsidR="006D5661" w:rsidRPr="0047058F" w:rsidRDefault="006D5661" w:rsidP="00C91013">
            <w:pPr>
              <w:pStyle w:val="TableText"/>
              <w:spacing w:before="38" w:after="38"/>
              <w:rPr>
                <w:rFonts w:cs="Arial"/>
              </w:rPr>
            </w:pPr>
            <w:r w:rsidRPr="0047058F">
              <w:rPr>
                <w:rFonts w:cs="Arial"/>
              </w:rPr>
              <w:t>Length of service</w:t>
            </w:r>
          </w:p>
        </w:tc>
        <w:tc>
          <w:tcPr>
            <w:tcW w:w="436" w:type="dxa"/>
          </w:tcPr>
          <w:p w14:paraId="35642B12" w14:textId="77777777" w:rsidR="006D5661" w:rsidRPr="0047058F" w:rsidRDefault="006D5661" w:rsidP="00C91013">
            <w:pPr>
              <w:pStyle w:val="TableText"/>
              <w:spacing w:before="38" w:after="38"/>
              <w:jc w:val="right"/>
              <w:rPr>
                <w:sz w:val="13"/>
                <w:szCs w:val="13"/>
              </w:rPr>
            </w:pPr>
          </w:p>
        </w:tc>
        <w:tc>
          <w:tcPr>
            <w:tcW w:w="1080" w:type="dxa"/>
          </w:tcPr>
          <w:p w14:paraId="5ED517F9" w14:textId="77777777" w:rsidR="006D5661" w:rsidRPr="0047058F" w:rsidRDefault="006D5661" w:rsidP="00C91013">
            <w:pPr>
              <w:pStyle w:val="TableText"/>
              <w:spacing w:before="38" w:after="38"/>
              <w:jc w:val="right"/>
              <w:rPr>
                <w:sz w:val="13"/>
                <w:szCs w:val="13"/>
              </w:rPr>
            </w:pPr>
          </w:p>
        </w:tc>
        <w:tc>
          <w:tcPr>
            <w:tcW w:w="450" w:type="dxa"/>
          </w:tcPr>
          <w:p w14:paraId="30059269" w14:textId="77777777" w:rsidR="006D5661" w:rsidRPr="0047058F" w:rsidRDefault="006D5661" w:rsidP="00C91013">
            <w:pPr>
              <w:pStyle w:val="TableText"/>
              <w:spacing w:before="38" w:after="38"/>
              <w:jc w:val="right"/>
              <w:rPr>
                <w:sz w:val="13"/>
                <w:szCs w:val="13"/>
              </w:rPr>
            </w:pPr>
          </w:p>
        </w:tc>
        <w:tc>
          <w:tcPr>
            <w:tcW w:w="990" w:type="dxa"/>
          </w:tcPr>
          <w:p w14:paraId="60CE8FA6" w14:textId="77777777" w:rsidR="006D5661" w:rsidRPr="0047058F" w:rsidRDefault="006D5661" w:rsidP="00C91013">
            <w:pPr>
              <w:pStyle w:val="TableText"/>
              <w:spacing w:before="38" w:after="38"/>
              <w:jc w:val="right"/>
              <w:rPr>
                <w:sz w:val="13"/>
                <w:szCs w:val="13"/>
              </w:rPr>
            </w:pPr>
          </w:p>
        </w:tc>
        <w:tc>
          <w:tcPr>
            <w:tcW w:w="450" w:type="dxa"/>
          </w:tcPr>
          <w:p w14:paraId="6F69B469" w14:textId="77777777" w:rsidR="006D5661" w:rsidRPr="0047058F" w:rsidRDefault="006D5661" w:rsidP="00C91013">
            <w:pPr>
              <w:pStyle w:val="TableText"/>
              <w:spacing w:before="38" w:after="38"/>
              <w:jc w:val="right"/>
              <w:rPr>
                <w:sz w:val="13"/>
                <w:szCs w:val="13"/>
              </w:rPr>
            </w:pPr>
          </w:p>
        </w:tc>
        <w:tc>
          <w:tcPr>
            <w:tcW w:w="990" w:type="dxa"/>
          </w:tcPr>
          <w:p w14:paraId="453B0992" w14:textId="77777777" w:rsidR="006D5661" w:rsidRPr="0047058F" w:rsidRDefault="006D5661" w:rsidP="00C91013">
            <w:pPr>
              <w:pStyle w:val="TableText"/>
              <w:spacing w:before="38" w:after="38"/>
              <w:jc w:val="right"/>
              <w:rPr>
                <w:sz w:val="13"/>
                <w:szCs w:val="13"/>
              </w:rPr>
            </w:pPr>
          </w:p>
        </w:tc>
        <w:tc>
          <w:tcPr>
            <w:tcW w:w="1074" w:type="dxa"/>
          </w:tcPr>
          <w:p w14:paraId="04EAEF66" w14:textId="77777777" w:rsidR="006D5661" w:rsidRPr="0047058F" w:rsidRDefault="006D5661" w:rsidP="00C91013">
            <w:pPr>
              <w:pStyle w:val="TableText"/>
              <w:spacing w:before="38" w:after="38"/>
              <w:jc w:val="right"/>
              <w:rPr>
                <w:sz w:val="13"/>
                <w:szCs w:val="13"/>
              </w:rPr>
            </w:pPr>
          </w:p>
        </w:tc>
        <w:tc>
          <w:tcPr>
            <w:tcW w:w="986" w:type="dxa"/>
          </w:tcPr>
          <w:p w14:paraId="43EEC8DD" w14:textId="77777777" w:rsidR="006D5661" w:rsidRPr="0047058F" w:rsidRDefault="006D5661" w:rsidP="00C91013">
            <w:pPr>
              <w:pStyle w:val="TableText"/>
              <w:spacing w:before="38" w:after="38"/>
              <w:jc w:val="right"/>
              <w:rPr>
                <w:sz w:val="13"/>
                <w:szCs w:val="13"/>
              </w:rPr>
            </w:pPr>
          </w:p>
        </w:tc>
        <w:tc>
          <w:tcPr>
            <w:tcW w:w="986" w:type="dxa"/>
          </w:tcPr>
          <w:p w14:paraId="3A9C9197" w14:textId="77777777" w:rsidR="006D5661" w:rsidRPr="0047058F" w:rsidRDefault="006D5661" w:rsidP="00C91013">
            <w:pPr>
              <w:pStyle w:val="TableText"/>
              <w:spacing w:before="38" w:after="38"/>
              <w:jc w:val="right"/>
              <w:rPr>
                <w:sz w:val="13"/>
                <w:szCs w:val="13"/>
              </w:rPr>
            </w:pPr>
          </w:p>
        </w:tc>
        <w:tc>
          <w:tcPr>
            <w:tcW w:w="986" w:type="dxa"/>
          </w:tcPr>
          <w:p w14:paraId="238A1663" w14:textId="77777777" w:rsidR="006D5661" w:rsidRPr="0047058F" w:rsidRDefault="006D5661" w:rsidP="00C91013">
            <w:pPr>
              <w:pStyle w:val="TableText"/>
              <w:spacing w:before="38" w:after="38"/>
              <w:jc w:val="right"/>
              <w:rPr>
                <w:sz w:val="13"/>
                <w:szCs w:val="13"/>
              </w:rPr>
            </w:pPr>
          </w:p>
        </w:tc>
        <w:tc>
          <w:tcPr>
            <w:tcW w:w="657" w:type="dxa"/>
          </w:tcPr>
          <w:p w14:paraId="0389A737"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ns</w:t>
            </w:r>
          </w:p>
        </w:tc>
        <w:tc>
          <w:tcPr>
            <w:tcW w:w="657" w:type="dxa"/>
          </w:tcPr>
          <w:p w14:paraId="52E094E3"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w:t>
            </w:r>
          </w:p>
        </w:tc>
      </w:tr>
      <w:tr w:rsidR="003454A7" w:rsidRPr="0047058F" w14:paraId="4FFC9EBB" w14:textId="77777777" w:rsidTr="003454A7">
        <w:trPr>
          <w:cantSplit/>
        </w:trPr>
        <w:tc>
          <w:tcPr>
            <w:tcW w:w="1720" w:type="dxa"/>
          </w:tcPr>
          <w:p w14:paraId="3E34FEC8" w14:textId="77777777" w:rsidR="006D5661" w:rsidRPr="0047058F" w:rsidRDefault="006D5661" w:rsidP="00C91013">
            <w:pPr>
              <w:pStyle w:val="TableText"/>
              <w:spacing w:before="38" w:after="38"/>
              <w:ind w:left="144"/>
            </w:pPr>
            <w:r w:rsidRPr="0047058F">
              <w:t>1 month – 3.9 years</w:t>
            </w:r>
          </w:p>
        </w:tc>
        <w:tc>
          <w:tcPr>
            <w:tcW w:w="436" w:type="dxa"/>
          </w:tcPr>
          <w:p w14:paraId="121F0D69" w14:textId="77777777" w:rsidR="006D5661" w:rsidRPr="0047058F" w:rsidRDefault="006D5661" w:rsidP="00C91013">
            <w:pPr>
              <w:pStyle w:val="TableText"/>
              <w:spacing w:before="38" w:after="38"/>
              <w:jc w:val="right"/>
              <w:rPr>
                <w:sz w:val="13"/>
                <w:szCs w:val="13"/>
              </w:rPr>
            </w:pPr>
            <w:r w:rsidRPr="0047058F">
              <w:rPr>
                <w:rFonts w:cs="Arial"/>
                <w:sz w:val="13"/>
                <w:szCs w:val="13"/>
              </w:rPr>
              <w:t>59</w:t>
            </w:r>
          </w:p>
        </w:tc>
        <w:tc>
          <w:tcPr>
            <w:tcW w:w="1080" w:type="dxa"/>
          </w:tcPr>
          <w:p w14:paraId="4C5224F3" w14:textId="77777777" w:rsidR="006D5661" w:rsidRPr="0047058F" w:rsidRDefault="006D5661" w:rsidP="00C91013">
            <w:pPr>
              <w:pStyle w:val="TableText"/>
              <w:spacing w:before="38" w:after="38"/>
              <w:jc w:val="right"/>
              <w:rPr>
                <w:sz w:val="13"/>
                <w:szCs w:val="13"/>
              </w:rPr>
            </w:pPr>
            <w:r w:rsidRPr="0047058F">
              <w:rPr>
                <w:rFonts w:cs="Arial"/>
                <w:sz w:val="13"/>
                <w:szCs w:val="13"/>
              </w:rPr>
              <w:t>43.1 (28.3–57.9)</w:t>
            </w:r>
          </w:p>
        </w:tc>
        <w:tc>
          <w:tcPr>
            <w:tcW w:w="450" w:type="dxa"/>
          </w:tcPr>
          <w:p w14:paraId="066053C6" w14:textId="77777777" w:rsidR="006D5661" w:rsidRPr="0047058F" w:rsidRDefault="006D5661" w:rsidP="00C91013">
            <w:pPr>
              <w:pStyle w:val="TableText"/>
              <w:spacing w:before="38" w:after="38"/>
              <w:jc w:val="right"/>
              <w:rPr>
                <w:sz w:val="13"/>
                <w:szCs w:val="13"/>
              </w:rPr>
            </w:pPr>
            <w:r w:rsidRPr="0047058F">
              <w:rPr>
                <w:rFonts w:cs="Arial"/>
                <w:sz w:val="13"/>
                <w:szCs w:val="13"/>
              </w:rPr>
              <w:t>45</w:t>
            </w:r>
          </w:p>
        </w:tc>
        <w:tc>
          <w:tcPr>
            <w:tcW w:w="990" w:type="dxa"/>
          </w:tcPr>
          <w:p w14:paraId="387A9012" w14:textId="77777777" w:rsidR="006D5661" w:rsidRPr="0047058F" w:rsidRDefault="006D5661" w:rsidP="00C91013">
            <w:pPr>
              <w:pStyle w:val="TableText"/>
              <w:spacing w:before="38" w:after="38"/>
              <w:jc w:val="right"/>
              <w:rPr>
                <w:sz w:val="13"/>
                <w:szCs w:val="13"/>
              </w:rPr>
            </w:pPr>
            <w:r w:rsidRPr="0047058F">
              <w:rPr>
                <w:rFonts w:cs="Arial"/>
                <w:sz w:val="13"/>
                <w:szCs w:val="13"/>
              </w:rPr>
              <w:t>32.8 (16.7–48.9)</w:t>
            </w:r>
          </w:p>
        </w:tc>
        <w:tc>
          <w:tcPr>
            <w:tcW w:w="450" w:type="dxa"/>
          </w:tcPr>
          <w:p w14:paraId="50F5E4C5" w14:textId="77777777" w:rsidR="006D5661" w:rsidRPr="0047058F" w:rsidRDefault="006D5661" w:rsidP="00C91013">
            <w:pPr>
              <w:pStyle w:val="TableText"/>
              <w:spacing w:before="38" w:after="38"/>
              <w:jc w:val="right"/>
              <w:rPr>
                <w:sz w:val="13"/>
                <w:szCs w:val="13"/>
              </w:rPr>
            </w:pPr>
            <w:r w:rsidRPr="0047058F">
              <w:rPr>
                <w:rFonts w:cs="Arial"/>
                <w:sz w:val="13"/>
                <w:szCs w:val="13"/>
              </w:rPr>
              <w:t>33</w:t>
            </w:r>
          </w:p>
        </w:tc>
        <w:tc>
          <w:tcPr>
            <w:tcW w:w="990" w:type="dxa"/>
          </w:tcPr>
          <w:p w14:paraId="0456386E" w14:textId="77777777" w:rsidR="006D5661" w:rsidRPr="0047058F" w:rsidRDefault="006D5661" w:rsidP="00C91013">
            <w:pPr>
              <w:pStyle w:val="TableText"/>
              <w:spacing w:before="38" w:after="38"/>
              <w:jc w:val="right"/>
              <w:rPr>
                <w:sz w:val="13"/>
                <w:szCs w:val="13"/>
              </w:rPr>
            </w:pPr>
            <w:r w:rsidRPr="0047058F">
              <w:rPr>
                <w:rFonts w:cs="Arial"/>
                <w:sz w:val="13"/>
                <w:szCs w:val="13"/>
              </w:rPr>
              <w:t>24.1 (7.0–41.2)</w:t>
            </w:r>
          </w:p>
        </w:tc>
        <w:tc>
          <w:tcPr>
            <w:tcW w:w="1074" w:type="dxa"/>
          </w:tcPr>
          <w:p w14:paraId="7ABF85C9" w14:textId="77777777" w:rsidR="006D5661" w:rsidRPr="0047058F" w:rsidRDefault="006D5661" w:rsidP="00C91013">
            <w:pPr>
              <w:pStyle w:val="TableText"/>
              <w:spacing w:before="38" w:after="38"/>
              <w:jc w:val="right"/>
              <w:rPr>
                <w:sz w:val="13"/>
                <w:szCs w:val="13"/>
              </w:rPr>
            </w:pPr>
            <w:r w:rsidRPr="0047058F">
              <w:rPr>
                <w:rFonts w:cs="Arial"/>
                <w:sz w:val="13"/>
                <w:szCs w:val="13"/>
              </w:rPr>
              <w:t>0.70 (0.42–1.17)</w:t>
            </w:r>
          </w:p>
        </w:tc>
        <w:tc>
          <w:tcPr>
            <w:tcW w:w="986" w:type="dxa"/>
          </w:tcPr>
          <w:p w14:paraId="207C6835"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5FB67A37" w14:textId="77777777" w:rsidR="006D5661" w:rsidRPr="0047058F" w:rsidRDefault="006D5661" w:rsidP="00C91013">
            <w:pPr>
              <w:pStyle w:val="TableText"/>
              <w:spacing w:before="38" w:after="38"/>
              <w:jc w:val="right"/>
              <w:rPr>
                <w:sz w:val="13"/>
                <w:szCs w:val="13"/>
              </w:rPr>
            </w:pPr>
            <w:r w:rsidRPr="0047058F">
              <w:rPr>
                <w:rFonts w:cs="Arial"/>
                <w:sz w:val="13"/>
                <w:szCs w:val="13"/>
              </w:rPr>
              <w:t>1.42 (0.82–2.45)</w:t>
            </w:r>
          </w:p>
        </w:tc>
        <w:tc>
          <w:tcPr>
            <w:tcW w:w="986" w:type="dxa"/>
          </w:tcPr>
          <w:p w14:paraId="767B7C53"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7A5D6F04"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6D78D7D3"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1F8B9602"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2962471F" w14:textId="77777777" w:rsidR="006D5661" w:rsidRPr="0047058F" w:rsidRDefault="006D5661" w:rsidP="00C91013">
            <w:pPr>
              <w:pStyle w:val="TableText"/>
              <w:spacing w:before="38" w:after="38"/>
              <w:ind w:left="144"/>
            </w:pPr>
            <w:r w:rsidRPr="0047058F">
              <w:t>4 – 7.9 years</w:t>
            </w:r>
          </w:p>
        </w:tc>
        <w:tc>
          <w:tcPr>
            <w:tcW w:w="436" w:type="dxa"/>
          </w:tcPr>
          <w:p w14:paraId="3A4F4C46" w14:textId="77777777" w:rsidR="006D5661" w:rsidRPr="0047058F" w:rsidRDefault="006D5661" w:rsidP="00C91013">
            <w:pPr>
              <w:pStyle w:val="TableText"/>
              <w:spacing w:before="38" w:after="38"/>
              <w:jc w:val="right"/>
              <w:rPr>
                <w:sz w:val="13"/>
                <w:szCs w:val="13"/>
              </w:rPr>
            </w:pPr>
            <w:r w:rsidRPr="0047058F">
              <w:rPr>
                <w:rFonts w:cs="Arial"/>
                <w:sz w:val="13"/>
                <w:szCs w:val="13"/>
              </w:rPr>
              <w:t>129</w:t>
            </w:r>
          </w:p>
        </w:tc>
        <w:tc>
          <w:tcPr>
            <w:tcW w:w="1080" w:type="dxa"/>
          </w:tcPr>
          <w:p w14:paraId="0F2DF55F" w14:textId="77777777" w:rsidR="006D5661" w:rsidRPr="0047058F" w:rsidRDefault="006D5661" w:rsidP="00C91013">
            <w:pPr>
              <w:pStyle w:val="TableText"/>
              <w:spacing w:before="38" w:after="38"/>
              <w:jc w:val="right"/>
              <w:rPr>
                <w:sz w:val="13"/>
                <w:szCs w:val="13"/>
              </w:rPr>
            </w:pPr>
            <w:r w:rsidRPr="0047058F">
              <w:rPr>
                <w:rFonts w:cs="Arial"/>
                <w:sz w:val="13"/>
                <w:szCs w:val="13"/>
              </w:rPr>
              <w:t>44.0 (29.3–58.7)</w:t>
            </w:r>
          </w:p>
        </w:tc>
        <w:tc>
          <w:tcPr>
            <w:tcW w:w="450" w:type="dxa"/>
          </w:tcPr>
          <w:p w14:paraId="712AEC1D" w14:textId="77777777" w:rsidR="006D5661" w:rsidRPr="0047058F" w:rsidRDefault="006D5661" w:rsidP="00C91013">
            <w:pPr>
              <w:pStyle w:val="TableText"/>
              <w:spacing w:before="38" w:after="38"/>
              <w:jc w:val="right"/>
              <w:rPr>
                <w:sz w:val="13"/>
                <w:szCs w:val="13"/>
              </w:rPr>
            </w:pPr>
            <w:r w:rsidRPr="0047058F">
              <w:rPr>
                <w:rFonts w:cs="Arial"/>
                <w:sz w:val="13"/>
                <w:szCs w:val="13"/>
              </w:rPr>
              <w:t>111</w:t>
            </w:r>
          </w:p>
        </w:tc>
        <w:tc>
          <w:tcPr>
            <w:tcW w:w="990" w:type="dxa"/>
          </w:tcPr>
          <w:p w14:paraId="16B113FE" w14:textId="77777777" w:rsidR="006D5661" w:rsidRPr="0047058F" w:rsidRDefault="006D5661" w:rsidP="00C91013">
            <w:pPr>
              <w:pStyle w:val="TableText"/>
              <w:spacing w:before="38" w:after="38"/>
              <w:jc w:val="right"/>
              <w:rPr>
                <w:sz w:val="13"/>
                <w:szCs w:val="13"/>
              </w:rPr>
            </w:pPr>
            <w:r w:rsidRPr="0047058F">
              <w:rPr>
                <w:rFonts w:cs="Arial"/>
                <w:sz w:val="13"/>
                <w:szCs w:val="13"/>
              </w:rPr>
              <w:t>37.9 (22.5–53.3)</w:t>
            </w:r>
          </w:p>
        </w:tc>
        <w:tc>
          <w:tcPr>
            <w:tcW w:w="450" w:type="dxa"/>
          </w:tcPr>
          <w:p w14:paraId="2258A9B4" w14:textId="77777777" w:rsidR="006D5661" w:rsidRPr="0047058F" w:rsidRDefault="006D5661" w:rsidP="00C91013">
            <w:pPr>
              <w:pStyle w:val="TableText"/>
              <w:spacing w:before="38" w:after="38"/>
              <w:jc w:val="right"/>
              <w:rPr>
                <w:sz w:val="13"/>
                <w:szCs w:val="13"/>
              </w:rPr>
            </w:pPr>
            <w:r w:rsidRPr="0047058F">
              <w:rPr>
                <w:rFonts w:cs="Arial"/>
                <w:sz w:val="13"/>
                <w:szCs w:val="13"/>
              </w:rPr>
              <w:t>53</w:t>
            </w:r>
          </w:p>
        </w:tc>
        <w:tc>
          <w:tcPr>
            <w:tcW w:w="990" w:type="dxa"/>
          </w:tcPr>
          <w:p w14:paraId="3E731B3C" w14:textId="77777777" w:rsidR="006D5661" w:rsidRPr="0047058F" w:rsidRDefault="006D5661" w:rsidP="00C91013">
            <w:pPr>
              <w:pStyle w:val="TableText"/>
              <w:spacing w:before="38" w:after="38"/>
              <w:jc w:val="right"/>
              <w:rPr>
                <w:sz w:val="13"/>
                <w:szCs w:val="13"/>
              </w:rPr>
            </w:pPr>
            <w:r w:rsidRPr="0047058F">
              <w:rPr>
                <w:rFonts w:cs="Arial"/>
                <w:sz w:val="13"/>
                <w:szCs w:val="13"/>
              </w:rPr>
              <w:t>18.1 (0.4–35.8)</w:t>
            </w:r>
          </w:p>
        </w:tc>
        <w:tc>
          <w:tcPr>
            <w:tcW w:w="1074" w:type="dxa"/>
          </w:tcPr>
          <w:p w14:paraId="60E89327" w14:textId="77777777" w:rsidR="006D5661" w:rsidRPr="0047058F" w:rsidRDefault="006D5661" w:rsidP="00C91013">
            <w:pPr>
              <w:pStyle w:val="TableText"/>
              <w:spacing w:before="38" w:after="38"/>
              <w:jc w:val="right"/>
              <w:rPr>
                <w:sz w:val="13"/>
                <w:szCs w:val="13"/>
              </w:rPr>
            </w:pPr>
            <w:r w:rsidRPr="0047058F">
              <w:rPr>
                <w:rFonts w:cs="Arial"/>
                <w:sz w:val="13"/>
                <w:szCs w:val="13"/>
              </w:rPr>
              <w:t>0.94 (0.67–1.32)</w:t>
            </w:r>
          </w:p>
        </w:tc>
        <w:tc>
          <w:tcPr>
            <w:tcW w:w="986" w:type="dxa"/>
          </w:tcPr>
          <w:p w14:paraId="55622E83"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329F2E48" w14:textId="77777777" w:rsidR="006D5661" w:rsidRPr="0047058F" w:rsidRDefault="006D5661" w:rsidP="00C91013">
            <w:pPr>
              <w:pStyle w:val="TableText"/>
              <w:spacing w:before="38" w:after="38"/>
              <w:jc w:val="right"/>
              <w:rPr>
                <w:sz w:val="13"/>
                <w:szCs w:val="13"/>
              </w:rPr>
            </w:pPr>
            <w:r w:rsidRPr="0047058F">
              <w:rPr>
                <w:rFonts w:cs="Arial"/>
                <w:sz w:val="13"/>
                <w:szCs w:val="13"/>
              </w:rPr>
              <w:t>0.97 (0.63–1.48)</w:t>
            </w:r>
          </w:p>
        </w:tc>
        <w:tc>
          <w:tcPr>
            <w:tcW w:w="986" w:type="dxa"/>
          </w:tcPr>
          <w:p w14:paraId="1FBF6011"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0BD532D6" w14:textId="77777777" w:rsidR="006D5661" w:rsidRPr="0047058F" w:rsidRDefault="006D5661" w:rsidP="00C91013">
            <w:pPr>
              <w:pStyle w:val="TableText"/>
              <w:spacing w:before="38" w:after="38"/>
              <w:jc w:val="right"/>
              <w:rPr>
                <w:sz w:val="13"/>
                <w:szCs w:val="13"/>
              </w:rPr>
            </w:pPr>
          </w:p>
        </w:tc>
        <w:tc>
          <w:tcPr>
            <w:tcW w:w="657" w:type="dxa"/>
          </w:tcPr>
          <w:p w14:paraId="0D0BFA3C" w14:textId="77777777" w:rsidR="006D5661" w:rsidRPr="0047058F" w:rsidRDefault="006D5661" w:rsidP="00C91013">
            <w:pPr>
              <w:pStyle w:val="TableText"/>
              <w:spacing w:before="38" w:after="38"/>
              <w:jc w:val="right"/>
              <w:rPr>
                <w:sz w:val="13"/>
                <w:szCs w:val="13"/>
              </w:rPr>
            </w:pPr>
          </w:p>
        </w:tc>
      </w:tr>
      <w:tr w:rsidR="003454A7" w:rsidRPr="0047058F" w14:paraId="4173133C" w14:textId="77777777" w:rsidTr="003454A7">
        <w:trPr>
          <w:cantSplit/>
        </w:trPr>
        <w:tc>
          <w:tcPr>
            <w:tcW w:w="1720" w:type="dxa"/>
          </w:tcPr>
          <w:p w14:paraId="490685C5" w14:textId="77777777" w:rsidR="006D5661" w:rsidRPr="0047058F" w:rsidRDefault="006D5661" w:rsidP="00C91013">
            <w:pPr>
              <w:pStyle w:val="TableText"/>
              <w:spacing w:before="38" w:after="38"/>
              <w:ind w:left="144"/>
            </w:pPr>
            <w:r w:rsidRPr="0047058F">
              <w:t>8 – 11.9 years</w:t>
            </w:r>
          </w:p>
        </w:tc>
        <w:tc>
          <w:tcPr>
            <w:tcW w:w="436" w:type="dxa"/>
          </w:tcPr>
          <w:p w14:paraId="1A46B581" w14:textId="77777777" w:rsidR="006D5661" w:rsidRPr="0047058F" w:rsidRDefault="006D5661" w:rsidP="00C91013">
            <w:pPr>
              <w:pStyle w:val="TableText"/>
              <w:spacing w:before="38" w:after="38"/>
              <w:jc w:val="right"/>
              <w:rPr>
                <w:sz w:val="13"/>
                <w:szCs w:val="13"/>
              </w:rPr>
            </w:pPr>
            <w:r w:rsidRPr="0047058F">
              <w:rPr>
                <w:rFonts w:cs="Arial"/>
                <w:sz w:val="13"/>
                <w:szCs w:val="13"/>
              </w:rPr>
              <w:t>131</w:t>
            </w:r>
          </w:p>
        </w:tc>
        <w:tc>
          <w:tcPr>
            <w:tcW w:w="1080" w:type="dxa"/>
          </w:tcPr>
          <w:p w14:paraId="25ADCEA9" w14:textId="77777777" w:rsidR="006D5661" w:rsidRPr="0047058F" w:rsidRDefault="006D5661" w:rsidP="00C91013">
            <w:pPr>
              <w:pStyle w:val="TableText"/>
              <w:spacing w:before="38" w:after="38"/>
              <w:jc w:val="right"/>
              <w:rPr>
                <w:sz w:val="13"/>
                <w:szCs w:val="13"/>
              </w:rPr>
            </w:pPr>
            <w:r w:rsidRPr="0047058F">
              <w:rPr>
                <w:rFonts w:cs="Arial"/>
                <w:sz w:val="13"/>
                <w:szCs w:val="13"/>
              </w:rPr>
              <w:t>47.1 (32.8–61.4)</w:t>
            </w:r>
          </w:p>
        </w:tc>
        <w:tc>
          <w:tcPr>
            <w:tcW w:w="450" w:type="dxa"/>
          </w:tcPr>
          <w:p w14:paraId="17DDF719" w14:textId="77777777" w:rsidR="006D5661" w:rsidRPr="0047058F" w:rsidRDefault="006D5661" w:rsidP="00C91013">
            <w:pPr>
              <w:pStyle w:val="TableText"/>
              <w:spacing w:before="38" w:after="38"/>
              <w:jc w:val="right"/>
              <w:rPr>
                <w:sz w:val="13"/>
                <w:szCs w:val="13"/>
              </w:rPr>
            </w:pPr>
            <w:r w:rsidRPr="0047058F">
              <w:rPr>
                <w:rFonts w:cs="Arial"/>
                <w:sz w:val="13"/>
                <w:szCs w:val="13"/>
              </w:rPr>
              <w:t>94</w:t>
            </w:r>
          </w:p>
        </w:tc>
        <w:tc>
          <w:tcPr>
            <w:tcW w:w="990" w:type="dxa"/>
          </w:tcPr>
          <w:p w14:paraId="395D3B6C" w14:textId="77777777" w:rsidR="006D5661" w:rsidRPr="0047058F" w:rsidRDefault="006D5661" w:rsidP="00C91013">
            <w:pPr>
              <w:pStyle w:val="TableText"/>
              <w:spacing w:before="38" w:after="38"/>
              <w:jc w:val="right"/>
              <w:rPr>
                <w:sz w:val="13"/>
                <w:szCs w:val="13"/>
              </w:rPr>
            </w:pPr>
            <w:r w:rsidRPr="0047058F">
              <w:rPr>
                <w:rFonts w:cs="Arial"/>
                <w:sz w:val="13"/>
                <w:szCs w:val="13"/>
              </w:rPr>
              <w:t>33.8 (17.9–49.7)</w:t>
            </w:r>
          </w:p>
        </w:tc>
        <w:tc>
          <w:tcPr>
            <w:tcW w:w="450" w:type="dxa"/>
          </w:tcPr>
          <w:p w14:paraId="48BD60B2" w14:textId="77777777" w:rsidR="006D5661" w:rsidRPr="0047058F" w:rsidRDefault="006D5661" w:rsidP="00C91013">
            <w:pPr>
              <w:pStyle w:val="TableText"/>
              <w:spacing w:before="38" w:after="38"/>
              <w:jc w:val="right"/>
              <w:rPr>
                <w:sz w:val="13"/>
                <w:szCs w:val="13"/>
              </w:rPr>
            </w:pPr>
            <w:r w:rsidRPr="0047058F">
              <w:rPr>
                <w:rFonts w:cs="Arial"/>
                <w:sz w:val="13"/>
                <w:szCs w:val="13"/>
              </w:rPr>
              <w:t>53</w:t>
            </w:r>
          </w:p>
        </w:tc>
        <w:tc>
          <w:tcPr>
            <w:tcW w:w="990" w:type="dxa"/>
          </w:tcPr>
          <w:p w14:paraId="24336AED" w14:textId="77777777" w:rsidR="006D5661" w:rsidRPr="0047058F" w:rsidRDefault="006D5661" w:rsidP="00C91013">
            <w:pPr>
              <w:pStyle w:val="TableText"/>
              <w:spacing w:before="38" w:after="38"/>
              <w:jc w:val="right"/>
              <w:rPr>
                <w:sz w:val="13"/>
                <w:szCs w:val="13"/>
              </w:rPr>
            </w:pPr>
            <w:r w:rsidRPr="0047058F">
              <w:rPr>
                <w:rFonts w:cs="Arial"/>
                <w:sz w:val="13"/>
                <w:szCs w:val="13"/>
              </w:rPr>
              <w:t>19.1 (1.5–36.7)</w:t>
            </w:r>
          </w:p>
        </w:tc>
        <w:tc>
          <w:tcPr>
            <w:tcW w:w="1074" w:type="dxa"/>
          </w:tcPr>
          <w:p w14:paraId="6399CCE7" w14:textId="77777777" w:rsidR="006D5661" w:rsidRPr="0047058F" w:rsidRDefault="006D5661" w:rsidP="00C91013">
            <w:pPr>
              <w:pStyle w:val="TableText"/>
              <w:spacing w:before="38" w:after="38"/>
              <w:jc w:val="right"/>
              <w:rPr>
                <w:sz w:val="13"/>
                <w:szCs w:val="13"/>
              </w:rPr>
            </w:pPr>
            <w:r w:rsidRPr="0047058F">
              <w:rPr>
                <w:rFonts w:cs="Arial"/>
                <w:sz w:val="13"/>
                <w:szCs w:val="13"/>
              </w:rPr>
              <w:t>0.77 (0.55–1.07)</w:t>
            </w:r>
          </w:p>
        </w:tc>
        <w:tc>
          <w:tcPr>
            <w:tcW w:w="986" w:type="dxa"/>
          </w:tcPr>
          <w:p w14:paraId="1E56ACB6"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7E2C8014" w14:textId="77777777" w:rsidR="006D5661" w:rsidRPr="0047058F" w:rsidRDefault="006D5661" w:rsidP="00C91013">
            <w:pPr>
              <w:pStyle w:val="TableText"/>
              <w:spacing w:before="38" w:after="38"/>
              <w:jc w:val="right"/>
              <w:rPr>
                <w:sz w:val="13"/>
                <w:szCs w:val="13"/>
              </w:rPr>
            </w:pPr>
            <w:r w:rsidRPr="0047058F">
              <w:rPr>
                <w:rFonts w:cs="Arial"/>
                <w:sz w:val="13"/>
                <w:szCs w:val="13"/>
              </w:rPr>
              <w:t>0.90 (0.60–1.36)</w:t>
            </w:r>
          </w:p>
        </w:tc>
        <w:tc>
          <w:tcPr>
            <w:tcW w:w="986" w:type="dxa"/>
          </w:tcPr>
          <w:p w14:paraId="0C3A87CA"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3C780210" w14:textId="77777777" w:rsidR="006D5661" w:rsidRPr="0047058F" w:rsidRDefault="006D5661" w:rsidP="00C91013">
            <w:pPr>
              <w:pStyle w:val="TableText"/>
              <w:spacing w:before="38" w:after="38"/>
              <w:jc w:val="right"/>
              <w:rPr>
                <w:sz w:val="13"/>
                <w:szCs w:val="13"/>
              </w:rPr>
            </w:pPr>
          </w:p>
        </w:tc>
        <w:tc>
          <w:tcPr>
            <w:tcW w:w="657" w:type="dxa"/>
          </w:tcPr>
          <w:p w14:paraId="62F3E3B2" w14:textId="77777777" w:rsidR="006D5661" w:rsidRPr="0047058F" w:rsidRDefault="006D5661" w:rsidP="00C91013">
            <w:pPr>
              <w:pStyle w:val="TableText"/>
              <w:spacing w:before="38" w:after="38"/>
              <w:jc w:val="right"/>
              <w:rPr>
                <w:sz w:val="13"/>
                <w:szCs w:val="13"/>
              </w:rPr>
            </w:pPr>
          </w:p>
        </w:tc>
      </w:tr>
      <w:tr w:rsidR="003454A7" w:rsidRPr="0047058F" w14:paraId="38203BA4"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76B5AA07" w14:textId="77777777" w:rsidR="006D5661" w:rsidRPr="0047058F" w:rsidRDefault="006D5661" w:rsidP="00C91013">
            <w:pPr>
              <w:pStyle w:val="TableText"/>
              <w:spacing w:before="38" w:after="38"/>
              <w:ind w:left="144"/>
            </w:pPr>
            <w:r w:rsidRPr="0047058F">
              <w:t>12 – 19.9 years</w:t>
            </w:r>
          </w:p>
        </w:tc>
        <w:tc>
          <w:tcPr>
            <w:tcW w:w="436" w:type="dxa"/>
          </w:tcPr>
          <w:p w14:paraId="3248C874" w14:textId="77777777" w:rsidR="006D5661" w:rsidRPr="0047058F" w:rsidRDefault="006D5661" w:rsidP="00C91013">
            <w:pPr>
              <w:pStyle w:val="TableText"/>
              <w:spacing w:before="38" w:after="38"/>
              <w:jc w:val="right"/>
              <w:rPr>
                <w:sz w:val="13"/>
                <w:szCs w:val="13"/>
              </w:rPr>
            </w:pPr>
            <w:r w:rsidRPr="0047058F">
              <w:rPr>
                <w:rFonts w:cs="Arial"/>
                <w:sz w:val="13"/>
                <w:szCs w:val="13"/>
              </w:rPr>
              <w:t>161</w:t>
            </w:r>
          </w:p>
        </w:tc>
        <w:tc>
          <w:tcPr>
            <w:tcW w:w="1080" w:type="dxa"/>
          </w:tcPr>
          <w:p w14:paraId="2D3ED200" w14:textId="77777777" w:rsidR="006D5661" w:rsidRPr="0047058F" w:rsidRDefault="006D5661" w:rsidP="00C91013">
            <w:pPr>
              <w:pStyle w:val="TableText"/>
              <w:spacing w:before="38" w:after="38"/>
              <w:jc w:val="right"/>
              <w:rPr>
                <w:sz w:val="13"/>
                <w:szCs w:val="13"/>
              </w:rPr>
            </w:pPr>
            <w:r w:rsidRPr="0047058F">
              <w:rPr>
                <w:rFonts w:cs="Arial"/>
                <w:sz w:val="13"/>
                <w:szCs w:val="13"/>
              </w:rPr>
              <w:t>40.5 (25.4–55.6)</w:t>
            </w:r>
          </w:p>
        </w:tc>
        <w:tc>
          <w:tcPr>
            <w:tcW w:w="450" w:type="dxa"/>
          </w:tcPr>
          <w:p w14:paraId="5E0B04E4" w14:textId="77777777" w:rsidR="006D5661" w:rsidRPr="0047058F" w:rsidRDefault="006D5661" w:rsidP="00C91013">
            <w:pPr>
              <w:pStyle w:val="TableText"/>
              <w:spacing w:before="38" w:after="38"/>
              <w:jc w:val="right"/>
              <w:rPr>
                <w:sz w:val="13"/>
                <w:szCs w:val="13"/>
              </w:rPr>
            </w:pPr>
            <w:r w:rsidRPr="0047058F">
              <w:rPr>
                <w:rFonts w:cs="Arial"/>
                <w:sz w:val="13"/>
                <w:szCs w:val="13"/>
              </w:rPr>
              <w:t>146</w:t>
            </w:r>
          </w:p>
        </w:tc>
        <w:tc>
          <w:tcPr>
            <w:tcW w:w="990" w:type="dxa"/>
          </w:tcPr>
          <w:p w14:paraId="67C79630" w14:textId="77777777" w:rsidR="006D5661" w:rsidRPr="0047058F" w:rsidRDefault="006D5661" w:rsidP="00C91013">
            <w:pPr>
              <w:pStyle w:val="TableText"/>
              <w:spacing w:before="38" w:after="38"/>
              <w:jc w:val="right"/>
              <w:rPr>
                <w:sz w:val="13"/>
                <w:szCs w:val="13"/>
              </w:rPr>
            </w:pPr>
            <w:r w:rsidRPr="0047058F">
              <w:rPr>
                <w:rFonts w:cs="Arial"/>
                <w:sz w:val="13"/>
                <w:szCs w:val="13"/>
              </w:rPr>
              <w:t>36.7 (21.1–52.3)</w:t>
            </w:r>
          </w:p>
        </w:tc>
        <w:tc>
          <w:tcPr>
            <w:tcW w:w="450" w:type="dxa"/>
          </w:tcPr>
          <w:p w14:paraId="6ED996D6" w14:textId="77777777" w:rsidR="006D5661" w:rsidRPr="0047058F" w:rsidRDefault="006D5661" w:rsidP="00C91013">
            <w:pPr>
              <w:pStyle w:val="TableText"/>
              <w:spacing w:before="38" w:after="38"/>
              <w:jc w:val="right"/>
              <w:rPr>
                <w:sz w:val="13"/>
                <w:szCs w:val="13"/>
              </w:rPr>
            </w:pPr>
            <w:r w:rsidRPr="0047058F">
              <w:rPr>
                <w:rFonts w:cs="Arial"/>
                <w:sz w:val="13"/>
                <w:szCs w:val="13"/>
              </w:rPr>
              <w:t>91</w:t>
            </w:r>
          </w:p>
        </w:tc>
        <w:tc>
          <w:tcPr>
            <w:tcW w:w="990" w:type="dxa"/>
          </w:tcPr>
          <w:p w14:paraId="2C7C830F" w14:textId="77777777" w:rsidR="006D5661" w:rsidRPr="0047058F" w:rsidRDefault="006D5661" w:rsidP="00C91013">
            <w:pPr>
              <w:pStyle w:val="TableText"/>
              <w:spacing w:before="38" w:after="38"/>
              <w:jc w:val="right"/>
              <w:rPr>
                <w:sz w:val="13"/>
                <w:szCs w:val="13"/>
              </w:rPr>
            </w:pPr>
            <w:r w:rsidRPr="0047058F">
              <w:rPr>
                <w:rFonts w:cs="Arial"/>
                <w:sz w:val="13"/>
                <w:szCs w:val="13"/>
              </w:rPr>
              <w:t>22.9 (5.7–40.1)</w:t>
            </w:r>
          </w:p>
        </w:tc>
        <w:tc>
          <w:tcPr>
            <w:tcW w:w="1074" w:type="dxa"/>
          </w:tcPr>
          <w:p w14:paraId="3FBC9EE8" w14:textId="77777777" w:rsidR="006D5661" w:rsidRPr="0047058F" w:rsidRDefault="006D5661" w:rsidP="00C91013">
            <w:pPr>
              <w:pStyle w:val="TableText"/>
              <w:spacing w:before="38" w:after="38"/>
              <w:jc w:val="right"/>
              <w:rPr>
                <w:sz w:val="13"/>
                <w:szCs w:val="13"/>
              </w:rPr>
            </w:pPr>
            <w:r w:rsidRPr="0047058F">
              <w:rPr>
                <w:rFonts w:cs="Arial"/>
                <w:sz w:val="13"/>
                <w:szCs w:val="13"/>
              </w:rPr>
              <w:t>0.90 (0.67–1.21)</w:t>
            </w:r>
          </w:p>
        </w:tc>
        <w:tc>
          <w:tcPr>
            <w:tcW w:w="986" w:type="dxa"/>
          </w:tcPr>
          <w:p w14:paraId="4228F68F"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3887A258" w14:textId="77777777" w:rsidR="006D5661" w:rsidRPr="0047058F" w:rsidRDefault="006D5661" w:rsidP="00C91013">
            <w:pPr>
              <w:pStyle w:val="TableText"/>
              <w:spacing w:before="38" w:after="38"/>
              <w:jc w:val="right"/>
              <w:rPr>
                <w:sz w:val="13"/>
                <w:szCs w:val="13"/>
              </w:rPr>
            </w:pPr>
            <w:r w:rsidRPr="0047058F">
              <w:rPr>
                <w:rFonts w:cs="Arial"/>
                <w:sz w:val="13"/>
                <w:szCs w:val="13"/>
              </w:rPr>
              <w:t>1.23 (0.86–1.74)</w:t>
            </w:r>
          </w:p>
        </w:tc>
        <w:tc>
          <w:tcPr>
            <w:tcW w:w="986" w:type="dxa"/>
          </w:tcPr>
          <w:p w14:paraId="466BCE01"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30CAD382" w14:textId="77777777" w:rsidR="006D5661" w:rsidRPr="0047058F" w:rsidRDefault="006D5661" w:rsidP="00C91013">
            <w:pPr>
              <w:pStyle w:val="TableText"/>
              <w:spacing w:before="38" w:after="38"/>
              <w:jc w:val="right"/>
              <w:rPr>
                <w:sz w:val="13"/>
                <w:szCs w:val="13"/>
              </w:rPr>
            </w:pPr>
          </w:p>
        </w:tc>
        <w:tc>
          <w:tcPr>
            <w:tcW w:w="657" w:type="dxa"/>
          </w:tcPr>
          <w:p w14:paraId="7020DF37" w14:textId="77777777" w:rsidR="006D5661" w:rsidRPr="0047058F" w:rsidRDefault="006D5661" w:rsidP="00C91013">
            <w:pPr>
              <w:pStyle w:val="TableText"/>
              <w:spacing w:before="38" w:after="38"/>
              <w:jc w:val="right"/>
              <w:rPr>
                <w:sz w:val="13"/>
                <w:szCs w:val="13"/>
              </w:rPr>
            </w:pPr>
          </w:p>
        </w:tc>
      </w:tr>
      <w:tr w:rsidR="003454A7" w:rsidRPr="0047058F" w14:paraId="4469495A" w14:textId="77777777" w:rsidTr="003454A7">
        <w:trPr>
          <w:cantSplit/>
        </w:trPr>
        <w:tc>
          <w:tcPr>
            <w:tcW w:w="1720" w:type="dxa"/>
          </w:tcPr>
          <w:p w14:paraId="479CC364" w14:textId="77777777" w:rsidR="006D5661" w:rsidRPr="0047058F" w:rsidRDefault="006D5661" w:rsidP="00C91013">
            <w:pPr>
              <w:pStyle w:val="TableText"/>
              <w:spacing w:before="38" w:after="38"/>
              <w:ind w:left="144"/>
            </w:pPr>
            <w:r w:rsidRPr="0047058F">
              <w:t>20+</w:t>
            </w:r>
          </w:p>
        </w:tc>
        <w:tc>
          <w:tcPr>
            <w:tcW w:w="436" w:type="dxa"/>
          </w:tcPr>
          <w:p w14:paraId="6400B1BC" w14:textId="77777777" w:rsidR="006D5661" w:rsidRPr="0047058F" w:rsidRDefault="006D5661" w:rsidP="00C91013">
            <w:pPr>
              <w:pStyle w:val="TableText"/>
              <w:spacing w:before="38" w:after="38"/>
              <w:jc w:val="right"/>
              <w:rPr>
                <w:sz w:val="13"/>
                <w:szCs w:val="13"/>
              </w:rPr>
            </w:pPr>
            <w:r w:rsidRPr="0047058F">
              <w:rPr>
                <w:rFonts w:cs="Arial"/>
                <w:sz w:val="13"/>
                <w:szCs w:val="13"/>
              </w:rPr>
              <w:t>267</w:t>
            </w:r>
          </w:p>
        </w:tc>
        <w:tc>
          <w:tcPr>
            <w:tcW w:w="1080" w:type="dxa"/>
          </w:tcPr>
          <w:p w14:paraId="09AF7468" w14:textId="77777777" w:rsidR="006D5661" w:rsidRPr="0047058F" w:rsidRDefault="006D5661" w:rsidP="00C91013">
            <w:pPr>
              <w:pStyle w:val="TableText"/>
              <w:spacing w:before="38" w:after="38"/>
              <w:jc w:val="right"/>
              <w:rPr>
                <w:sz w:val="13"/>
                <w:szCs w:val="13"/>
              </w:rPr>
            </w:pPr>
            <w:r w:rsidRPr="0047058F">
              <w:rPr>
                <w:rFonts w:cs="Arial"/>
                <w:sz w:val="13"/>
                <w:szCs w:val="13"/>
              </w:rPr>
              <w:t>42.3 (27.4–57.2)</w:t>
            </w:r>
          </w:p>
        </w:tc>
        <w:tc>
          <w:tcPr>
            <w:tcW w:w="450" w:type="dxa"/>
          </w:tcPr>
          <w:p w14:paraId="2B117DF8" w14:textId="77777777" w:rsidR="006D5661" w:rsidRPr="0047058F" w:rsidRDefault="006D5661" w:rsidP="00C91013">
            <w:pPr>
              <w:pStyle w:val="TableText"/>
              <w:spacing w:before="38" w:after="38"/>
              <w:jc w:val="right"/>
              <w:rPr>
                <w:sz w:val="13"/>
                <w:szCs w:val="13"/>
              </w:rPr>
            </w:pPr>
            <w:r w:rsidRPr="0047058F">
              <w:rPr>
                <w:rFonts w:cs="Arial"/>
                <w:sz w:val="13"/>
                <w:szCs w:val="13"/>
              </w:rPr>
              <w:t>253</w:t>
            </w:r>
          </w:p>
        </w:tc>
        <w:tc>
          <w:tcPr>
            <w:tcW w:w="990" w:type="dxa"/>
          </w:tcPr>
          <w:p w14:paraId="591A51CF" w14:textId="77777777" w:rsidR="006D5661" w:rsidRPr="0047058F" w:rsidRDefault="006D5661" w:rsidP="00C91013">
            <w:pPr>
              <w:pStyle w:val="TableText"/>
              <w:spacing w:before="38" w:after="38"/>
              <w:jc w:val="right"/>
              <w:rPr>
                <w:sz w:val="13"/>
                <w:szCs w:val="13"/>
              </w:rPr>
            </w:pPr>
            <w:r w:rsidRPr="0047058F">
              <w:rPr>
                <w:rFonts w:cs="Arial"/>
                <w:sz w:val="13"/>
                <w:szCs w:val="13"/>
              </w:rPr>
              <w:t>40.1 (24.9–55.3)</w:t>
            </w:r>
          </w:p>
        </w:tc>
        <w:tc>
          <w:tcPr>
            <w:tcW w:w="450" w:type="dxa"/>
          </w:tcPr>
          <w:p w14:paraId="61C14D4F" w14:textId="77777777" w:rsidR="006D5661" w:rsidRPr="0047058F" w:rsidRDefault="006D5661" w:rsidP="00C91013">
            <w:pPr>
              <w:pStyle w:val="TableText"/>
              <w:spacing w:before="38" w:after="38"/>
              <w:jc w:val="right"/>
              <w:rPr>
                <w:sz w:val="13"/>
                <w:szCs w:val="13"/>
              </w:rPr>
            </w:pPr>
            <w:r w:rsidRPr="0047058F">
              <w:rPr>
                <w:rFonts w:cs="Arial"/>
                <w:sz w:val="13"/>
                <w:szCs w:val="13"/>
              </w:rPr>
              <w:t>111</w:t>
            </w:r>
          </w:p>
        </w:tc>
        <w:tc>
          <w:tcPr>
            <w:tcW w:w="990" w:type="dxa"/>
          </w:tcPr>
          <w:p w14:paraId="4FBFCB1B" w14:textId="77777777" w:rsidR="006D5661" w:rsidRPr="0047058F" w:rsidRDefault="006D5661" w:rsidP="00C91013">
            <w:pPr>
              <w:pStyle w:val="TableText"/>
              <w:spacing w:before="38" w:after="38"/>
              <w:jc w:val="right"/>
              <w:rPr>
                <w:sz w:val="13"/>
                <w:szCs w:val="13"/>
              </w:rPr>
            </w:pPr>
            <w:r w:rsidRPr="0047058F">
              <w:rPr>
                <w:rFonts w:cs="Arial"/>
                <w:sz w:val="13"/>
                <w:szCs w:val="13"/>
              </w:rPr>
              <w:t>17.6 (0.0–35.4)</w:t>
            </w:r>
          </w:p>
        </w:tc>
        <w:tc>
          <w:tcPr>
            <w:tcW w:w="1074" w:type="dxa"/>
          </w:tcPr>
          <w:p w14:paraId="0BDFAADF"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1EAADB3F"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BA9B623"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58BD23AC"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6B0E57D8" w14:textId="77777777" w:rsidR="006D5661" w:rsidRPr="0047058F" w:rsidRDefault="006D5661" w:rsidP="00C91013">
            <w:pPr>
              <w:pStyle w:val="TableText"/>
              <w:spacing w:before="38" w:after="38"/>
              <w:jc w:val="right"/>
              <w:rPr>
                <w:sz w:val="13"/>
                <w:szCs w:val="13"/>
              </w:rPr>
            </w:pPr>
          </w:p>
        </w:tc>
        <w:tc>
          <w:tcPr>
            <w:tcW w:w="657" w:type="dxa"/>
          </w:tcPr>
          <w:p w14:paraId="204CFBEC" w14:textId="77777777" w:rsidR="006D5661" w:rsidRPr="0047058F" w:rsidRDefault="006D5661" w:rsidP="00C91013">
            <w:pPr>
              <w:pStyle w:val="TableText"/>
              <w:spacing w:before="38" w:after="38"/>
              <w:jc w:val="right"/>
              <w:rPr>
                <w:sz w:val="13"/>
                <w:szCs w:val="13"/>
              </w:rPr>
            </w:pPr>
          </w:p>
        </w:tc>
      </w:tr>
      <w:tr w:rsidR="00C91013" w:rsidRPr="0047058F" w14:paraId="44B84BEF"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1462" w:type="dxa"/>
            <w:gridSpan w:val="13"/>
          </w:tcPr>
          <w:p w14:paraId="162FD984" w14:textId="4986612B" w:rsidR="00C91013" w:rsidRPr="0047058F" w:rsidRDefault="00C91013" w:rsidP="003876A3">
            <w:pPr>
              <w:pStyle w:val="TableText"/>
              <w:spacing w:before="38" w:after="38"/>
              <w:rPr>
                <w:sz w:val="13"/>
                <w:szCs w:val="13"/>
              </w:rPr>
            </w:pPr>
            <w:r w:rsidRPr="0047058F">
              <w:rPr>
                <w:rFonts w:eastAsia="Cambria" w:cs="Arial"/>
                <w:b/>
              </w:rPr>
              <w:t>Relationship status and satisfaction (time point 1)</w:t>
            </w:r>
          </w:p>
        </w:tc>
      </w:tr>
      <w:tr w:rsidR="003454A7" w:rsidRPr="0047058F" w14:paraId="70CD6634" w14:textId="77777777" w:rsidTr="003454A7">
        <w:trPr>
          <w:cantSplit/>
        </w:trPr>
        <w:tc>
          <w:tcPr>
            <w:tcW w:w="1720" w:type="dxa"/>
          </w:tcPr>
          <w:p w14:paraId="6D45E564" w14:textId="77777777" w:rsidR="006D5661" w:rsidRPr="0047058F" w:rsidRDefault="006D5661" w:rsidP="00C91013">
            <w:pPr>
              <w:pStyle w:val="TableText"/>
              <w:spacing w:before="38" w:after="38"/>
              <w:rPr>
                <w:rFonts w:cs="Arial"/>
              </w:rPr>
            </w:pPr>
            <w:r w:rsidRPr="0047058F">
              <w:rPr>
                <w:rFonts w:cs="Arial"/>
              </w:rPr>
              <w:t>In significant intimate relationship</w:t>
            </w:r>
          </w:p>
        </w:tc>
        <w:tc>
          <w:tcPr>
            <w:tcW w:w="436" w:type="dxa"/>
          </w:tcPr>
          <w:p w14:paraId="2D7E17CD" w14:textId="77777777" w:rsidR="006D5661" w:rsidRPr="0047058F" w:rsidRDefault="006D5661" w:rsidP="00C91013">
            <w:pPr>
              <w:pStyle w:val="TableText"/>
              <w:spacing w:before="38" w:after="38"/>
              <w:jc w:val="right"/>
              <w:rPr>
                <w:sz w:val="13"/>
                <w:szCs w:val="13"/>
              </w:rPr>
            </w:pPr>
          </w:p>
        </w:tc>
        <w:tc>
          <w:tcPr>
            <w:tcW w:w="1080" w:type="dxa"/>
          </w:tcPr>
          <w:p w14:paraId="5963F1A8" w14:textId="77777777" w:rsidR="006D5661" w:rsidRPr="0047058F" w:rsidRDefault="006D5661" w:rsidP="00C91013">
            <w:pPr>
              <w:pStyle w:val="TableText"/>
              <w:spacing w:before="38" w:after="38"/>
              <w:jc w:val="right"/>
              <w:rPr>
                <w:sz w:val="13"/>
                <w:szCs w:val="13"/>
              </w:rPr>
            </w:pPr>
          </w:p>
        </w:tc>
        <w:tc>
          <w:tcPr>
            <w:tcW w:w="450" w:type="dxa"/>
          </w:tcPr>
          <w:p w14:paraId="6A3AA03B" w14:textId="77777777" w:rsidR="006D5661" w:rsidRPr="0047058F" w:rsidRDefault="006D5661" w:rsidP="00C91013">
            <w:pPr>
              <w:pStyle w:val="TableText"/>
              <w:spacing w:before="38" w:after="38"/>
              <w:jc w:val="right"/>
              <w:rPr>
                <w:sz w:val="13"/>
                <w:szCs w:val="13"/>
              </w:rPr>
            </w:pPr>
          </w:p>
        </w:tc>
        <w:tc>
          <w:tcPr>
            <w:tcW w:w="990" w:type="dxa"/>
          </w:tcPr>
          <w:p w14:paraId="6621EE58" w14:textId="77777777" w:rsidR="006D5661" w:rsidRPr="0047058F" w:rsidRDefault="006D5661" w:rsidP="00C91013">
            <w:pPr>
              <w:pStyle w:val="TableText"/>
              <w:spacing w:before="38" w:after="38"/>
              <w:jc w:val="right"/>
              <w:rPr>
                <w:sz w:val="13"/>
                <w:szCs w:val="13"/>
              </w:rPr>
            </w:pPr>
          </w:p>
        </w:tc>
        <w:tc>
          <w:tcPr>
            <w:tcW w:w="450" w:type="dxa"/>
          </w:tcPr>
          <w:p w14:paraId="3EC189EC" w14:textId="77777777" w:rsidR="006D5661" w:rsidRPr="0047058F" w:rsidRDefault="006D5661" w:rsidP="00C91013">
            <w:pPr>
              <w:pStyle w:val="TableText"/>
              <w:spacing w:before="38" w:after="38"/>
              <w:jc w:val="right"/>
              <w:rPr>
                <w:sz w:val="13"/>
                <w:szCs w:val="13"/>
              </w:rPr>
            </w:pPr>
          </w:p>
        </w:tc>
        <w:tc>
          <w:tcPr>
            <w:tcW w:w="990" w:type="dxa"/>
          </w:tcPr>
          <w:p w14:paraId="21D5086A" w14:textId="77777777" w:rsidR="006D5661" w:rsidRPr="0047058F" w:rsidRDefault="006D5661" w:rsidP="00C91013">
            <w:pPr>
              <w:pStyle w:val="TableText"/>
              <w:spacing w:before="38" w:after="38"/>
              <w:jc w:val="right"/>
              <w:rPr>
                <w:sz w:val="13"/>
                <w:szCs w:val="13"/>
              </w:rPr>
            </w:pPr>
          </w:p>
        </w:tc>
        <w:tc>
          <w:tcPr>
            <w:tcW w:w="1074" w:type="dxa"/>
          </w:tcPr>
          <w:p w14:paraId="04B090A5" w14:textId="77777777" w:rsidR="006D5661" w:rsidRPr="0047058F" w:rsidRDefault="006D5661" w:rsidP="00C91013">
            <w:pPr>
              <w:pStyle w:val="TableText"/>
              <w:spacing w:before="38" w:after="38"/>
              <w:jc w:val="right"/>
              <w:rPr>
                <w:sz w:val="13"/>
                <w:szCs w:val="13"/>
              </w:rPr>
            </w:pPr>
          </w:p>
        </w:tc>
        <w:tc>
          <w:tcPr>
            <w:tcW w:w="986" w:type="dxa"/>
          </w:tcPr>
          <w:p w14:paraId="04A9BE05" w14:textId="77777777" w:rsidR="006D5661" w:rsidRPr="0047058F" w:rsidRDefault="006D5661" w:rsidP="00C91013">
            <w:pPr>
              <w:pStyle w:val="TableText"/>
              <w:spacing w:before="38" w:after="38"/>
              <w:jc w:val="right"/>
              <w:rPr>
                <w:sz w:val="13"/>
                <w:szCs w:val="13"/>
              </w:rPr>
            </w:pPr>
          </w:p>
        </w:tc>
        <w:tc>
          <w:tcPr>
            <w:tcW w:w="986" w:type="dxa"/>
          </w:tcPr>
          <w:p w14:paraId="7EEB8281" w14:textId="77777777" w:rsidR="006D5661" w:rsidRPr="0047058F" w:rsidRDefault="006D5661" w:rsidP="00C91013">
            <w:pPr>
              <w:pStyle w:val="TableText"/>
              <w:spacing w:before="38" w:after="38"/>
              <w:jc w:val="right"/>
              <w:rPr>
                <w:sz w:val="13"/>
                <w:szCs w:val="13"/>
              </w:rPr>
            </w:pPr>
          </w:p>
        </w:tc>
        <w:tc>
          <w:tcPr>
            <w:tcW w:w="986" w:type="dxa"/>
          </w:tcPr>
          <w:p w14:paraId="2BFA9403" w14:textId="77777777" w:rsidR="006D5661" w:rsidRPr="0047058F" w:rsidRDefault="006D5661" w:rsidP="00C91013">
            <w:pPr>
              <w:pStyle w:val="TableText"/>
              <w:spacing w:before="38" w:after="38"/>
              <w:jc w:val="right"/>
              <w:rPr>
                <w:sz w:val="13"/>
                <w:szCs w:val="13"/>
              </w:rPr>
            </w:pPr>
          </w:p>
        </w:tc>
        <w:tc>
          <w:tcPr>
            <w:tcW w:w="657" w:type="dxa"/>
          </w:tcPr>
          <w:p w14:paraId="470D0863" w14:textId="77777777" w:rsidR="006D5661" w:rsidRPr="0047058F" w:rsidRDefault="006D5661" w:rsidP="00C91013">
            <w:pPr>
              <w:pStyle w:val="TableText"/>
              <w:spacing w:before="38" w:after="38"/>
              <w:jc w:val="right"/>
              <w:rPr>
                <w:sz w:val="13"/>
                <w:szCs w:val="13"/>
              </w:rPr>
            </w:pPr>
            <w:r w:rsidRPr="0047058F">
              <w:rPr>
                <w:sz w:val="13"/>
                <w:szCs w:val="13"/>
              </w:rPr>
              <w:t>ns</w:t>
            </w:r>
          </w:p>
        </w:tc>
        <w:tc>
          <w:tcPr>
            <w:tcW w:w="657" w:type="dxa"/>
          </w:tcPr>
          <w:p w14:paraId="5A079AE0" w14:textId="77777777" w:rsidR="006D5661" w:rsidRPr="0047058F" w:rsidRDefault="006D5661" w:rsidP="00C91013">
            <w:pPr>
              <w:pStyle w:val="TableText"/>
              <w:spacing w:before="38" w:after="38"/>
              <w:jc w:val="right"/>
              <w:rPr>
                <w:sz w:val="13"/>
                <w:szCs w:val="13"/>
              </w:rPr>
            </w:pPr>
            <w:r w:rsidRPr="0047058F">
              <w:rPr>
                <w:sz w:val="13"/>
                <w:szCs w:val="13"/>
              </w:rPr>
              <w:t>–</w:t>
            </w:r>
          </w:p>
        </w:tc>
      </w:tr>
      <w:tr w:rsidR="003454A7" w:rsidRPr="0047058F" w14:paraId="2288EE5E"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12D6C923" w14:textId="77777777" w:rsidR="006D5661" w:rsidRPr="0047058F" w:rsidRDefault="006D5661" w:rsidP="00C91013">
            <w:pPr>
              <w:pStyle w:val="TableText"/>
              <w:spacing w:before="38" w:after="38"/>
              <w:ind w:left="144"/>
              <w:rPr>
                <w:rFonts w:cs="Arial"/>
              </w:rPr>
            </w:pPr>
            <w:r w:rsidRPr="0047058F">
              <w:rPr>
                <w:rFonts w:cs="Arial"/>
              </w:rPr>
              <w:t>No</w:t>
            </w:r>
          </w:p>
        </w:tc>
        <w:tc>
          <w:tcPr>
            <w:tcW w:w="436" w:type="dxa"/>
          </w:tcPr>
          <w:p w14:paraId="54EEFB16" w14:textId="77777777" w:rsidR="006D5661" w:rsidRPr="0047058F" w:rsidRDefault="006D5661" w:rsidP="00C91013">
            <w:pPr>
              <w:pStyle w:val="TableText"/>
              <w:spacing w:before="38" w:after="38"/>
              <w:jc w:val="right"/>
              <w:rPr>
                <w:sz w:val="13"/>
                <w:szCs w:val="13"/>
              </w:rPr>
            </w:pPr>
            <w:r w:rsidRPr="0047058F">
              <w:rPr>
                <w:rFonts w:cs="Arial"/>
                <w:sz w:val="13"/>
                <w:szCs w:val="13"/>
              </w:rPr>
              <w:t>141</w:t>
            </w:r>
          </w:p>
        </w:tc>
        <w:tc>
          <w:tcPr>
            <w:tcW w:w="1080" w:type="dxa"/>
          </w:tcPr>
          <w:p w14:paraId="6F235DBF" w14:textId="77777777" w:rsidR="006D5661" w:rsidRPr="0047058F" w:rsidRDefault="006D5661" w:rsidP="00C91013">
            <w:pPr>
              <w:pStyle w:val="TableText"/>
              <w:spacing w:before="38" w:after="38"/>
              <w:jc w:val="right"/>
              <w:rPr>
                <w:sz w:val="13"/>
                <w:szCs w:val="13"/>
              </w:rPr>
            </w:pPr>
            <w:r w:rsidRPr="0047058F">
              <w:rPr>
                <w:rFonts w:cs="Arial"/>
                <w:sz w:val="13"/>
                <w:szCs w:val="13"/>
              </w:rPr>
              <w:t>49.6 (35.7–63.5)</w:t>
            </w:r>
          </w:p>
        </w:tc>
        <w:tc>
          <w:tcPr>
            <w:tcW w:w="450" w:type="dxa"/>
          </w:tcPr>
          <w:p w14:paraId="3AD051A9" w14:textId="77777777" w:rsidR="006D5661" w:rsidRPr="0047058F" w:rsidRDefault="006D5661" w:rsidP="00C91013">
            <w:pPr>
              <w:pStyle w:val="TableText"/>
              <w:spacing w:before="38" w:after="38"/>
              <w:jc w:val="right"/>
              <w:rPr>
                <w:sz w:val="13"/>
                <w:szCs w:val="13"/>
              </w:rPr>
            </w:pPr>
            <w:r w:rsidRPr="0047058F">
              <w:rPr>
                <w:rFonts w:cs="Arial"/>
                <w:sz w:val="13"/>
                <w:szCs w:val="13"/>
              </w:rPr>
              <w:t>95</w:t>
            </w:r>
          </w:p>
        </w:tc>
        <w:tc>
          <w:tcPr>
            <w:tcW w:w="990" w:type="dxa"/>
          </w:tcPr>
          <w:p w14:paraId="64D9A22D" w14:textId="77777777" w:rsidR="006D5661" w:rsidRPr="0047058F" w:rsidRDefault="006D5661" w:rsidP="00C91013">
            <w:pPr>
              <w:pStyle w:val="TableText"/>
              <w:spacing w:before="38" w:after="38"/>
              <w:jc w:val="right"/>
              <w:rPr>
                <w:sz w:val="13"/>
                <w:szCs w:val="13"/>
              </w:rPr>
            </w:pPr>
            <w:r w:rsidRPr="0047058F">
              <w:rPr>
                <w:rFonts w:cs="Arial"/>
                <w:sz w:val="13"/>
                <w:szCs w:val="13"/>
              </w:rPr>
              <w:t>33.5 (17.5–49.5)</w:t>
            </w:r>
          </w:p>
        </w:tc>
        <w:tc>
          <w:tcPr>
            <w:tcW w:w="450" w:type="dxa"/>
          </w:tcPr>
          <w:p w14:paraId="0C2F73C3" w14:textId="77777777" w:rsidR="006D5661" w:rsidRPr="0047058F" w:rsidRDefault="006D5661" w:rsidP="00C91013">
            <w:pPr>
              <w:pStyle w:val="TableText"/>
              <w:spacing w:before="38" w:after="38"/>
              <w:jc w:val="right"/>
              <w:rPr>
                <w:sz w:val="13"/>
                <w:szCs w:val="13"/>
              </w:rPr>
            </w:pPr>
            <w:r w:rsidRPr="0047058F">
              <w:rPr>
                <w:rFonts w:cs="Arial"/>
                <w:sz w:val="13"/>
                <w:szCs w:val="13"/>
              </w:rPr>
              <w:t>48</w:t>
            </w:r>
          </w:p>
        </w:tc>
        <w:tc>
          <w:tcPr>
            <w:tcW w:w="990" w:type="dxa"/>
          </w:tcPr>
          <w:p w14:paraId="1378CA66" w14:textId="77777777" w:rsidR="006D5661" w:rsidRPr="0047058F" w:rsidRDefault="006D5661" w:rsidP="00C91013">
            <w:pPr>
              <w:pStyle w:val="TableText"/>
              <w:spacing w:before="38" w:after="38"/>
              <w:jc w:val="right"/>
              <w:rPr>
                <w:sz w:val="13"/>
                <w:szCs w:val="13"/>
              </w:rPr>
            </w:pPr>
            <w:r w:rsidRPr="0047058F">
              <w:rPr>
                <w:rFonts w:cs="Arial"/>
                <w:sz w:val="13"/>
                <w:szCs w:val="13"/>
              </w:rPr>
              <w:t>16.9 (0.0–34.8)</w:t>
            </w:r>
          </w:p>
        </w:tc>
        <w:tc>
          <w:tcPr>
            <w:tcW w:w="1074" w:type="dxa"/>
          </w:tcPr>
          <w:p w14:paraId="1BF95445"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47228ACC"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33382A3"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3A27687A"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14DFF22E" w14:textId="77777777" w:rsidR="006D5661" w:rsidRPr="0047058F" w:rsidRDefault="006D5661" w:rsidP="00C91013">
            <w:pPr>
              <w:pStyle w:val="TableText"/>
              <w:spacing w:before="38" w:after="38"/>
              <w:jc w:val="right"/>
              <w:rPr>
                <w:sz w:val="13"/>
                <w:szCs w:val="13"/>
              </w:rPr>
            </w:pPr>
          </w:p>
        </w:tc>
        <w:tc>
          <w:tcPr>
            <w:tcW w:w="657" w:type="dxa"/>
          </w:tcPr>
          <w:p w14:paraId="6E5A8ABA" w14:textId="77777777" w:rsidR="006D5661" w:rsidRPr="0047058F" w:rsidRDefault="006D5661" w:rsidP="00C91013">
            <w:pPr>
              <w:pStyle w:val="TableText"/>
              <w:spacing w:before="38" w:after="38"/>
              <w:jc w:val="right"/>
              <w:rPr>
                <w:sz w:val="13"/>
                <w:szCs w:val="13"/>
              </w:rPr>
            </w:pPr>
          </w:p>
        </w:tc>
      </w:tr>
      <w:tr w:rsidR="003454A7" w:rsidRPr="0047058F" w14:paraId="15770603" w14:textId="77777777" w:rsidTr="003454A7">
        <w:trPr>
          <w:cantSplit/>
        </w:trPr>
        <w:tc>
          <w:tcPr>
            <w:tcW w:w="1720" w:type="dxa"/>
          </w:tcPr>
          <w:p w14:paraId="7A2D5C18" w14:textId="77777777" w:rsidR="006D5661" w:rsidRPr="0047058F" w:rsidRDefault="006D5661" w:rsidP="00C91013">
            <w:pPr>
              <w:pStyle w:val="TableText"/>
              <w:spacing w:before="38" w:after="38"/>
              <w:ind w:left="144"/>
              <w:rPr>
                <w:rFonts w:cs="Arial"/>
              </w:rPr>
            </w:pPr>
            <w:r w:rsidRPr="0047058F">
              <w:rPr>
                <w:rFonts w:cs="Arial"/>
              </w:rPr>
              <w:t>Yes</w:t>
            </w:r>
          </w:p>
        </w:tc>
        <w:tc>
          <w:tcPr>
            <w:tcW w:w="436" w:type="dxa"/>
          </w:tcPr>
          <w:p w14:paraId="3932FDA7" w14:textId="77777777" w:rsidR="006D5661" w:rsidRPr="0047058F" w:rsidRDefault="006D5661" w:rsidP="00C91013">
            <w:pPr>
              <w:pStyle w:val="TableText"/>
              <w:spacing w:before="38" w:after="38"/>
              <w:jc w:val="right"/>
              <w:rPr>
                <w:sz w:val="13"/>
                <w:szCs w:val="13"/>
              </w:rPr>
            </w:pPr>
            <w:r w:rsidRPr="0047058F">
              <w:rPr>
                <w:rFonts w:cs="Arial"/>
                <w:sz w:val="13"/>
                <w:szCs w:val="13"/>
              </w:rPr>
              <w:t>606</w:t>
            </w:r>
          </w:p>
        </w:tc>
        <w:tc>
          <w:tcPr>
            <w:tcW w:w="1080" w:type="dxa"/>
          </w:tcPr>
          <w:p w14:paraId="7439D019" w14:textId="77777777" w:rsidR="006D5661" w:rsidRPr="0047058F" w:rsidRDefault="006D5661" w:rsidP="00C91013">
            <w:pPr>
              <w:pStyle w:val="TableText"/>
              <w:spacing w:before="38" w:after="38"/>
              <w:jc w:val="right"/>
              <w:rPr>
                <w:sz w:val="13"/>
                <w:szCs w:val="13"/>
              </w:rPr>
            </w:pPr>
            <w:r w:rsidRPr="0047058F">
              <w:rPr>
                <w:rFonts w:cs="Arial"/>
                <w:sz w:val="13"/>
                <w:szCs w:val="13"/>
              </w:rPr>
              <w:t>41.7 (26.7–56.7)</w:t>
            </w:r>
          </w:p>
        </w:tc>
        <w:tc>
          <w:tcPr>
            <w:tcW w:w="450" w:type="dxa"/>
          </w:tcPr>
          <w:p w14:paraId="68F14684" w14:textId="77777777" w:rsidR="006D5661" w:rsidRPr="0047058F" w:rsidRDefault="006D5661" w:rsidP="00C91013">
            <w:pPr>
              <w:pStyle w:val="TableText"/>
              <w:spacing w:before="38" w:after="38"/>
              <w:jc w:val="right"/>
              <w:rPr>
                <w:sz w:val="13"/>
                <w:szCs w:val="13"/>
              </w:rPr>
            </w:pPr>
            <w:r w:rsidRPr="0047058F">
              <w:rPr>
                <w:rFonts w:cs="Arial"/>
                <w:sz w:val="13"/>
                <w:szCs w:val="13"/>
              </w:rPr>
              <w:t>554</w:t>
            </w:r>
          </w:p>
        </w:tc>
        <w:tc>
          <w:tcPr>
            <w:tcW w:w="990" w:type="dxa"/>
          </w:tcPr>
          <w:p w14:paraId="0B2B247A" w14:textId="77777777" w:rsidR="006D5661" w:rsidRPr="0047058F" w:rsidRDefault="006D5661" w:rsidP="00C91013">
            <w:pPr>
              <w:pStyle w:val="TableText"/>
              <w:spacing w:before="38" w:after="38"/>
              <w:jc w:val="right"/>
              <w:rPr>
                <w:sz w:val="13"/>
                <w:szCs w:val="13"/>
              </w:rPr>
            </w:pPr>
            <w:r w:rsidRPr="0047058F">
              <w:rPr>
                <w:rFonts w:cs="Arial"/>
                <w:sz w:val="13"/>
                <w:szCs w:val="13"/>
              </w:rPr>
              <w:t>38.1 (22.7–53.5)</w:t>
            </w:r>
          </w:p>
        </w:tc>
        <w:tc>
          <w:tcPr>
            <w:tcW w:w="450" w:type="dxa"/>
          </w:tcPr>
          <w:p w14:paraId="11230CBA" w14:textId="77777777" w:rsidR="006D5661" w:rsidRPr="0047058F" w:rsidRDefault="006D5661" w:rsidP="00C91013">
            <w:pPr>
              <w:pStyle w:val="TableText"/>
              <w:spacing w:before="38" w:after="38"/>
              <w:jc w:val="right"/>
              <w:rPr>
                <w:sz w:val="13"/>
                <w:szCs w:val="13"/>
              </w:rPr>
            </w:pPr>
            <w:r w:rsidRPr="0047058F">
              <w:rPr>
                <w:rFonts w:cs="Arial"/>
                <w:sz w:val="13"/>
                <w:szCs w:val="13"/>
              </w:rPr>
              <w:t>293</w:t>
            </w:r>
          </w:p>
        </w:tc>
        <w:tc>
          <w:tcPr>
            <w:tcW w:w="990" w:type="dxa"/>
          </w:tcPr>
          <w:p w14:paraId="08ABFC16" w14:textId="77777777" w:rsidR="006D5661" w:rsidRPr="0047058F" w:rsidRDefault="006D5661" w:rsidP="00C91013">
            <w:pPr>
              <w:pStyle w:val="TableText"/>
              <w:spacing w:before="38" w:after="38"/>
              <w:jc w:val="right"/>
              <w:rPr>
                <w:sz w:val="13"/>
                <w:szCs w:val="13"/>
              </w:rPr>
            </w:pPr>
            <w:r w:rsidRPr="0047058F">
              <w:rPr>
                <w:rFonts w:cs="Arial"/>
                <w:sz w:val="13"/>
                <w:szCs w:val="13"/>
              </w:rPr>
              <w:t>20.2 (2.7–37.7)</w:t>
            </w:r>
          </w:p>
        </w:tc>
        <w:tc>
          <w:tcPr>
            <w:tcW w:w="1074" w:type="dxa"/>
          </w:tcPr>
          <w:p w14:paraId="48F29A87" w14:textId="77777777" w:rsidR="006D5661" w:rsidRPr="0047058F" w:rsidRDefault="006D5661" w:rsidP="00C91013">
            <w:pPr>
              <w:pStyle w:val="TableText"/>
              <w:spacing w:before="38" w:after="38"/>
              <w:jc w:val="right"/>
              <w:rPr>
                <w:sz w:val="13"/>
                <w:szCs w:val="13"/>
              </w:rPr>
            </w:pPr>
            <w:r w:rsidRPr="0047058F">
              <w:rPr>
                <w:sz w:val="13"/>
                <w:szCs w:val="13"/>
              </w:rPr>
              <w:t>1.23 (0.71–2.14)</w:t>
            </w:r>
          </w:p>
        </w:tc>
        <w:tc>
          <w:tcPr>
            <w:tcW w:w="986" w:type="dxa"/>
          </w:tcPr>
          <w:p w14:paraId="1E1F1246"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290CCA1E" w14:textId="77777777" w:rsidR="006D5661" w:rsidRPr="0047058F" w:rsidRDefault="006D5661" w:rsidP="00C91013">
            <w:pPr>
              <w:pStyle w:val="TableText"/>
              <w:spacing w:before="38" w:after="38"/>
              <w:jc w:val="right"/>
              <w:rPr>
                <w:sz w:val="13"/>
                <w:szCs w:val="13"/>
              </w:rPr>
            </w:pPr>
            <w:r w:rsidRPr="0047058F">
              <w:rPr>
                <w:sz w:val="13"/>
                <w:szCs w:val="13"/>
              </w:rPr>
              <w:t>1.00 (0.53–1.88)</w:t>
            </w:r>
          </w:p>
        </w:tc>
        <w:tc>
          <w:tcPr>
            <w:tcW w:w="986" w:type="dxa"/>
          </w:tcPr>
          <w:p w14:paraId="6AB2ADB3"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63BE8CD5" w14:textId="77777777" w:rsidR="006D5661" w:rsidRPr="0047058F" w:rsidRDefault="006D5661" w:rsidP="00C91013">
            <w:pPr>
              <w:pStyle w:val="TableText"/>
              <w:spacing w:before="38" w:after="38"/>
              <w:jc w:val="right"/>
              <w:rPr>
                <w:sz w:val="13"/>
                <w:szCs w:val="13"/>
              </w:rPr>
            </w:pPr>
          </w:p>
        </w:tc>
        <w:tc>
          <w:tcPr>
            <w:tcW w:w="657" w:type="dxa"/>
          </w:tcPr>
          <w:p w14:paraId="202DBB4C" w14:textId="77777777" w:rsidR="006D5661" w:rsidRPr="0047058F" w:rsidRDefault="006D5661" w:rsidP="00C91013">
            <w:pPr>
              <w:pStyle w:val="TableText"/>
              <w:spacing w:before="38" w:after="38"/>
              <w:jc w:val="right"/>
              <w:rPr>
                <w:sz w:val="13"/>
                <w:szCs w:val="13"/>
              </w:rPr>
            </w:pPr>
          </w:p>
        </w:tc>
      </w:tr>
      <w:tr w:rsidR="003454A7" w:rsidRPr="0047058F" w14:paraId="52808ACB"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122E6BCC" w14:textId="77777777" w:rsidR="006D5661" w:rsidRPr="0047058F" w:rsidRDefault="006D5661" w:rsidP="00C91013">
            <w:pPr>
              <w:pStyle w:val="TableText"/>
              <w:spacing w:before="38" w:after="38"/>
              <w:rPr>
                <w:rFonts w:cs="Arial"/>
              </w:rPr>
            </w:pPr>
            <w:r w:rsidRPr="0047058F">
              <w:rPr>
                <w:rFonts w:cs="Arial"/>
              </w:rPr>
              <w:t>Satisfaction with relationship</w:t>
            </w:r>
          </w:p>
        </w:tc>
        <w:tc>
          <w:tcPr>
            <w:tcW w:w="436" w:type="dxa"/>
          </w:tcPr>
          <w:p w14:paraId="19EA2842" w14:textId="77777777" w:rsidR="006D5661" w:rsidRPr="0047058F" w:rsidRDefault="006D5661" w:rsidP="00C91013">
            <w:pPr>
              <w:pStyle w:val="TableText"/>
              <w:spacing w:before="38" w:after="38"/>
              <w:jc w:val="right"/>
              <w:rPr>
                <w:sz w:val="13"/>
                <w:szCs w:val="13"/>
              </w:rPr>
            </w:pPr>
          </w:p>
        </w:tc>
        <w:tc>
          <w:tcPr>
            <w:tcW w:w="1080" w:type="dxa"/>
          </w:tcPr>
          <w:p w14:paraId="471739D4" w14:textId="77777777" w:rsidR="006D5661" w:rsidRPr="0047058F" w:rsidRDefault="006D5661" w:rsidP="00C91013">
            <w:pPr>
              <w:pStyle w:val="TableText"/>
              <w:spacing w:before="38" w:after="38"/>
              <w:jc w:val="right"/>
              <w:rPr>
                <w:sz w:val="13"/>
                <w:szCs w:val="13"/>
              </w:rPr>
            </w:pPr>
          </w:p>
        </w:tc>
        <w:tc>
          <w:tcPr>
            <w:tcW w:w="450" w:type="dxa"/>
          </w:tcPr>
          <w:p w14:paraId="6112494A" w14:textId="77777777" w:rsidR="006D5661" w:rsidRPr="0047058F" w:rsidRDefault="006D5661" w:rsidP="00C91013">
            <w:pPr>
              <w:pStyle w:val="TableText"/>
              <w:spacing w:before="38" w:after="38"/>
              <w:jc w:val="right"/>
              <w:rPr>
                <w:sz w:val="13"/>
                <w:szCs w:val="13"/>
              </w:rPr>
            </w:pPr>
          </w:p>
        </w:tc>
        <w:tc>
          <w:tcPr>
            <w:tcW w:w="990" w:type="dxa"/>
          </w:tcPr>
          <w:p w14:paraId="15927C78" w14:textId="77777777" w:rsidR="006D5661" w:rsidRPr="0047058F" w:rsidRDefault="006D5661" w:rsidP="00C91013">
            <w:pPr>
              <w:pStyle w:val="TableText"/>
              <w:spacing w:before="38" w:after="38"/>
              <w:jc w:val="right"/>
              <w:rPr>
                <w:sz w:val="13"/>
                <w:szCs w:val="13"/>
              </w:rPr>
            </w:pPr>
          </w:p>
        </w:tc>
        <w:tc>
          <w:tcPr>
            <w:tcW w:w="450" w:type="dxa"/>
          </w:tcPr>
          <w:p w14:paraId="2FBDC03E" w14:textId="77777777" w:rsidR="006D5661" w:rsidRPr="0047058F" w:rsidRDefault="006D5661" w:rsidP="00C91013">
            <w:pPr>
              <w:pStyle w:val="TableText"/>
              <w:spacing w:before="38" w:after="38"/>
              <w:jc w:val="right"/>
              <w:rPr>
                <w:sz w:val="13"/>
                <w:szCs w:val="13"/>
              </w:rPr>
            </w:pPr>
          </w:p>
        </w:tc>
        <w:tc>
          <w:tcPr>
            <w:tcW w:w="990" w:type="dxa"/>
          </w:tcPr>
          <w:p w14:paraId="1D84CA4A" w14:textId="77777777" w:rsidR="006D5661" w:rsidRPr="0047058F" w:rsidRDefault="006D5661" w:rsidP="00C91013">
            <w:pPr>
              <w:pStyle w:val="TableText"/>
              <w:spacing w:before="38" w:after="38"/>
              <w:jc w:val="right"/>
              <w:rPr>
                <w:sz w:val="13"/>
                <w:szCs w:val="13"/>
              </w:rPr>
            </w:pPr>
          </w:p>
        </w:tc>
        <w:tc>
          <w:tcPr>
            <w:tcW w:w="1074" w:type="dxa"/>
          </w:tcPr>
          <w:p w14:paraId="0A514277" w14:textId="77777777" w:rsidR="006D5661" w:rsidRPr="0047058F" w:rsidRDefault="006D5661" w:rsidP="00C91013">
            <w:pPr>
              <w:pStyle w:val="TableText"/>
              <w:spacing w:before="38" w:after="38"/>
              <w:jc w:val="right"/>
              <w:rPr>
                <w:sz w:val="13"/>
                <w:szCs w:val="13"/>
              </w:rPr>
            </w:pPr>
          </w:p>
        </w:tc>
        <w:tc>
          <w:tcPr>
            <w:tcW w:w="986" w:type="dxa"/>
          </w:tcPr>
          <w:p w14:paraId="6A6F90F1" w14:textId="77777777" w:rsidR="006D5661" w:rsidRPr="0047058F" w:rsidRDefault="006D5661" w:rsidP="00C91013">
            <w:pPr>
              <w:pStyle w:val="TableText"/>
              <w:spacing w:before="38" w:after="38"/>
              <w:jc w:val="right"/>
              <w:rPr>
                <w:sz w:val="13"/>
                <w:szCs w:val="13"/>
              </w:rPr>
            </w:pPr>
          </w:p>
        </w:tc>
        <w:tc>
          <w:tcPr>
            <w:tcW w:w="986" w:type="dxa"/>
          </w:tcPr>
          <w:p w14:paraId="551852DA" w14:textId="77777777" w:rsidR="006D5661" w:rsidRPr="0047058F" w:rsidRDefault="006D5661" w:rsidP="00C91013">
            <w:pPr>
              <w:pStyle w:val="TableText"/>
              <w:spacing w:before="38" w:after="38"/>
              <w:jc w:val="right"/>
              <w:rPr>
                <w:sz w:val="13"/>
                <w:szCs w:val="13"/>
              </w:rPr>
            </w:pPr>
          </w:p>
        </w:tc>
        <w:tc>
          <w:tcPr>
            <w:tcW w:w="986" w:type="dxa"/>
          </w:tcPr>
          <w:p w14:paraId="212F6537" w14:textId="77777777" w:rsidR="006D5661" w:rsidRPr="0047058F" w:rsidRDefault="006D5661" w:rsidP="00C91013">
            <w:pPr>
              <w:pStyle w:val="TableText"/>
              <w:spacing w:before="38" w:after="38"/>
              <w:jc w:val="right"/>
              <w:rPr>
                <w:sz w:val="13"/>
                <w:szCs w:val="13"/>
              </w:rPr>
            </w:pPr>
          </w:p>
        </w:tc>
        <w:tc>
          <w:tcPr>
            <w:tcW w:w="657" w:type="dxa"/>
          </w:tcPr>
          <w:p w14:paraId="324AB7A9" w14:textId="77777777" w:rsidR="006D5661" w:rsidRPr="0047058F" w:rsidRDefault="006D5661" w:rsidP="00C91013">
            <w:pPr>
              <w:pStyle w:val="TableText"/>
              <w:spacing w:before="38" w:after="38"/>
              <w:jc w:val="right"/>
              <w:rPr>
                <w:sz w:val="13"/>
                <w:szCs w:val="13"/>
              </w:rPr>
            </w:pPr>
            <w:r w:rsidRPr="0047058F">
              <w:rPr>
                <w:sz w:val="13"/>
                <w:szCs w:val="13"/>
              </w:rPr>
              <w:t>ns</w:t>
            </w:r>
          </w:p>
        </w:tc>
        <w:tc>
          <w:tcPr>
            <w:tcW w:w="657" w:type="dxa"/>
          </w:tcPr>
          <w:p w14:paraId="7774AF93" w14:textId="77777777" w:rsidR="006D5661" w:rsidRPr="0047058F" w:rsidRDefault="006D5661" w:rsidP="00C91013">
            <w:pPr>
              <w:pStyle w:val="TableText"/>
              <w:spacing w:before="38" w:after="38"/>
              <w:jc w:val="right"/>
              <w:rPr>
                <w:sz w:val="13"/>
                <w:szCs w:val="13"/>
              </w:rPr>
            </w:pPr>
            <w:r w:rsidRPr="0047058F">
              <w:rPr>
                <w:sz w:val="13"/>
                <w:szCs w:val="13"/>
              </w:rPr>
              <w:t>–</w:t>
            </w:r>
          </w:p>
        </w:tc>
      </w:tr>
      <w:tr w:rsidR="003454A7" w:rsidRPr="0047058F" w14:paraId="6D13DCB4" w14:textId="77777777" w:rsidTr="003454A7">
        <w:trPr>
          <w:cantSplit/>
        </w:trPr>
        <w:tc>
          <w:tcPr>
            <w:tcW w:w="1720" w:type="dxa"/>
          </w:tcPr>
          <w:p w14:paraId="28597945" w14:textId="77777777" w:rsidR="006D5661" w:rsidRPr="0047058F" w:rsidRDefault="006D5661" w:rsidP="000D2D22">
            <w:pPr>
              <w:pStyle w:val="TableText"/>
              <w:spacing w:before="38" w:after="38"/>
              <w:ind w:left="144"/>
              <w:rPr>
                <w:rFonts w:cs="Arial"/>
              </w:rPr>
            </w:pPr>
            <w:r w:rsidRPr="0047058F">
              <w:t>Very dissatisfied</w:t>
            </w:r>
            <w:r w:rsidR="000D2D22">
              <w:t>/ dissatisfied/</w:t>
            </w:r>
            <w:r w:rsidRPr="0047058F">
              <w:t>neither</w:t>
            </w:r>
          </w:p>
        </w:tc>
        <w:tc>
          <w:tcPr>
            <w:tcW w:w="436" w:type="dxa"/>
          </w:tcPr>
          <w:p w14:paraId="0B8E18A6" w14:textId="77777777" w:rsidR="006D5661" w:rsidRPr="0047058F" w:rsidRDefault="006D5661" w:rsidP="00C91013">
            <w:pPr>
              <w:pStyle w:val="TableText"/>
              <w:spacing w:before="38" w:after="38"/>
              <w:jc w:val="right"/>
              <w:rPr>
                <w:sz w:val="13"/>
                <w:szCs w:val="13"/>
              </w:rPr>
            </w:pPr>
            <w:r w:rsidRPr="0047058F">
              <w:rPr>
                <w:rFonts w:cs="Arial"/>
                <w:sz w:val="13"/>
                <w:szCs w:val="13"/>
              </w:rPr>
              <w:t>110</w:t>
            </w:r>
          </w:p>
        </w:tc>
        <w:tc>
          <w:tcPr>
            <w:tcW w:w="1080" w:type="dxa"/>
          </w:tcPr>
          <w:p w14:paraId="65543DD8" w14:textId="77777777" w:rsidR="006D5661" w:rsidRPr="0047058F" w:rsidRDefault="006D5661" w:rsidP="00C91013">
            <w:pPr>
              <w:pStyle w:val="TableText"/>
              <w:spacing w:before="38" w:after="38"/>
              <w:jc w:val="right"/>
              <w:rPr>
                <w:sz w:val="13"/>
                <w:szCs w:val="13"/>
              </w:rPr>
            </w:pPr>
            <w:r w:rsidRPr="0047058F">
              <w:rPr>
                <w:rFonts w:cs="Arial"/>
                <w:sz w:val="13"/>
                <w:szCs w:val="13"/>
              </w:rPr>
              <w:t>42.0 (27.1–56.9)</w:t>
            </w:r>
          </w:p>
        </w:tc>
        <w:tc>
          <w:tcPr>
            <w:tcW w:w="450" w:type="dxa"/>
          </w:tcPr>
          <w:p w14:paraId="6BD56161" w14:textId="77777777" w:rsidR="006D5661" w:rsidRPr="0047058F" w:rsidRDefault="006D5661" w:rsidP="00C91013">
            <w:pPr>
              <w:pStyle w:val="TableText"/>
              <w:spacing w:before="38" w:after="38"/>
              <w:jc w:val="right"/>
              <w:rPr>
                <w:sz w:val="13"/>
                <w:szCs w:val="13"/>
              </w:rPr>
            </w:pPr>
            <w:r w:rsidRPr="0047058F">
              <w:rPr>
                <w:rFonts w:cs="Arial"/>
                <w:sz w:val="13"/>
                <w:szCs w:val="13"/>
              </w:rPr>
              <w:t>94</w:t>
            </w:r>
          </w:p>
        </w:tc>
        <w:tc>
          <w:tcPr>
            <w:tcW w:w="990" w:type="dxa"/>
          </w:tcPr>
          <w:p w14:paraId="7405C53D" w14:textId="77777777" w:rsidR="006D5661" w:rsidRPr="0047058F" w:rsidRDefault="006D5661" w:rsidP="00C91013">
            <w:pPr>
              <w:pStyle w:val="TableText"/>
              <w:spacing w:before="38" w:after="38"/>
              <w:jc w:val="right"/>
              <w:rPr>
                <w:sz w:val="13"/>
                <w:szCs w:val="13"/>
              </w:rPr>
            </w:pPr>
            <w:r w:rsidRPr="0047058F">
              <w:rPr>
                <w:rFonts w:cs="Arial"/>
                <w:sz w:val="13"/>
                <w:szCs w:val="13"/>
              </w:rPr>
              <w:t>35.9 (20.2–51.6)</w:t>
            </w:r>
          </w:p>
        </w:tc>
        <w:tc>
          <w:tcPr>
            <w:tcW w:w="450" w:type="dxa"/>
          </w:tcPr>
          <w:p w14:paraId="1C6CB0DF" w14:textId="77777777" w:rsidR="006D5661" w:rsidRPr="0047058F" w:rsidRDefault="006D5661" w:rsidP="00C91013">
            <w:pPr>
              <w:pStyle w:val="TableText"/>
              <w:spacing w:before="38" w:after="38"/>
              <w:jc w:val="right"/>
              <w:rPr>
                <w:sz w:val="13"/>
                <w:szCs w:val="13"/>
              </w:rPr>
            </w:pPr>
            <w:r w:rsidRPr="0047058F">
              <w:rPr>
                <w:rFonts w:cs="Arial"/>
                <w:sz w:val="13"/>
                <w:szCs w:val="13"/>
              </w:rPr>
              <w:t>58</w:t>
            </w:r>
          </w:p>
        </w:tc>
        <w:tc>
          <w:tcPr>
            <w:tcW w:w="990" w:type="dxa"/>
          </w:tcPr>
          <w:p w14:paraId="10CA0A4B" w14:textId="77777777" w:rsidR="006D5661" w:rsidRPr="0047058F" w:rsidRDefault="006D5661" w:rsidP="00C91013">
            <w:pPr>
              <w:pStyle w:val="TableText"/>
              <w:spacing w:before="38" w:after="38"/>
              <w:jc w:val="right"/>
              <w:rPr>
                <w:sz w:val="13"/>
                <w:szCs w:val="13"/>
              </w:rPr>
            </w:pPr>
            <w:r w:rsidRPr="0047058F">
              <w:rPr>
                <w:rFonts w:cs="Arial"/>
                <w:sz w:val="13"/>
                <w:szCs w:val="13"/>
              </w:rPr>
              <w:t>22.1 (4.8–39.4)</w:t>
            </w:r>
          </w:p>
        </w:tc>
        <w:tc>
          <w:tcPr>
            <w:tcW w:w="1074" w:type="dxa"/>
          </w:tcPr>
          <w:p w14:paraId="31F9AA53"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52080C24"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19C6A0B0"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740F5115"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0AA687F8" w14:textId="77777777" w:rsidR="006D5661" w:rsidRPr="0047058F" w:rsidRDefault="006D5661" w:rsidP="00C91013">
            <w:pPr>
              <w:pStyle w:val="TableText"/>
              <w:spacing w:before="38" w:after="38"/>
              <w:jc w:val="right"/>
              <w:rPr>
                <w:sz w:val="13"/>
                <w:szCs w:val="13"/>
              </w:rPr>
            </w:pPr>
          </w:p>
        </w:tc>
        <w:tc>
          <w:tcPr>
            <w:tcW w:w="657" w:type="dxa"/>
          </w:tcPr>
          <w:p w14:paraId="31BAF9F4" w14:textId="77777777" w:rsidR="006D5661" w:rsidRPr="0047058F" w:rsidRDefault="006D5661" w:rsidP="00C91013">
            <w:pPr>
              <w:pStyle w:val="TableText"/>
              <w:spacing w:before="38" w:after="38"/>
              <w:jc w:val="right"/>
              <w:rPr>
                <w:sz w:val="13"/>
                <w:szCs w:val="13"/>
              </w:rPr>
            </w:pPr>
          </w:p>
        </w:tc>
      </w:tr>
      <w:tr w:rsidR="003454A7" w:rsidRPr="0047058F" w14:paraId="3CF86563"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1720" w:type="dxa"/>
            <w:tcBorders>
              <w:bottom w:val="single" w:sz="4" w:space="0" w:color="000000"/>
            </w:tcBorders>
          </w:tcPr>
          <w:p w14:paraId="2E06E824" w14:textId="77777777" w:rsidR="006D5661" w:rsidRPr="0047058F" w:rsidRDefault="000D2D22" w:rsidP="00C91013">
            <w:pPr>
              <w:pStyle w:val="TableText"/>
              <w:spacing w:before="38" w:after="38"/>
              <w:ind w:left="144"/>
              <w:rPr>
                <w:rFonts w:eastAsia="Cambria" w:cs="Arial"/>
              </w:rPr>
            </w:pPr>
            <w:r>
              <w:rPr>
                <w:rFonts w:eastAsia="Cambria"/>
              </w:rPr>
              <w:t>Satisfied/</w:t>
            </w:r>
            <w:r w:rsidR="006D5661" w:rsidRPr="0047058F">
              <w:rPr>
                <w:rFonts w:eastAsia="Cambria"/>
              </w:rPr>
              <w:t>very satisfied</w:t>
            </w:r>
          </w:p>
        </w:tc>
        <w:tc>
          <w:tcPr>
            <w:tcW w:w="436" w:type="dxa"/>
            <w:tcBorders>
              <w:bottom w:val="single" w:sz="4" w:space="0" w:color="000000"/>
            </w:tcBorders>
          </w:tcPr>
          <w:p w14:paraId="5A048591" w14:textId="77777777" w:rsidR="006D5661" w:rsidRPr="0047058F" w:rsidRDefault="006D5661" w:rsidP="00C91013">
            <w:pPr>
              <w:pStyle w:val="TableText"/>
              <w:spacing w:before="38" w:after="38"/>
              <w:jc w:val="right"/>
              <w:rPr>
                <w:sz w:val="13"/>
                <w:szCs w:val="13"/>
              </w:rPr>
            </w:pPr>
            <w:r w:rsidRPr="0047058F">
              <w:rPr>
                <w:rFonts w:cs="Arial"/>
                <w:sz w:val="13"/>
                <w:szCs w:val="13"/>
              </w:rPr>
              <w:t>527</w:t>
            </w:r>
          </w:p>
        </w:tc>
        <w:tc>
          <w:tcPr>
            <w:tcW w:w="1080" w:type="dxa"/>
            <w:tcBorders>
              <w:bottom w:val="single" w:sz="4" w:space="0" w:color="000000"/>
            </w:tcBorders>
          </w:tcPr>
          <w:p w14:paraId="7A84F95E" w14:textId="77777777" w:rsidR="006D5661" w:rsidRPr="0047058F" w:rsidRDefault="006D5661" w:rsidP="00C91013">
            <w:pPr>
              <w:pStyle w:val="TableText"/>
              <w:spacing w:before="38" w:after="38"/>
              <w:jc w:val="right"/>
              <w:rPr>
                <w:sz w:val="13"/>
                <w:szCs w:val="13"/>
              </w:rPr>
            </w:pPr>
            <w:r w:rsidRPr="0047058F">
              <w:rPr>
                <w:rFonts w:cs="Arial"/>
                <w:sz w:val="13"/>
                <w:szCs w:val="13"/>
              </w:rPr>
              <w:t>41.8 (26.8–56.8)</w:t>
            </w:r>
          </w:p>
        </w:tc>
        <w:tc>
          <w:tcPr>
            <w:tcW w:w="450" w:type="dxa"/>
            <w:tcBorders>
              <w:bottom w:val="single" w:sz="4" w:space="0" w:color="000000"/>
            </w:tcBorders>
          </w:tcPr>
          <w:p w14:paraId="5A5F885A" w14:textId="77777777" w:rsidR="006D5661" w:rsidRPr="0047058F" w:rsidRDefault="006D5661" w:rsidP="00C91013">
            <w:pPr>
              <w:pStyle w:val="TableText"/>
              <w:spacing w:before="38" w:after="38"/>
              <w:jc w:val="right"/>
              <w:rPr>
                <w:sz w:val="13"/>
                <w:szCs w:val="13"/>
              </w:rPr>
            </w:pPr>
            <w:r w:rsidRPr="0047058F">
              <w:rPr>
                <w:rFonts w:cs="Arial"/>
                <w:sz w:val="13"/>
                <w:szCs w:val="13"/>
              </w:rPr>
              <w:t>483</w:t>
            </w:r>
          </w:p>
        </w:tc>
        <w:tc>
          <w:tcPr>
            <w:tcW w:w="990" w:type="dxa"/>
            <w:tcBorders>
              <w:bottom w:val="single" w:sz="4" w:space="0" w:color="000000"/>
            </w:tcBorders>
          </w:tcPr>
          <w:p w14:paraId="1DFED29E" w14:textId="77777777" w:rsidR="006D5661" w:rsidRPr="0047058F" w:rsidRDefault="006D5661" w:rsidP="00C91013">
            <w:pPr>
              <w:pStyle w:val="TableText"/>
              <w:spacing w:before="38" w:after="38"/>
              <w:jc w:val="right"/>
              <w:rPr>
                <w:sz w:val="13"/>
                <w:szCs w:val="13"/>
              </w:rPr>
            </w:pPr>
            <w:r w:rsidRPr="0047058F">
              <w:rPr>
                <w:rFonts w:cs="Arial"/>
                <w:sz w:val="13"/>
                <w:szCs w:val="13"/>
              </w:rPr>
              <w:t>38.3 (22.9–53.7)</w:t>
            </w:r>
          </w:p>
        </w:tc>
        <w:tc>
          <w:tcPr>
            <w:tcW w:w="450" w:type="dxa"/>
            <w:tcBorders>
              <w:bottom w:val="single" w:sz="4" w:space="0" w:color="000000"/>
            </w:tcBorders>
          </w:tcPr>
          <w:p w14:paraId="53E2BCC8" w14:textId="77777777" w:rsidR="006D5661" w:rsidRPr="0047058F" w:rsidRDefault="006D5661" w:rsidP="00C91013">
            <w:pPr>
              <w:pStyle w:val="TableText"/>
              <w:spacing w:before="38" w:after="38"/>
              <w:jc w:val="right"/>
              <w:rPr>
                <w:sz w:val="13"/>
                <w:szCs w:val="13"/>
              </w:rPr>
            </w:pPr>
            <w:r w:rsidRPr="0047058F">
              <w:rPr>
                <w:rFonts w:cs="Arial"/>
                <w:sz w:val="13"/>
                <w:szCs w:val="13"/>
              </w:rPr>
              <w:t>250</w:t>
            </w:r>
          </w:p>
        </w:tc>
        <w:tc>
          <w:tcPr>
            <w:tcW w:w="990" w:type="dxa"/>
            <w:tcBorders>
              <w:bottom w:val="single" w:sz="4" w:space="0" w:color="000000"/>
            </w:tcBorders>
          </w:tcPr>
          <w:p w14:paraId="3C712623" w14:textId="77777777" w:rsidR="006D5661" w:rsidRPr="0047058F" w:rsidRDefault="006D5661" w:rsidP="00C91013">
            <w:pPr>
              <w:pStyle w:val="TableText"/>
              <w:spacing w:before="38" w:after="38"/>
              <w:jc w:val="right"/>
              <w:rPr>
                <w:sz w:val="13"/>
                <w:szCs w:val="13"/>
              </w:rPr>
            </w:pPr>
            <w:r w:rsidRPr="0047058F">
              <w:rPr>
                <w:rFonts w:cs="Arial"/>
                <w:sz w:val="13"/>
                <w:szCs w:val="13"/>
              </w:rPr>
              <w:t>19.8 (2.2–37.4)</w:t>
            </w:r>
          </w:p>
        </w:tc>
        <w:tc>
          <w:tcPr>
            <w:tcW w:w="1074" w:type="dxa"/>
            <w:tcBorders>
              <w:bottom w:val="single" w:sz="4" w:space="0" w:color="000000"/>
            </w:tcBorders>
          </w:tcPr>
          <w:p w14:paraId="5BD0F29E" w14:textId="77777777" w:rsidR="006D5661" w:rsidRPr="0047058F" w:rsidRDefault="006D5661" w:rsidP="00C91013">
            <w:pPr>
              <w:pStyle w:val="TableText"/>
              <w:spacing w:before="38" w:after="38"/>
              <w:jc w:val="right"/>
              <w:rPr>
                <w:sz w:val="13"/>
                <w:szCs w:val="13"/>
              </w:rPr>
            </w:pPr>
            <w:r w:rsidRPr="0047058F">
              <w:rPr>
                <w:sz w:val="13"/>
                <w:szCs w:val="13"/>
              </w:rPr>
              <w:t>1.07 (0.79–1.45)</w:t>
            </w:r>
          </w:p>
        </w:tc>
        <w:tc>
          <w:tcPr>
            <w:tcW w:w="986" w:type="dxa"/>
            <w:tcBorders>
              <w:bottom w:val="single" w:sz="4" w:space="0" w:color="000000"/>
            </w:tcBorders>
          </w:tcPr>
          <w:p w14:paraId="79F8726F"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Borders>
              <w:bottom w:val="single" w:sz="4" w:space="0" w:color="000000"/>
            </w:tcBorders>
          </w:tcPr>
          <w:p w14:paraId="4B4B00C3" w14:textId="77777777" w:rsidR="006D5661" w:rsidRPr="0047058F" w:rsidRDefault="006D5661" w:rsidP="00C91013">
            <w:pPr>
              <w:pStyle w:val="TableText"/>
              <w:spacing w:before="38" w:after="38"/>
              <w:jc w:val="right"/>
              <w:rPr>
                <w:sz w:val="13"/>
                <w:szCs w:val="13"/>
              </w:rPr>
            </w:pPr>
            <w:r w:rsidRPr="0047058F">
              <w:rPr>
                <w:sz w:val="13"/>
                <w:szCs w:val="13"/>
              </w:rPr>
              <w:t>0.90 (0.63–1.28)</w:t>
            </w:r>
          </w:p>
        </w:tc>
        <w:tc>
          <w:tcPr>
            <w:tcW w:w="986" w:type="dxa"/>
            <w:tcBorders>
              <w:bottom w:val="single" w:sz="4" w:space="0" w:color="000000"/>
            </w:tcBorders>
          </w:tcPr>
          <w:p w14:paraId="17691D2C"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Borders>
              <w:bottom w:val="single" w:sz="4" w:space="0" w:color="000000"/>
            </w:tcBorders>
          </w:tcPr>
          <w:p w14:paraId="3690DCC7" w14:textId="77777777" w:rsidR="006D5661" w:rsidRPr="0047058F" w:rsidRDefault="006D5661" w:rsidP="00C91013">
            <w:pPr>
              <w:pStyle w:val="TableText"/>
              <w:spacing w:before="38" w:after="38"/>
              <w:jc w:val="right"/>
              <w:rPr>
                <w:color w:val="000000" w:themeColor="text1"/>
                <w:sz w:val="13"/>
                <w:szCs w:val="13"/>
              </w:rPr>
            </w:pPr>
          </w:p>
        </w:tc>
        <w:tc>
          <w:tcPr>
            <w:tcW w:w="657" w:type="dxa"/>
            <w:tcBorders>
              <w:bottom w:val="single" w:sz="4" w:space="0" w:color="000000"/>
            </w:tcBorders>
          </w:tcPr>
          <w:p w14:paraId="6E72962E" w14:textId="77777777" w:rsidR="006D5661" w:rsidRPr="0047058F" w:rsidRDefault="006D5661" w:rsidP="00C91013">
            <w:pPr>
              <w:pStyle w:val="TableText"/>
              <w:spacing w:before="38" w:after="38"/>
              <w:jc w:val="right"/>
              <w:rPr>
                <w:color w:val="000000" w:themeColor="text1"/>
                <w:sz w:val="13"/>
                <w:szCs w:val="13"/>
              </w:rPr>
            </w:pPr>
          </w:p>
        </w:tc>
      </w:tr>
      <w:tr w:rsidR="00C91013" w:rsidRPr="0047058F" w14:paraId="2B8A9EFE" w14:textId="77777777" w:rsidTr="00C91013">
        <w:trPr>
          <w:cantSplit/>
        </w:trPr>
        <w:tc>
          <w:tcPr>
            <w:tcW w:w="11462" w:type="dxa"/>
            <w:gridSpan w:val="13"/>
            <w:tcBorders>
              <w:top w:val="single" w:sz="4" w:space="0" w:color="000000"/>
              <w:bottom w:val="nil"/>
            </w:tcBorders>
          </w:tcPr>
          <w:p w14:paraId="2056586A" w14:textId="77777777" w:rsidR="00C91013" w:rsidRPr="0047058F" w:rsidRDefault="00C91013" w:rsidP="00C91013">
            <w:pPr>
              <w:pStyle w:val="TableText"/>
              <w:spacing w:before="38" w:after="38"/>
              <w:rPr>
                <w:color w:val="000000" w:themeColor="text1"/>
                <w:sz w:val="13"/>
                <w:szCs w:val="13"/>
              </w:rPr>
            </w:pPr>
            <w:r w:rsidRPr="0047058F">
              <w:rPr>
                <w:b/>
                <w:color w:val="000000" w:themeColor="text1"/>
              </w:rPr>
              <w:t>Suicidality, anger and resilience (time point 1)</w:t>
            </w:r>
          </w:p>
        </w:tc>
      </w:tr>
      <w:tr w:rsidR="003454A7" w:rsidRPr="0047058F" w14:paraId="68193A2A"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1720" w:type="dxa"/>
            <w:tcBorders>
              <w:top w:val="nil"/>
            </w:tcBorders>
          </w:tcPr>
          <w:p w14:paraId="000250DE" w14:textId="77777777" w:rsidR="006D5661" w:rsidRPr="0047058F" w:rsidRDefault="006D5661" w:rsidP="00C91013">
            <w:pPr>
              <w:pStyle w:val="TableText"/>
              <w:spacing w:before="38" w:after="38"/>
              <w:rPr>
                <w:rFonts w:cs="Arial"/>
              </w:rPr>
            </w:pPr>
            <w:r w:rsidRPr="0047058F">
              <w:rPr>
                <w:rFonts w:cs="Arial"/>
              </w:rPr>
              <w:t>Any 12-month suicidality</w:t>
            </w:r>
          </w:p>
        </w:tc>
        <w:tc>
          <w:tcPr>
            <w:tcW w:w="436" w:type="dxa"/>
            <w:tcBorders>
              <w:top w:val="nil"/>
            </w:tcBorders>
          </w:tcPr>
          <w:p w14:paraId="73E4F8E9" w14:textId="77777777" w:rsidR="006D5661" w:rsidRPr="0047058F" w:rsidRDefault="006D5661" w:rsidP="00C91013">
            <w:pPr>
              <w:pStyle w:val="TableText"/>
              <w:spacing w:before="38" w:after="38"/>
              <w:jc w:val="right"/>
              <w:rPr>
                <w:sz w:val="13"/>
                <w:szCs w:val="13"/>
              </w:rPr>
            </w:pPr>
          </w:p>
        </w:tc>
        <w:tc>
          <w:tcPr>
            <w:tcW w:w="1080" w:type="dxa"/>
            <w:tcBorders>
              <w:top w:val="nil"/>
            </w:tcBorders>
          </w:tcPr>
          <w:p w14:paraId="322DFF8D"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29B1A40F"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1EEF9324"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67EC8EB0"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792AE221" w14:textId="77777777" w:rsidR="006D5661" w:rsidRPr="0047058F" w:rsidRDefault="006D5661" w:rsidP="00C91013">
            <w:pPr>
              <w:pStyle w:val="TableText"/>
              <w:spacing w:before="38" w:after="38"/>
              <w:jc w:val="right"/>
              <w:rPr>
                <w:sz w:val="13"/>
                <w:szCs w:val="13"/>
              </w:rPr>
            </w:pPr>
          </w:p>
        </w:tc>
        <w:tc>
          <w:tcPr>
            <w:tcW w:w="1074" w:type="dxa"/>
            <w:tcBorders>
              <w:top w:val="nil"/>
            </w:tcBorders>
          </w:tcPr>
          <w:p w14:paraId="7D321747"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05B3F269"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6367641C"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10786855" w14:textId="77777777" w:rsidR="006D5661" w:rsidRPr="0047058F" w:rsidRDefault="006D5661" w:rsidP="00C91013">
            <w:pPr>
              <w:pStyle w:val="TableText"/>
              <w:spacing w:before="38" w:after="38"/>
              <w:jc w:val="right"/>
              <w:rPr>
                <w:color w:val="auto"/>
                <w:sz w:val="13"/>
                <w:szCs w:val="13"/>
              </w:rPr>
            </w:pPr>
          </w:p>
        </w:tc>
        <w:tc>
          <w:tcPr>
            <w:tcW w:w="657" w:type="dxa"/>
            <w:tcBorders>
              <w:top w:val="nil"/>
            </w:tcBorders>
          </w:tcPr>
          <w:p w14:paraId="76473667"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0.0139</w:t>
            </w:r>
          </w:p>
        </w:tc>
        <w:tc>
          <w:tcPr>
            <w:tcW w:w="657" w:type="dxa"/>
            <w:tcBorders>
              <w:top w:val="nil"/>
            </w:tcBorders>
          </w:tcPr>
          <w:p w14:paraId="24FF1018"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ns</w:t>
            </w:r>
          </w:p>
        </w:tc>
      </w:tr>
      <w:tr w:rsidR="003454A7" w:rsidRPr="0047058F" w14:paraId="4F986E08" w14:textId="77777777" w:rsidTr="003454A7">
        <w:trPr>
          <w:cantSplit/>
        </w:trPr>
        <w:tc>
          <w:tcPr>
            <w:tcW w:w="1720" w:type="dxa"/>
          </w:tcPr>
          <w:p w14:paraId="2AD9481B" w14:textId="77777777" w:rsidR="006D5661" w:rsidRPr="0047058F" w:rsidRDefault="006D5661" w:rsidP="00C91013">
            <w:pPr>
              <w:pStyle w:val="TableText"/>
              <w:spacing w:before="38" w:after="38"/>
              <w:ind w:left="144"/>
              <w:rPr>
                <w:rFonts w:cs="Arial"/>
              </w:rPr>
            </w:pPr>
            <w:r w:rsidRPr="0047058F">
              <w:rPr>
                <w:rFonts w:cs="Arial"/>
              </w:rPr>
              <w:t>No</w:t>
            </w:r>
          </w:p>
        </w:tc>
        <w:tc>
          <w:tcPr>
            <w:tcW w:w="436" w:type="dxa"/>
          </w:tcPr>
          <w:p w14:paraId="6CB00E65" w14:textId="77777777" w:rsidR="006D5661" w:rsidRPr="0047058F" w:rsidRDefault="006D5661" w:rsidP="00C91013">
            <w:pPr>
              <w:pStyle w:val="TableText"/>
              <w:spacing w:before="38" w:after="38"/>
              <w:jc w:val="right"/>
              <w:rPr>
                <w:sz w:val="13"/>
                <w:szCs w:val="13"/>
              </w:rPr>
            </w:pPr>
            <w:r w:rsidRPr="0047058F">
              <w:rPr>
                <w:rFonts w:cs="Arial"/>
                <w:sz w:val="13"/>
                <w:szCs w:val="13"/>
              </w:rPr>
              <w:t>662</w:t>
            </w:r>
          </w:p>
        </w:tc>
        <w:tc>
          <w:tcPr>
            <w:tcW w:w="1080" w:type="dxa"/>
          </w:tcPr>
          <w:p w14:paraId="392529AF" w14:textId="77777777" w:rsidR="006D5661" w:rsidRPr="0047058F" w:rsidRDefault="006D5661" w:rsidP="00C91013">
            <w:pPr>
              <w:pStyle w:val="TableText"/>
              <w:spacing w:before="38" w:after="38"/>
              <w:jc w:val="right"/>
              <w:rPr>
                <w:sz w:val="13"/>
                <w:szCs w:val="13"/>
              </w:rPr>
            </w:pPr>
            <w:r w:rsidRPr="0047058F">
              <w:rPr>
                <w:rFonts w:cs="Arial"/>
                <w:sz w:val="13"/>
                <w:szCs w:val="13"/>
              </w:rPr>
              <w:t>44.1 (29.4–58.8)</w:t>
            </w:r>
          </w:p>
        </w:tc>
        <w:tc>
          <w:tcPr>
            <w:tcW w:w="450" w:type="dxa"/>
          </w:tcPr>
          <w:p w14:paraId="61BCF51D" w14:textId="77777777" w:rsidR="006D5661" w:rsidRPr="0047058F" w:rsidRDefault="006D5661" w:rsidP="00C91013">
            <w:pPr>
              <w:pStyle w:val="TableText"/>
              <w:spacing w:before="38" w:after="38"/>
              <w:jc w:val="right"/>
              <w:rPr>
                <w:sz w:val="13"/>
                <w:szCs w:val="13"/>
              </w:rPr>
            </w:pPr>
            <w:r w:rsidRPr="0047058F">
              <w:rPr>
                <w:rFonts w:cs="Arial"/>
                <w:sz w:val="13"/>
                <w:szCs w:val="13"/>
              </w:rPr>
              <w:t>553</w:t>
            </w:r>
          </w:p>
        </w:tc>
        <w:tc>
          <w:tcPr>
            <w:tcW w:w="990" w:type="dxa"/>
          </w:tcPr>
          <w:p w14:paraId="291451DF" w14:textId="77777777" w:rsidR="006D5661" w:rsidRPr="0047058F" w:rsidRDefault="006D5661" w:rsidP="00C91013">
            <w:pPr>
              <w:pStyle w:val="TableText"/>
              <w:spacing w:before="38" w:after="38"/>
              <w:jc w:val="right"/>
              <w:rPr>
                <w:sz w:val="13"/>
                <w:szCs w:val="13"/>
              </w:rPr>
            </w:pPr>
            <w:r w:rsidRPr="0047058F">
              <w:rPr>
                <w:rFonts w:cs="Arial"/>
                <w:sz w:val="13"/>
                <w:szCs w:val="13"/>
              </w:rPr>
              <w:t>36.8 (21.2–52.4)</w:t>
            </w:r>
          </w:p>
        </w:tc>
        <w:tc>
          <w:tcPr>
            <w:tcW w:w="450" w:type="dxa"/>
          </w:tcPr>
          <w:p w14:paraId="0B95A6EA" w14:textId="77777777" w:rsidR="006D5661" w:rsidRPr="0047058F" w:rsidRDefault="006D5661" w:rsidP="00C91013">
            <w:pPr>
              <w:pStyle w:val="TableText"/>
              <w:spacing w:before="38" w:after="38"/>
              <w:jc w:val="right"/>
              <w:rPr>
                <w:sz w:val="13"/>
                <w:szCs w:val="13"/>
              </w:rPr>
            </w:pPr>
            <w:r w:rsidRPr="0047058F">
              <w:rPr>
                <w:rFonts w:cs="Arial"/>
                <w:sz w:val="13"/>
                <w:szCs w:val="13"/>
              </w:rPr>
              <w:t>286</w:t>
            </w:r>
          </w:p>
        </w:tc>
        <w:tc>
          <w:tcPr>
            <w:tcW w:w="990" w:type="dxa"/>
          </w:tcPr>
          <w:p w14:paraId="07311CC1" w14:textId="77777777" w:rsidR="006D5661" w:rsidRPr="0047058F" w:rsidRDefault="006D5661" w:rsidP="00C91013">
            <w:pPr>
              <w:pStyle w:val="TableText"/>
              <w:spacing w:before="38" w:after="38"/>
              <w:jc w:val="right"/>
              <w:rPr>
                <w:sz w:val="13"/>
                <w:szCs w:val="13"/>
              </w:rPr>
            </w:pPr>
            <w:r w:rsidRPr="0047058F">
              <w:rPr>
                <w:rFonts w:cs="Arial"/>
                <w:sz w:val="13"/>
                <w:szCs w:val="13"/>
              </w:rPr>
              <w:t>19.1 (1.5–36.7)</w:t>
            </w:r>
          </w:p>
        </w:tc>
        <w:tc>
          <w:tcPr>
            <w:tcW w:w="1074" w:type="dxa"/>
          </w:tcPr>
          <w:p w14:paraId="0228BF01"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70344740"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209E63CE"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7767A27C"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5DD16848"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459A6819"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600EBEC6"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25C218C7" w14:textId="77777777" w:rsidR="006D5661" w:rsidRPr="0047058F" w:rsidRDefault="006D5661" w:rsidP="00C91013">
            <w:pPr>
              <w:pStyle w:val="TableText"/>
              <w:spacing w:before="38" w:after="38"/>
              <w:ind w:left="144"/>
              <w:rPr>
                <w:rFonts w:cs="Arial"/>
              </w:rPr>
            </w:pPr>
            <w:r w:rsidRPr="0047058F">
              <w:rPr>
                <w:rFonts w:cs="Arial"/>
              </w:rPr>
              <w:t>Yes</w:t>
            </w:r>
          </w:p>
        </w:tc>
        <w:tc>
          <w:tcPr>
            <w:tcW w:w="436" w:type="dxa"/>
          </w:tcPr>
          <w:p w14:paraId="223D450A" w14:textId="77777777" w:rsidR="006D5661" w:rsidRPr="0047058F" w:rsidRDefault="006D5661" w:rsidP="00C91013">
            <w:pPr>
              <w:pStyle w:val="TableText"/>
              <w:spacing w:before="38" w:after="38"/>
              <w:jc w:val="right"/>
              <w:rPr>
                <w:sz w:val="13"/>
                <w:szCs w:val="13"/>
              </w:rPr>
            </w:pPr>
            <w:r w:rsidRPr="0047058F">
              <w:rPr>
                <w:rFonts w:cs="Arial"/>
                <w:sz w:val="13"/>
                <w:szCs w:val="13"/>
              </w:rPr>
              <w:t>85</w:t>
            </w:r>
          </w:p>
        </w:tc>
        <w:tc>
          <w:tcPr>
            <w:tcW w:w="1080" w:type="dxa"/>
          </w:tcPr>
          <w:p w14:paraId="238E53B2" w14:textId="77777777" w:rsidR="006D5661" w:rsidRPr="0047058F" w:rsidRDefault="006D5661" w:rsidP="00C91013">
            <w:pPr>
              <w:pStyle w:val="TableText"/>
              <w:spacing w:before="38" w:after="38"/>
              <w:jc w:val="right"/>
              <w:rPr>
                <w:sz w:val="13"/>
                <w:szCs w:val="13"/>
              </w:rPr>
            </w:pPr>
            <w:r w:rsidRPr="0047058F">
              <w:rPr>
                <w:rFonts w:cs="Arial"/>
                <w:sz w:val="13"/>
                <w:szCs w:val="13"/>
              </w:rPr>
              <w:t>36.0 (20.3–51.7)</w:t>
            </w:r>
          </w:p>
        </w:tc>
        <w:tc>
          <w:tcPr>
            <w:tcW w:w="450" w:type="dxa"/>
          </w:tcPr>
          <w:p w14:paraId="262D9CF2" w14:textId="77777777" w:rsidR="006D5661" w:rsidRPr="0047058F" w:rsidRDefault="006D5661" w:rsidP="00C91013">
            <w:pPr>
              <w:pStyle w:val="TableText"/>
              <w:spacing w:before="38" w:after="38"/>
              <w:jc w:val="right"/>
              <w:rPr>
                <w:sz w:val="13"/>
                <w:szCs w:val="13"/>
              </w:rPr>
            </w:pPr>
            <w:r w:rsidRPr="0047058F">
              <w:rPr>
                <w:rFonts w:cs="Arial"/>
                <w:sz w:val="13"/>
                <w:szCs w:val="13"/>
              </w:rPr>
              <w:t>96</w:t>
            </w:r>
          </w:p>
        </w:tc>
        <w:tc>
          <w:tcPr>
            <w:tcW w:w="990" w:type="dxa"/>
          </w:tcPr>
          <w:p w14:paraId="3EEABC1E" w14:textId="77777777" w:rsidR="006D5661" w:rsidRPr="0047058F" w:rsidRDefault="006D5661" w:rsidP="00C91013">
            <w:pPr>
              <w:pStyle w:val="TableText"/>
              <w:spacing w:before="38" w:after="38"/>
              <w:jc w:val="right"/>
              <w:rPr>
                <w:sz w:val="13"/>
                <w:szCs w:val="13"/>
              </w:rPr>
            </w:pPr>
            <w:r w:rsidRPr="0047058F">
              <w:rPr>
                <w:rFonts w:cs="Arial"/>
                <w:sz w:val="13"/>
                <w:szCs w:val="13"/>
              </w:rPr>
              <w:t>40.7 (25.6–55.8)</w:t>
            </w:r>
          </w:p>
        </w:tc>
        <w:tc>
          <w:tcPr>
            <w:tcW w:w="450" w:type="dxa"/>
          </w:tcPr>
          <w:p w14:paraId="4E3F9A52" w14:textId="77777777" w:rsidR="006D5661" w:rsidRPr="0047058F" w:rsidRDefault="006D5661" w:rsidP="00C91013">
            <w:pPr>
              <w:pStyle w:val="TableText"/>
              <w:spacing w:before="38" w:after="38"/>
              <w:jc w:val="right"/>
              <w:rPr>
                <w:sz w:val="13"/>
                <w:szCs w:val="13"/>
              </w:rPr>
            </w:pPr>
            <w:r w:rsidRPr="0047058F">
              <w:rPr>
                <w:rFonts w:cs="Arial"/>
                <w:sz w:val="13"/>
                <w:szCs w:val="13"/>
              </w:rPr>
              <w:t>55</w:t>
            </w:r>
          </w:p>
        </w:tc>
        <w:tc>
          <w:tcPr>
            <w:tcW w:w="990" w:type="dxa"/>
          </w:tcPr>
          <w:p w14:paraId="79102A4E" w14:textId="77777777" w:rsidR="006D5661" w:rsidRPr="0047058F" w:rsidRDefault="006D5661" w:rsidP="00C91013">
            <w:pPr>
              <w:pStyle w:val="TableText"/>
              <w:spacing w:before="38" w:after="38"/>
              <w:jc w:val="right"/>
              <w:rPr>
                <w:sz w:val="13"/>
                <w:szCs w:val="13"/>
              </w:rPr>
            </w:pPr>
            <w:r w:rsidRPr="0047058F">
              <w:rPr>
                <w:rFonts w:cs="Arial"/>
                <w:sz w:val="13"/>
                <w:szCs w:val="13"/>
              </w:rPr>
              <w:t>23.3 (6.1–40.5)</w:t>
            </w:r>
          </w:p>
        </w:tc>
        <w:tc>
          <w:tcPr>
            <w:tcW w:w="1074" w:type="dxa"/>
          </w:tcPr>
          <w:p w14:paraId="7C33EF76" w14:textId="77777777" w:rsidR="006D5661" w:rsidRPr="0047058F" w:rsidRDefault="006D5661" w:rsidP="00C91013">
            <w:pPr>
              <w:pStyle w:val="TableText"/>
              <w:spacing w:before="38" w:after="38"/>
              <w:jc w:val="right"/>
              <w:rPr>
                <w:sz w:val="13"/>
                <w:szCs w:val="13"/>
              </w:rPr>
            </w:pPr>
            <w:r w:rsidRPr="0047058F">
              <w:rPr>
                <w:sz w:val="13"/>
                <w:szCs w:val="13"/>
              </w:rPr>
              <w:t>1.47 (1.04–2.07)</w:t>
            </w:r>
          </w:p>
        </w:tc>
        <w:tc>
          <w:tcPr>
            <w:tcW w:w="986" w:type="dxa"/>
          </w:tcPr>
          <w:p w14:paraId="6F768F41"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3262A787" w14:textId="77777777" w:rsidR="006D5661" w:rsidRPr="0047058F" w:rsidRDefault="006D5661" w:rsidP="00C91013">
            <w:pPr>
              <w:pStyle w:val="TableText"/>
              <w:spacing w:before="38" w:after="38"/>
              <w:jc w:val="right"/>
              <w:rPr>
                <w:sz w:val="13"/>
                <w:szCs w:val="13"/>
              </w:rPr>
            </w:pPr>
            <w:r w:rsidRPr="0047058F">
              <w:rPr>
                <w:sz w:val="13"/>
                <w:szCs w:val="13"/>
              </w:rPr>
              <w:t>1.73 (1.17–2.56)</w:t>
            </w:r>
          </w:p>
        </w:tc>
        <w:tc>
          <w:tcPr>
            <w:tcW w:w="986" w:type="dxa"/>
          </w:tcPr>
          <w:p w14:paraId="0DC1A3B6"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58B24366" w14:textId="77777777" w:rsidR="006D5661" w:rsidRPr="0047058F" w:rsidRDefault="006D5661" w:rsidP="00C91013">
            <w:pPr>
              <w:pStyle w:val="TableText"/>
              <w:spacing w:before="38" w:after="38"/>
              <w:jc w:val="right"/>
              <w:rPr>
                <w:sz w:val="13"/>
                <w:szCs w:val="13"/>
              </w:rPr>
            </w:pPr>
          </w:p>
        </w:tc>
        <w:tc>
          <w:tcPr>
            <w:tcW w:w="657" w:type="dxa"/>
          </w:tcPr>
          <w:p w14:paraId="49D0886E" w14:textId="77777777" w:rsidR="006D5661" w:rsidRPr="0047058F" w:rsidRDefault="006D5661" w:rsidP="00C91013">
            <w:pPr>
              <w:pStyle w:val="TableText"/>
              <w:spacing w:before="38" w:after="38"/>
              <w:jc w:val="right"/>
              <w:rPr>
                <w:sz w:val="13"/>
                <w:szCs w:val="13"/>
              </w:rPr>
            </w:pPr>
          </w:p>
        </w:tc>
      </w:tr>
      <w:tr w:rsidR="003454A7" w:rsidRPr="0047058F" w14:paraId="1E62340F" w14:textId="77777777" w:rsidTr="003454A7">
        <w:trPr>
          <w:cantSplit/>
        </w:trPr>
        <w:tc>
          <w:tcPr>
            <w:tcW w:w="1720" w:type="dxa"/>
          </w:tcPr>
          <w:p w14:paraId="30B99177" w14:textId="77777777" w:rsidR="006D5661" w:rsidRPr="0047058F" w:rsidRDefault="006D5661" w:rsidP="00C91013">
            <w:pPr>
              <w:pStyle w:val="TableText"/>
              <w:spacing w:before="38" w:after="38"/>
              <w:rPr>
                <w:rFonts w:eastAsia="Cambria" w:cs="Arial"/>
              </w:rPr>
            </w:pPr>
            <w:r w:rsidRPr="0047058F">
              <w:rPr>
                <w:rFonts w:eastAsia="Cambria" w:cs="Arial"/>
              </w:rPr>
              <w:t>Problematic anger on DAR-5</w:t>
            </w:r>
          </w:p>
        </w:tc>
        <w:tc>
          <w:tcPr>
            <w:tcW w:w="436" w:type="dxa"/>
          </w:tcPr>
          <w:p w14:paraId="5A0E4C69" w14:textId="77777777" w:rsidR="006D5661" w:rsidRPr="0047058F" w:rsidRDefault="006D5661" w:rsidP="00C91013">
            <w:pPr>
              <w:pStyle w:val="TableText"/>
              <w:spacing w:before="38" w:after="38"/>
              <w:jc w:val="right"/>
              <w:rPr>
                <w:sz w:val="13"/>
                <w:szCs w:val="13"/>
              </w:rPr>
            </w:pPr>
          </w:p>
        </w:tc>
        <w:tc>
          <w:tcPr>
            <w:tcW w:w="1080" w:type="dxa"/>
          </w:tcPr>
          <w:p w14:paraId="71962B3D" w14:textId="77777777" w:rsidR="006D5661" w:rsidRPr="0047058F" w:rsidRDefault="006D5661" w:rsidP="00C91013">
            <w:pPr>
              <w:pStyle w:val="TableText"/>
              <w:spacing w:before="38" w:after="38"/>
              <w:jc w:val="right"/>
              <w:rPr>
                <w:sz w:val="13"/>
                <w:szCs w:val="13"/>
              </w:rPr>
            </w:pPr>
          </w:p>
        </w:tc>
        <w:tc>
          <w:tcPr>
            <w:tcW w:w="450" w:type="dxa"/>
          </w:tcPr>
          <w:p w14:paraId="2905ADDC" w14:textId="77777777" w:rsidR="006D5661" w:rsidRPr="0047058F" w:rsidRDefault="006D5661" w:rsidP="00C91013">
            <w:pPr>
              <w:pStyle w:val="TableText"/>
              <w:spacing w:before="38" w:after="38"/>
              <w:jc w:val="right"/>
              <w:rPr>
                <w:sz w:val="13"/>
                <w:szCs w:val="13"/>
              </w:rPr>
            </w:pPr>
          </w:p>
        </w:tc>
        <w:tc>
          <w:tcPr>
            <w:tcW w:w="990" w:type="dxa"/>
          </w:tcPr>
          <w:p w14:paraId="59EB9D92" w14:textId="77777777" w:rsidR="006D5661" w:rsidRPr="0047058F" w:rsidRDefault="006D5661" w:rsidP="00C91013">
            <w:pPr>
              <w:pStyle w:val="TableText"/>
              <w:spacing w:before="38" w:after="38"/>
              <w:jc w:val="right"/>
              <w:rPr>
                <w:sz w:val="13"/>
                <w:szCs w:val="13"/>
              </w:rPr>
            </w:pPr>
          </w:p>
        </w:tc>
        <w:tc>
          <w:tcPr>
            <w:tcW w:w="450" w:type="dxa"/>
          </w:tcPr>
          <w:p w14:paraId="3F08E346" w14:textId="77777777" w:rsidR="006D5661" w:rsidRPr="0047058F" w:rsidRDefault="006D5661" w:rsidP="00C91013">
            <w:pPr>
              <w:pStyle w:val="TableText"/>
              <w:spacing w:before="38" w:after="38"/>
              <w:jc w:val="right"/>
              <w:rPr>
                <w:sz w:val="13"/>
                <w:szCs w:val="13"/>
              </w:rPr>
            </w:pPr>
          </w:p>
        </w:tc>
        <w:tc>
          <w:tcPr>
            <w:tcW w:w="990" w:type="dxa"/>
          </w:tcPr>
          <w:p w14:paraId="5303CA39" w14:textId="77777777" w:rsidR="006D5661" w:rsidRPr="0047058F" w:rsidRDefault="006D5661" w:rsidP="00C91013">
            <w:pPr>
              <w:pStyle w:val="TableText"/>
              <w:spacing w:before="38" w:after="38"/>
              <w:jc w:val="right"/>
              <w:rPr>
                <w:sz w:val="13"/>
                <w:szCs w:val="13"/>
              </w:rPr>
            </w:pPr>
          </w:p>
        </w:tc>
        <w:tc>
          <w:tcPr>
            <w:tcW w:w="1074" w:type="dxa"/>
          </w:tcPr>
          <w:p w14:paraId="5371C5B9" w14:textId="77777777" w:rsidR="006D5661" w:rsidRPr="0047058F" w:rsidRDefault="006D5661" w:rsidP="00C91013">
            <w:pPr>
              <w:pStyle w:val="TableText"/>
              <w:spacing w:before="38" w:after="38"/>
              <w:jc w:val="right"/>
              <w:rPr>
                <w:sz w:val="13"/>
                <w:szCs w:val="13"/>
              </w:rPr>
            </w:pPr>
          </w:p>
        </w:tc>
        <w:tc>
          <w:tcPr>
            <w:tcW w:w="986" w:type="dxa"/>
          </w:tcPr>
          <w:p w14:paraId="4EBB1BF4" w14:textId="77777777" w:rsidR="006D5661" w:rsidRPr="0047058F" w:rsidRDefault="006D5661" w:rsidP="00C91013">
            <w:pPr>
              <w:pStyle w:val="TableText"/>
              <w:spacing w:before="38" w:after="38"/>
              <w:jc w:val="right"/>
              <w:rPr>
                <w:sz w:val="13"/>
                <w:szCs w:val="13"/>
              </w:rPr>
            </w:pPr>
          </w:p>
        </w:tc>
        <w:tc>
          <w:tcPr>
            <w:tcW w:w="986" w:type="dxa"/>
          </w:tcPr>
          <w:p w14:paraId="7B2C3FFF" w14:textId="77777777" w:rsidR="006D5661" w:rsidRPr="0047058F" w:rsidRDefault="006D5661" w:rsidP="00C91013">
            <w:pPr>
              <w:pStyle w:val="TableText"/>
              <w:spacing w:before="38" w:after="38"/>
              <w:jc w:val="right"/>
              <w:rPr>
                <w:sz w:val="13"/>
                <w:szCs w:val="13"/>
              </w:rPr>
            </w:pPr>
          </w:p>
        </w:tc>
        <w:tc>
          <w:tcPr>
            <w:tcW w:w="986" w:type="dxa"/>
          </w:tcPr>
          <w:p w14:paraId="6BA00A1A" w14:textId="77777777" w:rsidR="006D5661" w:rsidRPr="0047058F" w:rsidRDefault="006D5661" w:rsidP="00C91013">
            <w:pPr>
              <w:pStyle w:val="TableText"/>
              <w:spacing w:before="38" w:after="38"/>
              <w:jc w:val="right"/>
              <w:rPr>
                <w:sz w:val="13"/>
                <w:szCs w:val="13"/>
              </w:rPr>
            </w:pPr>
          </w:p>
        </w:tc>
        <w:tc>
          <w:tcPr>
            <w:tcW w:w="657" w:type="dxa"/>
          </w:tcPr>
          <w:p w14:paraId="75B07A02" w14:textId="77777777" w:rsidR="006D5661" w:rsidRPr="0047058F" w:rsidRDefault="006D5661" w:rsidP="00C91013">
            <w:pPr>
              <w:pStyle w:val="TableText"/>
              <w:spacing w:before="38" w:after="38"/>
              <w:jc w:val="right"/>
              <w:rPr>
                <w:sz w:val="13"/>
                <w:szCs w:val="13"/>
              </w:rPr>
            </w:pPr>
            <w:r w:rsidRPr="0047058F">
              <w:rPr>
                <w:sz w:val="13"/>
                <w:szCs w:val="13"/>
              </w:rPr>
              <w:t>&lt; 0.0001</w:t>
            </w:r>
          </w:p>
        </w:tc>
        <w:tc>
          <w:tcPr>
            <w:tcW w:w="657" w:type="dxa"/>
          </w:tcPr>
          <w:p w14:paraId="0E459498" w14:textId="77777777" w:rsidR="006D5661" w:rsidRPr="0047058F" w:rsidRDefault="006D5661" w:rsidP="00C91013">
            <w:pPr>
              <w:pStyle w:val="TableText"/>
              <w:spacing w:before="38" w:after="38"/>
              <w:jc w:val="right"/>
              <w:rPr>
                <w:sz w:val="13"/>
                <w:szCs w:val="13"/>
              </w:rPr>
            </w:pPr>
            <w:r w:rsidRPr="0047058F">
              <w:rPr>
                <w:rFonts w:cs="Arial"/>
                <w:sz w:val="13"/>
                <w:szCs w:val="13"/>
              </w:rPr>
              <w:t>0.0009</w:t>
            </w:r>
          </w:p>
        </w:tc>
      </w:tr>
      <w:tr w:rsidR="003454A7" w:rsidRPr="0047058F" w14:paraId="2C03AB87"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3873D6B3" w14:textId="77777777" w:rsidR="006D5661" w:rsidRPr="0047058F" w:rsidRDefault="006D5661" w:rsidP="00C91013">
            <w:pPr>
              <w:pStyle w:val="TableText"/>
              <w:spacing w:before="38" w:after="38"/>
              <w:ind w:left="144"/>
              <w:rPr>
                <w:rFonts w:eastAsiaTheme="minorEastAsia"/>
              </w:rPr>
            </w:pPr>
            <w:r w:rsidRPr="0047058F">
              <w:rPr>
                <w:rFonts w:eastAsiaTheme="minorEastAsia"/>
              </w:rPr>
              <w:t>No</w:t>
            </w:r>
          </w:p>
        </w:tc>
        <w:tc>
          <w:tcPr>
            <w:tcW w:w="436" w:type="dxa"/>
          </w:tcPr>
          <w:p w14:paraId="4F007428" w14:textId="77777777" w:rsidR="006D5661" w:rsidRPr="0047058F" w:rsidRDefault="006D5661" w:rsidP="00C91013">
            <w:pPr>
              <w:pStyle w:val="TableText"/>
              <w:spacing w:before="38" w:after="38"/>
              <w:jc w:val="right"/>
              <w:rPr>
                <w:sz w:val="13"/>
                <w:szCs w:val="13"/>
              </w:rPr>
            </w:pPr>
            <w:r w:rsidRPr="0047058F">
              <w:rPr>
                <w:rFonts w:cs="Arial"/>
                <w:sz w:val="13"/>
                <w:szCs w:val="13"/>
              </w:rPr>
              <w:t>682</w:t>
            </w:r>
          </w:p>
        </w:tc>
        <w:tc>
          <w:tcPr>
            <w:tcW w:w="1080" w:type="dxa"/>
          </w:tcPr>
          <w:p w14:paraId="5F750848" w14:textId="77777777" w:rsidR="006D5661" w:rsidRPr="0047058F" w:rsidRDefault="006D5661" w:rsidP="00C91013">
            <w:pPr>
              <w:pStyle w:val="TableText"/>
              <w:spacing w:before="38" w:after="38"/>
              <w:jc w:val="right"/>
              <w:rPr>
                <w:sz w:val="13"/>
                <w:szCs w:val="13"/>
              </w:rPr>
            </w:pPr>
            <w:r w:rsidRPr="0047058F">
              <w:rPr>
                <w:rFonts w:cs="Arial"/>
                <w:sz w:val="13"/>
                <w:szCs w:val="13"/>
              </w:rPr>
              <w:t>45.6 (31.1–60.1)</w:t>
            </w:r>
          </w:p>
        </w:tc>
        <w:tc>
          <w:tcPr>
            <w:tcW w:w="450" w:type="dxa"/>
          </w:tcPr>
          <w:p w14:paraId="27CBA59F" w14:textId="77777777" w:rsidR="006D5661" w:rsidRPr="0047058F" w:rsidRDefault="006D5661" w:rsidP="00C91013">
            <w:pPr>
              <w:pStyle w:val="TableText"/>
              <w:spacing w:before="38" w:after="38"/>
              <w:jc w:val="right"/>
              <w:rPr>
                <w:sz w:val="13"/>
                <w:szCs w:val="13"/>
              </w:rPr>
            </w:pPr>
            <w:r w:rsidRPr="0047058F">
              <w:rPr>
                <w:rFonts w:cs="Arial"/>
                <w:sz w:val="13"/>
                <w:szCs w:val="13"/>
              </w:rPr>
              <w:t>543</w:t>
            </w:r>
          </w:p>
        </w:tc>
        <w:tc>
          <w:tcPr>
            <w:tcW w:w="990" w:type="dxa"/>
          </w:tcPr>
          <w:p w14:paraId="4A9D9B14" w14:textId="77777777" w:rsidR="006D5661" w:rsidRPr="0047058F" w:rsidRDefault="006D5661" w:rsidP="00C91013">
            <w:pPr>
              <w:pStyle w:val="TableText"/>
              <w:spacing w:before="38" w:after="38"/>
              <w:jc w:val="right"/>
              <w:rPr>
                <w:sz w:val="13"/>
                <w:szCs w:val="13"/>
              </w:rPr>
            </w:pPr>
            <w:r w:rsidRPr="0047058F">
              <w:rPr>
                <w:rFonts w:cs="Arial"/>
                <w:sz w:val="13"/>
                <w:szCs w:val="13"/>
              </w:rPr>
              <w:t>36.3 (20.7–51.9)</w:t>
            </w:r>
          </w:p>
        </w:tc>
        <w:tc>
          <w:tcPr>
            <w:tcW w:w="450" w:type="dxa"/>
          </w:tcPr>
          <w:p w14:paraId="1B5331B3" w14:textId="77777777" w:rsidR="006D5661" w:rsidRPr="0047058F" w:rsidRDefault="006D5661" w:rsidP="00C91013">
            <w:pPr>
              <w:pStyle w:val="TableText"/>
              <w:spacing w:before="38" w:after="38"/>
              <w:jc w:val="right"/>
              <w:rPr>
                <w:sz w:val="13"/>
                <w:szCs w:val="13"/>
              </w:rPr>
            </w:pPr>
            <w:r w:rsidRPr="0047058F">
              <w:rPr>
                <w:rFonts w:cs="Arial"/>
                <w:sz w:val="13"/>
                <w:szCs w:val="13"/>
              </w:rPr>
              <w:t>269</w:t>
            </w:r>
          </w:p>
        </w:tc>
        <w:tc>
          <w:tcPr>
            <w:tcW w:w="990" w:type="dxa"/>
          </w:tcPr>
          <w:p w14:paraId="61A654ED" w14:textId="77777777" w:rsidR="006D5661" w:rsidRPr="0047058F" w:rsidRDefault="006D5661" w:rsidP="00C91013">
            <w:pPr>
              <w:pStyle w:val="TableText"/>
              <w:spacing w:before="38" w:after="38"/>
              <w:jc w:val="right"/>
              <w:rPr>
                <w:sz w:val="13"/>
                <w:szCs w:val="13"/>
              </w:rPr>
            </w:pPr>
            <w:r w:rsidRPr="0047058F">
              <w:rPr>
                <w:rFonts w:cs="Arial"/>
                <w:sz w:val="13"/>
                <w:szCs w:val="13"/>
              </w:rPr>
              <w:t>18.0 (0.3–35.7)</w:t>
            </w:r>
          </w:p>
        </w:tc>
        <w:tc>
          <w:tcPr>
            <w:tcW w:w="1074" w:type="dxa"/>
          </w:tcPr>
          <w:p w14:paraId="4514EB14"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4E8B3615"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4DA698F9"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0B475E07"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657" w:type="dxa"/>
          </w:tcPr>
          <w:p w14:paraId="4BEEF6A7" w14:textId="77777777" w:rsidR="006D5661" w:rsidRPr="0047058F" w:rsidRDefault="006D5661" w:rsidP="00C91013">
            <w:pPr>
              <w:pStyle w:val="TableText"/>
              <w:spacing w:before="38" w:after="38"/>
              <w:jc w:val="right"/>
              <w:rPr>
                <w:sz w:val="13"/>
                <w:szCs w:val="13"/>
              </w:rPr>
            </w:pPr>
          </w:p>
        </w:tc>
        <w:tc>
          <w:tcPr>
            <w:tcW w:w="657" w:type="dxa"/>
          </w:tcPr>
          <w:p w14:paraId="297942C8" w14:textId="77777777" w:rsidR="006D5661" w:rsidRPr="0047058F" w:rsidRDefault="006D5661" w:rsidP="00C91013">
            <w:pPr>
              <w:pStyle w:val="TableText"/>
              <w:spacing w:before="38" w:after="38"/>
              <w:jc w:val="right"/>
              <w:rPr>
                <w:sz w:val="13"/>
                <w:szCs w:val="13"/>
              </w:rPr>
            </w:pPr>
          </w:p>
        </w:tc>
      </w:tr>
      <w:tr w:rsidR="003454A7" w:rsidRPr="0047058F" w14:paraId="7F9920A9" w14:textId="77777777" w:rsidTr="003454A7">
        <w:trPr>
          <w:cantSplit/>
        </w:trPr>
        <w:tc>
          <w:tcPr>
            <w:tcW w:w="1720" w:type="dxa"/>
          </w:tcPr>
          <w:p w14:paraId="23D82EB7" w14:textId="77777777" w:rsidR="006D5661" w:rsidRPr="0047058F" w:rsidRDefault="006D5661" w:rsidP="00C91013">
            <w:pPr>
              <w:pStyle w:val="TableText"/>
              <w:spacing w:before="38" w:after="38"/>
              <w:ind w:left="144"/>
              <w:rPr>
                <w:rFonts w:eastAsiaTheme="minorEastAsia"/>
              </w:rPr>
            </w:pPr>
            <w:r w:rsidRPr="0047058F">
              <w:rPr>
                <w:rFonts w:eastAsiaTheme="minorEastAsia"/>
              </w:rPr>
              <w:t>Yes</w:t>
            </w:r>
          </w:p>
        </w:tc>
        <w:tc>
          <w:tcPr>
            <w:tcW w:w="436" w:type="dxa"/>
          </w:tcPr>
          <w:p w14:paraId="3784DFB3" w14:textId="77777777" w:rsidR="006D5661" w:rsidRPr="0047058F" w:rsidRDefault="006D5661" w:rsidP="00C91013">
            <w:pPr>
              <w:pStyle w:val="TableText"/>
              <w:spacing w:before="38" w:after="38"/>
              <w:jc w:val="right"/>
              <w:rPr>
                <w:sz w:val="13"/>
                <w:szCs w:val="13"/>
              </w:rPr>
            </w:pPr>
            <w:r w:rsidRPr="0047058F">
              <w:rPr>
                <w:rFonts w:cs="Arial"/>
                <w:sz w:val="13"/>
                <w:szCs w:val="13"/>
              </w:rPr>
              <w:t>65</w:t>
            </w:r>
          </w:p>
        </w:tc>
        <w:tc>
          <w:tcPr>
            <w:tcW w:w="1080" w:type="dxa"/>
          </w:tcPr>
          <w:p w14:paraId="7F8698DC" w14:textId="77777777" w:rsidR="006D5661" w:rsidRPr="0047058F" w:rsidRDefault="006D5661" w:rsidP="00C91013">
            <w:pPr>
              <w:pStyle w:val="TableText"/>
              <w:spacing w:before="38" w:after="38"/>
              <w:jc w:val="right"/>
              <w:rPr>
                <w:sz w:val="13"/>
                <w:szCs w:val="13"/>
              </w:rPr>
            </w:pPr>
            <w:r w:rsidRPr="0047058F">
              <w:rPr>
                <w:rFonts w:cs="Arial"/>
                <w:sz w:val="13"/>
                <w:szCs w:val="13"/>
              </w:rPr>
              <w:t>26.7 (9.9–43.5)</w:t>
            </w:r>
          </w:p>
        </w:tc>
        <w:tc>
          <w:tcPr>
            <w:tcW w:w="450" w:type="dxa"/>
          </w:tcPr>
          <w:p w14:paraId="69A33105" w14:textId="77777777" w:rsidR="006D5661" w:rsidRPr="0047058F" w:rsidRDefault="006D5661" w:rsidP="00C91013">
            <w:pPr>
              <w:pStyle w:val="TableText"/>
              <w:spacing w:before="38" w:after="38"/>
              <w:jc w:val="right"/>
              <w:rPr>
                <w:sz w:val="13"/>
                <w:szCs w:val="13"/>
              </w:rPr>
            </w:pPr>
            <w:r w:rsidRPr="0047058F">
              <w:rPr>
                <w:rFonts w:cs="Arial"/>
                <w:sz w:val="13"/>
                <w:szCs w:val="13"/>
              </w:rPr>
              <w:t>106</w:t>
            </w:r>
          </w:p>
        </w:tc>
        <w:tc>
          <w:tcPr>
            <w:tcW w:w="990" w:type="dxa"/>
          </w:tcPr>
          <w:p w14:paraId="349C8BD2" w14:textId="77777777" w:rsidR="006D5661" w:rsidRPr="0047058F" w:rsidRDefault="006D5661" w:rsidP="00C91013">
            <w:pPr>
              <w:pStyle w:val="TableText"/>
              <w:spacing w:before="38" w:after="38"/>
              <w:jc w:val="right"/>
              <w:rPr>
                <w:sz w:val="13"/>
                <w:szCs w:val="13"/>
              </w:rPr>
            </w:pPr>
            <w:r w:rsidRPr="0047058F">
              <w:rPr>
                <w:rFonts w:cs="Arial"/>
                <w:sz w:val="13"/>
                <w:szCs w:val="13"/>
              </w:rPr>
              <w:t>43.6 (28.9–58.3)</w:t>
            </w:r>
          </w:p>
        </w:tc>
        <w:tc>
          <w:tcPr>
            <w:tcW w:w="450" w:type="dxa"/>
          </w:tcPr>
          <w:p w14:paraId="74ACCC8E" w14:textId="77777777" w:rsidR="006D5661" w:rsidRPr="0047058F" w:rsidRDefault="006D5661" w:rsidP="00C91013">
            <w:pPr>
              <w:pStyle w:val="TableText"/>
              <w:spacing w:before="38" w:after="38"/>
              <w:jc w:val="right"/>
              <w:rPr>
                <w:sz w:val="13"/>
                <w:szCs w:val="13"/>
              </w:rPr>
            </w:pPr>
            <w:r w:rsidRPr="0047058F">
              <w:rPr>
                <w:rFonts w:cs="Arial"/>
                <w:sz w:val="13"/>
                <w:szCs w:val="13"/>
              </w:rPr>
              <w:t>72</w:t>
            </w:r>
          </w:p>
        </w:tc>
        <w:tc>
          <w:tcPr>
            <w:tcW w:w="990" w:type="dxa"/>
          </w:tcPr>
          <w:p w14:paraId="2430588D" w14:textId="77777777" w:rsidR="006D5661" w:rsidRPr="0047058F" w:rsidRDefault="006D5661" w:rsidP="00C91013">
            <w:pPr>
              <w:pStyle w:val="TableText"/>
              <w:spacing w:before="38" w:after="38"/>
              <w:jc w:val="right"/>
              <w:rPr>
                <w:sz w:val="13"/>
                <w:szCs w:val="13"/>
              </w:rPr>
            </w:pPr>
            <w:r w:rsidRPr="0047058F">
              <w:rPr>
                <w:rFonts w:cs="Arial"/>
                <w:sz w:val="13"/>
                <w:szCs w:val="13"/>
              </w:rPr>
              <w:t>29.6 (13.2–46.0)</w:t>
            </w:r>
          </w:p>
        </w:tc>
        <w:tc>
          <w:tcPr>
            <w:tcW w:w="1074" w:type="dxa"/>
          </w:tcPr>
          <w:p w14:paraId="6DC1E187" w14:textId="77777777" w:rsidR="006D5661" w:rsidRPr="0047058F" w:rsidRDefault="006D5661" w:rsidP="00C91013">
            <w:pPr>
              <w:pStyle w:val="TableText"/>
              <w:spacing w:before="38" w:after="38"/>
              <w:jc w:val="right"/>
              <w:rPr>
                <w:sz w:val="13"/>
                <w:szCs w:val="13"/>
              </w:rPr>
            </w:pPr>
            <w:r w:rsidRPr="0047058F">
              <w:rPr>
                <w:sz w:val="13"/>
                <w:szCs w:val="13"/>
              </w:rPr>
              <w:t>1.88 (1.34–2.66)</w:t>
            </w:r>
          </w:p>
        </w:tc>
        <w:tc>
          <w:tcPr>
            <w:tcW w:w="986" w:type="dxa"/>
          </w:tcPr>
          <w:p w14:paraId="41F5DCBF" w14:textId="77777777" w:rsidR="006D5661" w:rsidRPr="0047058F" w:rsidRDefault="006D5661" w:rsidP="00C91013">
            <w:pPr>
              <w:pStyle w:val="TableText"/>
              <w:spacing w:before="38" w:after="38"/>
              <w:jc w:val="right"/>
              <w:rPr>
                <w:sz w:val="13"/>
                <w:szCs w:val="13"/>
              </w:rPr>
            </w:pPr>
            <w:r w:rsidRPr="0047058F">
              <w:rPr>
                <w:sz w:val="13"/>
                <w:szCs w:val="13"/>
              </w:rPr>
              <w:t>1.58 (1.10–2.25)</w:t>
            </w:r>
          </w:p>
        </w:tc>
        <w:tc>
          <w:tcPr>
            <w:tcW w:w="986" w:type="dxa"/>
          </w:tcPr>
          <w:p w14:paraId="10226A06" w14:textId="77777777" w:rsidR="006D5661" w:rsidRPr="0047058F" w:rsidRDefault="006D5661" w:rsidP="00C91013">
            <w:pPr>
              <w:pStyle w:val="TableText"/>
              <w:spacing w:before="38" w:after="38"/>
              <w:jc w:val="right"/>
              <w:rPr>
                <w:sz w:val="13"/>
                <w:szCs w:val="13"/>
              </w:rPr>
            </w:pPr>
            <w:r w:rsidRPr="0047058F">
              <w:rPr>
                <w:sz w:val="13"/>
                <w:szCs w:val="13"/>
              </w:rPr>
              <w:t>2.78 (1.91–4.04)</w:t>
            </w:r>
          </w:p>
        </w:tc>
        <w:tc>
          <w:tcPr>
            <w:tcW w:w="986" w:type="dxa"/>
          </w:tcPr>
          <w:p w14:paraId="134A2B78" w14:textId="77777777" w:rsidR="006D5661" w:rsidRPr="0047058F" w:rsidRDefault="006D5661" w:rsidP="00C91013">
            <w:pPr>
              <w:pStyle w:val="TableText"/>
              <w:spacing w:before="38" w:after="38"/>
              <w:jc w:val="right"/>
              <w:rPr>
                <w:sz w:val="13"/>
                <w:szCs w:val="13"/>
              </w:rPr>
            </w:pPr>
            <w:r w:rsidRPr="0047058F">
              <w:rPr>
                <w:sz w:val="13"/>
                <w:szCs w:val="13"/>
              </w:rPr>
              <w:t>2.14 (1.43–3.18)</w:t>
            </w:r>
          </w:p>
        </w:tc>
        <w:tc>
          <w:tcPr>
            <w:tcW w:w="657" w:type="dxa"/>
          </w:tcPr>
          <w:p w14:paraId="1F72526B" w14:textId="77777777" w:rsidR="006D5661" w:rsidRPr="0047058F" w:rsidRDefault="006D5661" w:rsidP="00C91013">
            <w:pPr>
              <w:pStyle w:val="TableText"/>
              <w:spacing w:before="38" w:after="38"/>
              <w:jc w:val="right"/>
              <w:rPr>
                <w:sz w:val="13"/>
                <w:szCs w:val="13"/>
              </w:rPr>
            </w:pPr>
          </w:p>
        </w:tc>
        <w:tc>
          <w:tcPr>
            <w:tcW w:w="657" w:type="dxa"/>
          </w:tcPr>
          <w:p w14:paraId="7FD092B5" w14:textId="77777777" w:rsidR="006D5661" w:rsidRPr="0047058F" w:rsidRDefault="006D5661" w:rsidP="00C91013">
            <w:pPr>
              <w:pStyle w:val="TableText"/>
              <w:spacing w:before="38" w:after="38"/>
              <w:jc w:val="right"/>
              <w:rPr>
                <w:sz w:val="13"/>
                <w:szCs w:val="13"/>
              </w:rPr>
            </w:pPr>
          </w:p>
        </w:tc>
      </w:tr>
      <w:tr w:rsidR="003454A7" w:rsidRPr="0047058F" w14:paraId="06CF5FE9"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1720" w:type="dxa"/>
            <w:tcBorders>
              <w:bottom w:val="single" w:sz="4" w:space="0" w:color="000000"/>
            </w:tcBorders>
          </w:tcPr>
          <w:p w14:paraId="3086FDCA" w14:textId="77777777" w:rsidR="006D5661" w:rsidRPr="0047058F" w:rsidRDefault="006D5661" w:rsidP="00C91013">
            <w:pPr>
              <w:pStyle w:val="TableText"/>
              <w:spacing w:before="38" w:after="38"/>
            </w:pPr>
            <w:r w:rsidRPr="0047058F">
              <w:t>Resilience (mean)</w:t>
            </w:r>
          </w:p>
        </w:tc>
        <w:tc>
          <w:tcPr>
            <w:tcW w:w="436" w:type="dxa"/>
            <w:tcBorders>
              <w:bottom w:val="single" w:sz="4" w:space="0" w:color="000000"/>
            </w:tcBorders>
          </w:tcPr>
          <w:p w14:paraId="45C2F4BE" w14:textId="77777777" w:rsidR="006D5661" w:rsidRPr="0047058F" w:rsidRDefault="006D5661" w:rsidP="00C91013">
            <w:pPr>
              <w:pStyle w:val="TableText"/>
              <w:spacing w:before="38" w:after="38"/>
              <w:jc w:val="right"/>
              <w:rPr>
                <w:sz w:val="13"/>
                <w:szCs w:val="13"/>
              </w:rPr>
            </w:pPr>
            <w:r w:rsidRPr="0047058F">
              <w:rPr>
                <w:rFonts w:cs="Arial"/>
                <w:sz w:val="13"/>
                <w:szCs w:val="13"/>
              </w:rPr>
              <w:t>747</w:t>
            </w:r>
          </w:p>
        </w:tc>
        <w:tc>
          <w:tcPr>
            <w:tcW w:w="1080" w:type="dxa"/>
            <w:tcBorders>
              <w:bottom w:val="single" w:sz="4" w:space="0" w:color="000000"/>
            </w:tcBorders>
          </w:tcPr>
          <w:p w14:paraId="6333E600" w14:textId="77777777" w:rsidR="006D5661" w:rsidRPr="0047058F" w:rsidRDefault="006D5661" w:rsidP="00C91013">
            <w:pPr>
              <w:pStyle w:val="TableText"/>
              <w:spacing w:before="38" w:after="38"/>
              <w:jc w:val="right"/>
              <w:rPr>
                <w:sz w:val="13"/>
                <w:szCs w:val="13"/>
              </w:rPr>
            </w:pPr>
            <w:r w:rsidRPr="0047058F">
              <w:rPr>
                <w:rFonts w:cs="Arial"/>
                <w:sz w:val="13"/>
                <w:szCs w:val="13"/>
              </w:rPr>
              <w:t>6.55 (0.05)</w:t>
            </w:r>
          </w:p>
        </w:tc>
        <w:tc>
          <w:tcPr>
            <w:tcW w:w="450" w:type="dxa"/>
            <w:tcBorders>
              <w:bottom w:val="single" w:sz="4" w:space="0" w:color="000000"/>
            </w:tcBorders>
          </w:tcPr>
          <w:p w14:paraId="590B8B0E" w14:textId="77777777" w:rsidR="006D5661" w:rsidRPr="0047058F" w:rsidRDefault="006D5661" w:rsidP="00C91013">
            <w:pPr>
              <w:pStyle w:val="TableText"/>
              <w:spacing w:before="38" w:after="38"/>
              <w:jc w:val="right"/>
              <w:rPr>
                <w:sz w:val="13"/>
                <w:szCs w:val="13"/>
              </w:rPr>
            </w:pPr>
            <w:r w:rsidRPr="0047058F">
              <w:rPr>
                <w:rFonts w:cs="Arial"/>
                <w:sz w:val="13"/>
                <w:szCs w:val="13"/>
              </w:rPr>
              <w:t>649</w:t>
            </w:r>
          </w:p>
        </w:tc>
        <w:tc>
          <w:tcPr>
            <w:tcW w:w="990" w:type="dxa"/>
            <w:tcBorders>
              <w:bottom w:val="single" w:sz="4" w:space="0" w:color="000000"/>
            </w:tcBorders>
          </w:tcPr>
          <w:p w14:paraId="2AE277FF" w14:textId="77777777" w:rsidR="006D5661" w:rsidRPr="0047058F" w:rsidRDefault="006D5661" w:rsidP="00C91013">
            <w:pPr>
              <w:pStyle w:val="TableText"/>
              <w:spacing w:before="38" w:after="38"/>
              <w:jc w:val="right"/>
              <w:rPr>
                <w:sz w:val="13"/>
                <w:szCs w:val="13"/>
              </w:rPr>
            </w:pPr>
            <w:r w:rsidRPr="0047058F">
              <w:rPr>
                <w:rFonts w:cs="Arial"/>
                <w:sz w:val="13"/>
                <w:szCs w:val="13"/>
              </w:rPr>
              <w:t>6.33 (0.05)</w:t>
            </w:r>
          </w:p>
        </w:tc>
        <w:tc>
          <w:tcPr>
            <w:tcW w:w="450" w:type="dxa"/>
            <w:tcBorders>
              <w:bottom w:val="single" w:sz="4" w:space="0" w:color="000000"/>
            </w:tcBorders>
          </w:tcPr>
          <w:p w14:paraId="4D22384B" w14:textId="77777777" w:rsidR="006D5661" w:rsidRPr="0047058F" w:rsidRDefault="006D5661" w:rsidP="00C91013">
            <w:pPr>
              <w:pStyle w:val="TableText"/>
              <w:spacing w:before="38" w:after="38"/>
              <w:jc w:val="right"/>
              <w:rPr>
                <w:sz w:val="13"/>
                <w:szCs w:val="13"/>
              </w:rPr>
            </w:pPr>
            <w:r w:rsidRPr="0047058F">
              <w:rPr>
                <w:rFonts w:cs="Arial"/>
                <w:sz w:val="13"/>
                <w:szCs w:val="13"/>
              </w:rPr>
              <w:t>341</w:t>
            </w:r>
          </w:p>
        </w:tc>
        <w:tc>
          <w:tcPr>
            <w:tcW w:w="990" w:type="dxa"/>
            <w:tcBorders>
              <w:bottom w:val="single" w:sz="4" w:space="0" w:color="000000"/>
            </w:tcBorders>
          </w:tcPr>
          <w:p w14:paraId="34D67A1A" w14:textId="77777777" w:rsidR="006D5661" w:rsidRPr="0047058F" w:rsidRDefault="006D5661" w:rsidP="00C91013">
            <w:pPr>
              <w:pStyle w:val="TableText"/>
              <w:spacing w:before="38" w:after="38"/>
              <w:jc w:val="right"/>
              <w:rPr>
                <w:sz w:val="13"/>
                <w:szCs w:val="13"/>
              </w:rPr>
            </w:pPr>
            <w:r w:rsidRPr="0047058F">
              <w:rPr>
                <w:rFonts w:cs="Arial"/>
                <w:sz w:val="13"/>
                <w:szCs w:val="13"/>
              </w:rPr>
              <w:t>6.36 (0.08)</w:t>
            </w:r>
          </w:p>
        </w:tc>
        <w:tc>
          <w:tcPr>
            <w:tcW w:w="1074" w:type="dxa"/>
            <w:tcBorders>
              <w:bottom w:val="single" w:sz="4" w:space="0" w:color="000000"/>
            </w:tcBorders>
          </w:tcPr>
          <w:p w14:paraId="2316FDA8" w14:textId="77777777" w:rsidR="006D5661" w:rsidRPr="0047058F" w:rsidRDefault="006D5661" w:rsidP="00C91013">
            <w:pPr>
              <w:pStyle w:val="TableText"/>
              <w:spacing w:before="38" w:after="38"/>
              <w:jc w:val="right"/>
              <w:rPr>
                <w:sz w:val="13"/>
                <w:szCs w:val="13"/>
              </w:rPr>
            </w:pPr>
            <w:r w:rsidRPr="0047058F">
              <w:rPr>
                <w:sz w:val="13"/>
                <w:szCs w:val="13"/>
              </w:rPr>
              <w:t>0.88 (0.81–0.95)</w:t>
            </w:r>
          </w:p>
        </w:tc>
        <w:tc>
          <w:tcPr>
            <w:tcW w:w="986" w:type="dxa"/>
            <w:tcBorders>
              <w:bottom w:val="single" w:sz="4" w:space="0" w:color="000000"/>
            </w:tcBorders>
          </w:tcPr>
          <w:p w14:paraId="440DD113" w14:textId="77777777" w:rsidR="006D5661" w:rsidRPr="0047058F" w:rsidRDefault="006D5661" w:rsidP="00C91013">
            <w:pPr>
              <w:pStyle w:val="TableText"/>
              <w:spacing w:before="38" w:after="38"/>
              <w:jc w:val="right"/>
              <w:rPr>
                <w:sz w:val="13"/>
                <w:szCs w:val="13"/>
              </w:rPr>
            </w:pPr>
            <w:r w:rsidRPr="0047058F">
              <w:rPr>
                <w:sz w:val="13"/>
                <w:szCs w:val="13"/>
              </w:rPr>
              <w:t>0.86 (0.79–0.95)</w:t>
            </w:r>
          </w:p>
        </w:tc>
        <w:tc>
          <w:tcPr>
            <w:tcW w:w="986" w:type="dxa"/>
            <w:tcBorders>
              <w:bottom w:val="single" w:sz="4" w:space="0" w:color="000000"/>
            </w:tcBorders>
          </w:tcPr>
          <w:p w14:paraId="611AA4D6" w14:textId="77777777" w:rsidR="006D5661" w:rsidRPr="0047058F" w:rsidRDefault="006D5661" w:rsidP="00C91013">
            <w:pPr>
              <w:pStyle w:val="TableText"/>
              <w:spacing w:before="38" w:after="38"/>
              <w:jc w:val="right"/>
              <w:rPr>
                <w:sz w:val="13"/>
                <w:szCs w:val="13"/>
              </w:rPr>
            </w:pPr>
            <w:r w:rsidRPr="0047058F">
              <w:rPr>
                <w:sz w:val="13"/>
                <w:szCs w:val="13"/>
              </w:rPr>
              <w:t>0.87 (0.79–0.97)</w:t>
            </w:r>
          </w:p>
        </w:tc>
        <w:tc>
          <w:tcPr>
            <w:tcW w:w="986" w:type="dxa"/>
            <w:tcBorders>
              <w:bottom w:val="single" w:sz="4" w:space="0" w:color="000000"/>
            </w:tcBorders>
          </w:tcPr>
          <w:p w14:paraId="563284E6" w14:textId="77777777" w:rsidR="006D5661" w:rsidRPr="0047058F" w:rsidRDefault="006D5661" w:rsidP="00C91013">
            <w:pPr>
              <w:pStyle w:val="TableText"/>
              <w:spacing w:before="38" w:after="38"/>
              <w:jc w:val="right"/>
              <w:rPr>
                <w:sz w:val="13"/>
                <w:szCs w:val="13"/>
              </w:rPr>
            </w:pPr>
            <w:r w:rsidRPr="0047058F">
              <w:rPr>
                <w:sz w:val="13"/>
                <w:szCs w:val="13"/>
              </w:rPr>
              <w:t>0.88 (0.79–0.98)</w:t>
            </w:r>
          </w:p>
        </w:tc>
        <w:tc>
          <w:tcPr>
            <w:tcW w:w="657" w:type="dxa"/>
            <w:tcBorders>
              <w:bottom w:val="single" w:sz="4" w:space="0" w:color="000000"/>
            </w:tcBorders>
          </w:tcPr>
          <w:p w14:paraId="6B215F9E" w14:textId="77777777" w:rsidR="006D5661" w:rsidRPr="0047058F" w:rsidRDefault="006D5661" w:rsidP="00C91013">
            <w:pPr>
              <w:pStyle w:val="TableText"/>
              <w:spacing w:before="38" w:after="38"/>
              <w:jc w:val="right"/>
              <w:rPr>
                <w:sz w:val="13"/>
                <w:szCs w:val="13"/>
              </w:rPr>
            </w:pPr>
            <w:r w:rsidRPr="0047058F">
              <w:rPr>
                <w:sz w:val="13"/>
                <w:szCs w:val="13"/>
              </w:rPr>
              <w:t>0.0033</w:t>
            </w:r>
          </w:p>
        </w:tc>
        <w:tc>
          <w:tcPr>
            <w:tcW w:w="657" w:type="dxa"/>
            <w:tcBorders>
              <w:bottom w:val="single" w:sz="4" w:space="0" w:color="000000"/>
            </w:tcBorders>
          </w:tcPr>
          <w:p w14:paraId="7A5E1819" w14:textId="77777777" w:rsidR="006D5661" w:rsidRPr="0047058F" w:rsidRDefault="006D5661" w:rsidP="00C91013">
            <w:pPr>
              <w:pStyle w:val="TableText"/>
              <w:spacing w:before="38" w:after="38"/>
              <w:jc w:val="right"/>
              <w:rPr>
                <w:sz w:val="13"/>
                <w:szCs w:val="13"/>
              </w:rPr>
            </w:pPr>
            <w:r w:rsidRPr="0047058F">
              <w:rPr>
                <w:rFonts w:cs="Arial"/>
                <w:sz w:val="13"/>
                <w:szCs w:val="13"/>
              </w:rPr>
              <w:t>0.0042</w:t>
            </w:r>
          </w:p>
        </w:tc>
      </w:tr>
      <w:tr w:rsidR="00C91013" w:rsidRPr="0047058F" w14:paraId="6072EC2C" w14:textId="77777777" w:rsidTr="0047058F">
        <w:trPr>
          <w:cantSplit/>
        </w:trPr>
        <w:tc>
          <w:tcPr>
            <w:tcW w:w="11462" w:type="dxa"/>
            <w:gridSpan w:val="13"/>
            <w:tcBorders>
              <w:top w:val="single" w:sz="4" w:space="0" w:color="000000"/>
              <w:bottom w:val="nil"/>
            </w:tcBorders>
          </w:tcPr>
          <w:p w14:paraId="5C9F259D" w14:textId="77777777" w:rsidR="00C91013" w:rsidRPr="0047058F" w:rsidRDefault="00C91013" w:rsidP="00C91013">
            <w:pPr>
              <w:pStyle w:val="TableText"/>
              <w:spacing w:before="38" w:after="38"/>
              <w:rPr>
                <w:sz w:val="13"/>
                <w:szCs w:val="13"/>
              </w:rPr>
            </w:pPr>
            <w:r w:rsidRPr="0047058F">
              <w:rPr>
                <w:b/>
                <w:color w:val="auto"/>
              </w:rPr>
              <w:t>Help seeking (time point 1)</w:t>
            </w:r>
          </w:p>
        </w:tc>
      </w:tr>
      <w:tr w:rsidR="003454A7" w:rsidRPr="0047058F" w14:paraId="46B78284"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1720" w:type="dxa"/>
            <w:tcBorders>
              <w:top w:val="nil"/>
            </w:tcBorders>
          </w:tcPr>
          <w:p w14:paraId="33DB42A8" w14:textId="77777777" w:rsidR="006D5661" w:rsidRPr="0047058F" w:rsidRDefault="006D5661" w:rsidP="00C91013">
            <w:pPr>
              <w:pStyle w:val="TableText"/>
              <w:spacing w:before="38" w:after="38"/>
            </w:pPr>
            <w:r w:rsidRPr="0047058F">
              <w:t>Seen any health professional in last month for feelings of psychological distress</w:t>
            </w:r>
          </w:p>
        </w:tc>
        <w:tc>
          <w:tcPr>
            <w:tcW w:w="436" w:type="dxa"/>
            <w:tcBorders>
              <w:top w:val="nil"/>
            </w:tcBorders>
          </w:tcPr>
          <w:p w14:paraId="7D98E55E" w14:textId="77777777" w:rsidR="006D5661" w:rsidRPr="0047058F" w:rsidRDefault="006D5661" w:rsidP="00C91013">
            <w:pPr>
              <w:pStyle w:val="TableText"/>
              <w:spacing w:before="38" w:after="38"/>
              <w:jc w:val="right"/>
              <w:rPr>
                <w:sz w:val="13"/>
                <w:szCs w:val="13"/>
              </w:rPr>
            </w:pPr>
          </w:p>
        </w:tc>
        <w:tc>
          <w:tcPr>
            <w:tcW w:w="1080" w:type="dxa"/>
            <w:tcBorders>
              <w:top w:val="nil"/>
            </w:tcBorders>
          </w:tcPr>
          <w:p w14:paraId="6DA44C25"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530A112A"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44415D7C" w14:textId="77777777" w:rsidR="006D5661" w:rsidRPr="0047058F" w:rsidRDefault="006D5661" w:rsidP="00C91013">
            <w:pPr>
              <w:pStyle w:val="TableText"/>
              <w:spacing w:before="38" w:after="38"/>
              <w:jc w:val="right"/>
              <w:rPr>
                <w:sz w:val="13"/>
                <w:szCs w:val="13"/>
              </w:rPr>
            </w:pPr>
          </w:p>
        </w:tc>
        <w:tc>
          <w:tcPr>
            <w:tcW w:w="450" w:type="dxa"/>
            <w:tcBorders>
              <w:top w:val="nil"/>
            </w:tcBorders>
          </w:tcPr>
          <w:p w14:paraId="1AAC4719" w14:textId="77777777" w:rsidR="006D5661" w:rsidRPr="0047058F" w:rsidRDefault="006D5661" w:rsidP="00C91013">
            <w:pPr>
              <w:pStyle w:val="TableText"/>
              <w:spacing w:before="38" w:after="38"/>
              <w:jc w:val="right"/>
              <w:rPr>
                <w:sz w:val="13"/>
                <w:szCs w:val="13"/>
              </w:rPr>
            </w:pPr>
          </w:p>
        </w:tc>
        <w:tc>
          <w:tcPr>
            <w:tcW w:w="990" w:type="dxa"/>
            <w:tcBorders>
              <w:top w:val="nil"/>
            </w:tcBorders>
          </w:tcPr>
          <w:p w14:paraId="5E3056E2" w14:textId="77777777" w:rsidR="006D5661" w:rsidRPr="0047058F" w:rsidRDefault="006D5661" w:rsidP="00C91013">
            <w:pPr>
              <w:pStyle w:val="TableText"/>
              <w:spacing w:before="38" w:after="38"/>
              <w:jc w:val="right"/>
              <w:rPr>
                <w:sz w:val="13"/>
                <w:szCs w:val="13"/>
              </w:rPr>
            </w:pPr>
          </w:p>
        </w:tc>
        <w:tc>
          <w:tcPr>
            <w:tcW w:w="1074" w:type="dxa"/>
            <w:tcBorders>
              <w:top w:val="nil"/>
            </w:tcBorders>
          </w:tcPr>
          <w:p w14:paraId="7F81FCE8"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38D04432"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28D50C01" w14:textId="77777777" w:rsidR="006D5661" w:rsidRPr="0047058F" w:rsidRDefault="006D5661" w:rsidP="00C91013">
            <w:pPr>
              <w:pStyle w:val="TableText"/>
              <w:spacing w:before="38" w:after="38"/>
              <w:jc w:val="right"/>
              <w:rPr>
                <w:sz w:val="13"/>
                <w:szCs w:val="13"/>
              </w:rPr>
            </w:pPr>
          </w:p>
        </w:tc>
        <w:tc>
          <w:tcPr>
            <w:tcW w:w="986" w:type="dxa"/>
            <w:tcBorders>
              <w:top w:val="nil"/>
            </w:tcBorders>
          </w:tcPr>
          <w:p w14:paraId="103A540A" w14:textId="77777777" w:rsidR="006D5661" w:rsidRPr="0047058F" w:rsidRDefault="006D5661" w:rsidP="00C91013">
            <w:pPr>
              <w:pStyle w:val="TableText"/>
              <w:spacing w:before="38" w:after="38"/>
              <w:jc w:val="right"/>
              <w:rPr>
                <w:sz w:val="13"/>
                <w:szCs w:val="13"/>
              </w:rPr>
            </w:pPr>
          </w:p>
        </w:tc>
        <w:tc>
          <w:tcPr>
            <w:tcW w:w="657" w:type="dxa"/>
            <w:tcBorders>
              <w:top w:val="nil"/>
            </w:tcBorders>
          </w:tcPr>
          <w:p w14:paraId="28B6B6A9" w14:textId="77777777" w:rsidR="006D5661" w:rsidRPr="0047058F" w:rsidRDefault="006D5661" w:rsidP="00C91013">
            <w:pPr>
              <w:pStyle w:val="TableText"/>
              <w:spacing w:before="38" w:after="38"/>
              <w:jc w:val="right"/>
              <w:rPr>
                <w:sz w:val="13"/>
                <w:szCs w:val="13"/>
              </w:rPr>
            </w:pPr>
            <w:r w:rsidRPr="0047058F">
              <w:rPr>
                <w:sz w:val="13"/>
                <w:szCs w:val="13"/>
              </w:rPr>
              <w:t>ns</w:t>
            </w:r>
          </w:p>
        </w:tc>
        <w:tc>
          <w:tcPr>
            <w:tcW w:w="657" w:type="dxa"/>
            <w:tcBorders>
              <w:top w:val="nil"/>
            </w:tcBorders>
          </w:tcPr>
          <w:p w14:paraId="048A3FA0" w14:textId="77777777" w:rsidR="006D5661" w:rsidRPr="0047058F" w:rsidRDefault="006D5661" w:rsidP="00C91013">
            <w:pPr>
              <w:pStyle w:val="TableText"/>
              <w:spacing w:before="38" w:after="38"/>
              <w:jc w:val="right"/>
              <w:rPr>
                <w:sz w:val="13"/>
                <w:szCs w:val="13"/>
              </w:rPr>
            </w:pPr>
            <w:r w:rsidRPr="0047058F">
              <w:rPr>
                <w:sz w:val="13"/>
                <w:szCs w:val="13"/>
              </w:rPr>
              <w:t>–</w:t>
            </w:r>
          </w:p>
        </w:tc>
      </w:tr>
      <w:tr w:rsidR="003454A7" w:rsidRPr="0047058F" w14:paraId="0B5721BF" w14:textId="77777777" w:rsidTr="003454A7">
        <w:trPr>
          <w:cantSplit/>
        </w:trPr>
        <w:tc>
          <w:tcPr>
            <w:tcW w:w="1720" w:type="dxa"/>
          </w:tcPr>
          <w:p w14:paraId="0916CDEF" w14:textId="77777777" w:rsidR="006D5661" w:rsidRPr="0047058F" w:rsidRDefault="006D5661" w:rsidP="00C91013">
            <w:pPr>
              <w:pStyle w:val="TableText"/>
              <w:spacing w:before="38" w:after="38"/>
              <w:ind w:left="144"/>
              <w:rPr>
                <w:rFonts w:eastAsia="Cambria" w:cs="Arial"/>
              </w:rPr>
            </w:pPr>
            <w:r w:rsidRPr="0047058F">
              <w:rPr>
                <w:rFonts w:eastAsia="Cambria" w:cs="Arial"/>
              </w:rPr>
              <w:t>No</w:t>
            </w:r>
          </w:p>
        </w:tc>
        <w:tc>
          <w:tcPr>
            <w:tcW w:w="436" w:type="dxa"/>
          </w:tcPr>
          <w:p w14:paraId="4AE70458" w14:textId="77777777" w:rsidR="006D5661" w:rsidRPr="0047058F" w:rsidRDefault="006D5661" w:rsidP="00C91013">
            <w:pPr>
              <w:pStyle w:val="TableText"/>
              <w:spacing w:before="38" w:after="38"/>
              <w:jc w:val="right"/>
              <w:rPr>
                <w:sz w:val="13"/>
                <w:szCs w:val="13"/>
              </w:rPr>
            </w:pPr>
            <w:r w:rsidRPr="0047058F">
              <w:rPr>
                <w:rFonts w:cs="Arial"/>
                <w:sz w:val="13"/>
                <w:szCs w:val="13"/>
              </w:rPr>
              <w:t>647</w:t>
            </w:r>
          </w:p>
        </w:tc>
        <w:tc>
          <w:tcPr>
            <w:tcW w:w="1080" w:type="dxa"/>
          </w:tcPr>
          <w:p w14:paraId="1B9E787E" w14:textId="77777777" w:rsidR="006D5661" w:rsidRPr="0047058F" w:rsidRDefault="006D5661" w:rsidP="00C91013">
            <w:pPr>
              <w:pStyle w:val="TableText"/>
              <w:spacing w:before="38" w:after="38"/>
              <w:jc w:val="right"/>
              <w:rPr>
                <w:sz w:val="13"/>
                <w:szCs w:val="13"/>
              </w:rPr>
            </w:pPr>
            <w:r w:rsidRPr="0047058F">
              <w:rPr>
                <w:rFonts w:cs="Arial"/>
                <w:sz w:val="13"/>
                <w:szCs w:val="13"/>
              </w:rPr>
              <w:t>43.7 (29.0–58.4)</w:t>
            </w:r>
          </w:p>
        </w:tc>
        <w:tc>
          <w:tcPr>
            <w:tcW w:w="450" w:type="dxa"/>
          </w:tcPr>
          <w:p w14:paraId="2981290E" w14:textId="77777777" w:rsidR="006D5661" w:rsidRPr="0047058F" w:rsidRDefault="006D5661" w:rsidP="00C91013">
            <w:pPr>
              <w:pStyle w:val="TableText"/>
              <w:spacing w:before="38" w:after="38"/>
              <w:jc w:val="right"/>
              <w:rPr>
                <w:sz w:val="13"/>
                <w:szCs w:val="13"/>
              </w:rPr>
            </w:pPr>
            <w:r w:rsidRPr="0047058F">
              <w:rPr>
                <w:rFonts w:cs="Arial"/>
                <w:sz w:val="13"/>
                <w:szCs w:val="13"/>
              </w:rPr>
              <w:t>545</w:t>
            </w:r>
          </w:p>
        </w:tc>
        <w:tc>
          <w:tcPr>
            <w:tcW w:w="990" w:type="dxa"/>
          </w:tcPr>
          <w:p w14:paraId="5B10C92A" w14:textId="77777777" w:rsidR="006D5661" w:rsidRPr="0047058F" w:rsidRDefault="006D5661" w:rsidP="00C91013">
            <w:pPr>
              <w:pStyle w:val="TableText"/>
              <w:spacing w:before="38" w:after="38"/>
              <w:jc w:val="right"/>
              <w:rPr>
                <w:sz w:val="13"/>
                <w:szCs w:val="13"/>
              </w:rPr>
            </w:pPr>
            <w:r w:rsidRPr="0047058F">
              <w:rPr>
                <w:rFonts w:cs="Arial"/>
                <w:sz w:val="13"/>
                <w:szCs w:val="13"/>
              </w:rPr>
              <w:t>36.8 (21.2–52.4)</w:t>
            </w:r>
          </w:p>
        </w:tc>
        <w:tc>
          <w:tcPr>
            <w:tcW w:w="450" w:type="dxa"/>
          </w:tcPr>
          <w:p w14:paraId="2E022A40" w14:textId="77777777" w:rsidR="006D5661" w:rsidRPr="0047058F" w:rsidRDefault="006D5661" w:rsidP="00C91013">
            <w:pPr>
              <w:pStyle w:val="TableText"/>
              <w:spacing w:before="38" w:after="38"/>
              <w:jc w:val="right"/>
              <w:rPr>
                <w:sz w:val="13"/>
                <w:szCs w:val="13"/>
              </w:rPr>
            </w:pPr>
            <w:r w:rsidRPr="0047058F">
              <w:rPr>
                <w:rFonts w:cs="Arial"/>
                <w:sz w:val="13"/>
                <w:szCs w:val="13"/>
              </w:rPr>
              <w:t>289</w:t>
            </w:r>
          </w:p>
        </w:tc>
        <w:tc>
          <w:tcPr>
            <w:tcW w:w="990" w:type="dxa"/>
          </w:tcPr>
          <w:p w14:paraId="241B927F" w14:textId="77777777" w:rsidR="006D5661" w:rsidRPr="0047058F" w:rsidRDefault="006D5661" w:rsidP="00C91013">
            <w:pPr>
              <w:pStyle w:val="TableText"/>
              <w:spacing w:before="38" w:after="38"/>
              <w:jc w:val="right"/>
              <w:rPr>
                <w:sz w:val="13"/>
                <w:szCs w:val="13"/>
              </w:rPr>
            </w:pPr>
            <w:r w:rsidRPr="0047058F">
              <w:rPr>
                <w:rFonts w:cs="Arial"/>
                <w:sz w:val="13"/>
                <w:szCs w:val="13"/>
              </w:rPr>
              <w:t>19.5 (1.9–37.1)</w:t>
            </w:r>
          </w:p>
        </w:tc>
        <w:tc>
          <w:tcPr>
            <w:tcW w:w="1074" w:type="dxa"/>
          </w:tcPr>
          <w:p w14:paraId="50CFE349"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524F367E"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43EA6AD9" w14:textId="77777777" w:rsidR="006D5661" w:rsidRPr="0047058F" w:rsidRDefault="006D5661" w:rsidP="00C91013">
            <w:pPr>
              <w:pStyle w:val="TableText"/>
              <w:spacing w:before="38" w:after="38"/>
              <w:jc w:val="right"/>
              <w:rPr>
                <w:sz w:val="13"/>
                <w:szCs w:val="13"/>
              </w:rPr>
            </w:pPr>
            <w:r w:rsidRPr="0047058F">
              <w:rPr>
                <w:sz w:val="13"/>
                <w:szCs w:val="13"/>
              </w:rPr>
              <w:t>ref</w:t>
            </w:r>
          </w:p>
        </w:tc>
        <w:tc>
          <w:tcPr>
            <w:tcW w:w="986" w:type="dxa"/>
          </w:tcPr>
          <w:p w14:paraId="1311CFF7"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2D63F4FF" w14:textId="77777777" w:rsidR="006D5661" w:rsidRPr="0047058F" w:rsidRDefault="006D5661" w:rsidP="00C91013">
            <w:pPr>
              <w:pStyle w:val="TableText"/>
              <w:spacing w:before="38" w:after="38"/>
              <w:jc w:val="right"/>
              <w:rPr>
                <w:sz w:val="13"/>
                <w:szCs w:val="13"/>
              </w:rPr>
            </w:pPr>
          </w:p>
        </w:tc>
        <w:tc>
          <w:tcPr>
            <w:tcW w:w="657" w:type="dxa"/>
          </w:tcPr>
          <w:p w14:paraId="6EBAB24D" w14:textId="77777777" w:rsidR="006D5661" w:rsidRPr="0047058F" w:rsidRDefault="006D5661" w:rsidP="00C91013">
            <w:pPr>
              <w:pStyle w:val="TableText"/>
              <w:spacing w:before="38" w:after="38"/>
              <w:jc w:val="right"/>
              <w:rPr>
                <w:sz w:val="13"/>
                <w:szCs w:val="13"/>
              </w:rPr>
            </w:pPr>
          </w:p>
        </w:tc>
      </w:tr>
      <w:tr w:rsidR="003454A7" w:rsidRPr="0047058F" w14:paraId="7005F62C"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28B653E9" w14:textId="77777777" w:rsidR="006D5661" w:rsidRPr="0047058F" w:rsidRDefault="006D5661" w:rsidP="00C91013">
            <w:pPr>
              <w:pStyle w:val="TableText"/>
              <w:spacing w:before="38" w:after="38"/>
              <w:ind w:left="144"/>
              <w:rPr>
                <w:rFonts w:eastAsiaTheme="minorEastAsia"/>
              </w:rPr>
            </w:pPr>
            <w:r w:rsidRPr="0047058F">
              <w:rPr>
                <w:rFonts w:eastAsiaTheme="minorEastAsia"/>
              </w:rPr>
              <w:t>Yes</w:t>
            </w:r>
          </w:p>
        </w:tc>
        <w:tc>
          <w:tcPr>
            <w:tcW w:w="436" w:type="dxa"/>
          </w:tcPr>
          <w:p w14:paraId="75BDDBF8" w14:textId="77777777" w:rsidR="006D5661" w:rsidRPr="0047058F" w:rsidRDefault="006D5661" w:rsidP="00C91013">
            <w:pPr>
              <w:pStyle w:val="TableText"/>
              <w:spacing w:before="38" w:after="38"/>
              <w:jc w:val="right"/>
              <w:rPr>
                <w:sz w:val="13"/>
                <w:szCs w:val="13"/>
              </w:rPr>
            </w:pPr>
            <w:r w:rsidRPr="0047058F">
              <w:rPr>
                <w:rFonts w:cs="Arial"/>
                <w:sz w:val="13"/>
                <w:szCs w:val="13"/>
              </w:rPr>
              <w:t>100</w:t>
            </w:r>
          </w:p>
        </w:tc>
        <w:tc>
          <w:tcPr>
            <w:tcW w:w="1080" w:type="dxa"/>
          </w:tcPr>
          <w:p w14:paraId="0FACC07E" w14:textId="77777777" w:rsidR="006D5661" w:rsidRPr="0047058F" w:rsidRDefault="006D5661" w:rsidP="00C91013">
            <w:pPr>
              <w:pStyle w:val="TableText"/>
              <w:spacing w:before="38" w:after="38"/>
              <w:jc w:val="right"/>
              <w:rPr>
                <w:sz w:val="13"/>
                <w:szCs w:val="13"/>
              </w:rPr>
            </w:pPr>
            <w:r w:rsidRPr="0047058F">
              <w:rPr>
                <w:rFonts w:cs="Arial"/>
                <w:sz w:val="13"/>
                <w:szCs w:val="13"/>
              </w:rPr>
              <w:t>39.1 (23.8–54.4)</w:t>
            </w:r>
          </w:p>
        </w:tc>
        <w:tc>
          <w:tcPr>
            <w:tcW w:w="450" w:type="dxa"/>
          </w:tcPr>
          <w:p w14:paraId="71615DF0" w14:textId="77777777" w:rsidR="006D5661" w:rsidRPr="0047058F" w:rsidRDefault="006D5661" w:rsidP="00C91013">
            <w:pPr>
              <w:pStyle w:val="TableText"/>
              <w:spacing w:before="38" w:after="38"/>
              <w:jc w:val="right"/>
              <w:rPr>
                <w:sz w:val="13"/>
                <w:szCs w:val="13"/>
              </w:rPr>
            </w:pPr>
            <w:r w:rsidRPr="0047058F">
              <w:rPr>
                <w:rFonts w:cs="Arial"/>
                <w:sz w:val="13"/>
                <w:szCs w:val="13"/>
              </w:rPr>
              <w:t>104</w:t>
            </w:r>
          </w:p>
        </w:tc>
        <w:tc>
          <w:tcPr>
            <w:tcW w:w="990" w:type="dxa"/>
          </w:tcPr>
          <w:p w14:paraId="3F5DBAEC" w14:textId="77777777" w:rsidR="006D5661" w:rsidRPr="0047058F" w:rsidRDefault="006D5661" w:rsidP="00C91013">
            <w:pPr>
              <w:pStyle w:val="TableText"/>
              <w:spacing w:before="38" w:after="38"/>
              <w:jc w:val="right"/>
              <w:rPr>
                <w:sz w:val="13"/>
                <w:szCs w:val="13"/>
              </w:rPr>
            </w:pPr>
            <w:r w:rsidRPr="0047058F">
              <w:rPr>
                <w:rFonts w:cs="Arial"/>
                <w:sz w:val="13"/>
                <w:szCs w:val="13"/>
              </w:rPr>
              <w:t>40.6 (25.5–55.7)</w:t>
            </w:r>
          </w:p>
        </w:tc>
        <w:tc>
          <w:tcPr>
            <w:tcW w:w="450" w:type="dxa"/>
          </w:tcPr>
          <w:p w14:paraId="09D8B798" w14:textId="77777777" w:rsidR="006D5661" w:rsidRPr="0047058F" w:rsidRDefault="006D5661" w:rsidP="00C91013">
            <w:pPr>
              <w:pStyle w:val="TableText"/>
              <w:spacing w:before="38" w:after="38"/>
              <w:jc w:val="right"/>
              <w:rPr>
                <w:sz w:val="13"/>
                <w:szCs w:val="13"/>
              </w:rPr>
            </w:pPr>
            <w:r w:rsidRPr="0047058F">
              <w:rPr>
                <w:rFonts w:cs="Arial"/>
                <w:sz w:val="13"/>
                <w:szCs w:val="13"/>
              </w:rPr>
              <w:t>52</w:t>
            </w:r>
          </w:p>
        </w:tc>
        <w:tc>
          <w:tcPr>
            <w:tcW w:w="990" w:type="dxa"/>
          </w:tcPr>
          <w:p w14:paraId="5A07FD1C" w14:textId="77777777" w:rsidR="006D5661" w:rsidRPr="0047058F" w:rsidRDefault="006D5661" w:rsidP="00C91013">
            <w:pPr>
              <w:pStyle w:val="TableText"/>
              <w:spacing w:before="38" w:after="38"/>
              <w:jc w:val="right"/>
              <w:rPr>
                <w:sz w:val="13"/>
                <w:szCs w:val="13"/>
              </w:rPr>
            </w:pPr>
            <w:r w:rsidRPr="0047058F">
              <w:rPr>
                <w:rFonts w:cs="Arial"/>
                <w:sz w:val="13"/>
                <w:szCs w:val="13"/>
              </w:rPr>
              <w:t>20.3 (2.8–37.8)</w:t>
            </w:r>
          </w:p>
        </w:tc>
        <w:tc>
          <w:tcPr>
            <w:tcW w:w="1074" w:type="dxa"/>
          </w:tcPr>
          <w:p w14:paraId="7F861287" w14:textId="77777777" w:rsidR="006D5661" w:rsidRPr="0047058F" w:rsidRDefault="006D5661" w:rsidP="00C91013">
            <w:pPr>
              <w:pStyle w:val="TableText"/>
              <w:spacing w:before="38" w:after="38"/>
              <w:jc w:val="right"/>
              <w:rPr>
                <w:sz w:val="13"/>
                <w:szCs w:val="13"/>
              </w:rPr>
            </w:pPr>
            <w:r w:rsidRPr="0047058F">
              <w:rPr>
                <w:sz w:val="13"/>
                <w:szCs w:val="13"/>
              </w:rPr>
              <w:t>1.30 (0.94–1.78)</w:t>
            </w:r>
          </w:p>
        </w:tc>
        <w:tc>
          <w:tcPr>
            <w:tcW w:w="986" w:type="dxa"/>
          </w:tcPr>
          <w:p w14:paraId="5581D2CE"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986" w:type="dxa"/>
          </w:tcPr>
          <w:p w14:paraId="70811C26" w14:textId="77777777" w:rsidR="006D5661" w:rsidRPr="0047058F" w:rsidRDefault="006D5661" w:rsidP="00C91013">
            <w:pPr>
              <w:pStyle w:val="TableText"/>
              <w:spacing w:before="38" w:after="38"/>
              <w:jc w:val="right"/>
              <w:rPr>
                <w:sz w:val="13"/>
                <w:szCs w:val="13"/>
              </w:rPr>
            </w:pPr>
            <w:r w:rsidRPr="0047058F">
              <w:rPr>
                <w:sz w:val="13"/>
                <w:szCs w:val="13"/>
              </w:rPr>
              <w:t>1.28 (0.87–1.87)</w:t>
            </w:r>
          </w:p>
        </w:tc>
        <w:tc>
          <w:tcPr>
            <w:tcW w:w="986" w:type="dxa"/>
          </w:tcPr>
          <w:p w14:paraId="2421CC8D" w14:textId="77777777" w:rsidR="006D5661" w:rsidRPr="0047058F" w:rsidRDefault="006D5661" w:rsidP="00C91013">
            <w:pPr>
              <w:pStyle w:val="TableText"/>
              <w:spacing w:before="38" w:after="38"/>
              <w:jc w:val="right"/>
              <w:rPr>
                <w:sz w:val="13"/>
                <w:szCs w:val="13"/>
              </w:rPr>
            </w:pPr>
            <w:r w:rsidRPr="0047058F">
              <w:rPr>
                <w:sz w:val="13"/>
                <w:szCs w:val="13"/>
              </w:rPr>
              <w:t>–</w:t>
            </w:r>
          </w:p>
        </w:tc>
        <w:tc>
          <w:tcPr>
            <w:tcW w:w="657" w:type="dxa"/>
          </w:tcPr>
          <w:p w14:paraId="3FB102AE" w14:textId="77777777" w:rsidR="006D5661" w:rsidRPr="0047058F" w:rsidRDefault="006D5661" w:rsidP="00C91013">
            <w:pPr>
              <w:pStyle w:val="TableText"/>
              <w:spacing w:before="38" w:after="38"/>
              <w:jc w:val="right"/>
              <w:rPr>
                <w:sz w:val="13"/>
                <w:szCs w:val="13"/>
              </w:rPr>
            </w:pPr>
          </w:p>
        </w:tc>
        <w:tc>
          <w:tcPr>
            <w:tcW w:w="657" w:type="dxa"/>
          </w:tcPr>
          <w:p w14:paraId="04C0B5AA" w14:textId="77777777" w:rsidR="006D5661" w:rsidRPr="0047058F" w:rsidRDefault="006D5661" w:rsidP="00C91013">
            <w:pPr>
              <w:pStyle w:val="TableText"/>
              <w:spacing w:before="38" w:after="38"/>
              <w:jc w:val="right"/>
              <w:rPr>
                <w:sz w:val="13"/>
                <w:szCs w:val="13"/>
              </w:rPr>
            </w:pPr>
          </w:p>
        </w:tc>
      </w:tr>
      <w:tr w:rsidR="00C91013" w:rsidRPr="0047058F" w14:paraId="3F4ABE65" w14:textId="77777777" w:rsidTr="0047058F">
        <w:trPr>
          <w:cantSplit/>
        </w:trPr>
        <w:tc>
          <w:tcPr>
            <w:tcW w:w="11462" w:type="dxa"/>
            <w:gridSpan w:val="13"/>
          </w:tcPr>
          <w:p w14:paraId="2FC1F7C3" w14:textId="0E94927D" w:rsidR="00C91013" w:rsidRPr="0047058F" w:rsidRDefault="00C91013" w:rsidP="003876A3">
            <w:pPr>
              <w:pStyle w:val="TableText"/>
              <w:spacing w:before="38" w:after="38"/>
              <w:rPr>
                <w:color w:val="000000" w:themeColor="text1"/>
                <w:sz w:val="13"/>
                <w:szCs w:val="13"/>
              </w:rPr>
            </w:pPr>
            <w:r w:rsidRPr="0047058F">
              <w:rPr>
                <w:rFonts w:eastAsiaTheme="minorEastAsia"/>
                <w:b/>
                <w:lang w:eastAsia="en-AU"/>
              </w:rPr>
              <w:t>Lifetime trauma and deployment exposures (time point 2)</w:t>
            </w:r>
          </w:p>
        </w:tc>
      </w:tr>
      <w:tr w:rsidR="003454A7" w:rsidRPr="0047058F" w14:paraId="70BF7907"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3176F844" w14:textId="77777777" w:rsidR="006D5661" w:rsidRPr="0047058F" w:rsidRDefault="006D5661" w:rsidP="00C91013">
            <w:pPr>
              <w:pStyle w:val="TableText"/>
              <w:spacing w:before="38" w:after="38"/>
              <w:rPr>
                <w:rFonts w:eastAsia="Cambria" w:cs="Arial"/>
              </w:rPr>
            </w:pPr>
            <w:r w:rsidRPr="0047058F">
              <w:rPr>
                <w:rFonts w:eastAsia="Cambria" w:cs="Arial"/>
              </w:rPr>
              <w:t>Number of different traumatic deployment exposures</w:t>
            </w:r>
          </w:p>
        </w:tc>
        <w:tc>
          <w:tcPr>
            <w:tcW w:w="436" w:type="dxa"/>
          </w:tcPr>
          <w:p w14:paraId="3C1F1ECC" w14:textId="77777777" w:rsidR="006D5661" w:rsidRPr="0047058F" w:rsidRDefault="006D5661" w:rsidP="00C91013">
            <w:pPr>
              <w:pStyle w:val="TableText"/>
              <w:spacing w:before="38" w:after="38"/>
              <w:jc w:val="right"/>
              <w:rPr>
                <w:sz w:val="13"/>
                <w:szCs w:val="13"/>
              </w:rPr>
            </w:pPr>
          </w:p>
        </w:tc>
        <w:tc>
          <w:tcPr>
            <w:tcW w:w="1080" w:type="dxa"/>
          </w:tcPr>
          <w:p w14:paraId="10ED46A3" w14:textId="77777777" w:rsidR="006D5661" w:rsidRPr="0047058F" w:rsidRDefault="006D5661" w:rsidP="00C91013">
            <w:pPr>
              <w:pStyle w:val="TableText"/>
              <w:spacing w:before="38" w:after="38"/>
              <w:jc w:val="right"/>
              <w:rPr>
                <w:sz w:val="13"/>
                <w:szCs w:val="13"/>
              </w:rPr>
            </w:pPr>
          </w:p>
        </w:tc>
        <w:tc>
          <w:tcPr>
            <w:tcW w:w="450" w:type="dxa"/>
          </w:tcPr>
          <w:p w14:paraId="79BB9C79" w14:textId="77777777" w:rsidR="006D5661" w:rsidRPr="0047058F" w:rsidRDefault="006D5661" w:rsidP="00C91013">
            <w:pPr>
              <w:pStyle w:val="TableText"/>
              <w:spacing w:before="38" w:after="38"/>
              <w:jc w:val="right"/>
              <w:rPr>
                <w:sz w:val="13"/>
                <w:szCs w:val="13"/>
              </w:rPr>
            </w:pPr>
          </w:p>
        </w:tc>
        <w:tc>
          <w:tcPr>
            <w:tcW w:w="990" w:type="dxa"/>
          </w:tcPr>
          <w:p w14:paraId="2D6ED62E" w14:textId="77777777" w:rsidR="006D5661" w:rsidRPr="0047058F" w:rsidRDefault="006D5661" w:rsidP="00C91013">
            <w:pPr>
              <w:pStyle w:val="TableText"/>
              <w:spacing w:before="38" w:after="38"/>
              <w:jc w:val="right"/>
              <w:rPr>
                <w:sz w:val="13"/>
                <w:szCs w:val="13"/>
              </w:rPr>
            </w:pPr>
          </w:p>
        </w:tc>
        <w:tc>
          <w:tcPr>
            <w:tcW w:w="450" w:type="dxa"/>
          </w:tcPr>
          <w:p w14:paraId="101B5EE2" w14:textId="77777777" w:rsidR="006D5661" w:rsidRPr="0047058F" w:rsidRDefault="006D5661" w:rsidP="00C91013">
            <w:pPr>
              <w:pStyle w:val="TableText"/>
              <w:spacing w:before="38" w:after="38"/>
              <w:jc w:val="right"/>
              <w:rPr>
                <w:sz w:val="13"/>
                <w:szCs w:val="13"/>
              </w:rPr>
            </w:pPr>
          </w:p>
        </w:tc>
        <w:tc>
          <w:tcPr>
            <w:tcW w:w="990" w:type="dxa"/>
          </w:tcPr>
          <w:p w14:paraId="0513B21D" w14:textId="77777777" w:rsidR="006D5661" w:rsidRPr="0047058F" w:rsidRDefault="006D5661" w:rsidP="00C91013">
            <w:pPr>
              <w:pStyle w:val="TableText"/>
              <w:spacing w:before="38" w:after="38"/>
              <w:jc w:val="right"/>
              <w:rPr>
                <w:sz w:val="13"/>
                <w:szCs w:val="13"/>
              </w:rPr>
            </w:pPr>
          </w:p>
        </w:tc>
        <w:tc>
          <w:tcPr>
            <w:tcW w:w="1074" w:type="dxa"/>
          </w:tcPr>
          <w:p w14:paraId="5FA4A3E0"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4A2FC20F"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253492B1"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6CEC5096"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40DC84DA"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&lt; 0.0001</w:t>
            </w:r>
          </w:p>
        </w:tc>
        <w:tc>
          <w:tcPr>
            <w:tcW w:w="657" w:type="dxa"/>
          </w:tcPr>
          <w:p w14:paraId="66E16A7F"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&lt; 0.0001</w:t>
            </w:r>
          </w:p>
        </w:tc>
      </w:tr>
      <w:tr w:rsidR="003454A7" w:rsidRPr="0047058F" w14:paraId="22CC7336" w14:textId="77777777" w:rsidTr="003454A7">
        <w:trPr>
          <w:cantSplit/>
        </w:trPr>
        <w:tc>
          <w:tcPr>
            <w:tcW w:w="1720" w:type="dxa"/>
          </w:tcPr>
          <w:p w14:paraId="7C92FB26" w14:textId="77777777" w:rsidR="006D5661" w:rsidRPr="0047058F" w:rsidRDefault="006D5661" w:rsidP="00C91013">
            <w:pPr>
              <w:pStyle w:val="TableText"/>
              <w:spacing w:before="38" w:after="38"/>
              <w:ind w:left="144"/>
              <w:rPr>
                <w:rFonts w:eastAsia="Cambria" w:cs="Arial"/>
              </w:rPr>
            </w:pPr>
            <w:r w:rsidRPr="0047058F">
              <w:rPr>
                <w:rFonts w:eastAsia="Cambria" w:cs="Arial"/>
              </w:rPr>
              <w:t>Low</w:t>
            </w:r>
          </w:p>
        </w:tc>
        <w:tc>
          <w:tcPr>
            <w:tcW w:w="436" w:type="dxa"/>
          </w:tcPr>
          <w:p w14:paraId="2DB9D984" w14:textId="77777777" w:rsidR="006D5661" w:rsidRPr="0047058F" w:rsidRDefault="006D5661" w:rsidP="00C91013">
            <w:pPr>
              <w:pStyle w:val="TableText"/>
              <w:spacing w:before="38" w:after="38"/>
              <w:jc w:val="right"/>
              <w:rPr>
                <w:sz w:val="13"/>
                <w:szCs w:val="13"/>
              </w:rPr>
            </w:pPr>
            <w:r w:rsidRPr="0047058F">
              <w:rPr>
                <w:rFonts w:cs="Arial"/>
                <w:sz w:val="13"/>
                <w:szCs w:val="13"/>
              </w:rPr>
              <w:t>404</w:t>
            </w:r>
          </w:p>
        </w:tc>
        <w:tc>
          <w:tcPr>
            <w:tcW w:w="1080" w:type="dxa"/>
          </w:tcPr>
          <w:p w14:paraId="4DDA6868" w14:textId="77777777" w:rsidR="006D5661" w:rsidRPr="0047058F" w:rsidRDefault="006D5661" w:rsidP="00C91013">
            <w:pPr>
              <w:pStyle w:val="TableText"/>
              <w:spacing w:before="38" w:after="38"/>
              <w:jc w:val="right"/>
              <w:rPr>
                <w:sz w:val="13"/>
                <w:szCs w:val="13"/>
              </w:rPr>
            </w:pPr>
            <w:r w:rsidRPr="0047058F">
              <w:rPr>
                <w:rFonts w:cs="Arial"/>
                <w:sz w:val="13"/>
                <w:szCs w:val="13"/>
              </w:rPr>
              <w:t>54.6 (41.4–67.8)</w:t>
            </w:r>
          </w:p>
        </w:tc>
        <w:tc>
          <w:tcPr>
            <w:tcW w:w="450" w:type="dxa"/>
          </w:tcPr>
          <w:p w14:paraId="4EE4343F" w14:textId="77777777" w:rsidR="006D5661" w:rsidRPr="0047058F" w:rsidRDefault="006D5661" w:rsidP="00C91013">
            <w:pPr>
              <w:pStyle w:val="TableText"/>
              <w:spacing w:before="38" w:after="38"/>
              <w:jc w:val="right"/>
              <w:rPr>
                <w:sz w:val="13"/>
                <w:szCs w:val="13"/>
              </w:rPr>
            </w:pPr>
            <w:r w:rsidRPr="0047058F">
              <w:rPr>
                <w:rFonts w:cs="Arial"/>
                <w:sz w:val="13"/>
                <w:szCs w:val="13"/>
              </w:rPr>
              <w:t>236</w:t>
            </w:r>
          </w:p>
        </w:tc>
        <w:tc>
          <w:tcPr>
            <w:tcW w:w="990" w:type="dxa"/>
          </w:tcPr>
          <w:p w14:paraId="23B54641" w14:textId="77777777" w:rsidR="006D5661" w:rsidRPr="0047058F" w:rsidRDefault="006D5661" w:rsidP="00C91013">
            <w:pPr>
              <w:pStyle w:val="TableText"/>
              <w:spacing w:before="38" w:after="38"/>
              <w:jc w:val="right"/>
              <w:rPr>
                <w:sz w:val="13"/>
                <w:szCs w:val="13"/>
              </w:rPr>
            </w:pPr>
            <w:r w:rsidRPr="0047058F">
              <w:rPr>
                <w:rFonts w:cs="Arial"/>
                <w:sz w:val="13"/>
                <w:szCs w:val="13"/>
              </w:rPr>
              <w:t>31.9 (15.7–48.1)</w:t>
            </w:r>
          </w:p>
        </w:tc>
        <w:tc>
          <w:tcPr>
            <w:tcW w:w="450" w:type="dxa"/>
          </w:tcPr>
          <w:p w14:paraId="7C54FEA1" w14:textId="77777777" w:rsidR="006D5661" w:rsidRPr="0047058F" w:rsidRDefault="006D5661" w:rsidP="00C91013">
            <w:pPr>
              <w:pStyle w:val="TableText"/>
              <w:spacing w:before="38" w:after="38"/>
              <w:jc w:val="right"/>
              <w:rPr>
                <w:sz w:val="13"/>
                <w:szCs w:val="13"/>
              </w:rPr>
            </w:pPr>
            <w:r w:rsidRPr="0047058F">
              <w:rPr>
                <w:rFonts w:cs="Arial"/>
                <w:sz w:val="13"/>
                <w:szCs w:val="13"/>
              </w:rPr>
              <w:t>100</w:t>
            </w:r>
          </w:p>
        </w:tc>
        <w:tc>
          <w:tcPr>
            <w:tcW w:w="990" w:type="dxa"/>
          </w:tcPr>
          <w:p w14:paraId="63B97094" w14:textId="77777777" w:rsidR="006D5661" w:rsidRPr="0047058F" w:rsidRDefault="006D5661" w:rsidP="00C91013">
            <w:pPr>
              <w:pStyle w:val="TableText"/>
              <w:spacing w:before="38" w:after="38"/>
              <w:jc w:val="right"/>
              <w:rPr>
                <w:sz w:val="13"/>
                <w:szCs w:val="13"/>
              </w:rPr>
            </w:pPr>
            <w:r w:rsidRPr="0047058F">
              <w:rPr>
                <w:rFonts w:cs="Arial"/>
                <w:sz w:val="13"/>
                <w:szCs w:val="13"/>
              </w:rPr>
              <w:t>13.5 (0.0–31.7)</w:t>
            </w:r>
          </w:p>
        </w:tc>
        <w:tc>
          <w:tcPr>
            <w:tcW w:w="1074" w:type="dxa"/>
          </w:tcPr>
          <w:p w14:paraId="5C20D4FA"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72975448"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328949B7"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57DDB930"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657" w:type="dxa"/>
          </w:tcPr>
          <w:p w14:paraId="701639C1"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1FB2A0B8"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665A13B3"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186C9338" w14:textId="77777777" w:rsidR="006D5661" w:rsidRPr="0047058F" w:rsidRDefault="006D5661" w:rsidP="00C91013">
            <w:pPr>
              <w:pStyle w:val="TableText"/>
              <w:spacing w:before="38" w:after="38"/>
              <w:ind w:left="144"/>
              <w:rPr>
                <w:rFonts w:eastAsia="Cambria" w:cs="Arial"/>
              </w:rPr>
            </w:pPr>
            <w:r w:rsidRPr="0047058F">
              <w:rPr>
                <w:rFonts w:eastAsia="Cambria" w:cs="Arial"/>
              </w:rPr>
              <w:t>Moderate</w:t>
            </w:r>
          </w:p>
        </w:tc>
        <w:tc>
          <w:tcPr>
            <w:tcW w:w="436" w:type="dxa"/>
          </w:tcPr>
          <w:p w14:paraId="18589274" w14:textId="77777777" w:rsidR="006D5661" w:rsidRPr="0047058F" w:rsidRDefault="006D5661" w:rsidP="00C91013">
            <w:pPr>
              <w:pStyle w:val="TableText"/>
              <w:spacing w:before="38" w:after="38"/>
              <w:jc w:val="right"/>
              <w:rPr>
                <w:sz w:val="13"/>
                <w:szCs w:val="13"/>
              </w:rPr>
            </w:pPr>
            <w:r w:rsidRPr="0047058F">
              <w:rPr>
                <w:rFonts w:cs="Arial"/>
                <w:sz w:val="13"/>
                <w:szCs w:val="13"/>
              </w:rPr>
              <w:t>195</w:t>
            </w:r>
          </w:p>
        </w:tc>
        <w:tc>
          <w:tcPr>
            <w:tcW w:w="1080" w:type="dxa"/>
          </w:tcPr>
          <w:p w14:paraId="18F72E15" w14:textId="77777777" w:rsidR="006D5661" w:rsidRPr="0047058F" w:rsidRDefault="006D5661" w:rsidP="00C91013">
            <w:pPr>
              <w:pStyle w:val="TableText"/>
              <w:spacing w:before="38" w:after="38"/>
              <w:jc w:val="right"/>
              <w:rPr>
                <w:sz w:val="13"/>
                <w:szCs w:val="13"/>
              </w:rPr>
            </w:pPr>
            <w:r w:rsidRPr="0047058F">
              <w:rPr>
                <w:rFonts w:cs="Arial"/>
                <w:sz w:val="13"/>
                <w:szCs w:val="13"/>
              </w:rPr>
              <w:t>45.7 (31.3–60.1)</w:t>
            </w:r>
          </w:p>
        </w:tc>
        <w:tc>
          <w:tcPr>
            <w:tcW w:w="450" w:type="dxa"/>
          </w:tcPr>
          <w:p w14:paraId="5DAF891C" w14:textId="77777777" w:rsidR="006D5661" w:rsidRPr="0047058F" w:rsidRDefault="006D5661" w:rsidP="00C91013">
            <w:pPr>
              <w:pStyle w:val="TableText"/>
              <w:spacing w:before="38" w:after="38"/>
              <w:jc w:val="right"/>
              <w:rPr>
                <w:sz w:val="13"/>
                <w:szCs w:val="13"/>
              </w:rPr>
            </w:pPr>
            <w:r w:rsidRPr="0047058F">
              <w:rPr>
                <w:rFonts w:cs="Arial"/>
                <w:sz w:val="13"/>
                <w:szCs w:val="13"/>
              </w:rPr>
              <w:t>165</w:t>
            </w:r>
          </w:p>
        </w:tc>
        <w:tc>
          <w:tcPr>
            <w:tcW w:w="990" w:type="dxa"/>
          </w:tcPr>
          <w:p w14:paraId="322BDAD4" w14:textId="77777777" w:rsidR="006D5661" w:rsidRPr="0047058F" w:rsidRDefault="006D5661" w:rsidP="00C91013">
            <w:pPr>
              <w:pStyle w:val="TableText"/>
              <w:spacing w:before="38" w:after="38"/>
              <w:jc w:val="right"/>
              <w:rPr>
                <w:sz w:val="13"/>
                <w:szCs w:val="13"/>
              </w:rPr>
            </w:pPr>
            <w:r w:rsidRPr="0047058F">
              <w:rPr>
                <w:rFonts w:cs="Arial"/>
                <w:sz w:val="13"/>
                <w:szCs w:val="13"/>
              </w:rPr>
              <w:t>38.6 (23.2–54.0)</w:t>
            </w:r>
          </w:p>
        </w:tc>
        <w:tc>
          <w:tcPr>
            <w:tcW w:w="450" w:type="dxa"/>
          </w:tcPr>
          <w:p w14:paraId="5776C0D2" w14:textId="77777777" w:rsidR="006D5661" w:rsidRPr="0047058F" w:rsidRDefault="006D5661" w:rsidP="00C91013">
            <w:pPr>
              <w:pStyle w:val="TableText"/>
              <w:spacing w:before="38" w:after="38"/>
              <w:jc w:val="right"/>
              <w:rPr>
                <w:sz w:val="13"/>
                <w:szCs w:val="13"/>
              </w:rPr>
            </w:pPr>
            <w:r w:rsidRPr="0047058F">
              <w:rPr>
                <w:rFonts w:cs="Arial"/>
                <w:sz w:val="13"/>
                <w:szCs w:val="13"/>
              </w:rPr>
              <w:t>67</w:t>
            </w:r>
          </w:p>
        </w:tc>
        <w:tc>
          <w:tcPr>
            <w:tcW w:w="990" w:type="dxa"/>
          </w:tcPr>
          <w:p w14:paraId="01D00EE9" w14:textId="77777777" w:rsidR="006D5661" w:rsidRPr="0047058F" w:rsidRDefault="006D5661" w:rsidP="00C91013">
            <w:pPr>
              <w:pStyle w:val="TableText"/>
              <w:spacing w:before="38" w:after="38"/>
              <w:jc w:val="right"/>
              <w:rPr>
                <w:sz w:val="13"/>
                <w:szCs w:val="13"/>
              </w:rPr>
            </w:pPr>
            <w:r w:rsidRPr="0047058F">
              <w:rPr>
                <w:rFonts w:cs="Arial"/>
                <w:sz w:val="13"/>
                <w:szCs w:val="13"/>
              </w:rPr>
              <w:t>15.7 (0.0–33.7)</w:t>
            </w:r>
          </w:p>
        </w:tc>
        <w:tc>
          <w:tcPr>
            <w:tcW w:w="1074" w:type="dxa"/>
          </w:tcPr>
          <w:p w14:paraId="25D8B339"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1.42 (1.07–1.88)</w:t>
            </w:r>
          </w:p>
        </w:tc>
        <w:tc>
          <w:tcPr>
            <w:tcW w:w="986" w:type="dxa"/>
          </w:tcPr>
          <w:p w14:paraId="05605C7E"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1.18 (0.88–1.58)</w:t>
            </w:r>
          </w:p>
        </w:tc>
        <w:tc>
          <w:tcPr>
            <w:tcW w:w="986" w:type="dxa"/>
          </w:tcPr>
          <w:p w14:paraId="5CC8FC87"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1.34 (0.92–1.95)</w:t>
            </w:r>
          </w:p>
        </w:tc>
        <w:tc>
          <w:tcPr>
            <w:tcW w:w="986" w:type="dxa"/>
          </w:tcPr>
          <w:p w14:paraId="258CAE12"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1.19 (0.80–1.76)</w:t>
            </w:r>
          </w:p>
        </w:tc>
        <w:tc>
          <w:tcPr>
            <w:tcW w:w="657" w:type="dxa"/>
          </w:tcPr>
          <w:p w14:paraId="20FEB904"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670C8513"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559C5388" w14:textId="77777777" w:rsidTr="003454A7">
        <w:trPr>
          <w:cantSplit/>
        </w:trPr>
        <w:tc>
          <w:tcPr>
            <w:tcW w:w="1720" w:type="dxa"/>
          </w:tcPr>
          <w:p w14:paraId="28B2A627" w14:textId="77777777" w:rsidR="006D5661" w:rsidRPr="0047058F" w:rsidRDefault="006D5661" w:rsidP="00C91013">
            <w:pPr>
              <w:pStyle w:val="TableText"/>
              <w:spacing w:before="38" w:after="38"/>
              <w:ind w:left="144"/>
              <w:rPr>
                <w:rFonts w:eastAsia="Cambria" w:cs="Arial"/>
              </w:rPr>
            </w:pPr>
            <w:r w:rsidRPr="0047058F">
              <w:rPr>
                <w:rFonts w:eastAsia="Cambria" w:cs="Arial"/>
              </w:rPr>
              <w:t>High</w:t>
            </w:r>
          </w:p>
        </w:tc>
        <w:tc>
          <w:tcPr>
            <w:tcW w:w="436" w:type="dxa"/>
          </w:tcPr>
          <w:p w14:paraId="689CDDC3" w14:textId="77777777" w:rsidR="006D5661" w:rsidRPr="0047058F" w:rsidRDefault="006D5661" w:rsidP="00C91013">
            <w:pPr>
              <w:pStyle w:val="TableText"/>
              <w:spacing w:before="38" w:after="38"/>
              <w:jc w:val="right"/>
              <w:rPr>
                <w:sz w:val="13"/>
                <w:szCs w:val="13"/>
              </w:rPr>
            </w:pPr>
            <w:r w:rsidRPr="0047058F">
              <w:rPr>
                <w:rFonts w:cs="Arial"/>
                <w:sz w:val="13"/>
                <w:szCs w:val="13"/>
              </w:rPr>
              <w:t>148</w:t>
            </w:r>
          </w:p>
        </w:tc>
        <w:tc>
          <w:tcPr>
            <w:tcW w:w="1080" w:type="dxa"/>
          </w:tcPr>
          <w:p w14:paraId="64F47980" w14:textId="77777777" w:rsidR="006D5661" w:rsidRPr="0047058F" w:rsidRDefault="006D5661" w:rsidP="00C91013">
            <w:pPr>
              <w:pStyle w:val="TableText"/>
              <w:spacing w:before="38" w:after="38"/>
              <w:jc w:val="right"/>
              <w:rPr>
                <w:sz w:val="13"/>
                <w:szCs w:val="13"/>
              </w:rPr>
            </w:pPr>
            <w:r w:rsidRPr="0047058F">
              <w:rPr>
                <w:rFonts w:cs="Arial"/>
                <w:sz w:val="13"/>
                <w:szCs w:val="13"/>
              </w:rPr>
              <w:t>26.0 (9.1–42.9)</w:t>
            </w:r>
          </w:p>
        </w:tc>
        <w:tc>
          <w:tcPr>
            <w:tcW w:w="450" w:type="dxa"/>
          </w:tcPr>
          <w:p w14:paraId="11E6006A" w14:textId="77777777" w:rsidR="006D5661" w:rsidRPr="0047058F" w:rsidRDefault="006D5661" w:rsidP="00C91013">
            <w:pPr>
              <w:pStyle w:val="TableText"/>
              <w:spacing w:before="38" w:after="38"/>
              <w:jc w:val="right"/>
              <w:rPr>
                <w:sz w:val="13"/>
                <w:szCs w:val="13"/>
              </w:rPr>
            </w:pPr>
            <w:r w:rsidRPr="0047058F">
              <w:rPr>
                <w:rFonts w:cs="Arial"/>
                <w:sz w:val="13"/>
                <w:szCs w:val="13"/>
              </w:rPr>
              <w:t>248</w:t>
            </w:r>
          </w:p>
        </w:tc>
        <w:tc>
          <w:tcPr>
            <w:tcW w:w="990" w:type="dxa"/>
          </w:tcPr>
          <w:p w14:paraId="3FAA9EFA" w14:textId="77777777" w:rsidR="006D5661" w:rsidRPr="0047058F" w:rsidRDefault="006D5661" w:rsidP="00C91013">
            <w:pPr>
              <w:pStyle w:val="TableText"/>
              <w:spacing w:before="38" w:after="38"/>
              <w:jc w:val="right"/>
              <w:rPr>
                <w:sz w:val="13"/>
                <w:szCs w:val="13"/>
              </w:rPr>
            </w:pPr>
            <w:r w:rsidRPr="0047058F">
              <w:rPr>
                <w:rFonts w:cs="Arial"/>
                <w:sz w:val="13"/>
                <w:szCs w:val="13"/>
              </w:rPr>
              <w:t>43.5 (28.8–58.2)</w:t>
            </w:r>
          </w:p>
        </w:tc>
        <w:tc>
          <w:tcPr>
            <w:tcW w:w="450" w:type="dxa"/>
          </w:tcPr>
          <w:p w14:paraId="0FA1A6B4" w14:textId="77777777" w:rsidR="006D5661" w:rsidRPr="0047058F" w:rsidRDefault="006D5661" w:rsidP="00C91013">
            <w:pPr>
              <w:pStyle w:val="TableText"/>
              <w:spacing w:before="38" w:after="38"/>
              <w:jc w:val="right"/>
              <w:rPr>
                <w:sz w:val="13"/>
                <w:szCs w:val="13"/>
              </w:rPr>
            </w:pPr>
            <w:r w:rsidRPr="0047058F">
              <w:rPr>
                <w:rFonts w:cs="Arial"/>
                <w:sz w:val="13"/>
                <w:szCs w:val="13"/>
              </w:rPr>
              <w:t>174</w:t>
            </w:r>
          </w:p>
        </w:tc>
        <w:tc>
          <w:tcPr>
            <w:tcW w:w="990" w:type="dxa"/>
          </w:tcPr>
          <w:p w14:paraId="4784FE9D" w14:textId="77777777" w:rsidR="006D5661" w:rsidRPr="0047058F" w:rsidRDefault="006D5661" w:rsidP="00C91013">
            <w:pPr>
              <w:pStyle w:val="TableText"/>
              <w:spacing w:before="38" w:after="38"/>
              <w:jc w:val="right"/>
              <w:rPr>
                <w:sz w:val="13"/>
                <w:szCs w:val="13"/>
              </w:rPr>
            </w:pPr>
            <w:r w:rsidRPr="0047058F">
              <w:rPr>
                <w:rFonts w:cs="Arial"/>
                <w:sz w:val="13"/>
                <w:szCs w:val="13"/>
              </w:rPr>
              <w:t>30.5 (14.2–46.8)</w:t>
            </w:r>
          </w:p>
        </w:tc>
        <w:tc>
          <w:tcPr>
            <w:tcW w:w="1074" w:type="dxa"/>
          </w:tcPr>
          <w:p w14:paraId="5428A1DA"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2.78 (2.11–3.66)</w:t>
            </w:r>
          </w:p>
        </w:tc>
        <w:tc>
          <w:tcPr>
            <w:tcW w:w="986" w:type="dxa"/>
          </w:tcPr>
          <w:p w14:paraId="35D619B6"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1.78 (1.31–2.42)</w:t>
            </w:r>
          </w:p>
        </w:tc>
        <w:tc>
          <w:tcPr>
            <w:tcW w:w="986" w:type="dxa"/>
          </w:tcPr>
          <w:p w14:paraId="71A53C12"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4.46 (3.21–6.19)</w:t>
            </w:r>
          </w:p>
        </w:tc>
        <w:tc>
          <w:tcPr>
            <w:tcW w:w="986" w:type="dxa"/>
          </w:tcPr>
          <w:p w14:paraId="6AFE8063"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2.97 (2.04–4.32)</w:t>
            </w:r>
          </w:p>
        </w:tc>
        <w:tc>
          <w:tcPr>
            <w:tcW w:w="657" w:type="dxa"/>
          </w:tcPr>
          <w:p w14:paraId="40904DED"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7B0A4F97"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339A98BD"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693D7606" w14:textId="77777777" w:rsidR="006D5661" w:rsidRPr="0047058F" w:rsidRDefault="006D5661" w:rsidP="00C91013">
            <w:pPr>
              <w:pStyle w:val="TableText"/>
              <w:spacing w:before="38" w:after="38"/>
              <w:rPr>
                <w:color w:val="000000" w:themeColor="text1"/>
              </w:rPr>
            </w:pPr>
            <w:r w:rsidRPr="0047058F">
              <w:rPr>
                <w:color w:val="000000" w:themeColor="text1"/>
              </w:rPr>
              <w:t>Number of lifetime trauma types</w:t>
            </w:r>
          </w:p>
        </w:tc>
        <w:tc>
          <w:tcPr>
            <w:tcW w:w="436" w:type="dxa"/>
          </w:tcPr>
          <w:p w14:paraId="75E5BA6A" w14:textId="77777777" w:rsidR="006D5661" w:rsidRPr="0047058F" w:rsidRDefault="006D5661" w:rsidP="00C91013">
            <w:pPr>
              <w:pStyle w:val="TableText"/>
              <w:spacing w:before="38" w:after="38"/>
              <w:jc w:val="right"/>
              <w:rPr>
                <w:rFonts w:cs="Arial"/>
                <w:color w:val="auto"/>
                <w:sz w:val="13"/>
                <w:szCs w:val="13"/>
              </w:rPr>
            </w:pPr>
          </w:p>
        </w:tc>
        <w:tc>
          <w:tcPr>
            <w:tcW w:w="1080" w:type="dxa"/>
          </w:tcPr>
          <w:p w14:paraId="092D667A" w14:textId="77777777" w:rsidR="006D5661" w:rsidRPr="0047058F" w:rsidRDefault="006D5661" w:rsidP="00C91013">
            <w:pPr>
              <w:pStyle w:val="TableText"/>
              <w:spacing w:before="38" w:after="38"/>
              <w:jc w:val="right"/>
              <w:rPr>
                <w:rFonts w:cs="Arial"/>
                <w:color w:val="auto"/>
                <w:sz w:val="13"/>
                <w:szCs w:val="13"/>
              </w:rPr>
            </w:pPr>
          </w:p>
        </w:tc>
        <w:tc>
          <w:tcPr>
            <w:tcW w:w="450" w:type="dxa"/>
          </w:tcPr>
          <w:p w14:paraId="2DC11470" w14:textId="77777777" w:rsidR="006D5661" w:rsidRPr="0047058F" w:rsidRDefault="006D5661" w:rsidP="00C91013">
            <w:pPr>
              <w:pStyle w:val="TableText"/>
              <w:spacing w:before="38" w:after="38"/>
              <w:jc w:val="right"/>
              <w:rPr>
                <w:rFonts w:cs="Arial"/>
                <w:color w:val="auto"/>
                <w:sz w:val="13"/>
                <w:szCs w:val="13"/>
              </w:rPr>
            </w:pPr>
          </w:p>
        </w:tc>
        <w:tc>
          <w:tcPr>
            <w:tcW w:w="990" w:type="dxa"/>
          </w:tcPr>
          <w:p w14:paraId="6339D66A" w14:textId="77777777" w:rsidR="006D5661" w:rsidRPr="0047058F" w:rsidRDefault="006D5661" w:rsidP="00C91013">
            <w:pPr>
              <w:pStyle w:val="TableText"/>
              <w:spacing w:before="38" w:after="38"/>
              <w:jc w:val="right"/>
              <w:rPr>
                <w:rFonts w:cs="Arial"/>
                <w:color w:val="auto"/>
                <w:sz w:val="13"/>
                <w:szCs w:val="13"/>
              </w:rPr>
            </w:pPr>
          </w:p>
        </w:tc>
        <w:tc>
          <w:tcPr>
            <w:tcW w:w="450" w:type="dxa"/>
          </w:tcPr>
          <w:p w14:paraId="3CE39685" w14:textId="77777777" w:rsidR="006D5661" w:rsidRPr="0047058F" w:rsidRDefault="006D5661" w:rsidP="00C91013">
            <w:pPr>
              <w:pStyle w:val="TableText"/>
              <w:spacing w:before="38" w:after="38"/>
              <w:jc w:val="right"/>
              <w:rPr>
                <w:rFonts w:cs="Arial"/>
                <w:color w:val="auto"/>
                <w:sz w:val="13"/>
                <w:szCs w:val="13"/>
              </w:rPr>
            </w:pPr>
          </w:p>
        </w:tc>
        <w:tc>
          <w:tcPr>
            <w:tcW w:w="990" w:type="dxa"/>
          </w:tcPr>
          <w:p w14:paraId="02124962" w14:textId="77777777" w:rsidR="006D5661" w:rsidRPr="0047058F" w:rsidRDefault="006D5661" w:rsidP="00C91013">
            <w:pPr>
              <w:pStyle w:val="TableText"/>
              <w:spacing w:before="38" w:after="38"/>
              <w:jc w:val="right"/>
              <w:rPr>
                <w:rFonts w:cs="Arial"/>
                <w:color w:val="auto"/>
                <w:sz w:val="13"/>
                <w:szCs w:val="13"/>
              </w:rPr>
            </w:pPr>
          </w:p>
        </w:tc>
        <w:tc>
          <w:tcPr>
            <w:tcW w:w="1074" w:type="dxa"/>
          </w:tcPr>
          <w:p w14:paraId="1295D8A5"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19A4F395"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68216A1A" w14:textId="77777777" w:rsidR="006D5661" w:rsidRPr="0047058F" w:rsidRDefault="006D5661" w:rsidP="00C91013">
            <w:pPr>
              <w:pStyle w:val="TableText"/>
              <w:spacing w:before="38" w:after="38"/>
              <w:jc w:val="right"/>
              <w:rPr>
                <w:color w:val="000000" w:themeColor="text1"/>
                <w:sz w:val="13"/>
                <w:szCs w:val="13"/>
              </w:rPr>
            </w:pPr>
          </w:p>
        </w:tc>
        <w:tc>
          <w:tcPr>
            <w:tcW w:w="986" w:type="dxa"/>
          </w:tcPr>
          <w:p w14:paraId="64F05284"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729A8172"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&lt; 0.0001</w:t>
            </w:r>
          </w:p>
        </w:tc>
        <w:tc>
          <w:tcPr>
            <w:tcW w:w="657" w:type="dxa"/>
          </w:tcPr>
          <w:p w14:paraId="2C64D70B"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&lt; 0.0001</w:t>
            </w:r>
          </w:p>
        </w:tc>
      </w:tr>
      <w:tr w:rsidR="003454A7" w:rsidRPr="0047058F" w14:paraId="641BB342" w14:textId="77777777" w:rsidTr="003454A7">
        <w:trPr>
          <w:cantSplit/>
        </w:trPr>
        <w:tc>
          <w:tcPr>
            <w:tcW w:w="1720" w:type="dxa"/>
          </w:tcPr>
          <w:p w14:paraId="4CE25909" w14:textId="77777777" w:rsidR="006D5661" w:rsidRPr="0047058F" w:rsidRDefault="006D5661" w:rsidP="00C91013">
            <w:pPr>
              <w:pStyle w:val="TableText"/>
              <w:spacing w:before="38" w:after="38"/>
              <w:ind w:left="144"/>
              <w:rPr>
                <w:color w:val="000000" w:themeColor="text1"/>
              </w:rPr>
            </w:pPr>
            <w:r w:rsidRPr="0047058F">
              <w:rPr>
                <w:rFonts w:cs="Arial"/>
                <w:color w:val="000000" w:themeColor="text1"/>
              </w:rPr>
              <w:t>0–1</w:t>
            </w:r>
          </w:p>
        </w:tc>
        <w:tc>
          <w:tcPr>
            <w:tcW w:w="436" w:type="dxa"/>
          </w:tcPr>
          <w:p w14:paraId="227E87F6"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302</w:t>
            </w:r>
          </w:p>
        </w:tc>
        <w:tc>
          <w:tcPr>
            <w:tcW w:w="1080" w:type="dxa"/>
          </w:tcPr>
          <w:p w14:paraId="6B32AC1A"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60.5 (48.2–72.8)</w:t>
            </w:r>
          </w:p>
        </w:tc>
        <w:tc>
          <w:tcPr>
            <w:tcW w:w="450" w:type="dxa"/>
          </w:tcPr>
          <w:p w14:paraId="12014314"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131</w:t>
            </w:r>
          </w:p>
        </w:tc>
        <w:tc>
          <w:tcPr>
            <w:tcW w:w="990" w:type="dxa"/>
          </w:tcPr>
          <w:p w14:paraId="557723D1"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26.3 (9.5–43.1)</w:t>
            </w:r>
          </w:p>
        </w:tc>
        <w:tc>
          <w:tcPr>
            <w:tcW w:w="450" w:type="dxa"/>
          </w:tcPr>
          <w:p w14:paraId="56A5E2B0"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66</w:t>
            </w:r>
          </w:p>
        </w:tc>
        <w:tc>
          <w:tcPr>
            <w:tcW w:w="990" w:type="dxa"/>
          </w:tcPr>
          <w:p w14:paraId="34F66B01"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13.2 (0.0–31.5)</w:t>
            </w:r>
          </w:p>
        </w:tc>
        <w:tc>
          <w:tcPr>
            <w:tcW w:w="1074" w:type="dxa"/>
          </w:tcPr>
          <w:p w14:paraId="6C73E2DF"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34D3793A"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2FDE756C"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986" w:type="dxa"/>
          </w:tcPr>
          <w:p w14:paraId="044B716D" w14:textId="77777777" w:rsidR="006D5661" w:rsidRPr="0047058F" w:rsidRDefault="006D5661" w:rsidP="00C91013">
            <w:pPr>
              <w:pStyle w:val="TableText"/>
              <w:spacing w:before="38" w:after="38"/>
              <w:jc w:val="right"/>
              <w:rPr>
                <w:color w:val="000000" w:themeColor="text1"/>
                <w:sz w:val="13"/>
                <w:szCs w:val="13"/>
              </w:rPr>
            </w:pPr>
            <w:r w:rsidRPr="0047058F">
              <w:rPr>
                <w:color w:val="000000" w:themeColor="text1"/>
                <w:sz w:val="13"/>
                <w:szCs w:val="13"/>
              </w:rPr>
              <w:t>ref</w:t>
            </w:r>
          </w:p>
        </w:tc>
        <w:tc>
          <w:tcPr>
            <w:tcW w:w="657" w:type="dxa"/>
          </w:tcPr>
          <w:p w14:paraId="5D4B171F"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24C2E6C4"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7C2F656E" w14:textId="77777777" w:rsidTr="003454A7">
        <w:trPr>
          <w:cnfStyle w:val="000000100000" w:firstRow="0" w:lastRow="0" w:firstColumn="0" w:lastColumn="0" w:oddVBand="0" w:evenVBand="0" w:oddHBand="1" w:evenHBand="0" w:firstRowFirstColumn="0" w:firstRowLastColumn="0" w:lastRowFirstColumn="0" w:lastRowLastColumn="0"/>
          <w:cantSplit/>
        </w:trPr>
        <w:tc>
          <w:tcPr>
            <w:tcW w:w="1720" w:type="dxa"/>
          </w:tcPr>
          <w:p w14:paraId="15B8E4D0" w14:textId="77777777" w:rsidR="006D5661" w:rsidRPr="0047058F" w:rsidRDefault="006D5661" w:rsidP="00C91013">
            <w:pPr>
              <w:pStyle w:val="TableText"/>
              <w:spacing w:before="38" w:after="38"/>
              <w:ind w:left="144"/>
              <w:rPr>
                <w:color w:val="000000" w:themeColor="text1"/>
              </w:rPr>
            </w:pPr>
            <w:r w:rsidRPr="0047058F">
              <w:rPr>
                <w:rFonts w:cs="Arial"/>
                <w:color w:val="000000" w:themeColor="text1"/>
              </w:rPr>
              <w:t>2–3</w:t>
            </w:r>
          </w:p>
        </w:tc>
        <w:tc>
          <w:tcPr>
            <w:tcW w:w="436" w:type="dxa"/>
          </w:tcPr>
          <w:p w14:paraId="712EC05F"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248</w:t>
            </w:r>
          </w:p>
        </w:tc>
        <w:tc>
          <w:tcPr>
            <w:tcW w:w="1080" w:type="dxa"/>
          </w:tcPr>
          <w:p w14:paraId="29970149"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48.2 (34.1–62.3)</w:t>
            </w:r>
          </w:p>
        </w:tc>
        <w:tc>
          <w:tcPr>
            <w:tcW w:w="450" w:type="dxa"/>
          </w:tcPr>
          <w:p w14:paraId="21192244"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185</w:t>
            </w:r>
          </w:p>
        </w:tc>
        <w:tc>
          <w:tcPr>
            <w:tcW w:w="990" w:type="dxa"/>
          </w:tcPr>
          <w:p w14:paraId="5C444EE3"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36.0 (20.3–51.7)</w:t>
            </w:r>
          </w:p>
        </w:tc>
        <w:tc>
          <w:tcPr>
            <w:tcW w:w="450" w:type="dxa"/>
          </w:tcPr>
          <w:p w14:paraId="43933F8B"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81</w:t>
            </w:r>
          </w:p>
        </w:tc>
        <w:tc>
          <w:tcPr>
            <w:tcW w:w="990" w:type="dxa"/>
          </w:tcPr>
          <w:p w14:paraId="02F9929D"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15.8 (0.0–33.8)</w:t>
            </w:r>
          </w:p>
        </w:tc>
        <w:tc>
          <w:tcPr>
            <w:tcW w:w="1074" w:type="dxa"/>
          </w:tcPr>
          <w:p w14:paraId="3B7A3FB7"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1.70 (1.26–2.29)</w:t>
            </w:r>
          </w:p>
        </w:tc>
        <w:tc>
          <w:tcPr>
            <w:tcW w:w="986" w:type="dxa"/>
          </w:tcPr>
          <w:p w14:paraId="5BEB2F8A"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1.59 (1.17–2.17)</w:t>
            </w:r>
          </w:p>
        </w:tc>
        <w:tc>
          <w:tcPr>
            <w:tcW w:w="986" w:type="dxa"/>
          </w:tcPr>
          <w:p w14:paraId="688BACBA"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1.49 (1.01–2.20)</w:t>
            </w:r>
          </w:p>
        </w:tc>
        <w:tc>
          <w:tcPr>
            <w:tcW w:w="986" w:type="dxa"/>
          </w:tcPr>
          <w:p w14:paraId="516E557A"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1.29 (0.85–1.94)</w:t>
            </w:r>
          </w:p>
        </w:tc>
        <w:tc>
          <w:tcPr>
            <w:tcW w:w="657" w:type="dxa"/>
          </w:tcPr>
          <w:p w14:paraId="10D21778"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66DB0A84" w14:textId="77777777" w:rsidR="006D5661" w:rsidRPr="0047058F" w:rsidRDefault="006D5661" w:rsidP="00C91013">
            <w:pPr>
              <w:pStyle w:val="TableText"/>
              <w:spacing w:before="38" w:after="38"/>
              <w:jc w:val="right"/>
              <w:rPr>
                <w:color w:val="000000" w:themeColor="text1"/>
                <w:sz w:val="13"/>
                <w:szCs w:val="13"/>
              </w:rPr>
            </w:pPr>
          </w:p>
        </w:tc>
      </w:tr>
      <w:tr w:rsidR="003454A7" w:rsidRPr="0047058F" w14:paraId="5D22BF45" w14:textId="77777777" w:rsidTr="003454A7">
        <w:trPr>
          <w:cantSplit/>
        </w:trPr>
        <w:tc>
          <w:tcPr>
            <w:tcW w:w="1720" w:type="dxa"/>
          </w:tcPr>
          <w:p w14:paraId="41533A5A" w14:textId="77777777" w:rsidR="006D5661" w:rsidRPr="0047058F" w:rsidRDefault="006D5661" w:rsidP="00C91013">
            <w:pPr>
              <w:pStyle w:val="TableText"/>
              <w:spacing w:before="38" w:after="38"/>
              <w:ind w:left="144"/>
              <w:rPr>
                <w:color w:val="000000" w:themeColor="text1"/>
              </w:rPr>
            </w:pPr>
            <w:r w:rsidRPr="0047058F">
              <w:rPr>
                <w:rFonts w:cs="Arial"/>
                <w:color w:val="000000" w:themeColor="text1"/>
              </w:rPr>
              <w:t>4+</w:t>
            </w:r>
          </w:p>
        </w:tc>
        <w:tc>
          <w:tcPr>
            <w:tcW w:w="436" w:type="dxa"/>
          </w:tcPr>
          <w:p w14:paraId="30F25F3F"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197</w:t>
            </w:r>
          </w:p>
        </w:tc>
        <w:tc>
          <w:tcPr>
            <w:tcW w:w="1080" w:type="dxa"/>
          </w:tcPr>
          <w:p w14:paraId="5D3CB17A"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27.2 (10.5–43.9)</w:t>
            </w:r>
          </w:p>
        </w:tc>
        <w:tc>
          <w:tcPr>
            <w:tcW w:w="450" w:type="dxa"/>
          </w:tcPr>
          <w:p w14:paraId="7C717AFF"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333</w:t>
            </w:r>
          </w:p>
        </w:tc>
        <w:tc>
          <w:tcPr>
            <w:tcW w:w="990" w:type="dxa"/>
          </w:tcPr>
          <w:p w14:paraId="28887522"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46.0 (31.6–60.4)</w:t>
            </w:r>
          </w:p>
        </w:tc>
        <w:tc>
          <w:tcPr>
            <w:tcW w:w="450" w:type="dxa"/>
          </w:tcPr>
          <w:p w14:paraId="160273CB"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194</w:t>
            </w:r>
          </w:p>
        </w:tc>
        <w:tc>
          <w:tcPr>
            <w:tcW w:w="990" w:type="dxa"/>
          </w:tcPr>
          <w:p w14:paraId="7720EF6F" w14:textId="77777777" w:rsidR="006D5661" w:rsidRPr="0047058F" w:rsidRDefault="006D5661" w:rsidP="00C91013">
            <w:pPr>
              <w:pStyle w:val="TableText"/>
              <w:spacing w:before="38" w:after="38"/>
              <w:jc w:val="right"/>
              <w:rPr>
                <w:rFonts w:cs="Arial"/>
                <w:color w:val="auto"/>
                <w:sz w:val="13"/>
                <w:szCs w:val="13"/>
              </w:rPr>
            </w:pPr>
            <w:r w:rsidRPr="0047058F">
              <w:rPr>
                <w:rFonts w:cs="Arial"/>
                <w:color w:val="auto"/>
                <w:sz w:val="13"/>
                <w:szCs w:val="13"/>
              </w:rPr>
              <w:t>26.8 (10.0–43.6)</w:t>
            </w:r>
          </w:p>
        </w:tc>
        <w:tc>
          <w:tcPr>
            <w:tcW w:w="1074" w:type="dxa"/>
          </w:tcPr>
          <w:p w14:paraId="458E7A79"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3.85 (2.88–5.14)</w:t>
            </w:r>
          </w:p>
        </w:tc>
        <w:tc>
          <w:tcPr>
            <w:tcW w:w="986" w:type="dxa"/>
          </w:tcPr>
          <w:p w14:paraId="05FD4542"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3.13 (2.27–4.32)</w:t>
            </w:r>
          </w:p>
        </w:tc>
        <w:tc>
          <w:tcPr>
            <w:tcW w:w="986" w:type="dxa"/>
          </w:tcPr>
          <w:p w14:paraId="6056AB86"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4.54 (3.18–6.48)</w:t>
            </w:r>
          </w:p>
        </w:tc>
        <w:tc>
          <w:tcPr>
            <w:tcW w:w="986" w:type="dxa"/>
          </w:tcPr>
          <w:p w14:paraId="77FF1682" w14:textId="77777777" w:rsidR="006D5661" w:rsidRPr="0047058F" w:rsidRDefault="006D5661" w:rsidP="00C91013">
            <w:pPr>
              <w:pStyle w:val="TableText"/>
              <w:spacing w:before="38" w:after="38"/>
              <w:jc w:val="right"/>
              <w:rPr>
                <w:color w:val="000000" w:themeColor="text1"/>
                <w:sz w:val="13"/>
                <w:szCs w:val="13"/>
              </w:rPr>
            </w:pPr>
            <w:r w:rsidRPr="0047058F">
              <w:rPr>
                <w:rFonts w:cs="Arial"/>
                <w:color w:val="000000" w:themeColor="text1"/>
                <w:sz w:val="13"/>
                <w:szCs w:val="13"/>
              </w:rPr>
              <w:t>2.96 (1.98–4.44)</w:t>
            </w:r>
          </w:p>
        </w:tc>
        <w:tc>
          <w:tcPr>
            <w:tcW w:w="657" w:type="dxa"/>
          </w:tcPr>
          <w:p w14:paraId="100F6979" w14:textId="77777777" w:rsidR="006D5661" w:rsidRPr="0047058F" w:rsidRDefault="006D5661" w:rsidP="00C91013">
            <w:pPr>
              <w:pStyle w:val="TableText"/>
              <w:spacing w:before="38" w:after="38"/>
              <w:jc w:val="right"/>
              <w:rPr>
                <w:color w:val="000000" w:themeColor="text1"/>
                <w:sz w:val="13"/>
                <w:szCs w:val="13"/>
              </w:rPr>
            </w:pPr>
          </w:p>
        </w:tc>
        <w:tc>
          <w:tcPr>
            <w:tcW w:w="657" w:type="dxa"/>
          </w:tcPr>
          <w:p w14:paraId="3A4DFE54" w14:textId="77777777" w:rsidR="006D5661" w:rsidRPr="0047058F" w:rsidRDefault="006D5661" w:rsidP="00C91013">
            <w:pPr>
              <w:pStyle w:val="TableText"/>
              <w:spacing w:before="38" w:after="38"/>
              <w:jc w:val="right"/>
              <w:rPr>
                <w:color w:val="000000" w:themeColor="text1"/>
                <w:sz w:val="13"/>
                <w:szCs w:val="13"/>
              </w:rPr>
            </w:pPr>
          </w:p>
        </w:tc>
      </w:tr>
    </w:tbl>
    <w:p w14:paraId="1910A358" w14:textId="77777777" w:rsidR="006D5661" w:rsidRPr="0047058F" w:rsidRDefault="006D5661" w:rsidP="006D5661">
      <w:pPr>
        <w:pStyle w:val="TableNotes"/>
      </w:pPr>
      <w:r w:rsidRPr="0047058F">
        <w:t>ns = not significant</w:t>
      </w:r>
    </w:p>
    <w:p w14:paraId="2E572250" w14:textId="77777777" w:rsidR="00ED05E6" w:rsidRPr="0047058F" w:rsidRDefault="00ED05E6" w:rsidP="00ED05E6"/>
    <w:p w14:paraId="5FCC2B81" w14:textId="77777777" w:rsidR="00ED05E6" w:rsidRPr="0047058F" w:rsidRDefault="00ED05E6" w:rsidP="00ED05E6">
      <w:pPr>
        <w:sectPr w:rsidR="00ED05E6" w:rsidRPr="0047058F" w:rsidSect="00ED05E6">
          <w:footerReference w:type="even" r:id="rId81"/>
          <w:footerReference w:type="default" r:id="rId82"/>
          <w:pgSz w:w="14170" w:h="9979" w:orient="landscape" w:code="243"/>
          <w:pgMar w:top="1872" w:right="1440" w:bottom="1152" w:left="1440" w:header="576" w:footer="576" w:gutter="0"/>
          <w:cols w:space="708"/>
          <w:docGrid w:linePitch="360"/>
        </w:sectPr>
      </w:pPr>
    </w:p>
    <w:p w14:paraId="36ADE8E7" w14:textId="77777777" w:rsidR="006D5661" w:rsidRPr="0047058F" w:rsidRDefault="006D5661" w:rsidP="006D5661">
      <w:r w:rsidRPr="0047058F">
        <w:t>Table 6.6 presents the results of univariate and multivariate predictive modelling of the effect of demographic, service-related and other factors on disorder status in 2015 among those cohort members who had probable disorder in 2010.</w:t>
      </w:r>
    </w:p>
    <w:p w14:paraId="48CCB51E" w14:textId="77777777" w:rsidR="006D5661" w:rsidRPr="0047058F" w:rsidRDefault="006D5661" w:rsidP="006D5661">
      <w:r w:rsidRPr="0047058F">
        <w:t>Analyses showed significant univariate associations for age, sex, Service, length of service, suicidality, anger, resilience, help seeking, deployment exposures and lifetime trauma. When examined in a combined multivariate model, the effects of age, anger, help seeking, deployment exposures and lifetime trauma all remained significant.</w:t>
      </w:r>
    </w:p>
    <w:p w14:paraId="704D1983" w14:textId="77777777" w:rsidR="006D5661" w:rsidRPr="0047058F" w:rsidRDefault="006D5661" w:rsidP="006D5661">
      <w:r w:rsidRPr="0047058F">
        <w:t>Lifetime trauma exposure predicted the shift into subsyndromal as well as retention of probable disorder, compared to having no disorder in 2015. Compared to reporting 0 to 1 lifetime trauma types, reporting 4+ types was associated with the likelihood of being subsyndromal (OR 2.24; 95% CI 1.07, 4.67) or retaining probable disorder (OR 2.56; 95% CI 1.21, 5.39), compared to being disorder free in 2015.</w:t>
      </w:r>
    </w:p>
    <w:p w14:paraId="58D899B8" w14:textId="77777777" w:rsidR="006D5661" w:rsidRPr="0047058F" w:rsidRDefault="006D5661" w:rsidP="006D5661">
      <w:r w:rsidRPr="0047058F">
        <w:t>Age predicted the shift from probable to subsyndromal disorder in 2015, with each additional year of age associated with increased likelihood (OR 1.04; 95% CI 1.01, 1.07).</w:t>
      </w:r>
    </w:p>
    <w:p w14:paraId="088E0DAD" w14:textId="77777777" w:rsidR="006D5661" w:rsidRPr="0047058F" w:rsidRDefault="006D5661" w:rsidP="006D5661">
      <w:r w:rsidRPr="0047058F">
        <w:t xml:space="preserve">Anger, help seeking and deployment exposures specifically predicted retention of probable disorder status in 2015, compared to being disorder free. Scoring above the cut-off for problematic anger in 2010 was associated with a greater likelihood of retaining subsyndromal disorder (OR </w:t>
      </w:r>
      <w:r w:rsidRPr="0047058F">
        <w:rPr>
          <w:rFonts w:cs="Arial"/>
          <w:szCs w:val="14"/>
        </w:rPr>
        <w:t xml:space="preserve">2.90; </w:t>
      </w:r>
      <w:r w:rsidRPr="0047058F">
        <w:t xml:space="preserve">95% CI 1.65, 5.09), compared to having no disorder in 2015. Those cohort members who reported seeing a health professional in relation to their feelings of psychological distress in 2010 were also more likely to retain their probable disorder status than have no disorder in 2015 (OR 3.33; 95% CI 1.88, 5.90). Having high deployment exposure (compared to low) was associated with the likelihood of retaining probable disorder (OR </w:t>
      </w:r>
      <w:r w:rsidRPr="0047058F">
        <w:rPr>
          <w:rFonts w:cs="Arial"/>
        </w:rPr>
        <w:t>2.28</w:t>
      </w:r>
      <w:r w:rsidRPr="0047058F">
        <w:t>; 95% CI 1.03, 5.06) compared to being disorder free in 2015.</w:t>
      </w:r>
    </w:p>
    <w:p w14:paraId="4CAF538E" w14:textId="77777777" w:rsidR="00ED05E6" w:rsidRPr="0047058F" w:rsidRDefault="00ED05E6" w:rsidP="0061597C"/>
    <w:p w14:paraId="7D2540C7" w14:textId="77777777" w:rsidR="00ED05E6" w:rsidRPr="0047058F" w:rsidRDefault="00ED05E6" w:rsidP="00ED05E6">
      <w:pPr>
        <w:sectPr w:rsidR="00ED05E6" w:rsidRPr="0047058F" w:rsidSect="003B5AB8">
          <w:footerReference w:type="even" r:id="rId83"/>
          <w:footerReference w:type="default" r:id="rId84"/>
          <w:pgSz w:w="9979" w:h="14170" w:code="243"/>
          <w:pgMar w:top="1440" w:right="1152" w:bottom="1440" w:left="1728" w:header="576" w:footer="576" w:gutter="0"/>
          <w:cols w:space="708"/>
          <w:docGrid w:linePitch="360"/>
        </w:sectPr>
      </w:pPr>
    </w:p>
    <w:p w14:paraId="19331C77" w14:textId="4E9E2413" w:rsidR="00F92BE1" w:rsidRPr="0047058F" w:rsidRDefault="00F92BE1" w:rsidP="00F92BE1">
      <w:pPr>
        <w:pStyle w:val="TableName"/>
      </w:pPr>
      <w:bookmarkStart w:id="477" w:name="_Toc529117548"/>
      <w:bookmarkStart w:id="478" w:name="_Toc532473618"/>
      <w:r w:rsidRPr="0047058F">
        <w:t>Table 6.6</w:t>
      </w:r>
      <w:r w:rsidRPr="0047058F">
        <w:tab/>
        <w:t xml:space="preserve">Proportion of longitudinal cohort, who had </w:t>
      </w:r>
      <w:r w:rsidRPr="0047058F">
        <w:rPr>
          <w:u w:val="single"/>
        </w:rPr>
        <w:t>probable disorder in 2010</w:t>
      </w:r>
      <w:r w:rsidRPr="0047058F">
        <w:t>, with no disorder, subsyndromal disorder and probable disorder in 2015 according to various predictors</w:t>
      </w:r>
      <w:bookmarkEnd w:id="477"/>
      <w:bookmarkEnd w:id="478"/>
    </w:p>
    <w:tbl>
      <w:tblPr>
        <w:tblStyle w:val="TWRPTable"/>
        <w:tblW w:w="5000" w:type="pct"/>
        <w:tblLayout w:type="fixed"/>
        <w:tblCellMar>
          <w:left w:w="86" w:type="dxa"/>
          <w:right w:w="86" w:type="dxa"/>
        </w:tblCellMar>
        <w:tblLook w:val="04A0" w:firstRow="1" w:lastRow="0" w:firstColumn="1" w:lastColumn="0" w:noHBand="0" w:noVBand="1"/>
        <w:tblDescription w:val="Table 6.6 Proportion of longitudinal cohort, who had probable disorder in 2010, with no disorder, subsyndromal disorder and probable disorder in 2015 according to various predictors"/>
      </w:tblPr>
      <w:tblGrid>
        <w:gridCol w:w="1706"/>
        <w:gridCol w:w="449"/>
        <w:gridCol w:w="1082"/>
        <w:gridCol w:w="456"/>
        <w:gridCol w:w="988"/>
        <w:gridCol w:w="445"/>
        <w:gridCol w:w="990"/>
        <w:gridCol w:w="1034"/>
        <w:gridCol w:w="1036"/>
        <w:gridCol w:w="993"/>
        <w:gridCol w:w="993"/>
        <w:gridCol w:w="644"/>
        <w:gridCol w:w="646"/>
      </w:tblGrid>
      <w:tr w:rsidR="00C91013" w:rsidRPr="0047058F" w14:paraId="23F27B0D" w14:textId="77777777" w:rsidTr="00C91013">
        <w:trPr>
          <w:cnfStyle w:val="100000000000" w:firstRow="1" w:lastRow="0" w:firstColumn="0" w:lastColumn="0" w:oddVBand="0" w:evenVBand="0" w:oddHBand="0" w:evenHBand="0" w:firstRowFirstColumn="0" w:firstRowLastColumn="0" w:lastRowFirstColumn="0" w:lastRowLastColumn="0"/>
          <w:cantSplit/>
          <w:tblHeader/>
        </w:trPr>
        <w:tc>
          <w:tcPr>
            <w:tcW w:w="744" w:type="pct"/>
            <w:vMerge w:val="restart"/>
          </w:tcPr>
          <w:p w14:paraId="58D7B29B" w14:textId="77777777" w:rsidR="00C91013" w:rsidRPr="0047058F" w:rsidRDefault="00C91013" w:rsidP="00C91013">
            <w:pPr>
              <w:pStyle w:val="TableText"/>
              <w:spacing w:before="38" w:after="38"/>
              <w:rPr>
                <w:lang w:eastAsia="ja-JP"/>
              </w:rPr>
            </w:pPr>
            <w:r w:rsidRPr="0047058F">
              <w:rPr>
                <w:lang w:eastAsia="ja-JP"/>
              </w:rPr>
              <w:t>Predictors</w:t>
            </w:r>
          </w:p>
        </w:tc>
        <w:tc>
          <w:tcPr>
            <w:tcW w:w="4256" w:type="pct"/>
            <w:gridSpan w:val="12"/>
          </w:tcPr>
          <w:p w14:paraId="65EBD90B" w14:textId="77777777" w:rsidR="00C91013" w:rsidRPr="0047058F" w:rsidRDefault="00C91013" w:rsidP="00C91013">
            <w:pPr>
              <w:pStyle w:val="TableText"/>
              <w:spacing w:before="38" w:after="38"/>
              <w:jc w:val="center"/>
            </w:pPr>
            <w:r w:rsidRPr="0047058F">
              <w:rPr>
                <w:rFonts w:eastAsia="MS Mincho"/>
              </w:rPr>
              <w:t>2015 Transition and Wellbeing Research Programme</w:t>
            </w:r>
          </w:p>
        </w:tc>
      </w:tr>
      <w:tr w:rsidR="00C91013" w:rsidRPr="0047058F" w14:paraId="562EF168" w14:textId="77777777" w:rsidTr="00C91013">
        <w:trPr>
          <w:cnfStyle w:val="100000000000" w:firstRow="1" w:lastRow="0" w:firstColumn="0" w:lastColumn="0" w:oddVBand="0" w:evenVBand="0" w:oddHBand="0" w:evenHBand="0" w:firstRowFirstColumn="0" w:firstRowLastColumn="0" w:lastRowFirstColumn="0" w:lastRowLastColumn="0"/>
          <w:cantSplit/>
          <w:tblHeader/>
        </w:trPr>
        <w:tc>
          <w:tcPr>
            <w:tcW w:w="744" w:type="pct"/>
            <w:vMerge/>
          </w:tcPr>
          <w:p w14:paraId="28676576" w14:textId="77777777" w:rsidR="00C91013" w:rsidRPr="0047058F" w:rsidRDefault="00C91013" w:rsidP="00C91013">
            <w:pPr>
              <w:pStyle w:val="TableText"/>
              <w:spacing w:before="38" w:after="38"/>
              <w:rPr>
                <w:lang w:eastAsia="ja-JP"/>
              </w:rPr>
            </w:pPr>
          </w:p>
        </w:tc>
        <w:tc>
          <w:tcPr>
            <w:tcW w:w="1924" w:type="pct"/>
            <w:gridSpan w:val="6"/>
          </w:tcPr>
          <w:p w14:paraId="21AC1B23" w14:textId="77777777" w:rsidR="00C91013" w:rsidRPr="0047058F" w:rsidRDefault="00C91013" w:rsidP="00C91013">
            <w:pPr>
              <w:pStyle w:val="TableText"/>
              <w:spacing w:before="38" w:after="38"/>
              <w:jc w:val="center"/>
            </w:pPr>
            <w:r w:rsidRPr="0047058F">
              <w:t>Descriptive statistics</w:t>
            </w:r>
          </w:p>
        </w:tc>
        <w:tc>
          <w:tcPr>
            <w:tcW w:w="1769" w:type="pct"/>
            <w:gridSpan w:val="4"/>
          </w:tcPr>
          <w:p w14:paraId="6299DB30" w14:textId="77777777" w:rsidR="00C91013" w:rsidRPr="0047058F" w:rsidRDefault="00C91013" w:rsidP="00C91013">
            <w:pPr>
              <w:pStyle w:val="TableText"/>
              <w:spacing w:before="38" w:after="38"/>
              <w:jc w:val="center"/>
            </w:pPr>
            <w:r w:rsidRPr="0047058F">
              <w:t>Odds ratios</w:t>
            </w:r>
          </w:p>
        </w:tc>
        <w:tc>
          <w:tcPr>
            <w:tcW w:w="563" w:type="pct"/>
            <w:gridSpan w:val="2"/>
            <w:vMerge w:val="restart"/>
          </w:tcPr>
          <w:p w14:paraId="437AB999" w14:textId="77777777" w:rsidR="00C91013" w:rsidRPr="0047058F" w:rsidRDefault="00C91013" w:rsidP="00C91013">
            <w:pPr>
              <w:pStyle w:val="TableText"/>
              <w:spacing w:before="38" w:after="38"/>
              <w:jc w:val="center"/>
            </w:pPr>
            <w:r w:rsidRPr="0047058F">
              <w:t xml:space="preserve">Overall </w:t>
            </w:r>
            <w:r w:rsidRPr="00801EA3">
              <w:rPr>
                <w:i/>
              </w:rPr>
              <w:t>p</w:t>
            </w:r>
            <w:r w:rsidRPr="0047058F">
              <w:t>-values</w:t>
            </w:r>
          </w:p>
        </w:tc>
      </w:tr>
      <w:tr w:rsidR="00C91013" w:rsidRPr="0047058F" w14:paraId="0D0D19F6" w14:textId="77777777" w:rsidTr="00C91013">
        <w:trPr>
          <w:cnfStyle w:val="100000000000" w:firstRow="1" w:lastRow="0" w:firstColumn="0" w:lastColumn="0" w:oddVBand="0" w:evenVBand="0" w:oddHBand="0" w:evenHBand="0" w:firstRowFirstColumn="0" w:firstRowLastColumn="0" w:lastRowFirstColumn="0" w:lastRowLastColumn="0"/>
          <w:cantSplit/>
          <w:tblHeader/>
        </w:trPr>
        <w:tc>
          <w:tcPr>
            <w:tcW w:w="744" w:type="pct"/>
            <w:vMerge/>
          </w:tcPr>
          <w:p w14:paraId="61EFFFEA" w14:textId="77777777" w:rsidR="00C91013" w:rsidRPr="0047058F" w:rsidRDefault="00C91013" w:rsidP="00C91013">
            <w:pPr>
              <w:pStyle w:val="TableText"/>
              <w:spacing w:before="38" w:after="38"/>
              <w:rPr>
                <w:lang w:eastAsia="ja-JP"/>
              </w:rPr>
            </w:pPr>
          </w:p>
        </w:tc>
        <w:tc>
          <w:tcPr>
            <w:tcW w:w="668" w:type="pct"/>
            <w:gridSpan w:val="2"/>
          </w:tcPr>
          <w:p w14:paraId="4F39ABBE" w14:textId="77777777" w:rsidR="00C91013" w:rsidRPr="0047058F" w:rsidRDefault="00C91013" w:rsidP="00C91013">
            <w:pPr>
              <w:pStyle w:val="TableText"/>
              <w:spacing w:before="38" w:after="38"/>
            </w:pPr>
            <w:r w:rsidRPr="0047058F">
              <w:t>No disorder (ref)</w:t>
            </w:r>
          </w:p>
        </w:tc>
        <w:tc>
          <w:tcPr>
            <w:tcW w:w="630" w:type="pct"/>
            <w:gridSpan w:val="2"/>
          </w:tcPr>
          <w:p w14:paraId="727E7BE6" w14:textId="77777777" w:rsidR="00C91013" w:rsidRPr="0047058F" w:rsidRDefault="00C91013" w:rsidP="00C91013">
            <w:pPr>
              <w:pStyle w:val="TableText"/>
              <w:spacing w:before="38" w:after="38"/>
              <w:jc w:val="center"/>
            </w:pPr>
            <w:r w:rsidRPr="0047058F">
              <w:t>Subsyndromal disorder</w:t>
            </w:r>
          </w:p>
        </w:tc>
        <w:tc>
          <w:tcPr>
            <w:tcW w:w="626" w:type="pct"/>
            <w:gridSpan w:val="2"/>
          </w:tcPr>
          <w:p w14:paraId="79642BA0" w14:textId="77777777" w:rsidR="00C91013" w:rsidRPr="0047058F" w:rsidRDefault="00C91013" w:rsidP="00C91013">
            <w:pPr>
              <w:pStyle w:val="TableText"/>
              <w:spacing w:before="38" w:after="38"/>
              <w:jc w:val="center"/>
            </w:pPr>
            <w:r w:rsidRPr="0047058F">
              <w:t>Probable disorder</w:t>
            </w:r>
          </w:p>
        </w:tc>
        <w:tc>
          <w:tcPr>
            <w:tcW w:w="903" w:type="pct"/>
            <w:gridSpan w:val="2"/>
          </w:tcPr>
          <w:p w14:paraId="12EA89BF" w14:textId="347FB595" w:rsidR="00C91013" w:rsidRPr="0047058F" w:rsidRDefault="00C91013" w:rsidP="00C91013">
            <w:pPr>
              <w:pStyle w:val="TableText"/>
              <w:spacing w:before="38" w:after="38"/>
              <w:jc w:val="center"/>
            </w:pPr>
            <w:r w:rsidRPr="0047058F">
              <w:t>Subsyndromal disorder vs No</w:t>
            </w:r>
            <w:r w:rsidR="004B7F47">
              <w:t> </w:t>
            </w:r>
            <w:r w:rsidRPr="0047058F">
              <w:t>disorder</w:t>
            </w:r>
          </w:p>
        </w:tc>
        <w:tc>
          <w:tcPr>
            <w:tcW w:w="866" w:type="pct"/>
            <w:gridSpan w:val="2"/>
          </w:tcPr>
          <w:p w14:paraId="4AB31829" w14:textId="21F3E1EF" w:rsidR="00C91013" w:rsidRPr="0047058F" w:rsidRDefault="00C91013" w:rsidP="00C91013">
            <w:pPr>
              <w:pStyle w:val="TableText"/>
              <w:spacing w:before="38" w:after="38"/>
              <w:jc w:val="center"/>
            </w:pPr>
            <w:r w:rsidRPr="0047058F">
              <w:t>Probable disorder vs No</w:t>
            </w:r>
            <w:r w:rsidR="004B7F47">
              <w:t> </w:t>
            </w:r>
            <w:r w:rsidRPr="0047058F">
              <w:t>disorder</w:t>
            </w:r>
          </w:p>
        </w:tc>
        <w:tc>
          <w:tcPr>
            <w:tcW w:w="563" w:type="pct"/>
            <w:gridSpan w:val="2"/>
            <w:vMerge/>
          </w:tcPr>
          <w:p w14:paraId="53B2CA70" w14:textId="77777777" w:rsidR="00C91013" w:rsidRPr="0047058F" w:rsidRDefault="00C91013" w:rsidP="00C91013">
            <w:pPr>
              <w:pStyle w:val="TableText"/>
              <w:spacing w:before="38" w:after="38"/>
              <w:jc w:val="center"/>
            </w:pPr>
          </w:p>
        </w:tc>
      </w:tr>
      <w:tr w:rsidR="00C91013" w:rsidRPr="0047058F" w14:paraId="6033335F" w14:textId="77777777" w:rsidTr="00C91013">
        <w:trPr>
          <w:cnfStyle w:val="100000000000" w:firstRow="1" w:lastRow="0" w:firstColumn="0" w:lastColumn="0" w:oddVBand="0" w:evenVBand="0" w:oddHBand="0" w:evenHBand="0" w:firstRowFirstColumn="0" w:firstRowLastColumn="0" w:lastRowFirstColumn="0" w:lastRowLastColumn="0"/>
          <w:cantSplit/>
          <w:tblHeader/>
        </w:trPr>
        <w:tc>
          <w:tcPr>
            <w:tcW w:w="744" w:type="pct"/>
            <w:vMerge/>
          </w:tcPr>
          <w:p w14:paraId="4AA99BBA" w14:textId="77777777" w:rsidR="00C91013" w:rsidRPr="0047058F" w:rsidRDefault="00C91013" w:rsidP="00C91013">
            <w:pPr>
              <w:pStyle w:val="TableText"/>
              <w:spacing w:before="38" w:after="38"/>
              <w:rPr>
                <w:rFonts w:eastAsia="Cambria" w:cs="Arial"/>
              </w:rPr>
            </w:pPr>
          </w:p>
        </w:tc>
        <w:tc>
          <w:tcPr>
            <w:tcW w:w="196" w:type="pct"/>
          </w:tcPr>
          <w:p w14:paraId="67C81299" w14:textId="77777777" w:rsidR="00C91013" w:rsidRPr="0047058F" w:rsidRDefault="00C91013" w:rsidP="00C91013">
            <w:pPr>
              <w:pStyle w:val="TableText"/>
              <w:spacing w:before="38" w:after="38"/>
              <w:jc w:val="right"/>
            </w:pPr>
            <w:r w:rsidRPr="0047058F">
              <w:t>n</w:t>
            </w:r>
          </w:p>
        </w:tc>
        <w:tc>
          <w:tcPr>
            <w:tcW w:w="472" w:type="pct"/>
          </w:tcPr>
          <w:p w14:paraId="017E643B" w14:textId="77777777" w:rsidR="00C91013" w:rsidRPr="0047058F" w:rsidRDefault="00C91013" w:rsidP="00C91013">
            <w:pPr>
              <w:pStyle w:val="TableText"/>
              <w:spacing w:before="38" w:after="38"/>
              <w:jc w:val="right"/>
            </w:pPr>
            <w:r w:rsidRPr="0047058F">
              <w:t>% (95% CI) /</w:t>
            </w:r>
            <w:r w:rsidRPr="0047058F">
              <w:br/>
              <w:t>Mean (SE)</w:t>
            </w:r>
          </w:p>
        </w:tc>
        <w:tc>
          <w:tcPr>
            <w:tcW w:w="199" w:type="pct"/>
          </w:tcPr>
          <w:p w14:paraId="68D7ED71" w14:textId="77777777" w:rsidR="00C91013" w:rsidRPr="0047058F" w:rsidRDefault="00C91013" w:rsidP="00C91013">
            <w:pPr>
              <w:pStyle w:val="TableText"/>
              <w:spacing w:before="38" w:after="38"/>
              <w:jc w:val="right"/>
            </w:pPr>
            <w:r w:rsidRPr="0047058F">
              <w:t>n</w:t>
            </w:r>
          </w:p>
        </w:tc>
        <w:tc>
          <w:tcPr>
            <w:tcW w:w="431" w:type="pct"/>
          </w:tcPr>
          <w:p w14:paraId="3EBD093B" w14:textId="77777777" w:rsidR="00C91013" w:rsidRPr="0047058F" w:rsidRDefault="00C91013" w:rsidP="00C91013">
            <w:pPr>
              <w:pStyle w:val="TableText"/>
              <w:spacing w:before="38" w:after="38"/>
              <w:jc w:val="right"/>
            </w:pPr>
            <w:r w:rsidRPr="0047058F">
              <w:t>% (95% CI) /</w:t>
            </w:r>
            <w:r w:rsidRPr="0047058F">
              <w:br/>
              <w:t>Mean (SE)</w:t>
            </w:r>
          </w:p>
        </w:tc>
        <w:tc>
          <w:tcPr>
            <w:tcW w:w="194" w:type="pct"/>
          </w:tcPr>
          <w:p w14:paraId="7517E111" w14:textId="77777777" w:rsidR="00C91013" w:rsidRPr="0047058F" w:rsidRDefault="00C91013" w:rsidP="00C91013">
            <w:pPr>
              <w:pStyle w:val="TableText"/>
              <w:spacing w:before="38" w:after="38"/>
              <w:jc w:val="right"/>
            </w:pPr>
            <w:r w:rsidRPr="0047058F">
              <w:t>n</w:t>
            </w:r>
          </w:p>
        </w:tc>
        <w:tc>
          <w:tcPr>
            <w:tcW w:w="432" w:type="pct"/>
          </w:tcPr>
          <w:p w14:paraId="302231B4" w14:textId="77777777" w:rsidR="00C91013" w:rsidRPr="0047058F" w:rsidRDefault="00C91013" w:rsidP="00C91013">
            <w:pPr>
              <w:pStyle w:val="TableText"/>
              <w:spacing w:before="38" w:after="38"/>
              <w:jc w:val="right"/>
            </w:pPr>
            <w:r w:rsidRPr="0047058F">
              <w:t>% (95% CI) /</w:t>
            </w:r>
            <w:r w:rsidRPr="0047058F">
              <w:br/>
              <w:t>Mean (SE)</w:t>
            </w:r>
          </w:p>
        </w:tc>
        <w:tc>
          <w:tcPr>
            <w:tcW w:w="451" w:type="pct"/>
          </w:tcPr>
          <w:p w14:paraId="2AD988DB" w14:textId="77777777" w:rsidR="00C91013" w:rsidRPr="0047058F" w:rsidRDefault="00C91013" w:rsidP="00C91013">
            <w:pPr>
              <w:pStyle w:val="TableText"/>
              <w:spacing w:before="38" w:after="38"/>
              <w:jc w:val="right"/>
            </w:pPr>
            <w:r w:rsidRPr="0047058F">
              <w:t>OR (95% CI)</w:t>
            </w:r>
          </w:p>
        </w:tc>
        <w:tc>
          <w:tcPr>
            <w:tcW w:w="452" w:type="pct"/>
          </w:tcPr>
          <w:p w14:paraId="7663F174" w14:textId="77777777" w:rsidR="00C91013" w:rsidRPr="0047058F" w:rsidRDefault="00C91013" w:rsidP="00C91013">
            <w:pPr>
              <w:pStyle w:val="TableText"/>
              <w:spacing w:before="38" w:after="38"/>
              <w:jc w:val="right"/>
            </w:pPr>
            <w:r w:rsidRPr="0047058F">
              <w:t>Adjusted OR (95% CI)</w:t>
            </w:r>
          </w:p>
        </w:tc>
        <w:tc>
          <w:tcPr>
            <w:tcW w:w="433" w:type="pct"/>
          </w:tcPr>
          <w:p w14:paraId="7332DC4F" w14:textId="77777777" w:rsidR="00C91013" w:rsidRPr="0047058F" w:rsidRDefault="00C91013" w:rsidP="00C91013">
            <w:pPr>
              <w:pStyle w:val="TableText"/>
              <w:spacing w:before="38" w:after="38"/>
              <w:jc w:val="right"/>
            </w:pPr>
            <w:r w:rsidRPr="0047058F">
              <w:t>OR (95% CI)</w:t>
            </w:r>
          </w:p>
        </w:tc>
        <w:tc>
          <w:tcPr>
            <w:tcW w:w="433" w:type="pct"/>
          </w:tcPr>
          <w:p w14:paraId="013AB592" w14:textId="77777777" w:rsidR="00C91013" w:rsidRPr="0047058F" w:rsidRDefault="00C91013" w:rsidP="00C91013">
            <w:pPr>
              <w:pStyle w:val="TableText"/>
              <w:spacing w:before="38" w:after="38"/>
              <w:jc w:val="right"/>
            </w:pPr>
            <w:r w:rsidRPr="0047058F">
              <w:t>Adjusted OR (95% CI)</w:t>
            </w:r>
          </w:p>
        </w:tc>
        <w:tc>
          <w:tcPr>
            <w:tcW w:w="281" w:type="pct"/>
          </w:tcPr>
          <w:p w14:paraId="445440AF" w14:textId="77777777" w:rsidR="00C91013" w:rsidRPr="0047058F" w:rsidRDefault="00C91013" w:rsidP="00C91013">
            <w:pPr>
              <w:pStyle w:val="TableText"/>
              <w:spacing w:before="38" w:after="38"/>
              <w:jc w:val="right"/>
            </w:pPr>
            <w:r w:rsidRPr="00801EA3">
              <w:rPr>
                <w:i/>
              </w:rPr>
              <w:t>p</w:t>
            </w:r>
            <w:r w:rsidRPr="0047058F">
              <w:t>-value</w:t>
            </w:r>
          </w:p>
        </w:tc>
        <w:tc>
          <w:tcPr>
            <w:tcW w:w="282" w:type="pct"/>
          </w:tcPr>
          <w:p w14:paraId="6F425E93" w14:textId="45D0B523" w:rsidR="00C91013" w:rsidRPr="0047058F" w:rsidRDefault="00C91013" w:rsidP="003876A3">
            <w:pPr>
              <w:pStyle w:val="TableText"/>
              <w:spacing w:before="38" w:after="38"/>
              <w:jc w:val="right"/>
            </w:pPr>
            <w:r w:rsidRPr="00801EA3">
              <w:rPr>
                <w:i/>
              </w:rPr>
              <w:t>p</w:t>
            </w:r>
            <w:r w:rsidRPr="0047058F">
              <w:t>-value for adjusted model</w:t>
            </w:r>
          </w:p>
        </w:tc>
      </w:tr>
      <w:tr w:rsidR="00C91013" w:rsidRPr="0047058F" w14:paraId="5F81A427"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5000" w:type="pct"/>
            <w:gridSpan w:val="13"/>
          </w:tcPr>
          <w:p w14:paraId="2746BB06" w14:textId="77777777" w:rsidR="00C91013" w:rsidRPr="0047058F" w:rsidRDefault="00C91013" w:rsidP="00C91013">
            <w:pPr>
              <w:pStyle w:val="TableText"/>
              <w:spacing w:before="38" w:after="38"/>
              <w:rPr>
                <w:color w:val="000000" w:themeColor="text1"/>
                <w:sz w:val="13"/>
              </w:rPr>
            </w:pPr>
            <w:r w:rsidRPr="0047058F">
              <w:rPr>
                <w:rFonts w:eastAsia="Cambria" w:cs="Arial"/>
                <w:b/>
              </w:rPr>
              <w:t>Demographic factors (time point 1)</w:t>
            </w:r>
          </w:p>
        </w:tc>
      </w:tr>
      <w:tr w:rsidR="00C91013" w:rsidRPr="0047058F" w14:paraId="2726BCE2" w14:textId="77777777" w:rsidTr="00C91013">
        <w:trPr>
          <w:cantSplit/>
        </w:trPr>
        <w:tc>
          <w:tcPr>
            <w:tcW w:w="744" w:type="pct"/>
          </w:tcPr>
          <w:p w14:paraId="0B83573E" w14:textId="77777777" w:rsidR="00F92BE1" w:rsidRPr="0047058F" w:rsidRDefault="00F92BE1" w:rsidP="00C91013">
            <w:pPr>
              <w:pStyle w:val="TableText"/>
              <w:spacing w:before="38" w:after="38"/>
              <w:rPr>
                <w:rFonts w:cs="Arial"/>
              </w:rPr>
            </w:pPr>
            <w:r w:rsidRPr="0047058F">
              <w:rPr>
                <w:rFonts w:cs="Arial"/>
              </w:rPr>
              <w:t>Age (mean)</w:t>
            </w:r>
          </w:p>
        </w:tc>
        <w:tc>
          <w:tcPr>
            <w:tcW w:w="196" w:type="pct"/>
          </w:tcPr>
          <w:p w14:paraId="48B6AEA7" w14:textId="77777777" w:rsidR="00F92BE1" w:rsidRPr="0047058F" w:rsidRDefault="00F92BE1" w:rsidP="00C91013">
            <w:pPr>
              <w:pStyle w:val="TableText"/>
              <w:spacing w:before="38" w:after="38"/>
              <w:jc w:val="right"/>
              <w:rPr>
                <w:sz w:val="13"/>
              </w:rPr>
            </w:pPr>
            <w:r w:rsidRPr="0047058F">
              <w:rPr>
                <w:rFonts w:cs="Arial"/>
                <w:sz w:val="13"/>
              </w:rPr>
              <w:t>126</w:t>
            </w:r>
          </w:p>
        </w:tc>
        <w:tc>
          <w:tcPr>
            <w:tcW w:w="472" w:type="pct"/>
          </w:tcPr>
          <w:p w14:paraId="2357214C" w14:textId="77777777" w:rsidR="00F92BE1" w:rsidRPr="0047058F" w:rsidRDefault="00F92BE1" w:rsidP="00C91013">
            <w:pPr>
              <w:pStyle w:val="TableText"/>
              <w:spacing w:before="38" w:after="38"/>
              <w:jc w:val="right"/>
              <w:rPr>
                <w:sz w:val="13"/>
              </w:rPr>
            </w:pPr>
            <w:r w:rsidRPr="0047058F">
              <w:rPr>
                <w:rFonts w:cs="Arial"/>
                <w:sz w:val="13"/>
              </w:rPr>
              <w:t>35.07 (0.78)</w:t>
            </w:r>
          </w:p>
        </w:tc>
        <w:tc>
          <w:tcPr>
            <w:tcW w:w="199" w:type="pct"/>
          </w:tcPr>
          <w:p w14:paraId="60A53846" w14:textId="77777777" w:rsidR="00F92BE1" w:rsidRPr="0047058F" w:rsidRDefault="00F92BE1" w:rsidP="00C91013">
            <w:pPr>
              <w:pStyle w:val="TableText"/>
              <w:spacing w:before="38" w:after="38"/>
              <w:jc w:val="right"/>
              <w:rPr>
                <w:sz w:val="13"/>
              </w:rPr>
            </w:pPr>
            <w:r w:rsidRPr="0047058F">
              <w:rPr>
                <w:rFonts w:cs="Arial"/>
                <w:sz w:val="13"/>
              </w:rPr>
              <w:t>179</w:t>
            </w:r>
          </w:p>
        </w:tc>
        <w:tc>
          <w:tcPr>
            <w:tcW w:w="431" w:type="pct"/>
          </w:tcPr>
          <w:p w14:paraId="3D6CC333" w14:textId="77777777" w:rsidR="00F92BE1" w:rsidRPr="0047058F" w:rsidRDefault="00F92BE1" w:rsidP="00C91013">
            <w:pPr>
              <w:pStyle w:val="TableText"/>
              <w:spacing w:before="38" w:after="38"/>
              <w:jc w:val="right"/>
              <w:rPr>
                <w:sz w:val="13"/>
              </w:rPr>
            </w:pPr>
            <w:r w:rsidRPr="0047058F">
              <w:rPr>
                <w:rFonts w:cs="Arial"/>
                <w:sz w:val="13"/>
              </w:rPr>
              <w:t>39.69 (0.77)</w:t>
            </w:r>
          </w:p>
        </w:tc>
        <w:tc>
          <w:tcPr>
            <w:tcW w:w="194" w:type="pct"/>
          </w:tcPr>
          <w:p w14:paraId="10895957" w14:textId="77777777" w:rsidR="00F92BE1" w:rsidRPr="0047058F" w:rsidRDefault="00F92BE1" w:rsidP="00C91013">
            <w:pPr>
              <w:pStyle w:val="TableText"/>
              <w:spacing w:before="38" w:after="38"/>
              <w:jc w:val="right"/>
              <w:rPr>
                <w:sz w:val="13"/>
              </w:rPr>
            </w:pPr>
            <w:r w:rsidRPr="0047058F">
              <w:rPr>
                <w:rFonts w:cs="Arial"/>
                <w:sz w:val="13"/>
              </w:rPr>
              <w:t>237</w:t>
            </w:r>
          </w:p>
        </w:tc>
        <w:tc>
          <w:tcPr>
            <w:tcW w:w="432" w:type="pct"/>
          </w:tcPr>
          <w:p w14:paraId="003521F8" w14:textId="77777777" w:rsidR="00F92BE1" w:rsidRPr="0047058F" w:rsidRDefault="00F92BE1" w:rsidP="00C91013">
            <w:pPr>
              <w:pStyle w:val="TableText"/>
              <w:spacing w:before="38" w:after="38"/>
              <w:jc w:val="right"/>
              <w:rPr>
                <w:sz w:val="13"/>
              </w:rPr>
            </w:pPr>
            <w:r w:rsidRPr="0047058F">
              <w:rPr>
                <w:rFonts w:cs="Arial"/>
                <w:sz w:val="13"/>
              </w:rPr>
              <w:t>38.54 (0.62)</w:t>
            </w:r>
          </w:p>
        </w:tc>
        <w:tc>
          <w:tcPr>
            <w:tcW w:w="451" w:type="pct"/>
          </w:tcPr>
          <w:p w14:paraId="1164E5E3" w14:textId="77777777" w:rsidR="00F92BE1" w:rsidRPr="0047058F" w:rsidRDefault="00F92BE1" w:rsidP="00C91013">
            <w:pPr>
              <w:pStyle w:val="TableText"/>
              <w:spacing w:before="38" w:after="38"/>
              <w:jc w:val="right"/>
              <w:rPr>
                <w:sz w:val="13"/>
              </w:rPr>
            </w:pPr>
            <w:r w:rsidRPr="0047058F">
              <w:rPr>
                <w:sz w:val="13"/>
              </w:rPr>
              <w:t>1.05 (1.02–1.08)</w:t>
            </w:r>
          </w:p>
        </w:tc>
        <w:tc>
          <w:tcPr>
            <w:tcW w:w="452" w:type="pct"/>
          </w:tcPr>
          <w:p w14:paraId="66D3F12F" w14:textId="77777777" w:rsidR="00F92BE1" w:rsidRPr="0047058F" w:rsidRDefault="00F92BE1" w:rsidP="00C91013">
            <w:pPr>
              <w:pStyle w:val="TableText"/>
              <w:spacing w:before="38" w:after="38"/>
              <w:jc w:val="right"/>
              <w:rPr>
                <w:sz w:val="13"/>
              </w:rPr>
            </w:pPr>
            <w:r w:rsidRPr="0047058F">
              <w:rPr>
                <w:sz w:val="13"/>
              </w:rPr>
              <w:t>1.04 (1.01–1.07)</w:t>
            </w:r>
          </w:p>
        </w:tc>
        <w:tc>
          <w:tcPr>
            <w:tcW w:w="433" w:type="pct"/>
          </w:tcPr>
          <w:p w14:paraId="6BD8775D" w14:textId="77777777" w:rsidR="00F92BE1" w:rsidRPr="0047058F" w:rsidRDefault="00F92BE1" w:rsidP="00C91013">
            <w:pPr>
              <w:pStyle w:val="TableText"/>
              <w:spacing w:before="38" w:after="38"/>
              <w:jc w:val="right"/>
              <w:rPr>
                <w:sz w:val="13"/>
              </w:rPr>
            </w:pPr>
            <w:r w:rsidRPr="0047058F">
              <w:rPr>
                <w:sz w:val="13"/>
              </w:rPr>
              <w:t>1.04 (1.01–1.06)</w:t>
            </w:r>
          </w:p>
        </w:tc>
        <w:tc>
          <w:tcPr>
            <w:tcW w:w="433" w:type="pct"/>
          </w:tcPr>
          <w:p w14:paraId="6A680E4A" w14:textId="77777777" w:rsidR="00F92BE1" w:rsidRPr="0047058F" w:rsidRDefault="00F92BE1" w:rsidP="00C91013">
            <w:pPr>
              <w:pStyle w:val="TableText"/>
              <w:spacing w:before="38" w:after="38"/>
              <w:jc w:val="right"/>
              <w:rPr>
                <w:sz w:val="13"/>
              </w:rPr>
            </w:pPr>
            <w:r w:rsidRPr="0047058F">
              <w:rPr>
                <w:sz w:val="13"/>
              </w:rPr>
              <w:t>1.02 (0.99–1.06)</w:t>
            </w:r>
          </w:p>
        </w:tc>
        <w:tc>
          <w:tcPr>
            <w:tcW w:w="281" w:type="pct"/>
          </w:tcPr>
          <w:p w14:paraId="34F90F1D"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0.0016</w:t>
            </w:r>
          </w:p>
        </w:tc>
        <w:tc>
          <w:tcPr>
            <w:tcW w:w="282" w:type="pct"/>
          </w:tcPr>
          <w:p w14:paraId="51C5AA65"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0.0223</w:t>
            </w:r>
          </w:p>
        </w:tc>
      </w:tr>
      <w:tr w:rsidR="00C91013" w:rsidRPr="0047058F" w14:paraId="7AFD1B97"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1428FBED" w14:textId="77777777" w:rsidR="00F92BE1" w:rsidRPr="0047058F" w:rsidRDefault="00F92BE1" w:rsidP="00C91013">
            <w:pPr>
              <w:pStyle w:val="TableText"/>
              <w:spacing w:before="38" w:after="38"/>
              <w:rPr>
                <w:rFonts w:cs="Arial"/>
              </w:rPr>
            </w:pPr>
            <w:r w:rsidRPr="0047058F">
              <w:rPr>
                <w:rFonts w:cs="Arial"/>
              </w:rPr>
              <w:t>Sex</w:t>
            </w:r>
          </w:p>
        </w:tc>
        <w:tc>
          <w:tcPr>
            <w:tcW w:w="196" w:type="pct"/>
          </w:tcPr>
          <w:p w14:paraId="03557411" w14:textId="77777777" w:rsidR="00F92BE1" w:rsidRPr="0047058F" w:rsidRDefault="00F92BE1" w:rsidP="00C91013">
            <w:pPr>
              <w:pStyle w:val="TableText"/>
              <w:spacing w:before="38" w:after="38"/>
              <w:jc w:val="right"/>
              <w:rPr>
                <w:sz w:val="13"/>
              </w:rPr>
            </w:pPr>
          </w:p>
        </w:tc>
        <w:tc>
          <w:tcPr>
            <w:tcW w:w="472" w:type="pct"/>
          </w:tcPr>
          <w:p w14:paraId="00524FCD" w14:textId="77777777" w:rsidR="00F92BE1" w:rsidRPr="0047058F" w:rsidRDefault="00F92BE1" w:rsidP="00C91013">
            <w:pPr>
              <w:pStyle w:val="TableText"/>
              <w:spacing w:before="38" w:after="38"/>
              <w:jc w:val="right"/>
              <w:rPr>
                <w:sz w:val="13"/>
              </w:rPr>
            </w:pPr>
          </w:p>
        </w:tc>
        <w:tc>
          <w:tcPr>
            <w:tcW w:w="199" w:type="pct"/>
          </w:tcPr>
          <w:p w14:paraId="70CC119C" w14:textId="77777777" w:rsidR="00F92BE1" w:rsidRPr="0047058F" w:rsidRDefault="00F92BE1" w:rsidP="00C91013">
            <w:pPr>
              <w:pStyle w:val="TableText"/>
              <w:spacing w:before="38" w:after="38"/>
              <w:jc w:val="right"/>
              <w:rPr>
                <w:sz w:val="13"/>
              </w:rPr>
            </w:pPr>
          </w:p>
        </w:tc>
        <w:tc>
          <w:tcPr>
            <w:tcW w:w="431" w:type="pct"/>
          </w:tcPr>
          <w:p w14:paraId="5FCC78F8" w14:textId="77777777" w:rsidR="00F92BE1" w:rsidRPr="0047058F" w:rsidRDefault="00F92BE1" w:rsidP="00C91013">
            <w:pPr>
              <w:pStyle w:val="TableText"/>
              <w:spacing w:before="38" w:after="38"/>
              <w:jc w:val="right"/>
              <w:rPr>
                <w:sz w:val="13"/>
              </w:rPr>
            </w:pPr>
          </w:p>
        </w:tc>
        <w:tc>
          <w:tcPr>
            <w:tcW w:w="194" w:type="pct"/>
          </w:tcPr>
          <w:p w14:paraId="4249AE84" w14:textId="77777777" w:rsidR="00F92BE1" w:rsidRPr="0047058F" w:rsidRDefault="00F92BE1" w:rsidP="00C91013">
            <w:pPr>
              <w:pStyle w:val="TableText"/>
              <w:spacing w:before="38" w:after="38"/>
              <w:jc w:val="right"/>
              <w:rPr>
                <w:sz w:val="13"/>
              </w:rPr>
            </w:pPr>
          </w:p>
        </w:tc>
        <w:tc>
          <w:tcPr>
            <w:tcW w:w="432" w:type="pct"/>
          </w:tcPr>
          <w:p w14:paraId="1FB8D16D" w14:textId="77777777" w:rsidR="00F92BE1" w:rsidRPr="0047058F" w:rsidRDefault="00F92BE1" w:rsidP="00C91013">
            <w:pPr>
              <w:pStyle w:val="TableText"/>
              <w:spacing w:before="38" w:after="38"/>
              <w:jc w:val="right"/>
              <w:rPr>
                <w:sz w:val="13"/>
              </w:rPr>
            </w:pPr>
          </w:p>
        </w:tc>
        <w:tc>
          <w:tcPr>
            <w:tcW w:w="451" w:type="pct"/>
          </w:tcPr>
          <w:p w14:paraId="1047036A" w14:textId="77777777" w:rsidR="00F92BE1" w:rsidRPr="0047058F" w:rsidRDefault="00F92BE1" w:rsidP="00C91013">
            <w:pPr>
              <w:pStyle w:val="TableText"/>
              <w:spacing w:before="38" w:after="38"/>
              <w:jc w:val="right"/>
              <w:rPr>
                <w:sz w:val="13"/>
              </w:rPr>
            </w:pPr>
          </w:p>
        </w:tc>
        <w:tc>
          <w:tcPr>
            <w:tcW w:w="452" w:type="pct"/>
          </w:tcPr>
          <w:p w14:paraId="0F5AB18F" w14:textId="77777777" w:rsidR="00F92BE1" w:rsidRPr="0047058F" w:rsidRDefault="00F92BE1" w:rsidP="00C91013">
            <w:pPr>
              <w:pStyle w:val="TableText"/>
              <w:spacing w:before="38" w:after="38"/>
              <w:jc w:val="right"/>
              <w:rPr>
                <w:sz w:val="13"/>
              </w:rPr>
            </w:pPr>
          </w:p>
        </w:tc>
        <w:tc>
          <w:tcPr>
            <w:tcW w:w="433" w:type="pct"/>
          </w:tcPr>
          <w:p w14:paraId="255A6955" w14:textId="77777777" w:rsidR="00F92BE1" w:rsidRPr="0047058F" w:rsidRDefault="00F92BE1" w:rsidP="00C91013">
            <w:pPr>
              <w:pStyle w:val="TableText"/>
              <w:spacing w:before="38" w:after="38"/>
              <w:jc w:val="right"/>
              <w:rPr>
                <w:sz w:val="13"/>
              </w:rPr>
            </w:pPr>
          </w:p>
        </w:tc>
        <w:tc>
          <w:tcPr>
            <w:tcW w:w="433" w:type="pct"/>
          </w:tcPr>
          <w:p w14:paraId="1887A611" w14:textId="77777777" w:rsidR="00F92BE1" w:rsidRPr="0047058F" w:rsidRDefault="00F92BE1" w:rsidP="00C91013">
            <w:pPr>
              <w:pStyle w:val="TableText"/>
              <w:spacing w:before="38" w:after="38"/>
              <w:jc w:val="right"/>
              <w:rPr>
                <w:sz w:val="13"/>
              </w:rPr>
            </w:pPr>
          </w:p>
        </w:tc>
        <w:tc>
          <w:tcPr>
            <w:tcW w:w="281" w:type="pct"/>
          </w:tcPr>
          <w:p w14:paraId="26FA98E5"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0.0007</w:t>
            </w:r>
          </w:p>
        </w:tc>
        <w:tc>
          <w:tcPr>
            <w:tcW w:w="282" w:type="pct"/>
          </w:tcPr>
          <w:p w14:paraId="76C83DF0"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ns</w:t>
            </w:r>
          </w:p>
        </w:tc>
      </w:tr>
      <w:tr w:rsidR="00C91013" w:rsidRPr="0047058F" w14:paraId="72C920C9" w14:textId="77777777" w:rsidTr="00C91013">
        <w:trPr>
          <w:cantSplit/>
        </w:trPr>
        <w:tc>
          <w:tcPr>
            <w:tcW w:w="744" w:type="pct"/>
          </w:tcPr>
          <w:p w14:paraId="5B18765A" w14:textId="77777777" w:rsidR="00F92BE1" w:rsidRPr="0047058F" w:rsidRDefault="00F92BE1" w:rsidP="00C91013">
            <w:pPr>
              <w:pStyle w:val="TableText"/>
              <w:spacing w:before="38" w:after="38"/>
              <w:ind w:left="144"/>
              <w:rPr>
                <w:rFonts w:cs="Arial"/>
              </w:rPr>
            </w:pPr>
            <w:r w:rsidRPr="0047058F">
              <w:rPr>
                <w:rFonts w:cs="Arial"/>
              </w:rPr>
              <w:t>Female</w:t>
            </w:r>
          </w:p>
        </w:tc>
        <w:tc>
          <w:tcPr>
            <w:tcW w:w="196" w:type="pct"/>
          </w:tcPr>
          <w:p w14:paraId="54813655" w14:textId="77777777" w:rsidR="00F92BE1" w:rsidRPr="0047058F" w:rsidRDefault="00F92BE1" w:rsidP="00C91013">
            <w:pPr>
              <w:pStyle w:val="TableText"/>
              <w:spacing w:before="38" w:after="38"/>
              <w:jc w:val="right"/>
              <w:rPr>
                <w:sz w:val="13"/>
              </w:rPr>
            </w:pPr>
            <w:r w:rsidRPr="0047058F">
              <w:rPr>
                <w:rFonts w:cs="Arial"/>
                <w:sz w:val="13"/>
              </w:rPr>
              <w:t>42</w:t>
            </w:r>
          </w:p>
        </w:tc>
        <w:tc>
          <w:tcPr>
            <w:tcW w:w="472" w:type="pct"/>
          </w:tcPr>
          <w:p w14:paraId="7C0E3A56" w14:textId="77777777" w:rsidR="00F92BE1" w:rsidRPr="0047058F" w:rsidRDefault="00F92BE1" w:rsidP="00C91013">
            <w:pPr>
              <w:pStyle w:val="TableText"/>
              <w:spacing w:before="38" w:after="38"/>
              <w:jc w:val="right"/>
              <w:rPr>
                <w:sz w:val="13"/>
              </w:rPr>
            </w:pPr>
            <w:r w:rsidRPr="0047058F">
              <w:rPr>
                <w:rFonts w:cs="Arial"/>
                <w:sz w:val="13"/>
              </w:rPr>
              <w:t>38.5 (23.1–53.9)</w:t>
            </w:r>
          </w:p>
        </w:tc>
        <w:tc>
          <w:tcPr>
            <w:tcW w:w="199" w:type="pct"/>
          </w:tcPr>
          <w:p w14:paraId="48E0DED1" w14:textId="77777777" w:rsidR="00F92BE1" w:rsidRPr="0047058F" w:rsidRDefault="00F92BE1" w:rsidP="00C91013">
            <w:pPr>
              <w:pStyle w:val="TableText"/>
              <w:spacing w:before="38" w:after="38"/>
              <w:jc w:val="right"/>
              <w:rPr>
                <w:sz w:val="13"/>
              </w:rPr>
            </w:pPr>
            <w:r w:rsidRPr="0047058F">
              <w:rPr>
                <w:rFonts w:cs="Arial"/>
                <w:sz w:val="13"/>
              </w:rPr>
              <w:t>29</w:t>
            </w:r>
          </w:p>
        </w:tc>
        <w:tc>
          <w:tcPr>
            <w:tcW w:w="431" w:type="pct"/>
          </w:tcPr>
          <w:p w14:paraId="75D0CF37" w14:textId="77777777" w:rsidR="00F92BE1" w:rsidRPr="0047058F" w:rsidRDefault="00F92BE1" w:rsidP="00C91013">
            <w:pPr>
              <w:pStyle w:val="TableText"/>
              <w:spacing w:before="38" w:after="38"/>
              <w:jc w:val="right"/>
              <w:rPr>
                <w:sz w:val="13"/>
              </w:rPr>
            </w:pPr>
            <w:r w:rsidRPr="0047058F">
              <w:rPr>
                <w:rFonts w:cs="Arial"/>
                <w:sz w:val="13"/>
              </w:rPr>
              <w:t>26.6 (9.8–43.4)</w:t>
            </w:r>
          </w:p>
        </w:tc>
        <w:tc>
          <w:tcPr>
            <w:tcW w:w="194" w:type="pct"/>
          </w:tcPr>
          <w:p w14:paraId="66AA6245" w14:textId="77777777" w:rsidR="00F92BE1" w:rsidRPr="0047058F" w:rsidRDefault="00F92BE1" w:rsidP="00C91013">
            <w:pPr>
              <w:pStyle w:val="TableText"/>
              <w:spacing w:before="38" w:after="38"/>
              <w:jc w:val="right"/>
              <w:rPr>
                <w:sz w:val="13"/>
              </w:rPr>
            </w:pPr>
            <w:r w:rsidRPr="0047058F">
              <w:rPr>
                <w:rFonts w:cs="Arial"/>
                <w:sz w:val="13"/>
              </w:rPr>
              <w:t>38</w:t>
            </w:r>
          </w:p>
        </w:tc>
        <w:tc>
          <w:tcPr>
            <w:tcW w:w="432" w:type="pct"/>
          </w:tcPr>
          <w:p w14:paraId="3188E37C" w14:textId="77777777" w:rsidR="00F92BE1" w:rsidRPr="0047058F" w:rsidRDefault="00F92BE1" w:rsidP="00C91013">
            <w:pPr>
              <w:pStyle w:val="TableText"/>
              <w:spacing w:before="38" w:after="38"/>
              <w:jc w:val="right"/>
              <w:rPr>
                <w:sz w:val="13"/>
              </w:rPr>
            </w:pPr>
            <w:r w:rsidRPr="0047058F">
              <w:rPr>
                <w:rFonts w:cs="Arial"/>
                <w:sz w:val="13"/>
              </w:rPr>
              <w:t>34.9 (19.1–50.7)</w:t>
            </w:r>
          </w:p>
        </w:tc>
        <w:tc>
          <w:tcPr>
            <w:tcW w:w="451" w:type="pct"/>
          </w:tcPr>
          <w:p w14:paraId="6B8BCD88"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6D58D12A"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035D34B8"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29BC1F15"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310130DC" w14:textId="77777777" w:rsidR="00F92BE1" w:rsidRPr="0047058F" w:rsidRDefault="00F92BE1" w:rsidP="00C91013">
            <w:pPr>
              <w:pStyle w:val="TableText"/>
              <w:spacing w:before="38" w:after="38"/>
              <w:jc w:val="right"/>
              <w:rPr>
                <w:color w:val="000000" w:themeColor="text1"/>
                <w:sz w:val="13"/>
              </w:rPr>
            </w:pPr>
          </w:p>
        </w:tc>
        <w:tc>
          <w:tcPr>
            <w:tcW w:w="282" w:type="pct"/>
          </w:tcPr>
          <w:p w14:paraId="15BC45A9" w14:textId="77777777" w:rsidR="00F92BE1" w:rsidRPr="0047058F" w:rsidRDefault="00F92BE1" w:rsidP="00C91013">
            <w:pPr>
              <w:pStyle w:val="TableText"/>
              <w:spacing w:before="38" w:after="38"/>
              <w:jc w:val="right"/>
              <w:rPr>
                <w:color w:val="000000" w:themeColor="text1"/>
                <w:sz w:val="13"/>
              </w:rPr>
            </w:pPr>
          </w:p>
        </w:tc>
      </w:tr>
      <w:tr w:rsidR="00C91013" w:rsidRPr="0047058F" w14:paraId="1774682E"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bottom w:val="single" w:sz="4" w:space="0" w:color="000000"/>
            </w:tcBorders>
          </w:tcPr>
          <w:p w14:paraId="28FBA84C" w14:textId="77777777" w:rsidR="00F92BE1" w:rsidRPr="0047058F" w:rsidRDefault="00F92BE1" w:rsidP="00C91013">
            <w:pPr>
              <w:pStyle w:val="TableText"/>
              <w:spacing w:before="38" w:after="38"/>
              <w:ind w:left="144"/>
              <w:rPr>
                <w:rFonts w:cs="Arial"/>
              </w:rPr>
            </w:pPr>
            <w:r w:rsidRPr="0047058F">
              <w:rPr>
                <w:rFonts w:cs="Arial"/>
              </w:rPr>
              <w:t>Male</w:t>
            </w:r>
          </w:p>
        </w:tc>
        <w:tc>
          <w:tcPr>
            <w:tcW w:w="196" w:type="pct"/>
            <w:tcBorders>
              <w:bottom w:val="single" w:sz="4" w:space="0" w:color="000000"/>
            </w:tcBorders>
          </w:tcPr>
          <w:p w14:paraId="59742707" w14:textId="77777777" w:rsidR="00F92BE1" w:rsidRPr="0047058F" w:rsidRDefault="00F92BE1" w:rsidP="00C91013">
            <w:pPr>
              <w:pStyle w:val="TableText"/>
              <w:spacing w:before="38" w:after="38"/>
              <w:jc w:val="right"/>
              <w:rPr>
                <w:sz w:val="13"/>
              </w:rPr>
            </w:pPr>
            <w:r w:rsidRPr="0047058F">
              <w:rPr>
                <w:rFonts w:cs="Arial"/>
                <w:sz w:val="13"/>
              </w:rPr>
              <w:t>84</w:t>
            </w:r>
          </w:p>
        </w:tc>
        <w:tc>
          <w:tcPr>
            <w:tcW w:w="472" w:type="pct"/>
            <w:tcBorders>
              <w:bottom w:val="single" w:sz="4" w:space="0" w:color="000000"/>
            </w:tcBorders>
          </w:tcPr>
          <w:p w14:paraId="580A12F4" w14:textId="77777777" w:rsidR="00F92BE1" w:rsidRPr="0047058F" w:rsidRDefault="00F92BE1" w:rsidP="00C91013">
            <w:pPr>
              <w:pStyle w:val="TableText"/>
              <w:spacing w:before="38" w:after="38"/>
              <w:jc w:val="right"/>
              <w:rPr>
                <w:sz w:val="13"/>
              </w:rPr>
            </w:pPr>
            <w:r w:rsidRPr="0047058F">
              <w:rPr>
                <w:rFonts w:cs="Arial"/>
                <w:sz w:val="13"/>
              </w:rPr>
              <w:t>19.4 (1.8–37.0)</w:t>
            </w:r>
          </w:p>
        </w:tc>
        <w:tc>
          <w:tcPr>
            <w:tcW w:w="199" w:type="pct"/>
            <w:tcBorders>
              <w:bottom w:val="single" w:sz="4" w:space="0" w:color="000000"/>
            </w:tcBorders>
          </w:tcPr>
          <w:p w14:paraId="15860B8F" w14:textId="77777777" w:rsidR="00F92BE1" w:rsidRPr="0047058F" w:rsidRDefault="00F92BE1" w:rsidP="00C91013">
            <w:pPr>
              <w:pStyle w:val="TableText"/>
              <w:spacing w:before="38" w:after="38"/>
              <w:jc w:val="right"/>
              <w:rPr>
                <w:sz w:val="13"/>
              </w:rPr>
            </w:pPr>
            <w:r w:rsidRPr="0047058F">
              <w:rPr>
                <w:rFonts w:cs="Arial"/>
                <w:sz w:val="13"/>
              </w:rPr>
              <w:t>150</w:t>
            </w:r>
          </w:p>
        </w:tc>
        <w:tc>
          <w:tcPr>
            <w:tcW w:w="431" w:type="pct"/>
            <w:tcBorders>
              <w:bottom w:val="single" w:sz="4" w:space="0" w:color="000000"/>
            </w:tcBorders>
          </w:tcPr>
          <w:p w14:paraId="52763C86" w14:textId="77777777" w:rsidR="00F92BE1" w:rsidRPr="0047058F" w:rsidRDefault="00F92BE1" w:rsidP="00C91013">
            <w:pPr>
              <w:pStyle w:val="TableText"/>
              <w:spacing w:before="38" w:after="38"/>
              <w:jc w:val="right"/>
              <w:rPr>
                <w:sz w:val="13"/>
              </w:rPr>
            </w:pPr>
            <w:r w:rsidRPr="0047058F">
              <w:rPr>
                <w:rFonts w:cs="Arial"/>
                <w:sz w:val="13"/>
              </w:rPr>
              <w:t>34.6 (18.7–50.5)</w:t>
            </w:r>
          </w:p>
        </w:tc>
        <w:tc>
          <w:tcPr>
            <w:tcW w:w="194" w:type="pct"/>
            <w:tcBorders>
              <w:bottom w:val="single" w:sz="4" w:space="0" w:color="000000"/>
            </w:tcBorders>
          </w:tcPr>
          <w:p w14:paraId="1CFCB6C6" w14:textId="77777777" w:rsidR="00F92BE1" w:rsidRPr="0047058F" w:rsidRDefault="00F92BE1" w:rsidP="00C91013">
            <w:pPr>
              <w:pStyle w:val="TableText"/>
              <w:spacing w:before="38" w:after="38"/>
              <w:jc w:val="right"/>
              <w:rPr>
                <w:sz w:val="13"/>
              </w:rPr>
            </w:pPr>
            <w:r w:rsidRPr="0047058F">
              <w:rPr>
                <w:rFonts w:cs="Arial"/>
                <w:sz w:val="13"/>
              </w:rPr>
              <w:t>199</w:t>
            </w:r>
          </w:p>
        </w:tc>
        <w:tc>
          <w:tcPr>
            <w:tcW w:w="432" w:type="pct"/>
            <w:tcBorders>
              <w:bottom w:val="single" w:sz="4" w:space="0" w:color="000000"/>
            </w:tcBorders>
          </w:tcPr>
          <w:p w14:paraId="25FC9875" w14:textId="77777777" w:rsidR="00F92BE1" w:rsidRPr="0047058F" w:rsidRDefault="00F92BE1" w:rsidP="00C91013">
            <w:pPr>
              <w:pStyle w:val="TableText"/>
              <w:spacing w:before="38" w:after="38"/>
              <w:jc w:val="right"/>
              <w:rPr>
                <w:sz w:val="13"/>
              </w:rPr>
            </w:pPr>
            <w:r w:rsidRPr="0047058F">
              <w:rPr>
                <w:rFonts w:cs="Arial"/>
                <w:sz w:val="13"/>
              </w:rPr>
              <w:t>46.0 (31.6–60.4)</w:t>
            </w:r>
          </w:p>
        </w:tc>
        <w:tc>
          <w:tcPr>
            <w:tcW w:w="451" w:type="pct"/>
            <w:tcBorders>
              <w:bottom w:val="single" w:sz="4" w:space="0" w:color="000000"/>
            </w:tcBorders>
          </w:tcPr>
          <w:p w14:paraId="667181C4" w14:textId="77777777" w:rsidR="00F92BE1" w:rsidRPr="0047058F" w:rsidRDefault="00F92BE1" w:rsidP="00C91013">
            <w:pPr>
              <w:pStyle w:val="TableText"/>
              <w:spacing w:before="38" w:after="38"/>
              <w:jc w:val="right"/>
              <w:rPr>
                <w:sz w:val="13"/>
              </w:rPr>
            </w:pPr>
            <w:r w:rsidRPr="0047058F">
              <w:rPr>
                <w:sz w:val="13"/>
              </w:rPr>
              <w:t>2.50 (1.38–4.55)</w:t>
            </w:r>
          </w:p>
        </w:tc>
        <w:tc>
          <w:tcPr>
            <w:tcW w:w="452" w:type="pct"/>
            <w:tcBorders>
              <w:bottom w:val="single" w:sz="4" w:space="0" w:color="000000"/>
            </w:tcBorders>
          </w:tcPr>
          <w:p w14:paraId="2B8C1E10" w14:textId="77777777" w:rsidR="00F92BE1" w:rsidRPr="0047058F" w:rsidRDefault="00F92BE1" w:rsidP="00C91013">
            <w:pPr>
              <w:pStyle w:val="TableText"/>
              <w:spacing w:before="38" w:after="38"/>
              <w:jc w:val="right"/>
              <w:rPr>
                <w:sz w:val="13"/>
              </w:rPr>
            </w:pPr>
            <w:r w:rsidRPr="0047058F">
              <w:rPr>
                <w:sz w:val="13"/>
              </w:rPr>
              <w:t>–</w:t>
            </w:r>
          </w:p>
        </w:tc>
        <w:tc>
          <w:tcPr>
            <w:tcW w:w="433" w:type="pct"/>
            <w:tcBorders>
              <w:bottom w:val="single" w:sz="4" w:space="0" w:color="000000"/>
            </w:tcBorders>
          </w:tcPr>
          <w:p w14:paraId="396A07D5" w14:textId="77777777" w:rsidR="00F92BE1" w:rsidRPr="0047058F" w:rsidRDefault="00F92BE1" w:rsidP="00C91013">
            <w:pPr>
              <w:pStyle w:val="TableText"/>
              <w:spacing w:before="38" w:after="38"/>
              <w:jc w:val="right"/>
              <w:rPr>
                <w:sz w:val="13"/>
              </w:rPr>
            </w:pPr>
            <w:r w:rsidRPr="0047058F">
              <w:rPr>
                <w:sz w:val="13"/>
              </w:rPr>
              <w:t>2.77 (1.58–4.87)</w:t>
            </w:r>
          </w:p>
        </w:tc>
        <w:tc>
          <w:tcPr>
            <w:tcW w:w="433" w:type="pct"/>
            <w:tcBorders>
              <w:bottom w:val="single" w:sz="4" w:space="0" w:color="000000"/>
            </w:tcBorders>
          </w:tcPr>
          <w:p w14:paraId="33BB3CD0" w14:textId="77777777" w:rsidR="00F92BE1" w:rsidRPr="0047058F" w:rsidRDefault="00F92BE1" w:rsidP="00C91013">
            <w:pPr>
              <w:pStyle w:val="TableText"/>
              <w:spacing w:before="38" w:after="38"/>
              <w:jc w:val="right"/>
              <w:rPr>
                <w:sz w:val="13"/>
              </w:rPr>
            </w:pPr>
            <w:r w:rsidRPr="0047058F">
              <w:rPr>
                <w:sz w:val="13"/>
              </w:rPr>
              <w:t>–</w:t>
            </w:r>
          </w:p>
        </w:tc>
        <w:tc>
          <w:tcPr>
            <w:tcW w:w="281" w:type="pct"/>
            <w:tcBorders>
              <w:bottom w:val="single" w:sz="4" w:space="0" w:color="000000"/>
            </w:tcBorders>
          </w:tcPr>
          <w:p w14:paraId="3118C783" w14:textId="77777777" w:rsidR="00F92BE1" w:rsidRPr="0047058F" w:rsidRDefault="00F92BE1" w:rsidP="00C91013">
            <w:pPr>
              <w:pStyle w:val="TableText"/>
              <w:spacing w:before="38" w:after="38"/>
              <w:jc w:val="right"/>
              <w:rPr>
                <w:color w:val="000000" w:themeColor="text1"/>
                <w:sz w:val="13"/>
              </w:rPr>
            </w:pPr>
          </w:p>
        </w:tc>
        <w:tc>
          <w:tcPr>
            <w:tcW w:w="282" w:type="pct"/>
            <w:tcBorders>
              <w:bottom w:val="single" w:sz="4" w:space="0" w:color="000000"/>
            </w:tcBorders>
          </w:tcPr>
          <w:p w14:paraId="1EAABF2A" w14:textId="77777777" w:rsidR="00F92BE1" w:rsidRPr="0047058F" w:rsidRDefault="00F92BE1" w:rsidP="00C91013">
            <w:pPr>
              <w:pStyle w:val="TableText"/>
              <w:spacing w:before="38" w:after="38"/>
              <w:jc w:val="right"/>
              <w:rPr>
                <w:color w:val="000000" w:themeColor="text1"/>
                <w:sz w:val="13"/>
              </w:rPr>
            </w:pPr>
          </w:p>
        </w:tc>
      </w:tr>
      <w:tr w:rsidR="00C91013" w:rsidRPr="0047058F" w14:paraId="4F48A814" w14:textId="77777777" w:rsidTr="00C91013">
        <w:trPr>
          <w:cantSplit/>
        </w:trPr>
        <w:tc>
          <w:tcPr>
            <w:tcW w:w="5000" w:type="pct"/>
            <w:gridSpan w:val="13"/>
            <w:tcBorders>
              <w:top w:val="single" w:sz="4" w:space="0" w:color="000000"/>
              <w:bottom w:val="nil"/>
            </w:tcBorders>
          </w:tcPr>
          <w:p w14:paraId="67CD6FD8" w14:textId="77777777" w:rsidR="00C91013" w:rsidRPr="0047058F" w:rsidRDefault="00C91013" w:rsidP="00C91013">
            <w:pPr>
              <w:pStyle w:val="TableText"/>
              <w:spacing w:before="38" w:after="38"/>
              <w:rPr>
                <w:color w:val="000000" w:themeColor="text1"/>
                <w:sz w:val="13"/>
              </w:rPr>
            </w:pPr>
            <w:r w:rsidRPr="0047058F">
              <w:rPr>
                <w:b/>
                <w:color w:val="000000" w:themeColor="text1"/>
              </w:rPr>
              <w:t>Service factors (time point 1)</w:t>
            </w:r>
          </w:p>
        </w:tc>
      </w:tr>
      <w:tr w:rsidR="00C91013" w:rsidRPr="0047058F" w14:paraId="506FE5F7"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top w:val="nil"/>
            </w:tcBorders>
          </w:tcPr>
          <w:p w14:paraId="3164F5B6" w14:textId="77777777" w:rsidR="00F92BE1" w:rsidRPr="0047058F" w:rsidRDefault="00F92BE1" w:rsidP="00C91013">
            <w:pPr>
              <w:pStyle w:val="TableText"/>
              <w:spacing w:before="38" w:after="38"/>
              <w:rPr>
                <w:rFonts w:eastAsia="Cambria" w:cs="Arial"/>
              </w:rPr>
            </w:pPr>
            <w:r w:rsidRPr="0047058F">
              <w:rPr>
                <w:rFonts w:eastAsia="Cambria" w:cs="Arial"/>
              </w:rPr>
              <w:t>Rank</w:t>
            </w:r>
          </w:p>
        </w:tc>
        <w:tc>
          <w:tcPr>
            <w:tcW w:w="196" w:type="pct"/>
            <w:tcBorders>
              <w:top w:val="nil"/>
            </w:tcBorders>
          </w:tcPr>
          <w:p w14:paraId="093316EB" w14:textId="77777777" w:rsidR="00F92BE1" w:rsidRPr="0047058F" w:rsidRDefault="00F92BE1" w:rsidP="00C91013">
            <w:pPr>
              <w:pStyle w:val="TableText"/>
              <w:spacing w:before="38" w:after="38"/>
              <w:jc w:val="right"/>
              <w:rPr>
                <w:sz w:val="13"/>
              </w:rPr>
            </w:pPr>
          </w:p>
        </w:tc>
        <w:tc>
          <w:tcPr>
            <w:tcW w:w="472" w:type="pct"/>
            <w:tcBorders>
              <w:top w:val="nil"/>
            </w:tcBorders>
          </w:tcPr>
          <w:p w14:paraId="0802FA02" w14:textId="77777777" w:rsidR="00F92BE1" w:rsidRPr="0047058F" w:rsidRDefault="00F92BE1" w:rsidP="00C91013">
            <w:pPr>
              <w:pStyle w:val="TableText"/>
              <w:spacing w:before="38" w:after="38"/>
              <w:jc w:val="right"/>
              <w:rPr>
                <w:sz w:val="13"/>
              </w:rPr>
            </w:pPr>
          </w:p>
        </w:tc>
        <w:tc>
          <w:tcPr>
            <w:tcW w:w="199" w:type="pct"/>
            <w:tcBorders>
              <w:top w:val="nil"/>
            </w:tcBorders>
          </w:tcPr>
          <w:p w14:paraId="753DE0E3" w14:textId="77777777" w:rsidR="00F92BE1" w:rsidRPr="0047058F" w:rsidRDefault="00F92BE1" w:rsidP="00C91013">
            <w:pPr>
              <w:pStyle w:val="TableText"/>
              <w:spacing w:before="38" w:after="38"/>
              <w:jc w:val="right"/>
              <w:rPr>
                <w:sz w:val="13"/>
              </w:rPr>
            </w:pPr>
          </w:p>
        </w:tc>
        <w:tc>
          <w:tcPr>
            <w:tcW w:w="431" w:type="pct"/>
            <w:tcBorders>
              <w:top w:val="nil"/>
            </w:tcBorders>
          </w:tcPr>
          <w:p w14:paraId="61E94D36" w14:textId="77777777" w:rsidR="00F92BE1" w:rsidRPr="0047058F" w:rsidRDefault="00F92BE1" w:rsidP="00C91013">
            <w:pPr>
              <w:pStyle w:val="TableText"/>
              <w:spacing w:before="38" w:after="38"/>
              <w:jc w:val="right"/>
              <w:rPr>
                <w:sz w:val="13"/>
              </w:rPr>
            </w:pPr>
          </w:p>
        </w:tc>
        <w:tc>
          <w:tcPr>
            <w:tcW w:w="194" w:type="pct"/>
            <w:tcBorders>
              <w:top w:val="nil"/>
            </w:tcBorders>
          </w:tcPr>
          <w:p w14:paraId="4E440E6C" w14:textId="77777777" w:rsidR="00F92BE1" w:rsidRPr="0047058F" w:rsidRDefault="00F92BE1" w:rsidP="00C91013">
            <w:pPr>
              <w:pStyle w:val="TableText"/>
              <w:spacing w:before="38" w:after="38"/>
              <w:jc w:val="right"/>
              <w:rPr>
                <w:sz w:val="13"/>
              </w:rPr>
            </w:pPr>
          </w:p>
        </w:tc>
        <w:tc>
          <w:tcPr>
            <w:tcW w:w="432" w:type="pct"/>
            <w:tcBorders>
              <w:top w:val="nil"/>
            </w:tcBorders>
          </w:tcPr>
          <w:p w14:paraId="23EA1E1A" w14:textId="77777777" w:rsidR="00F92BE1" w:rsidRPr="0047058F" w:rsidRDefault="00F92BE1" w:rsidP="00C91013">
            <w:pPr>
              <w:pStyle w:val="TableText"/>
              <w:spacing w:before="38" w:after="38"/>
              <w:jc w:val="right"/>
              <w:rPr>
                <w:sz w:val="13"/>
              </w:rPr>
            </w:pPr>
          </w:p>
        </w:tc>
        <w:tc>
          <w:tcPr>
            <w:tcW w:w="451" w:type="pct"/>
            <w:tcBorders>
              <w:top w:val="nil"/>
            </w:tcBorders>
          </w:tcPr>
          <w:p w14:paraId="67918F41" w14:textId="77777777" w:rsidR="00F92BE1" w:rsidRPr="0047058F" w:rsidRDefault="00F92BE1" w:rsidP="00C91013">
            <w:pPr>
              <w:pStyle w:val="TableText"/>
              <w:spacing w:before="38" w:after="38"/>
              <w:jc w:val="right"/>
              <w:rPr>
                <w:sz w:val="13"/>
              </w:rPr>
            </w:pPr>
          </w:p>
        </w:tc>
        <w:tc>
          <w:tcPr>
            <w:tcW w:w="452" w:type="pct"/>
            <w:tcBorders>
              <w:top w:val="nil"/>
            </w:tcBorders>
          </w:tcPr>
          <w:p w14:paraId="56319936" w14:textId="77777777" w:rsidR="00F92BE1" w:rsidRPr="0047058F" w:rsidRDefault="00F92BE1" w:rsidP="00C91013">
            <w:pPr>
              <w:pStyle w:val="TableText"/>
              <w:spacing w:before="38" w:after="38"/>
              <w:jc w:val="right"/>
              <w:rPr>
                <w:sz w:val="13"/>
              </w:rPr>
            </w:pPr>
            <w:r w:rsidRPr="0047058F">
              <w:rPr>
                <w:sz w:val="13"/>
              </w:rPr>
              <w:t>–</w:t>
            </w:r>
          </w:p>
        </w:tc>
        <w:tc>
          <w:tcPr>
            <w:tcW w:w="433" w:type="pct"/>
            <w:tcBorders>
              <w:top w:val="nil"/>
            </w:tcBorders>
          </w:tcPr>
          <w:p w14:paraId="47CF9C56" w14:textId="77777777" w:rsidR="00F92BE1" w:rsidRPr="0047058F" w:rsidRDefault="00F92BE1" w:rsidP="00C91013">
            <w:pPr>
              <w:pStyle w:val="TableText"/>
              <w:spacing w:before="38" w:after="38"/>
              <w:jc w:val="right"/>
              <w:rPr>
                <w:sz w:val="13"/>
              </w:rPr>
            </w:pPr>
          </w:p>
        </w:tc>
        <w:tc>
          <w:tcPr>
            <w:tcW w:w="433" w:type="pct"/>
            <w:tcBorders>
              <w:top w:val="nil"/>
            </w:tcBorders>
          </w:tcPr>
          <w:p w14:paraId="02AD626B" w14:textId="77777777" w:rsidR="00F92BE1" w:rsidRPr="0047058F" w:rsidRDefault="00F92BE1" w:rsidP="00C91013">
            <w:pPr>
              <w:pStyle w:val="TableText"/>
              <w:spacing w:before="38" w:after="38"/>
              <w:jc w:val="right"/>
              <w:rPr>
                <w:sz w:val="13"/>
              </w:rPr>
            </w:pPr>
            <w:r w:rsidRPr="0047058F">
              <w:rPr>
                <w:sz w:val="13"/>
              </w:rPr>
              <w:t>–</w:t>
            </w:r>
          </w:p>
        </w:tc>
        <w:tc>
          <w:tcPr>
            <w:tcW w:w="281" w:type="pct"/>
            <w:tcBorders>
              <w:top w:val="nil"/>
            </w:tcBorders>
          </w:tcPr>
          <w:p w14:paraId="50A547CF"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ns</w:t>
            </w:r>
          </w:p>
        </w:tc>
        <w:tc>
          <w:tcPr>
            <w:tcW w:w="282" w:type="pct"/>
            <w:tcBorders>
              <w:top w:val="nil"/>
            </w:tcBorders>
          </w:tcPr>
          <w:p w14:paraId="6FC0BF18"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w:t>
            </w:r>
          </w:p>
        </w:tc>
      </w:tr>
      <w:tr w:rsidR="00C91013" w:rsidRPr="0047058F" w14:paraId="3FF9E224" w14:textId="77777777" w:rsidTr="00C91013">
        <w:trPr>
          <w:cantSplit/>
        </w:trPr>
        <w:tc>
          <w:tcPr>
            <w:tcW w:w="744" w:type="pct"/>
          </w:tcPr>
          <w:p w14:paraId="6FD62472" w14:textId="77777777" w:rsidR="00F92BE1" w:rsidRPr="0047058F" w:rsidRDefault="00F92BE1" w:rsidP="00C91013">
            <w:pPr>
              <w:pStyle w:val="TableText"/>
              <w:spacing w:before="38" w:after="38"/>
              <w:ind w:left="144"/>
              <w:rPr>
                <w:rFonts w:cs="Arial"/>
              </w:rPr>
            </w:pPr>
            <w:r w:rsidRPr="0047058F">
              <w:rPr>
                <w:rFonts w:cs="Arial"/>
              </w:rPr>
              <w:t>Officer</w:t>
            </w:r>
          </w:p>
        </w:tc>
        <w:tc>
          <w:tcPr>
            <w:tcW w:w="196" w:type="pct"/>
          </w:tcPr>
          <w:p w14:paraId="054122F4" w14:textId="77777777" w:rsidR="00F92BE1" w:rsidRPr="0047058F" w:rsidRDefault="00F92BE1" w:rsidP="00C91013">
            <w:pPr>
              <w:pStyle w:val="TableText"/>
              <w:spacing w:before="38" w:after="38"/>
              <w:jc w:val="right"/>
              <w:rPr>
                <w:sz w:val="13"/>
              </w:rPr>
            </w:pPr>
            <w:r w:rsidRPr="0047058F">
              <w:rPr>
                <w:rFonts w:cs="Arial"/>
                <w:sz w:val="13"/>
              </w:rPr>
              <w:t>47</w:t>
            </w:r>
          </w:p>
        </w:tc>
        <w:tc>
          <w:tcPr>
            <w:tcW w:w="472" w:type="pct"/>
          </w:tcPr>
          <w:p w14:paraId="2EE68FBB" w14:textId="77777777" w:rsidR="00F92BE1" w:rsidRPr="0047058F" w:rsidRDefault="00F92BE1" w:rsidP="00C91013">
            <w:pPr>
              <w:pStyle w:val="TableText"/>
              <w:spacing w:before="38" w:after="38"/>
              <w:jc w:val="right"/>
              <w:rPr>
                <w:sz w:val="13"/>
              </w:rPr>
            </w:pPr>
            <w:r w:rsidRPr="0047058F">
              <w:rPr>
                <w:rFonts w:cs="Arial"/>
                <w:sz w:val="13"/>
              </w:rPr>
              <w:t>28.5 (11.9–45.1)</w:t>
            </w:r>
          </w:p>
        </w:tc>
        <w:tc>
          <w:tcPr>
            <w:tcW w:w="199" w:type="pct"/>
          </w:tcPr>
          <w:p w14:paraId="5E24CF66" w14:textId="77777777" w:rsidR="00F92BE1" w:rsidRPr="0047058F" w:rsidRDefault="00F92BE1" w:rsidP="00C91013">
            <w:pPr>
              <w:pStyle w:val="TableText"/>
              <w:spacing w:before="38" w:after="38"/>
              <w:jc w:val="right"/>
              <w:rPr>
                <w:sz w:val="13"/>
              </w:rPr>
            </w:pPr>
            <w:r w:rsidRPr="0047058F">
              <w:rPr>
                <w:rFonts w:cs="Arial"/>
                <w:sz w:val="13"/>
              </w:rPr>
              <w:t>58</w:t>
            </w:r>
          </w:p>
        </w:tc>
        <w:tc>
          <w:tcPr>
            <w:tcW w:w="431" w:type="pct"/>
          </w:tcPr>
          <w:p w14:paraId="45356D6C" w14:textId="77777777" w:rsidR="00F92BE1" w:rsidRPr="0047058F" w:rsidRDefault="00F92BE1" w:rsidP="00C91013">
            <w:pPr>
              <w:pStyle w:val="TableText"/>
              <w:spacing w:before="38" w:after="38"/>
              <w:jc w:val="right"/>
              <w:rPr>
                <w:sz w:val="13"/>
              </w:rPr>
            </w:pPr>
            <w:r w:rsidRPr="0047058F">
              <w:rPr>
                <w:rFonts w:cs="Arial"/>
                <w:sz w:val="13"/>
              </w:rPr>
              <w:t>35.2 (19.4–51.0)</w:t>
            </w:r>
          </w:p>
        </w:tc>
        <w:tc>
          <w:tcPr>
            <w:tcW w:w="194" w:type="pct"/>
          </w:tcPr>
          <w:p w14:paraId="2DB39B42" w14:textId="77777777" w:rsidR="00F92BE1" w:rsidRPr="0047058F" w:rsidRDefault="00F92BE1" w:rsidP="00C91013">
            <w:pPr>
              <w:pStyle w:val="TableText"/>
              <w:spacing w:before="38" w:after="38"/>
              <w:jc w:val="right"/>
              <w:rPr>
                <w:sz w:val="13"/>
              </w:rPr>
            </w:pPr>
            <w:r w:rsidRPr="0047058F">
              <w:rPr>
                <w:rFonts w:cs="Arial"/>
                <w:sz w:val="13"/>
              </w:rPr>
              <w:t>60</w:t>
            </w:r>
          </w:p>
        </w:tc>
        <w:tc>
          <w:tcPr>
            <w:tcW w:w="432" w:type="pct"/>
          </w:tcPr>
          <w:p w14:paraId="5E57F057" w14:textId="77777777" w:rsidR="00F92BE1" w:rsidRPr="0047058F" w:rsidRDefault="00F92BE1" w:rsidP="00C91013">
            <w:pPr>
              <w:pStyle w:val="TableText"/>
              <w:spacing w:before="38" w:after="38"/>
              <w:jc w:val="right"/>
              <w:rPr>
                <w:sz w:val="13"/>
              </w:rPr>
            </w:pPr>
            <w:r w:rsidRPr="0047058F">
              <w:rPr>
                <w:rFonts w:cs="Arial"/>
                <w:sz w:val="13"/>
              </w:rPr>
              <w:t>36.4 (20.8–52.0)</w:t>
            </w:r>
          </w:p>
        </w:tc>
        <w:tc>
          <w:tcPr>
            <w:tcW w:w="451" w:type="pct"/>
          </w:tcPr>
          <w:p w14:paraId="6EAC30BD"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5ED6BB85"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6EE4B6B4"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57420BFA"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1BD267F0" w14:textId="77777777" w:rsidR="00F92BE1" w:rsidRPr="0047058F" w:rsidRDefault="00F92BE1" w:rsidP="00C91013">
            <w:pPr>
              <w:pStyle w:val="TableText"/>
              <w:spacing w:before="38" w:after="38"/>
              <w:jc w:val="right"/>
              <w:rPr>
                <w:color w:val="000000" w:themeColor="text1"/>
                <w:sz w:val="13"/>
              </w:rPr>
            </w:pPr>
          </w:p>
        </w:tc>
        <w:tc>
          <w:tcPr>
            <w:tcW w:w="282" w:type="pct"/>
          </w:tcPr>
          <w:p w14:paraId="71EA2E29" w14:textId="77777777" w:rsidR="00F92BE1" w:rsidRPr="0047058F" w:rsidRDefault="00F92BE1" w:rsidP="00C91013">
            <w:pPr>
              <w:pStyle w:val="TableText"/>
              <w:spacing w:before="38" w:after="38"/>
              <w:jc w:val="right"/>
              <w:rPr>
                <w:color w:val="000000" w:themeColor="text1"/>
                <w:sz w:val="13"/>
              </w:rPr>
            </w:pPr>
          </w:p>
        </w:tc>
      </w:tr>
      <w:tr w:rsidR="00C91013" w:rsidRPr="0047058F" w14:paraId="4110ACCF"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706553AB" w14:textId="77777777" w:rsidR="00F92BE1" w:rsidRPr="0047058F" w:rsidRDefault="00F92BE1" w:rsidP="00C91013">
            <w:pPr>
              <w:pStyle w:val="TableText"/>
              <w:spacing w:before="38" w:after="38"/>
              <w:ind w:left="144"/>
              <w:rPr>
                <w:rFonts w:cs="Arial"/>
              </w:rPr>
            </w:pPr>
            <w:r w:rsidRPr="0047058F">
              <w:rPr>
                <w:rFonts w:cs="Arial"/>
              </w:rPr>
              <w:t>Non-Commissioned Officer</w:t>
            </w:r>
          </w:p>
        </w:tc>
        <w:tc>
          <w:tcPr>
            <w:tcW w:w="196" w:type="pct"/>
          </w:tcPr>
          <w:p w14:paraId="7A47CA18" w14:textId="77777777" w:rsidR="00F92BE1" w:rsidRPr="0047058F" w:rsidRDefault="00F92BE1" w:rsidP="00C91013">
            <w:pPr>
              <w:pStyle w:val="TableText"/>
              <w:spacing w:before="38" w:after="38"/>
              <w:jc w:val="right"/>
              <w:rPr>
                <w:sz w:val="13"/>
              </w:rPr>
            </w:pPr>
            <w:r w:rsidRPr="0047058F">
              <w:rPr>
                <w:rFonts w:cs="Arial"/>
                <w:sz w:val="13"/>
              </w:rPr>
              <w:t>53</w:t>
            </w:r>
          </w:p>
        </w:tc>
        <w:tc>
          <w:tcPr>
            <w:tcW w:w="472" w:type="pct"/>
          </w:tcPr>
          <w:p w14:paraId="2F20E80A" w14:textId="77777777" w:rsidR="00F92BE1" w:rsidRPr="0047058F" w:rsidRDefault="00F92BE1" w:rsidP="00C91013">
            <w:pPr>
              <w:pStyle w:val="TableText"/>
              <w:spacing w:before="38" w:after="38"/>
              <w:jc w:val="right"/>
              <w:rPr>
                <w:sz w:val="13"/>
              </w:rPr>
            </w:pPr>
            <w:r w:rsidRPr="0047058F">
              <w:rPr>
                <w:rFonts w:cs="Arial"/>
                <w:sz w:val="13"/>
              </w:rPr>
              <w:t>19.9 (2.4–37.4)</w:t>
            </w:r>
          </w:p>
        </w:tc>
        <w:tc>
          <w:tcPr>
            <w:tcW w:w="199" w:type="pct"/>
          </w:tcPr>
          <w:p w14:paraId="1C72A213" w14:textId="77777777" w:rsidR="00F92BE1" w:rsidRPr="0047058F" w:rsidRDefault="00F92BE1" w:rsidP="00C91013">
            <w:pPr>
              <w:pStyle w:val="TableText"/>
              <w:spacing w:before="38" w:after="38"/>
              <w:jc w:val="right"/>
              <w:rPr>
                <w:sz w:val="13"/>
              </w:rPr>
            </w:pPr>
            <w:r w:rsidRPr="0047058F">
              <w:rPr>
                <w:rFonts w:cs="Arial"/>
                <w:sz w:val="13"/>
              </w:rPr>
              <w:t>90</w:t>
            </w:r>
          </w:p>
        </w:tc>
        <w:tc>
          <w:tcPr>
            <w:tcW w:w="431" w:type="pct"/>
          </w:tcPr>
          <w:p w14:paraId="74C06F97" w14:textId="77777777" w:rsidR="00F92BE1" w:rsidRPr="0047058F" w:rsidRDefault="00F92BE1" w:rsidP="00C91013">
            <w:pPr>
              <w:pStyle w:val="TableText"/>
              <w:spacing w:before="38" w:after="38"/>
              <w:jc w:val="right"/>
              <w:rPr>
                <w:sz w:val="13"/>
              </w:rPr>
            </w:pPr>
            <w:r w:rsidRPr="0047058F">
              <w:rPr>
                <w:rFonts w:cs="Arial"/>
                <w:sz w:val="13"/>
              </w:rPr>
              <w:t>33.7 (17.7–49.7)</w:t>
            </w:r>
          </w:p>
        </w:tc>
        <w:tc>
          <w:tcPr>
            <w:tcW w:w="194" w:type="pct"/>
          </w:tcPr>
          <w:p w14:paraId="1585F902" w14:textId="77777777" w:rsidR="00F92BE1" w:rsidRPr="0047058F" w:rsidRDefault="00F92BE1" w:rsidP="00C91013">
            <w:pPr>
              <w:pStyle w:val="TableText"/>
              <w:spacing w:before="38" w:after="38"/>
              <w:jc w:val="right"/>
              <w:rPr>
                <w:sz w:val="13"/>
              </w:rPr>
            </w:pPr>
            <w:r w:rsidRPr="0047058F">
              <w:rPr>
                <w:rFonts w:cs="Arial"/>
                <w:sz w:val="13"/>
              </w:rPr>
              <w:t>124</w:t>
            </w:r>
          </w:p>
        </w:tc>
        <w:tc>
          <w:tcPr>
            <w:tcW w:w="432" w:type="pct"/>
          </w:tcPr>
          <w:p w14:paraId="4FAE6CA9" w14:textId="77777777" w:rsidR="00F92BE1" w:rsidRPr="0047058F" w:rsidRDefault="00F92BE1" w:rsidP="00C91013">
            <w:pPr>
              <w:pStyle w:val="TableText"/>
              <w:spacing w:before="38" w:after="38"/>
              <w:jc w:val="right"/>
              <w:rPr>
                <w:sz w:val="13"/>
              </w:rPr>
            </w:pPr>
            <w:r w:rsidRPr="0047058F">
              <w:rPr>
                <w:rFonts w:cs="Arial"/>
                <w:sz w:val="13"/>
              </w:rPr>
              <w:t>46.4 (32.1–60.7)</w:t>
            </w:r>
          </w:p>
        </w:tc>
        <w:tc>
          <w:tcPr>
            <w:tcW w:w="451" w:type="pct"/>
          </w:tcPr>
          <w:p w14:paraId="718B6C4E" w14:textId="77777777" w:rsidR="00F92BE1" w:rsidRPr="0047058F" w:rsidRDefault="00F92BE1" w:rsidP="00C91013">
            <w:pPr>
              <w:pStyle w:val="TableText"/>
              <w:spacing w:before="38" w:after="38"/>
              <w:jc w:val="right"/>
              <w:rPr>
                <w:sz w:val="13"/>
              </w:rPr>
            </w:pPr>
            <w:r w:rsidRPr="0047058F">
              <w:rPr>
                <w:rFonts w:cs="Arial"/>
                <w:sz w:val="13"/>
              </w:rPr>
              <w:t>1.30 (0.75–2.27)</w:t>
            </w:r>
          </w:p>
        </w:tc>
        <w:tc>
          <w:tcPr>
            <w:tcW w:w="452" w:type="pct"/>
          </w:tcPr>
          <w:p w14:paraId="0CC6CF2B"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42066E93" w14:textId="77777777" w:rsidR="00F92BE1" w:rsidRPr="0047058F" w:rsidRDefault="00F92BE1" w:rsidP="00C91013">
            <w:pPr>
              <w:pStyle w:val="TableText"/>
              <w:spacing w:before="38" w:after="38"/>
              <w:jc w:val="right"/>
              <w:rPr>
                <w:sz w:val="13"/>
              </w:rPr>
            </w:pPr>
            <w:r w:rsidRPr="0047058F">
              <w:rPr>
                <w:rFonts w:cs="Arial"/>
                <w:sz w:val="13"/>
              </w:rPr>
              <w:t>1.65 (0.96–2.83)</w:t>
            </w:r>
          </w:p>
        </w:tc>
        <w:tc>
          <w:tcPr>
            <w:tcW w:w="433" w:type="pct"/>
          </w:tcPr>
          <w:p w14:paraId="0BCCE1F6"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4E0544B3" w14:textId="77777777" w:rsidR="00F92BE1" w:rsidRPr="0047058F" w:rsidRDefault="00F92BE1" w:rsidP="00C91013">
            <w:pPr>
              <w:pStyle w:val="TableText"/>
              <w:spacing w:before="38" w:after="38"/>
              <w:jc w:val="right"/>
              <w:rPr>
                <w:color w:val="000000" w:themeColor="text1"/>
                <w:sz w:val="13"/>
              </w:rPr>
            </w:pPr>
          </w:p>
        </w:tc>
        <w:tc>
          <w:tcPr>
            <w:tcW w:w="282" w:type="pct"/>
          </w:tcPr>
          <w:p w14:paraId="3B2978EB" w14:textId="77777777" w:rsidR="00F92BE1" w:rsidRPr="0047058F" w:rsidRDefault="00F92BE1" w:rsidP="00C91013">
            <w:pPr>
              <w:pStyle w:val="TableText"/>
              <w:spacing w:before="38" w:after="38"/>
              <w:jc w:val="right"/>
              <w:rPr>
                <w:color w:val="000000" w:themeColor="text1"/>
                <w:sz w:val="13"/>
              </w:rPr>
            </w:pPr>
          </w:p>
        </w:tc>
      </w:tr>
      <w:tr w:rsidR="00C91013" w:rsidRPr="0047058F" w14:paraId="7204CFDD" w14:textId="77777777" w:rsidTr="00C91013">
        <w:trPr>
          <w:cantSplit/>
        </w:trPr>
        <w:tc>
          <w:tcPr>
            <w:tcW w:w="744" w:type="pct"/>
          </w:tcPr>
          <w:p w14:paraId="37C24815" w14:textId="77777777" w:rsidR="00F92BE1" w:rsidRPr="0047058F" w:rsidRDefault="00F92BE1" w:rsidP="00C91013">
            <w:pPr>
              <w:pStyle w:val="TableText"/>
              <w:spacing w:before="38" w:after="38"/>
              <w:ind w:left="144"/>
              <w:rPr>
                <w:rFonts w:cs="Arial"/>
              </w:rPr>
            </w:pPr>
            <w:r w:rsidRPr="0047058F">
              <w:rPr>
                <w:rFonts w:cs="Arial"/>
              </w:rPr>
              <w:t>Other</w:t>
            </w:r>
          </w:p>
        </w:tc>
        <w:tc>
          <w:tcPr>
            <w:tcW w:w="196" w:type="pct"/>
          </w:tcPr>
          <w:p w14:paraId="33542106" w14:textId="77777777" w:rsidR="00F92BE1" w:rsidRPr="0047058F" w:rsidRDefault="00F92BE1" w:rsidP="00C91013">
            <w:pPr>
              <w:pStyle w:val="TableText"/>
              <w:spacing w:before="38" w:after="38"/>
              <w:jc w:val="right"/>
              <w:rPr>
                <w:sz w:val="13"/>
              </w:rPr>
            </w:pPr>
            <w:r w:rsidRPr="0047058F">
              <w:rPr>
                <w:rFonts w:cs="Arial"/>
                <w:sz w:val="13"/>
              </w:rPr>
              <w:t>26</w:t>
            </w:r>
          </w:p>
        </w:tc>
        <w:tc>
          <w:tcPr>
            <w:tcW w:w="472" w:type="pct"/>
          </w:tcPr>
          <w:p w14:paraId="3D83C363" w14:textId="77777777" w:rsidR="00F92BE1" w:rsidRPr="0047058F" w:rsidRDefault="00F92BE1" w:rsidP="00C91013">
            <w:pPr>
              <w:pStyle w:val="TableText"/>
              <w:spacing w:before="38" w:after="38"/>
              <w:jc w:val="right"/>
              <w:rPr>
                <w:sz w:val="13"/>
              </w:rPr>
            </w:pPr>
            <w:r w:rsidRPr="0047058F">
              <w:rPr>
                <w:rFonts w:cs="Arial"/>
                <w:sz w:val="13"/>
              </w:rPr>
              <w:t>23.6 (6.5–40.7)</w:t>
            </w:r>
          </w:p>
        </w:tc>
        <w:tc>
          <w:tcPr>
            <w:tcW w:w="199" w:type="pct"/>
          </w:tcPr>
          <w:p w14:paraId="02EB8F80" w14:textId="77777777" w:rsidR="00F92BE1" w:rsidRPr="0047058F" w:rsidRDefault="00F92BE1" w:rsidP="00C91013">
            <w:pPr>
              <w:pStyle w:val="TableText"/>
              <w:spacing w:before="38" w:after="38"/>
              <w:jc w:val="right"/>
              <w:rPr>
                <w:sz w:val="13"/>
              </w:rPr>
            </w:pPr>
            <w:r w:rsidRPr="0047058F">
              <w:rPr>
                <w:rFonts w:cs="Arial"/>
                <w:sz w:val="13"/>
              </w:rPr>
              <w:t>31</w:t>
            </w:r>
          </w:p>
        </w:tc>
        <w:tc>
          <w:tcPr>
            <w:tcW w:w="431" w:type="pct"/>
          </w:tcPr>
          <w:p w14:paraId="21ECCF82" w14:textId="77777777" w:rsidR="00F92BE1" w:rsidRPr="0047058F" w:rsidRDefault="00F92BE1" w:rsidP="00C91013">
            <w:pPr>
              <w:pStyle w:val="TableText"/>
              <w:spacing w:before="38" w:after="38"/>
              <w:jc w:val="right"/>
              <w:rPr>
                <w:sz w:val="13"/>
              </w:rPr>
            </w:pPr>
            <w:r w:rsidRPr="0047058F">
              <w:rPr>
                <w:rFonts w:cs="Arial"/>
                <w:sz w:val="13"/>
              </w:rPr>
              <w:t>28.2 (11.6–44.8)</w:t>
            </w:r>
          </w:p>
        </w:tc>
        <w:tc>
          <w:tcPr>
            <w:tcW w:w="194" w:type="pct"/>
          </w:tcPr>
          <w:p w14:paraId="14E175F0" w14:textId="77777777" w:rsidR="00F92BE1" w:rsidRPr="0047058F" w:rsidRDefault="00F92BE1" w:rsidP="00C91013">
            <w:pPr>
              <w:pStyle w:val="TableText"/>
              <w:spacing w:before="38" w:after="38"/>
              <w:jc w:val="right"/>
              <w:rPr>
                <w:sz w:val="13"/>
              </w:rPr>
            </w:pPr>
            <w:r w:rsidRPr="0047058F">
              <w:rPr>
                <w:rFonts w:cs="Arial"/>
                <w:sz w:val="13"/>
              </w:rPr>
              <w:t>53</w:t>
            </w:r>
          </w:p>
        </w:tc>
        <w:tc>
          <w:tcPr>
            <w:tcW w:w="432" w:type="pct"/>
          </w:tcPr>
          <w:p w14:paraId="28763C26" w14:textId="77777777" w:rsidR="00F92BE1" w:rsidRPr="0047058F" w:rsidRDefault="00F92BE1" w:rsidP="00C91013">
            <w:pPr>
              <w:pStyle w:val="TableText"/>
              <w:spacing w:before="38" w:after="38"/>
              <w:jc w:val="right"/>
              <w:rPr>
                <w:sz w:val="13"/>
              </w:rPr>
            </w:pPr>
            <w:r w:rsidRPr="0047058F">
              <w:rPr>
                <w:rFonts w:cs="Arial"/>
                <w:sz w:val="13"/>
              </w:rPr>
              <w:t>48.2 (34.1–62.3)</w:t>
            </w:r>
          </w:p>
        </w:tc>
        <w:tc>
          <w:tcPr>
            <w:tcW w:w="451" w:type="pct"/>
          </w:tcPr>
          <w:p w14:paraId="5AEE4DFA" w14:textId="77777777" w:rsidR="00F92BE1" w:rsidRPr="0047058F" w:rsidRDefault="00F92BE1" w:rsidP="00C91013">
            <w:pPr>
              <w:pStyle w:val="TableText"/>
              <w:spacing w:before="38" w:after="38"/>
              <w:jc w:val="right"/>
              <w:rPr>
                <w:sz w:val="13"/>
              </w:rPr>
            </w:pPr>
            <w:r w:rsidRPr="0047058F">
              <w:rPr>
                <w:rFonts w:cs="Arial"/>
                <w:sz w:val="13"/>
              </w:rPr>
              <w:t>0.76 (0.35–1.65)</w:t>
            </w:r>
          </w:p>
        </w:tc>
        <w:tc>
          <w:tcPr>
            <w:tcW w:w="452" w:type="pct"/>
          </w:tcPr>
          <w:p w14:paraId="0332574D"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3D4BD288" w14:textId="77777777" w:rsidR="00F92BE1" w:rsidRPr="0047058F" w:rsidRDefault="00F92BE1" w:rsidP="00C91013">
            <w:pPr>
              <w:pStyle w:val="TableText"/>
              <w:spacing w:before="38" w:after="38"/>
              <w:jc w:val="right"/>
              <w:rPr>
                <w:sz w:val="13"/>
              </w:rPr>
            </w:pPr>
            <w:r w:rsidRPr="0047058F">
              <w:rPr>
                <w:rFonts w:cs="Arial"/>
                <w:sz w:val="13"/>
              </w:rPr>
              <w:t>1.41 (0.70–2.84)</w:t>
            </w:r>
          </w:p>
        </w:tc>
        <w:tc>
          <w:tcPr>
            <w:tcW w:w="433" w:type="pct"/>
          </w:tcPr>
          <w:p w14:paraId="20D86FAC"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2A40CFCF" w14:textId="77777777" w:rsidR="00F92BE1" w:rsidRPr="0047058F" w:rsidRDefault="00F92BE1" w:rsidP="00C91013">
            <w:pPr>
              <w:pStyle w:val="TableText"/>
              <w:spacing w:before="38" w:after="38"/>
              <w:jc w:val="right"/>
              <w:rPr>
                <w:color w:val="000000" w:themeColor="text1"/>
                <w:sz w:val="13"/>
              </w:rPr>
            </w:pPr>
          </w:p>
        </w:tc>
        <w:tc>
          <w:tcPr>
            <w:tcW w:w="282" w:type="pct"/>
          </w:tcPr>
          <w:p w14:paraId="13710621" w14:textId="77777777" w:rsidR="00F92BE1" w:rsidRPr="0047058F" w:rsidRDefault="00F92BE1" w:rsidP="00C91013">
            <w:pPr>
              <w:pStyle w:val="TableText"/>
              <w:spacing w:before="38" w:after="38"/>
              <w:jc w:val="right"/>
              <w:rPr>
                <w:color w:val="000000" w:themeColor="text1"/>
                <w:sz w:val="13"/>
              </w:rPr>
            </w:pPr>
          </w:p>
        </w:tc>
      </w:tr>
      <w:tr w:rsidR="00C91013" w:rsidRPr="0047058F" w14:paraId="0F1F12EC"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DA7541C" w14:textId="77777777" w:rsidR="00F92BE1" w:rsidRPr="0047058F" w:rsidRDefault="00F92BE1" w:rsidP="00C91013">
            <w:pPr>
              <w:pStyle w:val="TableText"/>
              <w:spacing w:before="38" w:after="38"/>
              <w:rPr>
                <w:rFonts w:cs="Arial"/>
              </w:rPr>
            </w:pPr>
            <w:r w:rsidRPr="0047058F">
              <w:rPr>
                <w:rFonts w:cs="Arial"/>
              </w:rPr>
              <w:t>Service</w:t>
            </w:r>
          </w:p>
        </w:tc>
        <w:tc>
          <w:tcPr>
            <w:tcW w:w="196" w:type="pct"/>
          </w:tcPr>
          <w:p w14:paraId="575295B4" w14:textId="77777777" w:rsidR="00F92BE1" w:rsidRPr="0047058F" w:rsidRDefault="00F92BE1" w:rsidP="00C91013">
            <w:pPr>
              <w:pStyle w:val="TableText"/>
              <w:spacing w:before="38" w:after="38"/>
              <w:jc w:val="right"/>
              <w:rPr>
                <w:sz w:val="13"/>
              </w:rPr>
            </w:pPr>
          </w:p>
        </w:tc>
        <w:tc>
          <w:tcPr>
            <w:tcW w:w="472" w:type="pct"/>
          </w:tcPr>
          <w:p w14:paraId="16460AF0" w14:textId="77777777" w:rsidR="00F92BE1" w:rsidRPr="0047058F" w:rsidRDefault="00F92BE1" w:rsidP="00C91013">
            <w:pPr>
              <w:pStyle w:val="TableText"/>
              <w:spacing w:before="38" w:after="38"/>
              <w:jc w:val="right"/>
              <w:rPr>
                <w:sz w:val="13"/>
              </w:rPr>
            </w:pPr>
          </w:p>
        </w:tc>
        <w:tc>
          <w:tcPr>
            <w:tcW w:w="199" w:type="pct"/>
          </w:tcPr>
          <w:p w14:paraId="181E45EC" w14:textId="77777777" w:rsidR="00F92BE1" w:rsidRPr="0047058F" w:rsidRDefault="00F92BE1" w:rsidP="00C91013">
            <w:pPr>
              <w:pStyle w:val="TableText"/>
              <w:spacing w:before="38" w:after="38"/>
              <w:jc w:val="right"/>
              <w:rPr>
                <w:sz w:val="13"/>
              </w:rPr>
            </w:pPr>
          </w:p>
        </w:tc>
        <w:tc>
          <w:tcPr>
            <w:tcW w:w="431" w:type="pct"/>
          </w:tcPr>
          <w:p w14:paraId="5C6D3311" w14:textId="77777777" w:rsidR="00F92BE1" w:rsidRPr="0047058F" w:rsidRDefault="00F92BE1" w:rsidP="00C91013">
            <w:pPr>
              <w:pStyle w:val="TableText"/>
              <w:spacing w:before="38" w:after="38"/>
              <w:jc w:val="right"/>
              <w:rPr>
                <w:sz w:val="13"/>
              </w:rPr>
            </w:pPr>
          </w:p>
        </w:tc>
        <w:tc>
          <w:tcPr>
            <w:tcW w:w="194" w:type="pct"/>
          </w:tcPr>
          <w:p w14:paraId="644D0630" w14:textId="77777777" w:rsidR="00F92BE1" w:rsidRPr="0047058F" w:rsidRDefault="00F92BE1" w:rsidP="00C91013">
            <w:pPr>
              <w:pStyle w:val="TableText"/>
              <w:spacing w:before="38" w:after="38"/>
              <w:jc w:val="right"/>
              <w:rPr>
                <w:sz w:val="13"/>
              </w:rPr>
            </w:pPr>
          </w:p>
        </w:tc>
        <w:tc>
          <w:tcPr>
            <w:tcW w:w="432" w:type="pct"/>
          </w:tcPr>
          <w:p w14:paraId="79F358AB" w14:textId="77777777" w:rsidR="00F92BE1" w:rsidRPr="0047058F" w:rsidRDefault="00F92BE1" w:rsidP="00C91013">
            <w:pPr>
              <w:pStyle w:val="TableText"/>
              <w:spacing w:before="38" w:after="38"/>
              <w:jc w:val="right"/>
              <w:rPr>
                <w:sz w:val="13"/>
              </w:rPr>
            </w:pPr>
          </w:p>
        </w:tc>
        <w:tc>
          <w:tcPr>
            <w:tcW w:w="451" w:type="pct"/>
          </w:tcPr>
          <w:p w14:paraId="079D9448" w14:textId="77777777" w:rsidR="00F92BE1" w:rsidRPr="0047058F" w:rsidRDefault="00F92BE1" w:rsidP="00C91013">
            <w:pPr>
              <w:pStyle w:val="TableText"/>
              <w:spacing w:before="38" w:after="38"/>
              <w:jc w:val="right"/>
              <w:rPr>
                <w:sz w:val="13"/>
              </w:rPr>
            </w:pPr>
          </w:p>
        </w:tc>
        <w:tc>
          <w:tcPr>
            <w:tcW w:w="452" w:type="pct"/>
          </w:tcPr>
          <w:p w14:paraId="434E40E2"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2C1BF6D1" w14:textId="77777777" w:rsidR="00F92BE1" w:rsidRPr="0047058F" w:rsidRDefault="00F92BE1" w:rsidP="00C91013">
            <w:pPr>
              <w:pStyle w:val="TableText"/>
              <w:spacing w:before="38" w:after="38"/>
              <w:jc w:val="right"/>
              <w:rPr>
                <w:sz w:val="13"/>
              </w:rPr>
            </w:pPr>
          </w:p>
        </w:tc>
        <w:tc>
          <w:tcPr>
            <w:tcW w:w="433" w:type="pct"/>
          </w:tcPr>
          <w:p w14:paraId="47D88C2A"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5985F1BC"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0.0354</w:t>
            </w:r>
          </w:p>
        </w:tc>
        <w:tc>
          <w:tcPr>
            <w:tcW w:w="282" w:type="pct"/>
          </w:tcPr>
          <w:p w14:paraId="0297A845"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ns</w:t>
            </w:r>
          </w:p>
        </w:tc>
      </w:tr>
      <w:tr w:rsidR="00C91013" w:rsidRPr="0047058F" w14:paraId="1AE3E1BD" w14:textId="77777777" w:rsidTr="00C91013">
        <w:trPr>
          <w:cantSplit/>
        </w:trPr>
        <w:tc>
          <w:tcPr>
            <w:tcW w:w="744" w:type="pct"/>
          </w:tcPr>
          <w:p w14:paraId="36258F86" w14:textId="77777777" w:rsidR="00F92BE1" w:rsidRPr="0047058F" w:rsidRDefault="00F92BE1" w:rsidP="00C91013">
            <w:pPr>
              <w:pStyle w:val="TableText"/>
              <w:spacing w:before="38" w:after="38"/>
              <w:ind w:left="144"/>
              <w:rPr>
                <w:rFonts w:cs="Arial"/>
              </w:rPr>
            </w:pPr>
            <w:r w:rsidRPr="0047058F">
              <w:rPr>
                <w:rFonts w:cs="Arial"/>
              </w:rPr>
              <w:t>Navy</w:t>
            </w:r>
          </w:p>
        </w:tc>
        <w:tc>
          <w:tcPr>
            <w:tcW w:w="196" w:type="pct"/>
          </w:tcPr>
          <w:p w14:paraId="59FFE377" w14:textId="77777777" w:rsidR="00F92BE1" w:rsidRPr="0047058F" w:rsidRDefault="00F92BE1" w:rsidP="00C91013">
            <w:pPr>
              <w:pStyle w:val="TableText"/>
              <w:spacing w:before="38" w:after="38"/>
              <w:jc w:val="right"/>
              <w:rPr>
                <w:color w:val="auto"/>
                <w:sz w:val="13"/>
              </w:rPr>
            </w:pPr>
            <w:r w:rsidRPr="0047058F">
              <w:rPr>
                <w:rFonts w:cs="Arial"/>
                <w:color w:val="auto"/>
                <w:sz w:val="13"/>
              </w:rPr>
              <w:t>42</w:t>
            </w:r>
          </w:p>
        </w:tc>
        <w:tc>
          <w:tcPr>
            <w:tcW w:w="472" w:type="pct"/>
          </w:tcPr>
          <w:p w14:paraId="48C639A0" w14:textId="77777777" w:rsidR="00F92BE1" w:rsidRPr="0047058F" w:rsidRDefault="00F92BE1" w:rsidP="00C91013">
            <w:pPr>
              <w:pStyle w:val="TableText"/>
              <w:spacing w:before="38" w:after="38"/>
              <w:jc w:val="right"/>
              <w:rPr>
                <w:sz w:val="13"/>
              </w:rPr>
            </w:pPr>
            <w:r w:rsidRPr="0047058F">
              <w:rPr>
                <w:rFonts w:cs="Arial"/>
                <w:sz w:val="13"/>
              </w:rPr>
              <w:t>29.4 (12.9–45.9)</w:t>
            </w:r>
          </w:p>
        </w:tc>
        <w:tc>
          <w:tcPr>
            <w:tcW w:w="199" w:type="pct"/>
          </w:tcPr>
          <w:p w14:paraId="779D9074" w14:textId="77777777" w:rsidR="00F92BE1" w:rsidRPr="0047058F" w:rsidRDefault="00F92BE1" w:rsidP="00C91013">
            <w:pPr>
              <w:pStyle w:val="TableText"/>
              <w:spacing w:before="38" w:after="38"/>
              <w:jc w:val="right"/>
              <w:rPr>
                <w:sz w:val="13"/>
              </w:rPr>
            </w:pPr>
            <w:r w:rsidRPr="0047058F">
              <w:rPr>
                <w:rFonts w:cs="Arial"/>
                <w:sz w:val="13"/>
              </w:rPr>
              <w:t>45</w:t>
            </w:r>
          </w:p>
        </w:tc>
        <w:tc>
          <w:tcPr>
            <w:tcW w:w="431" w:type="pct"/>
          </w:tcPr>
          <w:p w14:paraId="72BBB078" w14:textId="77777777" w:rsidR="00F92BE1" w:rsidRPr="0047058F" w:rsidRDefault="00F92BE1" w:rsidP="00C91013">
            <w:pPr>
              <w:pStyle w:val="TableText"/>
              <w:spacing w:before="38" w:after="38"/>
              <w:jc w:val="right"/>
              <w:rPr>
                <w:sz w:val="13"/>
              </w:rPr>
            </w:pPr>
            <w:r w:rsidRPr="0047058F">
              <w:rPr>
                <w:rFonts w:cs="Arial"/>
                <w:sz w:val="13"/>
              </w:rPr>
              <w:t>31.5 (15.3–47.7)</w:t>
            </w:r>
          </w:p>
        </w:tc>
        <w:tc>
          <w:tcPr>
            <w:tcW w:w="194" w:type="pct"/>
          </w:tcPr>
          <w:p w14:paraId="256DCF07" w14:textId="77777777" w:rsidR="00F92BE1" w:rsidRPr="0047058F" w:rsidRDefault="00F92BE1" w:rsidP="00C91013">
            <w:pPr>
              <w:pStyle w:val="TableText"/>
              <w:spacing w:before="38" w:after="38"/>
              <w:jc w:val="right"/>
              <w:rPr>
                <w:sz w:val="13"/>
              </w:rPr>
            </w:pPr>
            <w:r w:rsidRPr="0047058F">
              <w:rPr>
                <w:rFonts w:cs="Arial"/>
                <w:sz w:val="13"/>
              </w:rPr>
              <w:t>56</w:t>
            </w:r>
          </w:p>
        </w:tc>
        <w:tc>
          <w:tcPr>
            <w:tcW w:w="432" w:type="pct"/>
          </w:tcPr>
          <w:p w14:paraId="00ABF485" w14:textId="77777777" w:rsidR="00F92BE1" w:rsidRPr="0047058F" w:rsidRDefault="00F92BE1" w:rsidP="00C91013">
            <w:pPr>
              <w:pStyle w:val="TableText"/>
              <w:spacing w:before="38" w:after="38"/>
              <w:jc w:val="right"/>
              <w:rPr>
                <w:sz w:val="13"/>
              </w:rPr>
            </w:pPr>
            <w:r w:rsidRPr="0047058F">
              <w:rPr>
                <w:rFonts w:cs="Arial"/>
                <w:sz w:val="13"/>
              </w:rPr>
              <w:t>39.2 (23.9–54.5)</w:t>
            </w:r>
          </w:p>
        </w:tc>
        <w:tc>
          <w:tcPr>
            <w:tcW w:w="451" w:type="pct"/>
          </w:tcPr>
          <w:p w14:paraId="5FD055E6" w14:textId="77777777" w:rsidR="00F92BE1" w:rsidRPr="0047058F" w:rsidRDefault="00F92BE1" w:rsidP="00C91013">
            <w:pPr>
              <w:pStyle w:val="TableText"/>
              <w:spacing w:before="38" w:after="38"/>
              <w:jc w:val="right"/>
              <w:rPr>
                <w:sz w:val="13"/>
              </w:rPr>
            </w:pPr>
            <w:r w:rsidRPr="0047058F">
              <w:rPr>
                <w:sz w:val="13"/>
              </w:rPr>
              <w:t>0.84 (0.44–1.62)</w:t>
            </w:r>
          </w:p>
        </w:tc>
        <w:tc>
          <w:tcPr>
            <w:tcW w:w="452" w:type="pct"/>
          </w:tcPr>
          <w:p w14:paraId="567C529D"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7A7A3237" w14:textId="77777777" w:rsidR="00F92BE1" w:rsidRPr="0047058F" w:rsidRDefault="00F92BE1" w:rsidP="00C91013">
            <w:pPr>
              <w:pStyle w:val="TableText"/>
              <w:spacing w:before="38" w:after="38"/>
              <w:jc w:val="right"/>
              <w:rPr>
                <w:sz w:val="13"/>
              </w:rPr>
            </w:pPr>
            <w:r w:rsidRPr="0047058F">
              <w:rPr>
                <w:sz w:val="13"/>
              </w:rPr>
              <w:t>1.15 (0.60–2.18)</w:t>
            </w:r>
          </w:p>
        </w:tc>
        <w:tc>
          <w:tcPr>
            <w:tcW w:w="433" w:type="pct"/>
          </w:tcPr>
          <w:p w14:paraId="3CE55860"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457C2009" w14:textId="77777777" w:rsidR="00F92BE1" w:rsidRPr="0047058F" w:rsidRDefault="00F92BE1" w:rsidP="00C91013">
            <w:pPr>
              <w:pStyle w:val="TableText"/>
              <w:spacing w:before="38" w:after="38"/>
              <w:jc w:val="right"/>
              <w:rPr>
                <w:color w:val="000000" w:themeColor="text1"/>
                <w:sz w:val="13"/>
              </w:rPr>
            </w:pPr>
          </w:p>
        </w:tc>
        <w:tc>
          <w:tcPr>
            <w:tcW w:w="282" w:type="pct"/>
          </w:tcPr>
          <w:p w14:paraId="45E5C5D9" w14:textId="77777777" w:rsidR="00F92BE1" w:rsidRPr="0047058F" w:rsidRDefault="00F92BE1" w:rsidP="00C91013">
            <w:pPr>
              <w:pStyle w:val="TableText"/>
              <w:spacing w:before="38" w:after="38"/>
              <w:jc w:val="right"/>
              <w:rPr>
                <w:color w:val="000000" w:themeColor="text1"/>
                <w:sz w:val="13"/>
              </w:rPr>
            </w:pPr>
          </w:p>
        </w:tc>
      </w:tr>
      <w:tr w:rsidR="00C91013" w:rsidRPr="0047058F" w14:paraId="3C7E3C7C"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357C336" w14:textId="77777777" w:rsidR="00F92BE1" w:rsidRPr="0047058F" w:rsidRDefault="00F92BE1" w:rsidP="00C91013">
            <w:pPr>
              <w:pStyle w:val="TableText"/>
              <w:spacing w:before="38" w:after="38"/>
              <w:ind w:left="144"/>
              <w:rPr>
                <w:rFonts w:cs="Arial"/>
              </w:rPr>
            </w:pPr>
            <w:r w:rsidRPr="0047058F">
              <w:rPr>
                <w:rFonts w:cs="Arial"/>
              </w:rPr>
              <w:t>Army</w:t>
            </w:r>
          </w:p>
        </w:tc>
        <w:tc>
          <w:tcPr>
            <w:tcW w:w="196" w:type="pct"/>
          </w:tcPr>
          <w:p w14:paraId="48E8C742" w14:textId="77777777" w:rsidR="00F92BE1" w:rsidRPr="0047058F" w:rsidRDefault="00F92BE1" w:rsidP="00C91013">
            <w:pPr>
              <w:pStyle w:val="TableText"/>
              <w:spacing w:before="38" w:after="38"/>
              <w:jc w:val="right"/>
              <w:rPr>
                <w:color w:val="auto"/>
                <w:sz w:val="13"/>
              </w:rPr>
            </w:pPr>
            <w:r w:rsidRPr="0047058F">
              <w:rPr>
                <w:rFonts w:cs="Arial"/>
                <w:color w:val="auto"/>
                <w:sz w:val="13"/>
              </w:rPr>
              <w:t>42</w:t>
            </w:r>
          </w:p>
        </w:tc>
        <w:tc>
          <w:tcPr>
            <w:tcW w:w="472" w:type="pct"/>
          </w:tcPr>
          <w:p w14:paraId="2531043F" w14:textId="77777777" w:rsidR="00F92BE1" w:rsidRPr="0047058F" w:rsidRDefault="00F92BE1" w:rsidP="00C91013">
            <w:pPr>
              <w:pStyle w:val="TableText"/>
              <w:spacing w:before="38" w:after="38"/>
              <w:jc w:val="right"/>
              <w:rPr>
                <w:sz w:val="13"/>
              </w:rPr>
            </w:pPr>
            <w:r w:rsidRPr="0047058F">
              <w:rPr>
                <w:rFonts w:cs="Arial"/>
                <w:sz w:val="13"/>
              </w:rPr>
              <w:t>17.6 (0.0–35.4)</w:t>
            </w:r>
          </w:p>
        </w:tc>
        <w:tc>
          <w:tcPr>
            <w:tcW w:w="199" w:type="pct"/>
          </w:tcPr>
          <w:p w14:paraId="647CB37C" w14:textId="77777777" w:rsidR="00F92BE1" w:rsidRPr="0047058F" w:rsidRDefault="00F92BE1" w:rsidP="00C91013">
            <w:pPr>
              <w:pStyle w:val="TableText"/>
              <w:spacing w:before="38" w:after="38"/>
              <w:jc w:val="right"/>
              <w:rPr>
                <w:sz w:val="13"/>
              </w:rPr>
            </w:pPr>
            <w:r w:rsidRPr="0047058F">
              <w:rPr>
                <w:rFonts w:cs="Arial"/>
                <w:sz w:val="13"/>
              </w:rPr>
              <w:t>73</w:t>
            </w:r>
          </w:p>
        </w:tc>
        <w:tc>
          <w:tcPr>
            <w:tcW w:w="431" w:type="pct"/>
          </w:tcPr>
          <w:p w14:paraId="1EFE8AA5" w14:textId="77777777" w:rsidR="00F92BE1" w:rsidRPr="0047058F" w:rsidRDefault="00F92BE1" w:rsidP="00C91013">
            <w:pPr>
              <w:pStyle w:val="TableText"/>
              <w:spacing w:before="38" w:after="38"/>
              <w:jc w:val="right"/>
              <w:rPr>
                <w:sz w:val="13"/>
              </w:rPr>
            </w:pPr>
            <w:r w:rsidRPr="0047058F">
              <w:rPr>
                <w:rFonts w:cs="Arial"/>
                <w:sz w:val="13"/>
              </w:rPr>
              <w:t>30.5 (14.2–46.8)</w:t>
            </w:r>
          </w:p>
        </w:tc>
        <w:tc>
          <w:tcPr>
            <w:tcW w:w="194" w:type="pct"/>
          </w:tcPr>
          <w:p w14:paraId="26199351" w14:textId="77777777" w:rsidR="00F92BE1" w:rsidRPr="0047058F" w:rsidRDefault="00F92BE1" w:rsidP="00C91013">
            <w:pPr>
              <w:pStyle w:val="TableText"/>
              <w:spacing w:before="38" w:after="38"/>
              <w:jc w:val="right"/>
              <w:rPr>
                <w:sz w:val="13"/>
              </w:rPr>
            </w:pPr>
            <w:r w:rsidRPr="0047058F">
              <w:rPr>
                <w:rFonts w:cs="Arial"/>
                <w:sz w:val="13"/>
              </w:rPr>
              <w:t>124</w:t>
            </w:r>
          </w:p>
        </w:tc>
        <w:tc>
          <w:tcPr>
            <w:tcW w:w="432" w:type="pct"/>
          </w:tcPr>
          <w:p w14:paraId="3E3546D2" w14:textId="77777777" w:rsidR="00F92BE1" w:rsidRPr="0047058F" w:rsidRDefault="00F92BE1" w:rsidP="00C91013">
            <w:pPr>
              <w:pStyle w:val="TableText"/>
              <w:spacing w:before="38" w:after="38"/>
              <w:jc w:val="right"/>
              <w:rPr>
                <w:sz w:val="13"/>
              </w:rPr>
            </w:pPr>
            <w:r w:rsidRPr="0047058F">
              <w:rPr>
                <w:rFonts w:cs="Arial"/>
                <w:sz w:val="13"/>
              </w:rPr>
              <w:t>51.9 (38.3–65.5)</w:t>
            </w:r>
          </w:p>
        </w:tc>
        <w:tc>
          <w:tcPr>
            <w:tcW w:w="451" w:type="pct"/>
          </w:tcPr>
          <w:p w14:paraId="1CEAA934" w14:textId="77777777" w:rsidR="00F92BE1" w:rsidRPr="0047058F" w:rsidRDefault="00F92BE1" w:rsidP="00C91013">
            <w:pPr>
              <w:pStyle w:val="TableText"/>
              <w:spacing w:before="38" w:after="38"/>
              <w:jc w:val="right"/>
              <w:rPr>
                <w:sz w:val="13"/>
              </w:rPr>
            </w:pPr>
            <w:r w:rsidRPr="0047058F">
              <w:rPr>
                <w:sz w:val="13"/>
              </w:rPr>
              <w:t>1.19 (0.66–2.13)</w:t>
            </w:r>
          </w:p>
        </w:tc>
        <w:tc>
          <w:tcPr>
            <w:tcW w:w="452" w:type="pct"/>
          </w:tcPr>
          <w:p w14:paraId="7169EB3B"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0772313F" w14:textId="77777777" w:rsidR="00F92BE1" w:rsidRPr="0047058F" w:rsidRDefault="00F92BE1" w:rsidP="00C91013">
            <w:pPr>
              <w:pStyle w:val="TableText"/>
              <w:spacing w:before="38" w:after="38"/>
              <w:jc w:val="right"/>
              <w:rPr>
                <w:sz w:val="13"/>
              </w:rPr>
            </w:pPr>
            <w:r w:rsidRPr="0047058F">
              <w:rPr>
                <w:sz w:val="13"/>
              </w:rPr>
              <w:t>2.14 (1.21–3.78)</w:t>
            </w:r>
          </w:p>
        </w:tc>
        <w:tc>
          <w:tcPr>
            <w:tcW w:w="433" w:type="pct"/>
          </w:tcPr>
          <w:p w14:paraId="42D7E646"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6FA9E198" w14:textId="77777777" w:rsidR="00F92BE1" w:rsidRPr="0047058F" w:rsidRDefault="00F92BE1" w:rsidP="00C91013">
            <w:pPr>
              <w:pStyle w:val="TableText"/>
              <w:spacing w:before="38" w:after="38"/>
              <w:jc w:val="right"/>
              <w:rPr>
                <w:color w:val="000000" w:themeColor="text1"/>
                <w:sz w:val="13"/>
              </w:rPr>
            </w:pPr>
          </w:p>
        </w:tc>
        <w:tc>
          <w:tcPr>
            <w:tcW w:w="282" w:type="pct"/>
          </w:tcPr>
          <w:p w14:paraId="63408013" w14:textId="77777777" w:rsidR="00F92BE1" w:rsidRPr="0047058F" w:rsidRDefault="00F92BE1" w:rsidP="00C91013">
            <w:pPr>
              <w:pStyle w:val="TableText"/>
              <w:spacing w:before="38" w:after="38"/>
              <w:jc w:val="right"/>
              <w:rPr>
                <w:color w:val="000000" w:themeColor="text1"/>
                <w:sz w:val="13"/>
              </w:rPr>
            </w:pPr>
          </w:p>
        </w:tc>
      </w:tr>
      <w:tr w:rsidR="00C91013" w:rsidRPr="0047058F" w14:paraId="61D499EF" w14:textId="77777777" w:rsidTr="00C91013">
        <w:trPr>
          <w:cantSplit/>
        </w:trPr>
        <w:tc>
          <w:tcPr>
            <w:tcW w:w="744" w:type="pct"/>
          </w:tcPr>
          <w:p w14:paraId="51E323E2" w14:textId="77777777" w:rsidR="00F92BE1" w:rsidRPr="0047058F" w:rsidRDefault="00F92BE1" w:rsidP="00C91013">
            <w:pPr>
              <w:pStyle w:val="TableText"/>
              <w:spacing w:before="38" w:after="38"/>
              <w:ind w:left="144"/>
              <w:rPr>
                <w:rFonts w:cs="Arial"/>
              </w:rPr>
            </w:pPr>
            <w:r w:rsidRPr="0047058F">
              <w:rPr>
                <w:rFonts w:cs="Arial"/>
              </w:rPr>
              <w:t>Air Force</w:t>
            </w:r>
          </w:p>
        </w:tc>
        <w:tc>
          <w:tcPr>
            <w:tcW w:w="196" w:type="pct"/>
          </w:tcPr>
          <w:p w14:paraId="11E46FD8" w14:textId="77777777" w:rsidR="00F92BE1" w:rsidRPr="0047058F" w:rsidRDefault="00F92BE1" w:rsidP="00C91013">
            <w:pPr>
              <w:pStyle w:val="TableText"/>
              <w:spacing w:before="38" w:after="38"/>
              <w:jc w:val="right"/>
              <w:rPr>
                <w:color w:val="auto"/>
                <w:sz w:val="13"/>
              </w:rPr>
            </w:pPr>
            <w:r w:rsidRPr="0047058F">
              <w:rPr>
                <w:rFonts w:cs="Arial"/>
                <w:color w:val="auto"/>
                <w:sz w:val="13"/>
              </w:rPr>
              <w:t>42</w:t>
            </w:r>
          </w:p>
        </w:tc>
        <w:tc>
          <w:tcPr>
            <w:tcW w:w="472" w:type="pct"/>
          </w:tcPr>
          <w:p w14:paraId="03A363AD" w14:textId="77777777" w:rsidR="00F92BE1" w:rsidRPr="0047058F" w:rsidRDefault="00F92BE1" w:rsidP="00C91013">
            <w:pPr>
              <w:pStyle w:val="TableText"/>
              <w:spacing w:before="38" w:after="38"/>
              <w:jc w:val="right"/>
              <w:rPr>
                <w:sz w:val="13"/>
              </w:rPr>
            </w:pPr>
            <w:r w:rsidRPr="0047058F">
              <w:rPr>
                <w:rFonts w:cs="Arial"/>
                <w:sz w:val="13"/>
              </w:rPr>
              <w:t>26.3 (9.5–43.1)</w:t>
            </w:r>
          </w:p>
        </w:tc>
        <w:tc>
          <w:tcPr>
            <w:tcW w:w="199" w:type="pct"/>
          </w:tcPr>
          <w:p w14:paraId="2E338BC9" w14:textId="77777777" w:rsidR="00F92BE1" w:rsidRPr="0047058F" w:rsidRDefault="00F92BE1" w:rsidP="00C91013">
            <w:pPr>
              <w:pStyle w:val="TableText"/>
              <w:spacing w:before="38" w:after="38"/>
              <w:jc w:val="right"/>
              <w:rPr>
                <w:sz w:val="13"/>
              </w:rPr>
            </w:pPr>
            <w:r w:rsidRPr="0047058F">
              <w:rPr>
                <w:rFonts w:cs="Arial"/>
                <w:sz w:val="13"/>
              </w:rPr>
              <w:t>61</w:t>
            </w:r>
          </w:p>
        </w:tc>
        <w:tc>
          <w:tcPr>
            <w:tcW w:w="431" w:type="pct"/>
          </w:tcPr>
          <w:p w14:paraId="0A8670BE" w14:textId="77777777" w:rsidR="00F92BE1" w:rsidRPr="0047058F" w:rsidRDefault="00F92BE1" w:rsidP="00C91013">
            <w:pPr>
              <w:pStyle w:val="TableText"/>
              <w:spacing w:before="38" w:after="38"/>
              <w:jc w:val="right"/>
              <w:rPr>
                <w:sz w:val="13"/>
              </w:rPr>
            </w:pPr>
            <w:r w:rsidRPr="0047058F">
              <w:rPr>
                <w:rFonts w:cs="Arial"/>
                <w:sz w:val="13"/>
              </w:rPr>
              <w:t>38.1 (22.7–53.5)</w:t>
            </w:r>
          </w:p>
        </w:tc>
        <w:tc>
          <w:tcPr>
            <w:tcW w:w="194" w:type="pct"/>
          </w:tcPr>
          <w:p w14:paraId="629FF0E1" w14:textId="77777777" w:rsidR="00F92BE1" w:rsidRPr="0047058F" w:rsidRDefault="00F92BE1" w:rsidP="00C91013">
            <w:pPr>
              <w:pStyle w:val="TableText"/>
              <w:spacing w:before="38" w:after="38"/>
              <w:jc w:val="right"/>
              <w:rPr>
                <w:sz w:val="13"/>
              </w:rPr>
            </w:pPr>
            <w:r w:rsidRPr="0047058F">
              <w:rPr>
                <w:rFonts w:cs="Arial"/>
                <w:sz w:val="13"/>
              </w:rPr>
              <w:t>57</w:t>
            </w:r>
          </w:p>
        </w:tc>
        <w:tc>
          <w:tcPr>
            <w:tcW w:w="432" w:type="pct"/>
          </w:tcPr>
          <w:p w14:paraId="2CE8C8FF" w14:textId="77777777" w:rsidR="00F92BE1" w:rsidRPr="0047058F" w:rsidRDefault="00F92BE1" w:rsidP="00C91013">
            <w:pPr>
              <w:pStyle w:val="TableText"/>
              <w:spacing w:before="38" w:after="38"/>
              <w:jc w:val="right"/>
              <w:rPr>
                <w:sz w:val="13"/>
              </w:rPr>
            </w:pPr>
            <w:r w:rsidRPr="0047058F">
              <w:rPr>
                <w:rFonts w:cs="Arial"/>
                <w:sz w:val="13"/>
              </w:rPr>
              <w:t>35.6 (19.9–51.3)</w:t>
            </w:r>
          </w:p>
        </w:tc>
        <w:tc>
          <w:tcPr>
            <w:tcW w:w="451" w:type="pct"/>
          </w:tcPr>
          <w:p w14:paraId="7973AFA2"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6625C140"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5173A790"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5CF02E0E"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0523BAC3" w14:textId="77777777" w:rsidR="00F92BE1" w:rsidRPr="0047058F" w:rsidRDefault="00F92BE1" w:rsidP="00C91013">
            <w:pPr>
              <w:pStyle w:val="TableText"/>
              <w:spacing w:before="38" w:after="38"/>
              <w:jc w:val="right"/>
              <w:rPr>
                <w:color w:val="000000" w:themeColor="text1"/>
                <w:sz w:val="13"/>
              </w:rPr>
            </w:pPr>
          </w:p>
        </w:tc>
        <w:tc>
          <w:tcPr>
            <w:tcW w:w="282" w:type="pct"/>
          </w:tcPr>
          <w:p w14:paraId="46C07EFD" w14:textId="77777777" w:rsidR="00F92BE1" w:rsidRPr="0047058F" w:rsidRDefault="00F92BE1" w:rsidP="00C91013">
            <w:pPr>
              <w:pStyle w:val="TableText"/>
              <w:spacing w:before="38" w:after="38"/>
              <w:jc w:val="right"/>
              <w:rPr>
                <w:color w:val="000000" w:themeColor="text1"/>
                <w:sz w:val="13"/>
              </w:rPr>
            </w:pPr>
          </w:p>
        </w:tc>
      </w:tr>
      <w:tr w:rsidR="00C91013" w:rsidRPr="0047058F" w14:paraId="02CCE832"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422407D" w14:textId="77777777" w:rsidR="00F92BE1" w:rsidRPr="0047058F" w:rsidRDefault="00F92BE1" w:rsidP="00C91013">
            <w:pPr>
              <w:pStyle w:val="TableText"/>
              <w:spacing w:before="38" w:after="38"/>
              <w:rPr>
                <w:rFonts w:cs="Arial"/>
              </w:rPr>
            </w:pPr>
            <w:r w:rsidRPr="0047058F">
              <w:rPr>
                <w:rFonts w:cs="Arial"/>
              </w:rPr>
              <w:t>Length of service</w:t>
            </w:r>
          </w:p>
        </w:tc>
        <w:tc>
          <w:tcPr>
            <w:tcW w:w="196" w:type="pct"/>
          </w:tcPr>
          <w:p w14:paraId="2110CD02" w14:textId="77777777" w:rsidR="00F92BE1" w:rsidRPr="0047058F" w:rsidRDefault="00F92BE1" w:rsidP="00C91013">
            <w:pPr>
              <w:pStyle w:val="TableText"/>
              <w:spacing w:before="38" w:after="38"/>
              <w:jc w:val="right"/>
              <w:rPr>
                <w:sz w:val="13"/>
              </w:rPr>
            </w:pPr>
          </w:p>
        </w:tc>
        <w:tc>
          <w:tcPr>
            <w:tcW w:w="472" w:type="pct"/>
          </w:tcPr>
          <w:p w14:paraId="1C959826" w14:textId="77777777" w:rsidR="00F92BE1" w:rsidRPr="0047058F" w:rsidRDefault="00F92BE1" w:rsidP="00C91013">
            <w:pPr>
              <w:pStyle w:val="TableText"/>
              <w:spacing w:before="38" w:after="38"/>
              <w:jc w:val="right"/>
              <w:rPr>
                <w:sz w:val="13"/>
              </w:rPr>
            </w:pPr>
          </w:p>
        </w:tc>
        <w:tc>
          <w:tcPr>
            <w:tcW w:w="199" w:type="pct"/>
          </w:tcPr>
          <w:p w14:paraId="31FABC27" w14:textId="77777777" w:rsidR="00F92BE1" w:rsidRPr="0047058F" w:rsidRDefault="00F92BE1" w:rsidP="00C91013">
            <w:pPr>
              <w:pStyle w:val="TableText"/>
              <w:spacing w:before="38" w:after="38"/>
              <w:jc w:val="right"/>
              <w:rPr>
                <w:sz w:val="13"/>
              </w:rPr>
            </w:pPr>
          </w:p>
        </w:tc>
        <w:tc>
          <w:tcPr>
            <w:tcW w:w="431" w:type="pct"/>
          </w:tcPr>
          <w:p w14:paraId="7B10EF8B" w14:textId="77777777" w:rsidR="00F92BE1" w:rsidRPr="0047058F" w:rsidRDefault="00F92BE1" w:rsidP="00C91013">
            <w:pPr>
              <w:pStyle w:val="TableText"/>
              <w:spacing w:before="38" w:after="38"/>
              <w:jc w:val="right"/>
              <w:rPr>
                <w:sz w:val="13"/>
              </w:rPr>
            </w:pPr>
          </w:p>
        </w:tc>
        <w:tc>
          <w:tcPr>
            <w:tcW w:w="194" w:type="pct"/>
          </w:tcPr>
          <w:p w14:paraId="53C29D5B" w14:textId="77777777" w:rsidR="00F92BE1" w:rsidRPr="0047058F" w:rsidRDefault="00F92BE1" w:rsidP="00C91013">
            <w:pPr>
              <w:pStyle w:val="TableText"/>
              <w:spacing w:before="38" w:after="38"/>
              <w:jc w:val="right"/>
              <w:rPr>
                <w:sz w:val="13"/>
              </w:rPr>
            </w:pPr>
          </w:p>
        </w:tc>
        <w:tc>
          <w:tcPr>
            <w:tcW w:w="432" w:type="pct"/>
          </w:tcPr>
          <w:p w14:paraId="6C1BA19E" w14:textId="77777777" w:rsidR="00F92BE1" w:rsidRPr="0047058F" w:rsidRDefault="00F92BE1" w:rsidP="00C91013">
            <w:pPr>
              <w:pStyle w:val="TableText"/>
              <w:spacing w:before="38" w:after="38"/>
              <w:jc w:val="right"/>
              <w:rPr>
                <w:sz w:val="13"/>
              </w:rPr>
            </w:pPr>
          </w:p>
        </w:tc>
        <w:tc>
          <w:tcPr>
            <w:tcW w:w="451" w:type="pct"/>
          </w:tcPr>
          <w:p w14:paraId="7B142A5F" w14:textId="77777777" w:rsidR="00F92BE1" w:rsidRPr="0047058F" w:rsidRDefault="00F92BE1" w:rsidP="00C91013">
            <w:pPr>
              <w:pStyle w:val="TableText"/>
              <w:spacing w:before="38" w:after="38"/>
              <w:jc w:val="right"/>
              <w:rPr>
                <w:sz w:val="13"/>
              </w:rPr>
            </w:pPr>
          </w:p>
        </w:tc>
        <w:tc>
          <w:tcPr>
            <w:tcW w:w="452" w:type="pct"/>
          </w:tcPr>
          <w:p w14:paraId="4FAA8801"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5C307430" w14:textId="77777777" w:rsidR="00F92BE1" w:rsidRPr="0047058F" w:rsidRDefault="00F92BE1" w:rsidP="00C91013">
            <w:pPr>
              <w:pStyle w:val="TableText"/>
              <w:spacing w:before="38" w:after="38"/>
              <w:jc w:val="right"/>
              <w:rPr>
                <w:sz w:val="13"/>
              </w:rPr>
            </w:pPr>
          </w:p>
        </w:tc>
        <w:tc>
          <w:tcPr>
            <w:tcW w:w="433" w:type="pct"/>
          </w:tcPr>
          <w:p w14:paraId="49E64FDF"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2392F036"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0.0258</w:t>
            </w:r>
          </w:p>
        </w:tc>
        <w:tc>
          <w:tcPr>
            <w:tcW w:w="282" w:type="pct"/>
          </w:tcPr>
          <w:p w14:paraId="5716050F"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ns</w:t>
            </w:r>
          </w:p>
        </w:tc>
      </w:tr>
      <w:tr w:rsidR="00C91013" w:rsidRPr="0047058F" w14:paraId="5C6F637A" w14:textId="77777777" w:rsidTr="00C91013">
        <w:trPr>
          <w:cantSplit/>
        </w:trPr>
        <w:tc>
          <w:tcPr>
            <w:tcW w:w="744" w:type="pct"/>
          </w:tcPr>
          <w:p w14:paraId="09F46E2E" w14:textId="77777777" w:rsidR="00F92BE1" w:rsidRPr="0047058F" w:rsidRDefault="00F92BE1" w:rsidP="00C91013">
            <w:pPr>
              <w:pStyle w:val="TableText"/>
              <w:spacing w:before="38" w:after="38"/>
              <w:ind w:left="144"/>
            </w:pPr>
            <w:r w:rsidRPr="0047058F">
              <w:t>1 month – 3.9 years</w:t>
            </w:r>
          </w:p>
        </w:tc>
        <w:tc>
          <w:tcPr>
            <w:tcW w:w="196" w:type="pct"/>
          </w:tcPr>
          <w:p w14:paraId="01338E0B" w14:textId="77777777" w:rsidR="00F92BE1" w:rsidRPr="0047058F" w:rsidRDefault="00F92BE1" w:rsidP="00C91013">
            <w:pPr>
              <w:pStyle w:val="TableText"/>
              <w:spacing w:before="38" w:after="38"/>
              <w:jc w:val="right"/>
              <w:rPr>
                <w:sz w:val="13"/>
              </w:rPr>
            </w:pPr>
            <w:r w:rsidRPr="0047058F">
              <w:rPr>
                <w:rFonts w:cs="Arial"/>
                <w:sz w:val="13"/>
              </w:rPr>
              <w:t>19</w:t>
            </w:r>
          </w:p>
        </w:tc>
        <w:tc>
          <w:tcPr>
            <w:tcW w:w="472" w:type="pct"/>
          </w:tcPr>
          <w:p w14:paraId="31DCF05D" w14:textId="77777777" w:rsidR="00F92BE1" w:rsidRPr="0047058F" w:rsidRDefault="00F92BE1" w:rsidP="00C91013">
            <w:pPr>
              <w:pStyle w:val="TableText"/>
              <w:spacing w:before="38" w:after="38"/>
              <w:jc w:val="right"/>
              <w:rPr>
                <w:sz w:val="13"/>
              </w:rPr>
            </w:pPr>
            <w:r w:rsidRPr="0047058F">
              <w:rPr>
                <w:rFonts w:cs="Arial"/>
                <w:sz w:val="13"/>
              </w:rPr>
              <w:t>34.5 (18.6–50.4)</w:t>
            </w:r>
          </w:p>
        </w:tc>
        <w:tc>
          <w:tcPr>
            <w:tcW w:w="199" w:type="pct"/>
          </w:tcPr>
          <w:p w14:paraId="03FDE919" w14:textId="77777777" w:rsidR="00F92BE1" w:rsidRPr="0047058F" w:rsidRDefault="00F92BE1" w:rsidP="00C91013">
            <w:pPr>
              <w:pStyle w:val="TableText"/>
              <w:spacing w:before="38" w:after="38"/>
              <w:jc w:val="right"/>
              <w:rPr>
                <w:sz w:val="13"/>
              </w:rPr>
            </w:pPr>
            <w:r w:rsidRPr="0047058F">
              <w:rPr>
                <w:rFonts w:cs="Arial"/>
                <w:sz w:val="13"/>
              </w:rPr>
              <w:t>16</w:t>
            </w:r>
          </w:p>
        </w:tc>
        <w:tc>
          <w:tcPr>
            <w:tcW w:w="431" w:type="pct"/>
          </w:tcPr>
          <w:p w14:paraId="3EE41CD7" w14:textId="77777777" w:rsidR="00F92BE1" w:rsidRPr="0047058F" w:rsidRDefault="00F92BE1" w:rsidP="00C91013">
            <w:pPr>
              <w:pStyle w:val="TableText"/>
              <w:spacing w:before="38" w:after="38"/>
              <w:jc w:val="right"/>
              <w:rPr>
                <w:sz w:val="13"/>
              </w:rPr>
            </w:pPr>
            <w:r w:rsidRPr="0047058F">
              <w:rPr>
                <w:rFonts w:cs="Arial"/>
                <w:sz w:val="13"/>
              </w:rPr>
              <w:t>29.1 (12.6–45.6)</w:t>
            </w:r>
          </w:p>
        </w:tc>
        <w:tc>
          <w:tcPr>
            <w:tcW w:w="194" w:type="pct"/>
          </w:tcPr>
          <w:p w14:paraId="50334181" w14:textId="77777777" w:rsidR="00F92BE1" w:rsidRPr="0047058F" w:rsidRDefault="00F92BE1" w:rsidP="00C91013">
            <w:pPr>
              <w:pStyle w:val="TableText"/>
              <w:spacing w:before="38" w:after="38"/>
              <w:jc w:val="right"/>
              <w:rPr>
                <w:sz w:val="13"/>
              </w:rPr>
            </w:pPr>
            <w:r w:rsidRPr="0047058F">
              <w:rPr>
                <w:rFonts w:cs="Arial"/>
                <w:sz w:val="13"/>
              </w:rPr>
              <w:t>20</w:t>
            </w:r>
          </w:p>
        </w:tc>
        <w:tc>
          <w:tcPr>
            <w:tcW w:w="432" w:type="pct"/>
          </w:tcPr>
          <w:p w14:paraId="5964C87B" w14:textId="77777777" w:rsidR="00F92BE1" w:rsidRPr="0047058F" w:rsidRDefault="00F92BE1" w:rsidP="00C91013">
            <w:pPr>
              <w:pStyle w:val="TableText"/>
              <w:spacing w:before="38" w:after="38"/>
              <w:jc w:val="right"/>
              <w:rPr>
                <w:sz w:val="13"/>
              </w:rPr>
            </w:pPr>
            <w:r w:rsidRPr="0047058F">
              <w:rPr>
                <w:rFonts w:cs="Arial"/>
                <w:sz w:val="13"/>
              </w:rPr>
              <w:t>36.4 (20.8–52.0)</w:t>
            </w:r>
          </w:p>
        </w:tc>
        <w:tc>
          <w:tcPr>
            <w:tcW w:w="451" w:type="pct"/>
          </w:tcPr>
          <w:p w14:paraId="0A6BEFA1" w14:textId="77777777" w:rsidR="00F92BE1" w:rsidRPr="0047058F" w:rsidRDefault="00F92BE1" w:rsidP="00C91013">
            <w:pPr>
              <w:pStyle w:val="TableText"/>
              <w:spacing w:before="38" w:after="38"/>
              <w:jc w:val="right"/>
              <w:rPr>
                <w:sz w:val="13"/>
              </w:rPr>
            </w:pPr>
            <w:r w:rsidRPr="0047058F">
              <w:rPr>
                <w:rFonts w:cs="Arial"/>
                <w:sz w:val="13"/>
              </w:rPr>
              <w:t>0.28 (0.11–0.69)</w:t>
            </w:r>
          </w:p>
        </w:tc>
        <w:tc>
          <w:tcPr>
            <w:tcW w:w="452" w:type="pct"/>
          </w:tcPr>
          <w:p w14:paraId="69D497E7"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1BD45D66" w14:textId="77777777" w:rsidR="00F92BE1" w:rsidRPr="0047058F" w:rsidRDefault="00F92BE1" w:rsidP="00C91013">
            <w:pPr>
              <w:pStyle w:val="TableText"/>
              <w:spacing w:before="38" w:after="38"/>
              <w:jc w:val="right"/>
              <w:rPr>
                <w:sz w:val="13"/>
              </w:rPr>
            </w:pPr>
            <w:r w:rsidRPr="0047058F">
              <w:rPr>
                <w:rFonts w:cs="Arial"/>
                <w:sz w:val="13"/>
              </w:rPr>
              <w:t>0.30 (0.13–0.74)</w:t>
            </w:r>
          </w:p>
        </w:tc>
        <w:tc>
          <w:tcPr>
            <w:tcW w:w="433" w:type="pct"/>
          </w:tcPr>
          <w:p w14:paraId="3D0FDBC9"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246F7DAC" w14:textId="77777777" w:rsidR="00F92BE1" w:rsidRPr="0047058F" w:rsidRDefault="00F92BE1" w:rsidP="00C91013">
            <w:pPr>
              <w:pStyle w:val="TableText"/>
              <w:spacing w:before="38" w:after="38"/>
              <w:jc w:val="right"/>
              <w:rPr>
                <w:color w:val="000000" w:themeColor="text1"/>
                <w:sz w:val="13"/>
              </w:rPr>
            </w:pPr>
          </w:p>
        </w:tc>
        <w:tc>
          <w:tcPr>
            <w:tcW w:w="282" w:type="pct"/>
          </w:tcPr>
          <w:p w14:paraId="6434E62E" w14:textId="77777777" w:rsidR="00F92BE1" w:rsidRPr="0047058F" w:rsidRDefault="00F92BE1" w:rsidP="00C91013">
            <w:pPr>
              <w:pStyle w:val="TableText"/>
              <w:spacing w:before="38" w:after="38"/>
              <w:jc w:val="right"/>
              <w:rPr>
                <w:color w:val="000000" w:themeColor="text1"/>
                <w:sz w:val="13"/>
              </w:rPr>
            </w:pPr>
          </w:p>
        </w:tc>
      </w:tr>
      <w:tr w:rsidR="00C91013" w:rsidRPr="0047058F" w14:paraId="58116178"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8482752" w14:textId="77777777" w:rsidR="00F92BE1" w:rsidRPr="0047058F" w:rsidRDefault="00F92BE1" w:rsidP="00C91013">
            <w:pPr>
              <w:pStyle w:val="TableText"/>
              <w:spacing w:before="38" w:after="38"/>
              <w:ind w:left="144"/>
            </w:pPr>
            <w:r w:rsidRPr="0047058F">
              <w:t>4 – 7.9 years</w:t>
            </w:r>
          </w:p>
        </w:tc>
        <w:tc>
          <w:tcPr>
            <w:tcW w:w="196" w:type="pct"/>
          </w:tcPr>
          <w:p w14:paraId="43195320" w14:textId="77777777" w:rsidR="00F92BE1" w:rsidRPr="0047058F" w:rsidRDefault="00F92BE1" w:rsidP="00C91013">
            <w:pPr>
              <w:pStyle w:val="TableText"/>
              <w:spacing w:before="38" w:after="38"/>
              <w:jc w:val="right"/>
              <w:rPr>
                <w:sz w:val="13"/>
              </w:rPr>
            </w:pPr>
            <w:r w:rsidRPr="0047058F">
              <w:rPr>
                <w:rFonts w:cs="Arial"/>
                <w:sz w:val="13"/>
              </w:rPr>
              <w:t>29</w:t>
            </w:r>
          </w:p>
        </w:tc>
        <w:tc>
          <w:tcPr>
            <w:tcW w:w="472" w:type="pct"/>
          </w:tcPr>
          <w:p w14:paraId="3D96C067" w14:textId="77777777" w:rsidR="00F92BE1" w:rsidRPr="0047058F" w:rsidRDefault="00F92BE1" w:rsidP="00C91013">
            <w:pPr>
              <w:pStyle w:val="TableText"/>
              <w:spacing w:before="38" w:after="38"/>
              <w:jc w:val="right"/>
              <w:rPr>
                <w:sz w:val="13"/>
              </w:rPr>
            </w:pPr>
            <w:r w:rsidRPr="0047058F">
              <w:rPr>
                <w:rFonts w:cs="Arial"/>
                <w:sz w:val="13"/>
              </w:rPr>
              <w:t>30.2 (13.8–46.6)</w:t>
            </w:r>
          </w:p>
        </w:tc>
        <w:tc>
          <w:tcPr>
            <w:tcW w:w="199" w:type="pct"/>
          </w:tcPr>
          <w:p w14:paraId="5B5FF7B9" w14:textId="77777777" w:rsidR="00F92BE1" w:rsidRPr="0047058F" w:rsidRDefault="00F92BE1" w:rsidP="00C91013">
            <w:pPr>
              <w:pStyle w:val="TableText"/>
              <w:spacing w:before="38" w:after="38"/>
              <w:jc w:val="right"/>
              <w:rPr>
                <w:sz w:val="13"/>
              </w:rPr>
            </w:pPr>
            <w:r w:rsidRPr="0047058F">
              <w:rPr>
                <w:rFonts w:cs="Arial"/>
                <w:sz w:val="13"/>
              </w:rPr>
              <w:t>31</w:t>
            </w:r>
          </w:p>
        </w:tc>
        <w:tc>
          <w:tcPr>
            <w:tcW w:w="431" w:type="pct"/>
          </w:tcPr>
          <w:p w14:paraId="0BAF58EA" w14:textId="77777777" w:rsidR="00F92BE1" w:rsidRPr="0047058F" w:rsidRDefault="00F92BE1" w:rsidP="00C91013">
            <w:pPr>
              <w:pStyle w:val="TableText"/>
              <w:spacing w:before="38" w:after="38"/>
              <w:jc w:val="right"/>
              <w:rPr>
                <w:sz w:val="13"/>
              </w:rPr>
            </w:pPr>
            <w:r w:rsidRPr="0047058F">
              <w:rPr>
                <w:rFonts w:cs="Arial"/>
                <w:sz w:val="13"/>
              </w:rPr>
              <w:t>32.3 (16.2–48.4)</w:t>
            </w:r>
          </w:p>
        </w:tc>
        <w:tc>
          <w:tcPr>
            <w:tcW w:w="194" w:type="pct"/>
          </w:tcPr>
          <w:p w14:paraId="60F2C147" w14:textId="77777777" w:rsidR="00F92BE1" w:rsidRPr="0047058F" w:rsidRDefault="00F92BE1" w:rsidP="00C91013">
            <w:pPr>
              <w:pStyle w:val="TableText"/>
              <w:spacing w:before="38" w:after="38"/>
              <w:jc w:val="right"/>
              <w:rPr>
                <w:sz w:val="13"/>
              </w:rPr>
            </w:pPr>
            <w:r w:rsidRPr="0047058F">
              <w:rPr>
                <w:rFonts w:cs="Arial"/>
                <w:sz w:val="13"/>
              </w:rPr>
              <w:t>36</w:t>
            </w:r>
          </w:p>
        </w:tc>
        <w:tc>
          <w:tcPr>
            <w:tcW w:w="432" w:type="pct"/>
          </w:tcPr>
          <w:p w14:paraId="5BEDAA71" w14:textId="77777777" w:rsidR="00F92BE1" w:rsidRPr="0047058F" w:rsidRDefault="00F92BE1" w:rsidP="00C91013">
            <w:pPr>
              <w:pStyle w:val="TableText"/>
              <w:spacing w:before="38" w:after="38"/>
              <w:jc w:val="right"/>
              <w:rPr>
                <w:sz w:val="13"/>
              </w:rPr>
            </w:pPr>
            <w:r w:rsidRPr="0047058F">
              <w:rPr>
                <w:rFonts w:cs="Arial"/>
                <w:sz w:val="13"/>
              </w:rPr>
              <w:t>37.5 (22.0–53.0)</w:t>
            </w:r>
          </w:p>
        </w:tc>
        <w:tc>
          <w:tcPr>
            <w:tcW w:w="451" w:type="pct"/>
          </w:tcPr>
          <w:p w14:paraId="47B08F3C" w14:textId="77777777" w:rsidR="00F92BE1" w:rsidRPr="0047058F" w:rsidRDefault="00F92BE1" w:rsidP="00C91013">
            <w:pPr>
              <w:pStyle w:val="TableText"/>
              <w:spacing w:before="38" w:after="38"/>
              <w:jc w:val="right"/>
              <w:rPr>
                <w:sz w:val="13"/>
              </w:rPr>
            </w:pPr>
            <w:r w:rsidRPr="0047058F">
              <w:rPr>
                <w:rFonts w:cs="Arial"/>
                <w:sz w:val="13"/>
              </w:rPr>
              <w:t>0.45 (0.21–0.97)</w:t>
            </w:r>
          </w:p>
        </w:tc>
        <w:tc>
          <w:tcPr>
            <w:tcW w:w="452" w:type="pct"/>
          </w:tcPr>
          <w:p w14:paraId="5B73D6FF"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060BEB8D" w14:textId="77777777" w:rsidR="00F92BE1" w:rsidRPr="0047058F" w:rsidRDefault="00F92BE1" w:rsidP="00C91013">
            <w:pPr>
              <w:pStyle w:val="TableText"/>
              <w:spacing w:before="38" w:after="38"/>
              <w:jc w:val="right"/>
              <w:rPr>
                <w:sz w:val="13"/>
              </w:rPr>
            </w:pPr>
            <w:r w:rsidRPr="0047058F">
              <w:rPr>
                <w:rFonts w:cs="Arial"/>
                <w:sz w:val="13"/>
              </w:rPr>
              <w:t>0.53 (0.25–1.12)</w:t>
            </w:r>
          </w:p>
        </w:tc>
        <w:tc>
          <w:tcPr>
            <w:tcW w:w="433" w:type="pct"/>
          </w:tcPr>
          <w:p w14:paraId="12583DD1"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5E483A3D" w14:textId="77777777" w:rsidR="00F92BE1" w:rsidRPr="0047058F" w:rsidRDefault="00F92BE1" w:rsidP="00C91013">
            <w:pPr>
              <w:pStyle w:val="TableText"/>
              <w:spacing w:before="38" w:after="38"/>
              <w:jc w:val="right"/>
              <w:rPr>
                <w:sz w:val="13"/>
              </w:rPr>
            </w:pPr>
          </w:p>
        </w:tc>
        <w:tc>
          <w:tcPr>
            <w:tcW w:w="282" w:type="pct"/>
          </w:tcPr>
          <w:p w14:paraId="13EF22A9" w14:textId="77777777" w:rsidR="00F92BE1" w:rsidRPr="0047058F" w:rsidRDefault="00F92BE1" w:rsidP="00C91013">
            <w:pPr>
              <w:pStyle w:val="TableText"/>
              <w:spacing w:before="38" w:after="38"/>
              <w:jc w:val="right"/>
              <w:rPr>
                <w:sz w:val="13"/>
              </w:rPr>
            </w:pPr>
          </w:p>
        </w:tc>
      </w:tr>
      <w:tr w:rsidR="00C91013" w:rsidRPr="0047058F" w14:paraId="258CCD3D" w14:textId="77777777" w:rsidTr="00C91013">
        <w:trPr>
          <w:cantSplit/>
        </w:trPr>
        <w:tc>
          <w:tcPr>
            <w:tcW w:w="744" w:type="pct"/>
          </w:tcPr>
          <w:p w14:paraId="2DD51BA6" w14:textId="77777777" w:rsidR="00F92BE1" w:rsidRPr="0047058F" w:rsidRDefault="00F92BE1" w:rsidP="00C91013">
            <w:pPr>
              <w:pStyle w:val="TableText"/>
              <w:spacing w:before="38" w:after="38"/>
              <w:ind w:left="144"/>
            </w:pPr>
            <w:r w:rsidRPr="0047058F">
              <w:t>8 – 11.9 years</w:t>
            </w:r>
          </w:p>
        </w:tc>
        <w:tc>
          <w:tcPr>
            <w:tcW w:w="196" w:type="pct"/>
          </w:tcPr>
          <w:p w14:paraId="63928E16" w14:textId="77777777" w:rsidR="00F92BE1" w:rsidRPr="0047058F" w:rsidRDefault="00F92BE1" w:rsidP="00C91013">
            <w:pPr>
              <w:pStyle w:val="TableText"/>
              <w:spacing w:before="38" w:after="38"/>
              <w:jc w:val="right"/>
              <w:rPr>
                <w:sz w:val="13"/>
              </w:rPr>
            </w:pPr>
            <w:r w:rsidRPr="0047058F">
              <w:rPr>
                <w:rFonts w:cs="Arial"/>
                <w:sz w:val="13"/>
              </w:rPr>
              <w:t>28</w:t>
            </w:r>
          </w:p>
        </w:tc>
        <w:tc>
          <w:tcPr>
            <w:tcW w:w="472" w:type="pct"/>
          </w:tcPr>
          <w:p w14:paraId="0861D995" w14:textId="77777777" w:rsidR="00F92BE1" w:rsidRPr="0047058F" w:rsidRDefault="00F92BE1" w:rsidP="00C91013">
            <w:pPr>
              <w:pStyle w:val="TableText"/>
              <w:spacing w:before="38" w:after="38"/>
              <w:jc w:val="right"/>
              <w:rPr>
                <w:sz w:val="13"/>
              </w:rPr>
            </w:pPr>
            <w:r w:rsidRPr="0047058F">
              <w:rPr>
                <w:rFonts w:cs="Arial"/>
                <w:sz w:val="13"/>
              </w:rPr>
              <w:t>31.5 (15.3–47.7)</w:t>
            </w:r>
          </w:p>
        </w:tc>
        <w:tc>
          <w:tcPr>
            <w:tcW w:w="199" w:type="pct"/>
          </w:tcPr>
          <w:p w14:paraId="2CE4D8B6" w14:textId="77777777" w:rsidR="00F92BE1" w:rsidRPr="0047058F" w:rsidRDefault="00F92BE1" w:rsidP="00C91013">
            <w:pPr>
              <w:pStyle w:val="TableText"/>
              <w:spacing w:before="38" w:after="38"/>
              <w:jc w:val="right"/>
              <w:rPr>
                <w:sz w:val="13"/>
              </w:rPr>
            </w:pPr>
            <w:r w:rsidRPr="0047058F">
              <w:rPr>
                <w:rFonts w:cs="Arial"/>
                <w:sz w:val="13"/>
              </w:rPr>
              <w:t>19</w:t>
            </w:r>
          </w:p>
        </w:tc>
        <w:tc>
          <w:tcPr>
            <w:tcW w:w="431" w:type="pct"/>
          </w:tcPr>
          <w:p w14:paraId="625A7EB4" w14:textId="77777777" w:rsidR="00F92BE1" w:rsidRPr="0047058F" w:rsidRDefault="00F92BE1" w:rsidP="00C91013">
            <w:pPr>
              <w:pStyle w:val="TableText"/>
              <w:spacing w:before="38" w:after="38"/>
              <w:jc w:val="right"/>
              <w:rPr>
                <w:sz w:val="13"/>
              </w:rPr>
            </w:pPr>
            <w:r w:rsidRPr="0047058F">
              <w:rPr>
                <w:rFonts w:cs="Arial"/>
                <w:sz w:val="13"/>
              </w:rPr>
              <w:t>21.3 (3.9–38.7)</w:t>
            </w:r>
          </w:p>
        </w:tc>
        <w:tc>
          <w:tcPr>
            <w:tcW w:w="194" w:type="pct"/>
          </w:tcPr>
          <w:p w14:paraId="44BBAF42" w14:textId="77777777" w:rsidR="00F92BE1" w:rsidRPr="0047058F" w:rsidRDefault="00F92BE1" w:rsidP="00C91013">
            <w:pPr>
              <w:pStyle w:val="TableText"/>
              <w:spacing w:before="38" w:after="38"/>
              <w:jc w:val="right"/>
              <w:rPr>
                <w:sz w:val="13"/>
              </w:rPr>
            </w:pPr>
            <w:r w:rsidRPr="0047058F">
              <w:rPr>
                <w:rFonts w:cs="Arial"/>
                <w:sz w:val="13"/>
              </w:rPr>
              <w:t>42</w:t>
            </w:r>
          </w:p>
        </w:tc>
        <w:tc>
          <w:tcPr>
            <w:tcW w:w="432" w:type="pct"/>
          </w:tcPr>
          <w:p w14:paraId="6F3F5815" w14:textId="77777777" w:rsidR="00F92BE1" w:rsidRPr="0047058F" w:rsidRDefault="00F92BE1" w:rsidP="00C91013">
            <w:pPr>
              <w:pStyle w:val="TableText"/>
              <w:spacing w:before="38" w:after="38"/>
              <w:jc w:val="right"/>
              <w:rPr>
                <w:sz w:val="13"/>
              </w:rPr>
            </w:pPr>
            <w:r w:rsidRPr="0047058F">
              <w:rPr>
                <w:rFonts w:cs="Arial"/>
                <w:sz w:val="13"/>
              </w:rPr>
              <w:t>47.2 (33.0–61.4)</w:t>
            </w:r>
          </w:p>
        </w:tc>
        <w:tc>
          <w:tcPr>
            <w:tcW w:w="451" w:type="pct"/>
          </w:tcPr>
          <w:p w14:paraId="6C23070D" w14:textId="77777777" w:rsidR="00F92BE1" w:rsidRPr="0047058F" w:rsidRDefault="00F92BE1" w:rsidP="00C91013">
            <w:pPr>
              <w:pStyle w:val="TableText"/>
              <w:spacing w:before="38" w:after="38"/>
              <w:jc w:val="right"/>
              <w:rPr>
                <w:sz w:val="13"/>
              </w:rPr>
            </w:pPr>
            <w:r w:rsidRPr="0047058F">
              <w:rPr>
                <w:rFonts w:cs="Arial"/>
                <w:sz w:val="13"/>
              </w:rPr>
              <w:t>0.33 (0.16–0.71)</w:t>
            </w:r>
          </w:p>
        </w:tc>
        <w:tc>
          <w:tcPr>
            <w:tcW w:w="452" w:type="pct"/>
          </w:tcPr>
          <w:p w14:paraId="16D26D72"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21BD5B4C" w14:textId="77777777" w:rsidR="00F92BE1" w:rsidRPr="0047058F" w:rsidRDefault="00F92BE1" w:rsidP="00C91013">
            <w:pPr>
              <w:pStyle w:val="TableText"/>
              <w:spacing w:before="38" w:after="38"/>
              <w:jc w:val="right"/>
              <w:rPr>
                <w:sz w:val="13"/>
              </w:rPr>
            </w:pPr>
            <w:r w:rsidRPr="0047058F">
              <w:rPr>
                <w:rFonts w:cs="Arial"/>
                <w:sz w:val="13"/>
              </w:rPr>
              <w:t>0.63 (0.32–1.25)</w:t>
            </w:r>
          </w:p>
        </w:tc>
        <w:tc>
          <w:tcPr>
            <w:tcW w:w="433" w:type="pct"/>
          </w:tcPr>
          <w:p w14:paraId="786444E1"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39B35683" w14:textId="77777777" w:rsidR="00F92BE1" w:rsidRPr="0047058F" w:rsidRDefault="00F92BE1" w:rsidP="00C91013">
            <w:pPr>
              <w:pStyle w:val="TableText"/>
              <w:spacing w:before="38" w:after="38"/>
              <w:jc w:val="right"/>
              <w:rPr>
                <w:sz w:val="13"/>
              </w:rPr>
            </w:pPr>
          </w:p>
        </w:tc>
        <w:tc>
          <w:tcPr>
            <w:tcW w:w="282" w:type="pct"/>
          </w:tcPr>
          <w:p w14:paraId="300AB349" w14:textId="77777777" w:rsidR="00F92BE1" w:rsidRPr="0047058F" w:rsidRDefault="00F92BE1" w:rsidP="00C91013">
            <w:pPr>
              <w:pStyle w:val="TableText"/>
              <w:spacing w:before="38" w:after="38"/>
              <w:jc w:val="right"/>
              <w:rPr>
                <w:sz w:val="13"/>
              </w:rPr>
            </w:pPr>
          </w:p>
        </w:tc>
      </w:tr>
      <w:tr w:rsidR="00C91013" w:rsidRPr="0047058F" w14:paraId="361DBC33"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25AA6F35" w14:textId="77777777" w:rsidR="00F92BE1" w:rsidRPr="0047058F" w:rsidRDefault="00F92BE1" w:rsidP="00C91013">
            <w:pPr>
              <w:pStyle w:val="TableText"/>
              <w:spacing w:before="38" w:after="38"/>
              <w:ind w:left="144"/>
            </w:pPr>
            <w:r w:rsidRPr="0047058F">
              <w:t>12 – 19.9 years</w:t>
            </w:r>
          </w:p>
        </w:tc>
        <w:tc>
          <w:tcPr>
            <w:tcW w:w="196" w:type="pct"/>
          </w:tcPr>
          <w:p w14:paraId="16791A20" w14:textId="77777777" w:rsidR="00F92BE1" w:rsidRPr="0047058F" w:rsidRDefault="00F92BE1" w:rsidP="00C91013">
            <w:pPr>
              <w:pStyle w:val="TableText"/>
              <w:spacing w:before="38" w:after="38"/>
              <w:jc w:val="right"/>
              <w:rPr>
                <w:sz w:val="13"/>
              </w:rPr>
            </w:pPr>
            <w:r w:rsidRPr="0047058F">
              <w:rPr>
                <w:rFonts w:cs="Arial"/>
                <w:sz w:val="13"/>
              </w:rPr>
              <w:t>21</w:t>
            </w:r>
          </w:p>
        </w:tc>
        <w:tc>
          <w:tcPr>
            <w:tcW w:w="472" w:type="pct"/>
          </w:tcPr>
          <w:p w14:paraId="3EEBF73F" w14:textId="77777777" w:rsidR="00F92BE1" w:rsidRPr="0047058F" w:rsidRDefault="00F92BE1" w:rsidP="00C91013">
            <w:pPr>
              <w:pStyle w:val="TableText"/>
              <w:spacing w:before="38" w:after="38"/>
              <w:jc w:val="right"/>
              <w:rPr>
                <w:sz w:val="13"/>
              </w:rPr>
            </w:pPr>
            <w:r w:rsidRPr="0047058F">
              <w:rPr>
                <w:rFonts w:cs="Arial"/>
                <w:sz w:val="13"/>
              </w:rPr>
              <w:t>18.8 (1.1–36.5)</w:t>
            </w:r>
          </w:p>
        </w:tc>
        <w:tc>
          <w:tcPr>
            <w:tcW w:w="199" w:type="pct"/>
          </w:tcPr>
          <w:p w14:paraId="7D78F982" w14:textId="77777777" w:rsidR="00F92BE1" w:rsidRPr="0047058F" w:rsidRDefault="00F92BE1" w:rsidP="00C91013">
            <w:pPr>
              <w:pStyle w:val="TableText"/>
              <w:spacing w:before="38" w:after="38"/>
              <w:jc w:val="right"/>
              <w:rPr>
                <w:sz w:val="13"/>
              </w:rPr>
            </w:pPr>
            <w:r w:rsidRPr="0047058F">
              <w:rPr>
                <w:rFonts w:cs="Arial"/>
                <w:sz w:val="13"/>
              </w:rPr>
              <w:t>34</w:t>
            </w:r>
          </w:p>
        </w:tc>
        <w:tc>
          <w:tcPr>
            <w:tcW w:w="431" w:type="pct"/>
          </w:tcPr>
          <w:p w14:paraId="2508F753" w14:textId="77777777" w:rsidR="00F92BE1" w:rsidRPr="0047058F" w:rsidRDefault="00F92BE1" w:rsidP="00C91013">
            <w:pPr>
              <w:pStyle w:val="TableText"/>
              <w:spacing w:before="38" w:after="38"/>
              <w:jc w:val="right"/>
              <w:rPr>
                <w:sz w:val="13"/>
              </w:rPr>
            </w:pPr>
            <w:r w:rsidRPr="0047058F">
              <w:rPr>
                <w:rFonts w:cs="Arial"/>
                <w:sz w:val="13"/>
              </w:rPr>
              <w:t>30.4 (14.0–46.8)</w:t>
            </w:r>
          </w:p>
        </w:tc>
        <w:tc>
          <w:tcPr>
            <w:tcW w:w="194" w:type="pct"/>
          </w:tcPr>
          <w:p w14:paraId="6404F1CF" w14:textId="77777777" w:rsidR="00F92BE1" w:rsidRPr="0047058F" w:rsidRDefault="00F92BE1" w:rsidP="00C91013">
            <w:pPr>
              <w:pStyle w:val="TableText"/>
              <w:spacing w:before="38" w:after="38"/>
              <w:jc w:val="right"/>
              <w:rPr>
                <w:sz w:val="13"/>
              </w:rPr>
            </w:pPr>
            <w:r w:rsidRPr="0047058F">
              <w:rPr>
                <w:rFonts w:cs="Arial"/>
                <w:sz w:val="13"/>
              </w:rPr>
              <w:t>57</w:t>
            </w:r>
          </w:p>
        </w:tc>
        <w:tc>
          <w:tcPr>
            <w:tcW w:w="432" w:type="pct"/>
          </w:tcPr>
          <w:p w14:paraId="2CBD770E" w14:textId="77777777" w:rsidR="00F92BE1" w:rsidRPr="0047058F" w:rsidRDefault="00F92BE1" w:rsidP="00C91013">
            <w:pPr>
              <w:pStyle w:val="TableText"/>
              <w:spacing w:before="38" w:after="38"/>
              <w:jc w:val="right"/>
              <w:rPr>
                <w:sz w:val="13"/>
              </w:rPr>
            </w:pPr>
            <w:r w:rsidRPr="0047058F">
              <w:rPr>
                <w:rFonts w:cs="Arial"/>
                <w:sz w:val="13"/>
              </w:rPr>
              <w:t>50.9 (37.2–64.6)</w:t>
            </w:r>
          </w:p>
        </w:tc>
        <w:tc>
          <w:tcPr>
            <w:tcW w:w="451" w:type="pct"/>
          </w:tcPr>
          <w:p w14:paraId="7B8D1A4A" w14:textId="77777777" w:rsidR="00F92BE1" w:rsidRPr="0047058F" w:rsidRDefault="00F92BE1" w:rsidP="00C91013">
            <w:pPr>
              <w:pStyle w:val="TableText"/>
              <w:spacing w:before="38" w:after="38"/>
              <w:jc w:val="right"/>
              <w:rPr>
                <w:sz w:val="13"/>
              </w:rPr>
            </w:pPr>
            <w:r w:rsidRPr="0047058F">
              <w:rPr>
                <w:rFonts w:cs="Arial"/>
                <w:sz w:val="13"/>
              </w:rPr>
              <w:t>0.66 (0.32–1.33)</w:t>
            </w:r>
          </w:p>
        </w:tc>
        <w:tc>
          <w:tcPr>
            <w:tcW w:w="452" w:type="pct"/>
          </w:tcPr>
          <w:p w14:paraId="6F3690A6"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1B58359B" w14:textId="77777777" w:rsidR="00F92BE1" w:rsidRPr="0047058F" w:rsidRDefault="00F92BE1" w:rsidP="00C91013">
            <w:pPr>
              <w:pStyle w:val="TableText"/>
              <w:spacing w:before="38" w:after="38"/>
              <w:jc w:val="right"/>
              <w:rPr>
                <w:sz w:val="13"/>
              </w:rPr>
            </w:pPr>
            <w:r w:rsidRPr="0047058F">
              <w:rPr>
                <w:rFonts w:cs="Arial"/>
                <w:sz w:val="13"/>
              </w:rPr>
              <w:t>0.96 (0.49–1.88)</w:t>
            </w:r>
          </w:p>
        </w:tc>
        <w:tc>
          <w:tcPr>
            <w:tcW w:w="433" w:type="pct"/>
          </w:tcPr>
          <w:p w14:paraId="220D342E"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6F979D61" w14:textId="77777777" w:rsidR="00F92BE1" w:rsidRPr="0047058F" w:rsidRDefault="00F92BE1" w:rsidP="00C91013">
            <w:pPr>
              <w:pStyle w:val="TableText"/>
              <w:spacing w:before="38" w:after="38"/>
              <w:jc w:val="right"/>
              <w:rPr>
                <w:sz w:val="13"/>
              </w:rPr>
            </w:pPr>
          </w:p>
        </w:tc>
        <w:tc>
          <w:tcPr>
            <w:tcW w:w="282" w:type="pct"/>
          </w:tcPr>
          <w:p w14:paraId="267D75D2" w14:textId="77777777" w:rsidR="00F92BE1" w:rsidRPr="0047058F" w:rsidRDefault="00F92BE1" w:rsidP="00C91013">
            <w:pPr>
              <w:pStyle w:val="TableText"/>
              <w:spacing w:before="38" w:after="38"/>
              <w:jc w:val="right"/>
              <w:rPr>
                <w:sz w:val="13"/>
              </w:rPr>
            </w:pPr>
          </w:p>
        </w:tc>
      </w:tr>
      <w:tr w:rsidR="00C91013" w:rsidRPr="0047058F" w14:paraId="7503C74C" w14:textId="77777777" w:rsidTr="00C91013">
        <w:trPr>
          <w:cantSplit/>
        </w:trPr>
        <w:tc>
          <w:tcPr>
            <w:tcW w:w="744" w:type="pct"/>
          </w:tcPr>
          <w:p w14:paraId="2DC9D23C" w14:textId="77777777" w:rsidR="00F92BE1" w:rsidRPr="0047058F" w:rsidRDefault="00F92BE1" w:rsidP="00C91013">
            <w:pPr>
              <w:pStyle w:val="TableText"/>
              <w:spacing w:before="38" w:after="38"/>
              <w:ind w:left="144"/>
            </w:pPr>
            <w:r w:rsidRPr="0047058F">
              <w:t>20+</w:t>
            </w:r>
          </w:p>
        </w:tc>
        <w:tc>
          <w:tcPr>
            <w:tcW w:w="196" w:type="pct"/>
          </w:tcPr>
          <w:p w14:paraId="32931C3E" w14:textId="77777777" w:rsidR="00F92BE1" w:rsidRPr="0047058F" w:rsidRDefault="00F92BE1" w:rsidP="00C91013">
            <w:pPr>
              <w:pStyle w:val="TableText"/>
              <w:spacing w:before="38" w:after="38"/>
              <w:jc w:val="right"/>
              <w:rPr>
                <w:sz w:val="13"/>
              </w:rPr>
            </w:pPr>
            <w:r w:rsidRPr="0047058F">
              <w:rPr>
                <w:rFonts w:cs="Arial"/>
                <w:sz w:val="13"/>
              </w:rPr>
              <w:t>29</w:t>
            </w:r>
          </w:p>
        </w:tc>
        <w:tc>
          <w:tcPr>
            <w:tcW w:w="472" w:type="pct"/>
          </w:tcPr>
          <w:p w14:paraId="50AF4533" w14:textId="77777777" w:rsidR="00F92BE1" w:rsidRPr="0047058F" w:rsidRDefault="00F92BE1" w:rsidP="00C91013">
            <w:pPr>
              <w:pStyle w:val="TableText"/>
              <w:spacing w:before="38" w:after="38"/>
              <w:jc w:val="right"/>
              <w:rPr>
                <w:sz w:val="13"/>
              </w:rPr>
            </w:pPr>
            <w:r w:rsidRPr="0047058F">
              <w:rPr>
                <w:rFonts w:cs="Arial"/>
                <w:sz w:val="13"/>
              </w:rPr>
              <w:t>15.3 (0.0–33.3)</w:t>
            </w:r>
          </w:p>
        </w:tc>
        <w:tc>
          <w:tcPr>
            <w:tcW w:w="199" w:type="pct"/>
          </w:tcPr>
          <w:p w14:paraId="6EFE84B9" w14:textId="77777777" w:rsidR="00F92BE1" w:rsidRPr="0047058F" w:rsidRDefault="00F92BE1" w:rsidP="00C91013">
            <w:pPr>
              <w:pStyle w:val="TableText"/>
              <w:spacing w:before="38" w:after="38"/>
              <w:jc w:val="right"/>
              <w:rPr>
                <w:sz w:val="13"/>
              </w:rPr>
            </w:pPr>
            <w:r w:rsidRPr="0047058F">
              <w:rPr>
                <w:rFonts w:cs="Arial"/>
                <w:sz w:val="13"/>
              </w:rPr>
              <w:t>79</w:t>
            </w:r>
          </w:p>
        </w:tc>
        <w:tc>
          <w:tcPr>
            <w:tcW w:w="431" w:type="pct"/>
          </w:tcPr>
          <w:p w14:paraId="3536AD2F" w14:textId="77777777" w:rsidR="00F92BE1" w:rsidRPr="0047058F" w:rsidRDefault="00F92BE1" w:rsidP="00C91013">
            <w:pPr>
              <w:pStyle w:val="TableText"/>
              <w:spacing w:before="38" w:after="38"/>
              <w:jc w:val="right"/>
              <w:rPr>
                <w:sz w:val="13"/>
              </w:rPr>
            </w:pPr>
            <w:r w:rsidRPr="0047058F">
              <w:rPr>
                <w:rFonts w:cs="Arial"/>
                <w:sz w:val="13"/>
              </w:rPr>
              <w:t>41.6 (26.6–56.6)</w:t>
            </w:r>
          </w:p>
        </w:tc>
        <w:tc>
          <w:tcPr>
            <w:tcW w:w="194" w:type="pct"/>
          </w:tcPr>
          <w:p w14:paraId="0D9EC735" w14:textId="77777777" w:rsidR="00F92BE1" w:rsidRPr="0047058F" w:rsidRDefault="00F92BE1" w:rsidP="00C91013">
            <w:pPr>
              <w:pStyle w:val="TableText"/>
              <w:spacing w:before="38" w:after="38"/>
              <w:jc w:val="right"/>
              <w:rPr>
                <w:sz w:val="13"/>
              </w:rPr>
            </w:pPr>
            <w:r w:rsidRPr="0047058F">
              <w:rPr>
                <w:rFonts w:cs="Arial"/>
                <w:sz w:val="13"/>
              </w:rPr>
              <w:t>82</w:t>
            </w:r>
          </w:p>
        </w:tc>
        <w:tc>
          <w:tcPr>
            <w:tcW w:w="432" w:type="pct"/>
          </w:tcPr>
          <w:p w14:paraId="1F4CFBA5" w14:textId="77777777" w:rsidR="00F92BE1" w:rsidRPr="0047058F" w:rsidRDefault="00F92BE1" w:rsidP="00C91013">
            <w:pPr>
              <w:pStyle w:val="TableText"/>
              <w:spacing w:before="38" w:after="38"/>
              <w:jc w:val="right"/>
              <w:rPr>
                <w:sz w:val="13"/>
              </w:rPr>
            </w:pPr>
            <w:r w:rsidRPr="0047058F">
              <w:rPr>
                <w:rFonts w:cs="Arial"/>
                <w:sz w:val="13"/>
              </w:rPr>
              <w:t>43.2 (28.4–58.0)</w:t>
            </w:r>
          </w:p>
        </w:tc>
        <w:tc>
          <w:tcPr>
            <w:tcW w:w="451" w:type="pct"/>
          </w:tcPr>
          <w:p w14:paraId="675EB60A"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377A9A50"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757ED27D"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1D5E070A"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3B40C766" w14:textId="77777777" w:rsidR="00F92BE1" w:rsidRPr="0047058F" w:rsidRDefault="00F92BE1" w:rsidP="00C91013">
            <w:pPr>
              <w:pStyle w:val="TableText"/>
              <w:spacing w:before="38" w:after="38"/>
              <w:jc w:val="right"/>
              <w:rPr>
                <w:sz w:val="13"/>
              </w:rPr>
            </w:pPr>
          </w:p>
        </w:tc>
        <w:tc>
          <w:tcPr>
            <w:tcW w:w="282" w:type="pct"/>
          </w:tcPr>
          <w:p w14:paraId="3F2E79CF" w14:textId="77777777" w:rsidR="00F92BE1" w:rsidRPr="0047058F" w:rsidRDefault="00F92BE1" w:rsidP="00C91013">
            <w:pPr>
              <w:pStyle w:val="TableText"/>
              <w:spacing w:before="38" w:after="38"/>
              <w:jc w:val="right"/>
              <w:rPr>
                <w:sz w:val="13"/>
              </w:rPr>
            </w:pPr>
          </w:p>
        </w:tc>
      </w:tr>
      <w:tr w:rsidR="00C91013" w:rsidRPr="0047058F" w14:paraId="34151950"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5000" w:type="pct"/>
            <w:gridSpan w:val="13"/>
          </w:tcPr>
          <w:p w14:paraId="2D01AB4B" w14:textId="546C61FF" w:rsidR="00C91013" w:rsidRPr="0047058F" w:rsidRDefault="00C91013" w:rsidP="003876A3">
            <w:pPr>
              <w:pStyle w:val="TableText"/>
              <w:spacing w:before="38" w:after="38"/>
              <w:rPr>
                <w:sz w:val="13"/>
              </w:rPr>
            </w:pPr>
            <w:r w:rsidRPr="0047058F">
              <w:rPr>
                <w:rFonts w:eastAsia="Cambria" w:cs="Arial"/>
                <w:b/>
              </w:rPr>
              <w:t>Relationship status and satisfaction (time point 1)</w:t>
            </w:r>
          </w:p>
        </w:tc>
      </w:tr>
      <w:tr w:rsidR="00C91013" w:rsidRPr="0047058F" w14:paraId="6F5AD014" w14:textId="77777777" w:rsidTr="00C91013">
        <w:trPr>
          <w:cantSplit/>
        </w:trPr>
        <w:tc>
          <w:tcPr>
            <w:tcW w:w="744" w:type="pct"/>
          </w:tcPr>
          <w:p w14:paraId="2878ED54" w14:textId="77777777" w:rsidR="00F92BE1" w:rsidRPr="0047058F" w:rsidRDefault="00F92BE1" w:rsidP="00C91013">
            <w:pPr>
              <w:pStyle w:val="TableText"/>
              <w:spacing w:before="38" w:after="38"/>
              <w:rPr>
                <w:rFonts w:cs="Arial"/>
              </w:rPr>
            </w:pPr>
            <w:r w:rsidRPr="0047058F">
              <w:rPr>
                <w:rFonts w:cs="Arial"/>
              </w:rPr>
              <w:t>In significant intimate relationship</w:t>
            </w:r>
          </w:p>
        </w:tc>
        <w:tc>
          <w:tcPr>
            <w:tcW w:w="196" w:type="pct"/>
          </w:tcPr>
          <w:p w14:paraId="42356C22" w14:textId="77777777" w:rsidR="00F92BE1" w:rsidRPr="0047058F" w:rsidRDefault="00F92BE1" w:rsidP="00C91013">
            <w:pPr>
              <w:pStyle w:val="TableText"/>
              <w:spacing w:before="38" w:after="38"/>
              <w:jc w:val="right"/>
              <w:rPr>
                <w:sz w:val="13"/>
              </w:rPr>
            </w:pPr>
          </w:p>
        </w:tc>
        <w:tc>
          <w:tcPr>
            <w:tcW w:w="472" w:type="pct"/>
          </w:tcPr>
          <w:p w14:paraId="16822C2C" w14:textId="77777777" w:rsidR="00F92BE1" w:rsidRPr="0047058F" w:rsidRDefault="00F92BE1" w:rsidP="00C91013">
            <w:pPr>
              <w:pStyle w:val="TableText"/>
              <w:spacing w:before="38" w:after="38"/>
              <w:jc w:val="right"/>
              <w:rPr>
                <w:sz w:val="13"/>
              </w:rPr>
            </w:pPr>
          </w:p>
        </w:tc>
        <w:tc>
          <w:tcPr>
            <w:tcW w:w="199" w:type="pct"/>
          </w:tcPr>
          <w:p w14:paraId="1AE542F8" w14:textId="77777777" w:rsidR="00F92BE1" w:rsidRPr="0047058F" w:rsidRDefault="00F92BE1" w:rsidP="00C91013">
            <w:pPr>
              <w:pStyle w:val="TableText"/>
              <w:spacing w:before="38" w:after="38"/>
              <w:jc w:val="right"/>
              <w:rPr>
                <w:sz w:val="13"/>
              </w:rPr>
            </w:pPr>
          </w:p>
        </w:tc>
        <w:tc>
          <w:tcPr>
            <w:tcW w:w="431" w:type="pct"/>
          </w:tcPr>
          <w:p w14:paraId="6846D34C" w14:textId="77777777" w:rsidR="00F92BE1" w:rsidRPr="0047058F" w:rsidRDefault="00F92BE1" w:rsidP="00C91013">
            <w:pPr>
              <w:pStyle w:val="TableText"/>
              <w:spacing w:before="38" w:after="38"/>
              <w:jc w:val="right"/>
              <w:rPr>
                <w:sz w:val="13"/>
              </w:rPr>
            </w:pPr>
          </w:p>
        </w:tc>
        <w:tc>
          <w:tcPr>
            <w:tcW w:w="194" w:type="pct"/>
          </w:tcPr>
          <w:p w14:paraId="0024F516" w14:textId="77777777" w:rsidR="00F92BE1" w:rsidRPr="0047058F" w:rsidRDefault="00F92BE1" w:rsidP="00C91013">
            <w:pPr>
              <w:pStyle w:val="TableText"/>
              <w:spacing w:before="38" w:after="38"/>
              <w:jc w:val="right"/>
              <w:rPr>
                <w:sz w:val="13"/>
              </w:rPr>
            </w:pPr>
          </w:p>
        </w:tc>
        <w:tc>
          <w:tcPr>
            <w:tcW w:w="432" w:type="pct"/>
          </w:tcPr>
          <w:p w14:paraId="24DB04BE" w14:textId="77777777" w:rsidR="00F92BE1" w:rsidRPr="0047058F" w:rsidRDefault="00F92BE1" w:rsidP="00C91013">
            <w:pPr>
              <w:pStyle w:val="TableText"/>
              <w:spacing w:before="38" w:after="38"/>
              <w:jc w:val="right"/>
              <w:rPr>
                <w:sz w:val="13"/>
              </w:rPr>
            </w:pPr>
          </w:p>
        </w:tc>
        <w:tc>
          <w:tcPr>
            <w:tcW w:w="451" w:type="pct"/>
          </w:tcPr>
          <w:p w14:paraId="0151A5E6" w14:textId="77777777" w:rsidR="00F92BE1" w:rsidRPr="0047058F" w:rsidRDefault="00F92BE1" w:rsidP="00C91013">
            <w:pPr>
              <w:pStyle w:val="TableText"/>
              <w:spacing w:before="38" w:after="38"/>
              <w:jc w:val="right"/>
              <w:rPr>
                <w:sz w:val="13"/>
              </w:rPr>
            </w:pPr>
          </w:p>
        </w:tc>
        <w:tc>
          <w:tcPr>
            <w:tcW w:w="452" w:type="pct"/>
          </w:tcPr>
          <w:p w14:paraId="3456253F" w14:textId="77777777" w:rsidR="00F92BE1" w:rsidRPr="0047058F" w:rsidRDefault="00F92BE1" w:rsidP="00C91013">
            <w:pPr>
              <w:pStyle w:val="TableText"/>
              <w:spacing w:before="38" w:after="38"/>
              <w:jc w:val="right"/>
              <w:rPr>
                <w:sz w:val="13"/>
              </w:rPr>
            </w:pPr>
          </w:p>
        </w:tc>
        <w:tc>
          <w:tcPr>
            <w:tcW w:w="433" w:type="pct"/>
          </w:tcPr>
          <w:p w14:paraId="67DFC0AC" w14:textId="77777777" w:rsidR="00F92BE1" w:rsidRPr="0047058F" w:rsidRDefault="00F92BE1" w:rsidP="00C91013">
            <w:pPr>
              <w:pStyle w:val="TableText"/>
              <w:spacing w:before="38" w:after="38"/>
              <w:jc w:val="right"/>
              <w:rPr>
                <w:sz w:val="13"/>
              </w:rPr>
            </w:pPr>
          </w:p>
        </w:tc>
        <w:tc>
          <w:tcPr>
            <w:tcW w:w="433" w:type="pct"/>
          </w:tcPr>
          <w:p w14:paraId="0DEF6336" w14:textId="77777777" w:rsidR="00F92BE1" w:rsidRPr="0047058F" w:rsidRDefault="00F92BE1" w:rsidP="00C91013">
            <w:pPr>
              <w:pStyle w:val="TableText"/>
              <w:spacing w:before="38" w:after="38"/>
              <w:jc w:val="right"/>
              <w:rPr>
                <w:sz w:val="13"/>
              </w:rPr>
            </w:pPr>
          </w:p>
        </w:tc>
        <w:tc>
          <w:tcPr>
            <w:tcW w:w="281" w:type="pct"/>
          </w:tcPr>
          <w:p w14:paraId="33BDCCCF" w14:textId="77777777" w:rsidR="00F92BE1" w:rsidRPr="0047058F" w:rsidRDefault="00F92BE1" w:rsidP="00C91013">
            <w:pPr>
              <w:pStyle w:val="TableText"/>
              <w:spacing w:before="38" w:after="38"/>
              <w:jc w:val="right"/>
              <w:rPr>
                <w:sz w:val="13"/>
              </w:rPr>
            </w:pPr>
            <w:r w:rsidRPr="0047058F">
              <w:rPr>
                <w:sz w:val="13"/>
              </w:rPr>
              <w:t>ns</w:t>
            </w:r>
          </w:p>
        </w:tc>
        <w:tc>
          <w:tcPr>
            <w:tcW w:w="282" w:type="pct"/>
          </w:tcPr>
          <w:p w14:paraId="1366F1E6" w14:textId="77777777" w:rsidR="00F92BE1" w:rsidRPr="0047058F" w:rsidRDefault="00F92BE1" w:rsidP="00C91013">
            <w:pPr>
              <w:pStyle w:val="TableText"/>
              <w:spacing w:before="38" w:after="38"/>
              <w:jc w:val="right"/>
              <w:rPr>
                <w:sz w:val="13"/>
              </w:rPr>
            </w:pPr>
            <w:r w:rsidRPr="0047058F">
              <w:rPr>
                <w:sz w:val="13"/>
              </w:rPr>
              <w:t>–</w:t>
            </w:r>
          </w:p>
        </w:tc>
      </w:tr>
      <w:tr w:rsidR="00C91013" w:rsidRPr="0047058F" w14:paraId="005AB0C0"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09ED9311" w14:textId="77777777" w:rsidR="00F92BE1" w:rsidRPr="0047058F" w:rsidRDefault="00F92BE1" w:rsidP="00C91013">
            <w:pPr>
              <w:pStyle w:val="TableText"/>
              <w:spacing w:before="38" w:after="38"/>
              <w:ind w:left="144"/>
              <w:rPr>
                <w:rFonts w:cs="Arial"/>
              </w:rPr>
            </w:pPr>
            <w:r w:rsidRPr="0047058F">
              <w:rPr>
                <w:rFonts w:cs="Arial"/>
              </w:rPr>
              <w:t>No</w:t>
            </w:r>
          </w:p>
        </w:tc>
        <w:tc>
          <w:tcPr>
            <w:tcW w:w="196" w:type="pct"/>
          </w:tcPr>
          <w:p w14:paraId="7A2FBA21" w14:textId="77777777" w:rsidR="00F92BE1" w:rsidRPr="0047058F" w:rsidRDefault="00F92BE1" w:rsidP="00C91013">
            <w:pPr>
              <w:pStyle w:val="TableText"/>
              <w:spacing w:before="38" w:after="38"/>
              <w:jc w:val="right"/>
              <w:rPr>
                <w:sz w:val="13"/>
              </w:rPr>
            </w:pPr>
            <w:r w:rsidRPr="0047058F">
              <w:rPr>
                <w:rFonts w:cs="Arial"/>
                <w:sz w:val="13"/>
              </w:rPr>
              <w:t>37</w:t>
            </w:r>
          </w:p>
        </w:tc>
        <w:tc>
          <w:tcPr>
            <w:tcW w:w="472" w:type="pct"/>
          </w:tcPr>
          <w:p w14:paraId="140484B8" w14:textId="77777777" w:rsidR="00F92BE1" w:rsidRPr="0047058F" w:rsidRDefault="00F92BE1" w:rsidP="00C91013">
            <w:pPr>
              <w:pStyle w:val="TableText"/>
              <w:spacing w:before="38" w:after="38"/>
              <w:jc w:val="right"/>
              <w:rPr>
                <w:sz w:val="13"/>
              </w:rPr>
            </w:pPr>
            <w:r w:rsidRPr="0047058F">
              <w:rPr>
                <w:rFonts w:cs="Arial"/>
                <w:sz w:val="13"/>
              </w:rPr>
              <w:t>33.6 (17.6–49.6)</w:t>
            </w:r>
          </w:p>
        </w:tc>
        <w:tc>
          <w:tcPr>
            <w:tcW w:w="199" w:type="pct"/>
          </w:tcPr>
          <w:p w14:paraId="0C643CB8" w14:textId="77777777" w:rsidR="00F92BE1" w:rsidRPr="0047058F" w:rsidRDefault="00F92BE1" w:rsidP="00C91013">
            <w:pPr>
              <w:pStyle w:val="TableText"/>
              <w:spacing w:before="38" w:after="38"/>
              <w:jc w:val="right"/>
              <w:rPr>
                <w:sz w:val="13"/>
              </w:rPr>
            </w:pPr>
            <w:r w:rsidRPr="0047058F">
              <w:rPr>
                <w:rFonts w:cs="Arial"/>
                <w:sz w:val="13"/>
              </w:rPr>
              <w:t>36</w:t>
            </w:r>
          </w:p>
        </w:tc>
        <w:tc>
          <w:tcPr>
            <w:tcW w:w="431" w:type="pct"/>
          </w:tcPr>
          <w:p w14:paraId="7C7A2952" w14:textId="77777777" w:rsidR="00F92BE1" w:rsidRPr="0047058F" w:rsidRDefault="00F92BE1" w:rsidP="00C91013">
            <w:pPr>
              <w:pStyle w:val="TableText"/>
              <w:spacing w:before="38" w:after="38"/>
              <w:jc w:val="right"/>
              <w:rPr>
                <w:sz w:val="13"/>
              </w:rPr>
            </w:pPr>
            <w:r w:rsidRPr="0047058F">
              <w:rPr>
                <w:rFonts w:cs="Arial"/>
                <w:sz w:val="13"/>
              </w:rPr>
              <w:t>32.7 (16.6–48.8)</w:t>
            </w:r>
          </w:p>
        </w:tc>
        <w:tc>
          <w:tcPr>
            <w:tcW w:w="194" w:type="pct"/>
          </w:tcPr>
          <w:p w14:paraId="75901DC1" w14:textId="77777777" w:rsidR="00F92BE1" w:rsidRPr="0047058F" w:rsidRDefault="00F92BE1" w:rsidP="00C91013">
            <w:pPr>
              <w:pStyle w:val="TableText"/>
              <w:spacing w:before="38" w:after="38"/>
              <w:jc w:val="right"/>
              <w:rPr>
                <w:sz w:val="13"/>
              </w:rPr>
            </w:pPr>
            <w:r w:rsidRPr="0047058F">
              <w:rPr>
                <w:rFonts w:cs="Arial"/>
                <w:sz w:val="13"/>
              </w:rPr>
              <w:t>37</w:t>
            </w:r>
          </w:p>
        </w:tc>
        <w:tc>
          <w:tcPr>
            <w:tcW w:w="432" w:type="pct"/>
          </w:tcPr>
          <w:p w14:paraId="34D275C4" w14:textId="77777777" w:rsidR="00F92BE1" w:rsidRPr="0047058F" w:rsidRDefault="00F92BE1" w:rsidP="00C91013">
            <w:pPr>
              <w:pStyle w:val="TableText"/>
              <w:spacing w:before="38" w:after="38"/>
              <w:jc w:val="right"/>
              <w:rPr>
                <w:sz w:val="13"/>
              </w:rPr>
            </w:pPr>
            <w:r w:rsidRPr="0047058F">
              <w:rPr>
                <w:rFonts w:cs="Arial"/>
                <w:sz w:val="13"/>
              </w:rPr>
              <w:t>33.6 (17.6–49.6)</w:t>
            </w:r>
          </w:p>
        </w:tc>
        <w:tc>
          <w:tcPr>
            <w:tcW w:w="451" w:type="pct"/>
          </w:tcPr>
          <w:p w14:paraId="08FCB566"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61C7D1AF"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49C4194A"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030B093F"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596E75CD" w14:textId="77777777" w:rsidR="00F92BE1" w:rsidRPr="0047058F" w:rsidRDefault="00F92BE1" w:rsidP="00C91013">
            <w:pPr>
              <w:pStyle w:val="TableText"/>
              <w:spacing w:before="38" w:after="38"/>
              <w:jc w:val="right"/>
              <w:rPr>
                <w:sz w:val="13"/>
              </w:rPr>
            </w:pPr>
          </w:p>
        </w:tc>
        <w:tc>
          <w:tcPr>
            <w:tcW w:w="282" w:type="pct"/>
          </w:tcPr>
          <w:p w14:paraId="7DAA10FD" w14:textId="77777777" w:rsidR="00F92BE1" w:rsidRPr="0047058F" w:rsidRDefault="00F92BE1" w:rsidP="00C91013">
            <w:pPr>
              <w:pStyle w:val="TableText"/>
              <w:spacing w:before="38" w:after="38"/>
              <w:jc w:val="right"/>
              <w:rPr>
                <w:sz w:val="13"/>
              </w:rPr>
            </w:pPr>
          </w:p>
        </w:tc>
      </w:tr>
      <w:tr w:rsidR="00C91013" w:rsidRPr="0047058F" w14:paraId="2B2D2398" w14:textId="77777777" w:rsidTr="00C91013">
        <w:trPr>
          <w:cantSplit/>
        </w:trPr>
        <w:tc>
          <w:tcPr>
            <w:tcW w:w="744" w:type="pct"/>
          </w:tcPr>
          <w:p w14:paraId="323B6C86" w14:textId="77777777" w:rsidR="00F92BE1" w:rsidRPr="0047058F" w:rsidRDefault="00F92BE1" w:rsidP="00C91013">
            <w:pPr>
              <w:pStyle w:val="TableText"/>
              <w:spacing w:before="38" w:after="38"/>
              <w:ind w:left="144"/>
              <w:rPr>
                <w:rFonts w:cs="Arial"/>
              </w:rPr>
            </w:pPr>
            <w:r w:rsidRPr="0047058F">
              <w:rPr>
                <w:rFonts w:cs="Arial"/>
              </w:rPr>
              <w:t>Yes</w:t>
            </w:r>
          </w:p>
        </w:tc>
        <w:tc>
          <w:tcPr>
            <w:tcW w:w="196" w:type="pct"/>
          </w:tcPr>
          <w:p w14:paraId="2CBF220E" w14:textId="77777777" w:rsidR="00F92BE1" w:rsidRPr="0047058F" w:rsidRDefault="00F92BE1" w:rsidP="00C91013">
            <w:pPr>
              <w:pStyle w:val="TableText"/>
              <w:spacing w:before="38" w:after="38"/>
              <w:jc w:val="right"/>
              <w:rPr>
                <w:sz w:val="13"/>
              </w:rPr>
            </w:pPr>
            <w:r w:rsidRPr="0047058F">
              <w:rPr>
                <w:rFonts w:cs="Arial"/>
                <w:sz w:val="13"/>
              </w:rPr>
              <w:t>89</w:t>
            </w:r>
          </w:p>
        </w:tc>
        <w:tc>
          <w:tcPr>
            <w:tcW w:w="472" w:type="pct"/>
          </w:tcPr>
          <w:p w14:paraId="3B8A3EFD" w14:textId="77777777" w:rsidR="00F92BE1" w:rsidRPr="0047058F" w:rsidRDefault="00F92BE1" w:rsidP="00C91013">
            <w:pPr>
              <w:pStyle w:val="TableText"/>
              <w:spacing w:before="38" w:after="38"/>
              <w:jc w:val="right"/>
              <w:rPr>
                <w:sz w:val="13"/>
              </w:rPr>
            </w:pPr>
            <w:r w:rsidRPr="0047058F">
              <w:rPr>
                <w:rFonts w:cs="Arial"/>
                <w:sz w:val="13"/>
              </w:rPr>
              <w:t>20.6 (3.1–38.1)</w:t>
            </w:r>
          </w:p>
        </w:tc>
        <w:tc>
          <w:tcPr>
            <w:tcW w:w="199" w:type="pct"/>
          </w:tcPr>
          <w:p w14:paraId="419F49D3" w14:textId="77777777" w:rsidR="00F92BE1" w:rsidRPr="0047058F" w:rsidRDefault="00F92BE1" w:rsidP="00C91013">
            <w:pPr>
              <w:pStyle w:val="TableText"/>
              <w:spacing w:before="38" w:after="38"/>
              <w:jc w:val="right"/>
              <w:rPr>
                <w:sz w:val="13"/>
              </w:rPr>
            </w:pPr>
            <w:r w:rsidRPr="0047058F">
              <w:rPr>
                <w:rFonts w:cs="Arial"/>
                <w:sz w:val="13"/>
              </w:rPr>
              <w:t>143</w:t>
            </w:r>
          </w:p>
        </w:tc>
        <w:tc>
          <w:tcPr>
            <w:tcW w:w="431" w:type="pct"/>
          </w:tcPr>
          <w:p w14:paraId="16DFFC4C" w14:textId="77777777" w:rsidR="00F92BE1" w:rsidRPr="0047058F" w:rsidRDefault="00F92BE1" w:rsidP="00C91013">
            <w:pPr>
              <w:pStyle w:val="TableText"/>
              <w:spacing w:before="38" w:after="38"/>
              <w:jc w:val="right"/>
              <w:rPr>
                <w:sz w:val="13"/>
              </w:rPr>
            </w:pPr>
            <w:r w:rsidRPr="0047058F">
              <w:rPr>
                <w:rFonts w:cs="Arial"/>
                <w:sz w:val="13"/>
              </w:rPr>
              <w:t>33.1 (17.1–49.1)</w:t>
            </w:r>
          </w:p>
        </w:tc>
        <w:tc>
          <w:tcPr>
            <w:tcW w:w="194" w:type="pct"/>
          </w:tcPr>
          <w:p w14:paraId="29DE9E84" w14:textId="77777777" w:rsidR="00F92BE1" w:rsidRPr="0047058F" w:rsidRDefault="00F92BE1" w:rsidP="00C91013">
            <w:pPr>
              <w:pStyle w:val="TableText"/>
              <w:spacing w:before="38" w:after="38"/>
              <w:jc w:val="right"/>
              <w:rPr>
                <w:sz w:val="13"/>
              </w:rPr>
            </w:pPr>
            <w:r w:rsidRPr="0047058F">
              <w:rPr>
                <w:rFonts w:cs="Arial"/>
                <w:sz w:val="13"/>
              </w:rPr>
              <w:t>200</w:t>
            </w:r>
          </w:p>
        </w:tc>
        <w:tc>
          <w:tcPr>
            <w:tcW w:w="432" w:type="pct"/>
          </w:tcPr>
          <w:p w14:paraId="5C73FC8D" w14:textId="77777777" w:rsidR="00F92BE1" w:rsidRPr="0047058F" w:rsidRDefault="00F92BE1" w:rsidP="00C91013">
            <w:pPr>
              <w:pStyle w:val="TableText"/>
              <w:spacing w:before="38" w:after="38"/>
              <w:jc w:val="right"/>
              <w:rPr>
                <w:sz w:val="13"/>
              </w:rPr>
            </w:pPr>
            <w:r w:rsidRPr="0047058F">
              <w:rPr>
                <w:rFonts w:cs="Arial"/>
                <w:sz w:val="13"/>
              </w:rPr>
              <w:t>46.3 (31.9–60.7)</w:t>
            </w:r>
          </w:p>
        </w:tc>
        <w:tc>
          <w:tcPr>
            <w:tcW w:w="451" w:type="pct"/>
          </w:tcPr>
          <w:p w14:paraId="68AC9BD1" w14:textId="77777777" w:rsidR="00F92BE1" w:rsidRPr="0047058F" w:rsidRDefault="00F92BE1" w:rsidP="00C91013">
            <w:pPr>
              <w:pStyle w:val="TableText"/>
              <w:spacing w:before="38" w:after="38"/>
              <w:jc w:val="right"/>
              <w:rPr>
                <w:sz w:val="13"/>
              </w:rPr>
            </w:pPr>
            <w:r w:rsidRPr="0047058F">
              <w:rPr>
                <w:sz w:val="13"/>
              </w:rPr>
              <w:t>1.75 (0.74–4.14)</w:t>
            </w:r>
          </w:p>
        </w:tc>
        <w:tc>
          <w:tcPr>
            <w:tcW w:w="452" w:type="pct"/>
          </w:tcPr>
          <w:p w14:paraId="40E27EA9"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4C21FC26" w14:textId="77777777" w:rsidR="00F92BE1" w:rsidRPr="0047058F" w:rsidRDefault="00F92BE1" w:rsidP="00C91013">
            <w:pPr>
              <w:pStyle w:val="TableText"/>
              <w:spacing w:before="38" w:after="38"/>
              <w:jc w:val="right"/>
              <w:rPr>
                <w:sz w:val="13"/>
              </w:rPr>
            </w:pPr>
            <w:r w:rsidRPr="0047058F">
              <w:rPr>
                <w:sz w:val="13"/>
              </w:rPr>
              <w:t>2.98 (1.21–7.33)</w:t>
            </w:r>
          </w:p>
        </w:tc>
        <w:tc>
          <w:tcPr>
            <w:tcW w:w="433" w:type="pct"/>
          </w:tcPr>
          <w:p w14:paraId="4ED32714"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158F0BFA" w14:textId="77777777" w:rsidR="00F92BE1" w:rsidRPr="0047058F" w:rsidRDefault="00F92BE1" w:rsidP="00C91013">
            <w:pPr>
              <w:pStyle w:val="TableText"/>
              <w:spacing w:before="38" w:after="38"/>
              <w:jc w:val="right"/>
              <w:rPr>
                <w:sz w:val="13"/>
              </w:rPr>
            </w:pPr>
          </w:p>
        </w:tc>
        <w:tc>
          <w:tcPr>
            <w:tcW w:w="282" w:type="pct"/>
          </w:tcPr>
          <w:p w14:paraId="2BCB23E7" w14:textId="77777777" w:rsidR="00F92BE1" w:rsidRPr="0047058F" w:rsidRDefault="00F92BE1" w:rsidP="00C91013">
            <w:pPr>
              <w:pStyle w:val="TableText"/>
              <w:spacing w:before="38" w:after="38"/>
              <w:jc w:val="right"/>
              <w:rPr>
                <w:sz w:val="13"/>
              </w:rPr>
            </w:pPr>
          </w:p>
        </w:tc>
      </w:tr>
      <w:tr w:rsidR="00C91013" w:rsidRPr="0047058F" w14:paraId="42369180"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7DBB4D6A" w14:textId="77777777" w:rsidR="00F92BE1" w:rsidRPr="0047058F" w:rsidRDefault="00F92BE1" w:rsidP="00C91013">
            <w:pPr>
              <w:pStyle w:val="TableText"/>
              <w:spacing w:before="38" w:after="38"/>
              <w:rPr>
                <w:rFonts w:cs="Arial"/>
              </w:rPr>
            </w:pPr>
            <w:r w:rsidRPr="0047058F">
              <w:rPr>
                <w:rFonts w:cs="Arial"/>
              </w:rPr>
              <w:t>Satisfaction with relationship</w:t>
            </w:r>
          </w:p>
        </w:tc>
        <w:tc>
          <w:tcPr>
            <w:tcW w:w="196" w:type="pct"/>
          </w:tcPr>
          <w:p w14:paraId="1595DB7D" w14:textId="77777777" w:rsidR="00F92BE1" w:rsidRPr="0047058F" w:rsidRDefault="00F92BE1" w:rsidP="00C91013">
            <w:pPr>
              <w:pStyle w:val="TableText"/>
              <w:spacing w:before="38" w:after="38"/>
              <w:jc w:val="right"/>
              <w:rPr>
                <w:sz w:val="13"/>
              </w:rPr>
            </w:pPr>
          </w:p>
        </w:tc>
        <w:tc>
          <w:tcPr>
            <w:tcW w:w="472" w:type="pct"/>
          </w:tcPr>
          <w:p w14:paraId="3112072E" w14:textId="77777777" w:rsidR="00F92BE1" w:rsidRPr="0047058F" w:rsidRDefault="00F92BE1" w:rsidP="00C91013">
            <w:pPr>
              <w:pStyle w:val="TableText"/>
              <w:spacing w:before="38" w:after="38"/>
              <w:jc w:val="right"/>
              <w:rPr>
                <w:sz w:val="13"/>
              </w:rPr>
            </w:pPr>
          </w:p>
        </w:tc>
        <w:tc>
          <w:tcPr>
            <w:tcW w:w="199" w:type="pct"/>
          </w:tcPr>
          <w:p w14:paraId="1BAA2F1A" w14:textId="77777777" w:rsidR="00F92BE1" w:rsidRPr="0047058F" w:rsidRDefault="00F92BE1" w:rsidP="00C91013">
            <w:pPr>
              <w:pStyle w:val="TableText"/>
              <w:spacing w:before="38" w:after="38"/>
              <w:jc w:val="right"/>
              <w:rPr>
                <w:sz w:val="13"/>
              </w:rPr>
            </w:pPr>
          </w:p>
        </w:tc>
        <w:tc>
          <w:tcPr>
            <w:tcW w:w="431" w:type="pct"/>
          </w:tcPr>
          <w:p w14:paraId="6ADDC58B" w14:textId="77777777" w:rsidR="00F92BE1" w:rsidRPr="0047058F" w:rsidRDefault="00F92BE1" w:rsidP="00C91013">
            <w:pPr>
              <w:pStyle w:val="TableText"/>
              <w:spacing w:before="38" w:after="38"/>
              <w:jc w:val="right"/>
              <w:rPr>
                <w:sz w:val="13"/>
              </w:rPr>
            </w:pPr>
          </w:p>
        </w:tc>
        <w:tc>
          <w:tcPr>
            <w:tcW w:w="194" w:type="pct"/>
          </w:tcPr>
          <w:p w14:paraId="58F0622D" w14:textId="77777777" w:rsidR="00F92BE1" w:rsidRPr="0047058F" w:rsidRDefault="00F92BE1" w:rsidP="00C91013">
            <w:pPr>
              <w:pStyle w:val="TableText"/>
              <w:spacing w:before="38" w:after="38"/>
              <w:jc w:val="right"/>
              <w:rPr>
                <w:sz w:val="13"/>
              </w:rPr>
            </w:pPr>
          </w:p>
        </w:tc>
        <w:tc>
          <w:tcPr>
            <w:tcW w:w="432" w:type="pct"/>
          </w:tcPr>
          <w:p w14:paraId="18F33BC8" w14:textId="77777777" w:rsidR="00F92BE1" w:rsidRPr="0047058F" w:rsidRDefault="00F92BE1" w:rsidP="00C91013">
            <w:pPr>
              <w:pStyle w:val="TableText"/>
              <w:spacing w:before="38" w:after="38"/>
              <w:jc w:val="right"/>
              <w:rPr>
                <w:sz w:val="13"/>
              </w:rPr>
            </w:pPr>
          </w:p>
        </w:tc>
        <w:tc>
          <w:tcPr>
            <w:tcW w:w="451" w:type="pct"/>
          </w:tcPr>
          <w:p w14:paraId="46491C8E" w14:textId="77777777" w:rsidR="00F92BE1" w:rsidRPr="0047058F" w:rsidRDefault="00F92BE1" w:rsidP="00C91013">
            <w:pPr>
              <w:pStyle w:val="TableText"/>
              <w:spacing w:before="38" w:after="38"/>
              <w:jc w:val="right"/>
              <w:rPr>
                <w:sz w:val="13"/>
              </w:rPr>
            </w:pPr>
          </w:p>
        </w:tc>
        <w:tc>
          <w:tcPr>
            <w:tcW w:w="452" w:type="pct"/>
          </w:tcPr>
          <w:p w14:paraId="7DD95690" w14:textId="77777777" w:rsidR="00F92BE1" w:rsidRPr="0047058F" w:rsidRDefault="00F92BE1" w:rsidP="00C91013">
            <w:pPr>
              <w:pStyle w:val="TableText"/>
              <w:spacing w:before="38" w:after="38"/>
              <w:jc w:val="right"/>
              <w:rPr>
                <w:sz w:val="13"/>
              </w:rPr>
            </w:pPr>
          </w:p>
        </w:tc>
        <w:tc>
          <w:tcPr>
            <w:tcW w:w="433" w:type="pct"/>
          </w:tcPr>
          <w:p w14:paraId="15DAD07F" w14:textId="77777777" w:rsidR="00F92BE1" w:rsidRPr="0047058F" w:rsidRDefault="00F92BE1" w:rsidP="00C91013">
            <w:pPr>
              <w:pStyle w:val="TableText"/>
              <w:spacing w:before="38" w:after="38"/>
              <w:jc w:val="right"/>
              <w:rPr>
                <w:sz w:val="13"/>
              </w:rPr>
            </w:pPr>
          </w:p>
        </w:tc>
        <w:tc>
          <w:tcPr>
            <w:tcW w:w="433" w:type="pct"/>
          </w:tcPr>
          <w:p w14:paraId="067D471F" w14:textId="77777777" w:rsidR="00F92BE1" w:rsidRPr="0047058F" w:rsidRDefault="00F92BE1" w:rsidP="00C91013">
            <w:pPr>
              <w:pStyle w:val="TableText"/>
              <w:spacing w:before="38" w:after="38"/>
              <w:jc w:val="right"/>
              <w:rPr>
                <w:sz w:val="13"/>
              </w:rPr>
            </w:pPr>
          </w:p>
        </w:tc>
        <w:tc>
          <w:tcPr>
            <w:tcW w:w="281" w:type="pct"/>
          </w:tcPr>
          <w:p w14:paraId="0F1E1F78" w14:textId="77777777" w:rsidR="00F92BE1" w:rsidRPr="0047058F" w:rsidRDefault="00F92BE1" w:rsidP="00C91013">
            <w:pPr>
              <w:pStyle w:val="TableText"/>
              <w:spacing w:before="38" w:after="38"/>
              <w:jc w:val="right"/>
              <w:rPr>
                <w:sz w:val="13"/>
              </w:rPr>
            </w:pPr>
            <w:r w:rsidRPr="0047058F">
              <w:rPr>
                <w:sz w:val="13"/>
              </w:rPr>
              <w:t>ns</w:t>
            </w:r>
          </w:p>
        </w:tc>
        <w:tc>
          <w:tcPr>
            <w:tcW w:w="282" w:type="pct"/>
          </w:tcPr>
          <w:p w14:paraId="11AA02B5" w14:textId="77777777" w:rsidR="00F92BE1" w:rsidRPr="0047058F" w:rsidRDefault="00F92BE1" w:rsidP="00C91013">
            <w:pPr>
              <w:pStyle w:val="TableText"/>
              <w:spacing w:before="38" w:after="38"/>
              <w:jc w:val="right"/>
              <w:rPr>
                <w:sz w:val="13"/>
              </w:rPr>
            </w:pPr>
            <w:r w:rsidRPr="0047058F">
              <w:rPr>
                <w:sz w:val="13"/>
              </w:rPr>
              <w:t>–</w:t>
            </w:r>
          </w:p>
        </w:tc>
      </w:tr>
      <w:tr w:rsidR="00C91013" w:rsidRPr="0047058F" w14:paraId="1A94CCB3" w14:textId="77777777" w:rsidTr="00C91013">
        <w:trPr>
          <w:cantSplit/>
        </w:trPr>
        <w:tc>
          <w:tcPr>
            <w:tcW w:w="744" w:type="pct"/>
          </w:tcPr>
          <w:p w14:paraId="4278BABC" w14:textId="77777777" w:rsidR="00F92BE1" w:rsidRPr="0047058F" w:rsidRDefault="00F92BE1" w:rsidP="000D2D22">
            <w:pPr>
              <w:pStyle w:val="TableText"/>
              <w:spacing w:before="38" w:after="38"/>
              <w:ind w:left="144"/>
              <w:rPr>
                <w:rFonts w:cs="Arial"/>
              </w:rPr>
            </w:pPr>
            <w:r w:rsidRPr="0047058F">
              <w:t>Very dissatisfied</w:t>
            </w:r>
            <w:r w:rsidR="000D2D22">
              <w:t>/ dissatisfied/</w:t>
            </w:r>
            <w:r w:rsidRPr="0047058F">
              <w:t>neither</w:t>
            </w:r>
          </w:p>
        </w:tc>
        <w:tc>
          <w:tcPr>
            <w:tcW w:w="196" w:type="pct"/>
          </w:tcPr>
          <w:p w14:paraId="2CA092F8" w14:textId="77777777" w:rsidR="00F92BE1" w:rsidRPr="0047058F" w:rsidRDefault="00F92BE1" w:rsidP="00C91013">
            <w:pPr>
              <w:pStyle w:val="TableText"/>
              <w:spacing w:before="38" w:after="38"/>
              <w:jc w:val="right"/>
              <w:rPr>
                <w:sz w:val="13"/>
              </w:rPr>
            </w:pPr>
            <w:r w:rsidRPr="0047058F">
              <w:rPr>
                <w:rFonts w:cs="Arial"/>
                <w:sz w:val="13"/>
              </w:rPr>
              <w:t>25</w:t>
            </w:r>
          </w:p>
        </w:tc>
        <w:tc>
          <w:tcPr>
            <w:tcW w:w="472" w:type="pct"/>
          </w:tcPr>
          <w:p w14:paraId="2732F150" w14:textId="77777777" w:rsidR="00F92BE1" w:rsidRPr="0047058F" w:rsidRDefault="00F92BE1" w:rsidP="00C91013">
            <w:pPr>
              <w:pStyle w:val="TableText"/>
              <w:spacing w:before="38" w:after="38"/>
              <w:jc w:val="right"/>
              <w:rPr>
                <w:sz w:val="13"/>
              </w:rPr>
            </w:pPr>
            <w:r w:rsidRPr="0047058F">
              <w:rPr>
                <w:rFonts w:cs="Arial"/>
                <w:sz w:val="13"/>
              </w:rPr>
              <w:t>19.8 (2.2–37.4)</w:t>
            </w:r>
          </w:p>
        </w:tc>
        <w:tc>
          <w:tcPr>
            <w:tcW w:w="199" w:type="pct"/>
          </w:tcPr>
          <w:p w14:paraId="68604CE5" w14:textId="77777777" w:rsidR="00F92BE1" w:rsidRPr="0047058F" w:rsidRDefault="00F92BE1" w:rsidP="00C91013">
            <w:pPr>
              <w:pStyle w:val="TableText"/>
              <w:spacing w:before="38" w:after="38"/>
              <w:jc w:val="right"/>
              <w:rPr>
                <w:sz w:val="13"/>
              </w:rPr>
            </w:pPr>
            <w:r w:rsidRPr="0047058F">
              <w:rPr>
                <w:rFonts w:cs="Arial"/>
                <w:sz w:val="13"/>
              </w:rPr>
              <w:t>47</w:t>
            </w:r>
          </w:p>
        </w:tc>
        <w:tc>
          <w:tcPr>
            <w:tcW w:w="431" w:type="pct"/>
          </w:tcPr>
          <w:p w14:paraId="5172EE4B" w14:textId="77777777" w:rsidR="00F92BE1" w:rsidRPr="0047058F" w:rsidRDefault="00F92BE1" w:rsidP="00C91013">
            <w:pPr>
              <w:pStyle w:val="TableText"/>
              <w:spacing w:before="38" w:after="38"/>
              <w:jc w:val="right"/>
              <w:rPr>
                <w:sz w:val="13"/>
              </w:rPr>
            </w:pPr>
            <w:r w:rsidRPr="0047058F">
              <w:rPr>
                <w:rFonts w:cs="Arial"/>
                <w:sz w:val="13"/>
              </w:rPr>
              <w:t>37.3 (21.8–52.8)</w:t>
            </w:r>
          </w:p>
        </w:tc>
        <w:tc>
          <w:tcPr>
            <w:tcW w:w="194" w:type="pct"/>
          </w:tcPr>
          <w:p w14:paraId="412C8BD0" w14:textId="77777777" w:rsidR="00F92BE1" w:rsidRPr="0047058F" w:rsidRDefault="00F92BE1" w:rsidP="00C91013">
            <w:pPr>
              <w:pStyle w:val="TableText"/>
              <w:spacing w:before="38" w:after="38"/>
              <w:jc w:val="right"/>
              <w:rPr>
                <w:sz w:val="13"/>
              </w:rPr>
            </w:pPr>
            <w:r w:rsidRPr="0047058F">
              <w:rPr>
                <w:rFonts w:cs="Arial"/>
                <w:sz w:val="13"/>
              </w:rPr>
              <w:t>54</w:t>
            </w:r>
          </w:p>
        </w:tc>
        <w:tc>
          <w:tcPr>
            <w:tcW w:w="432" w:type="pct"/>
          </w:tcPr>
          <w:p w14:paraId="64FC78DC" w14:textId="77777777" w:rsidR="00F92BE1" w:rsidRPr="0047058F" w:rsidRDefault="00F92BE1" w:rsidP="00C91013">
            <w:pPr>
              <w:pStyle w:val="TableText"/>
              <w:spacing w:before="38" w:after="38"/>
              <w:jc w:val="right"/>
              <w:rPr>
                <w:sz w:val="13"/>
              </w:rPr>
            </w:pPr>
            <w:r w:rsidRPr="0047058F">
              <w:rPr>
                <w:rFonts w:cs="Arial"/>
                <w:sz w:val="13"/>
              </w:rPr>
              <w:t>42.9 (28.1–57.7)</w:t>
            </w:r>
          </w:p>
        </w:tc>
        <w:tc>
          <w:tcPr>
            <w:tcW w:w="451" w:type="pct"/>
          </w:tcPr>
          <w:p w14:paraId="44B58902"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0355D996"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0F890A64"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176048F7"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63DBECC4" w14:textId="77777777" w:rsidR="00F92BE1" w:rsidRPr="0047058F" w:rsidRDefault="00F92BE1" w:rsidP="00C91013">
            <w:pPr>
              <w:pStyle w:val="TableText"/>
              <w:spacing w:before="38" w:after="38"/>
              <w:jc w:val="right"/>
              <w:rPr>
                <w:sz w:val="13"/>
              </w:rPr>
            </w:pPr>
          </w:p>
        </w:tc>
        <w:tc>
          <w:tcPr>
            <w:tcW w:w="282" w:type="pct"/>
          </w:tcPr>
          <w:p w14:paraId="07170E86" w14:textId="77777777" w:rsidR="00F92BE1" w:rsidRPr="0047058F" w:rsidRDefault="00F92BE1" w:rsidP="00C91013">
            <w:pPr>
              <w:pStyle w:val="TableText"/>
              <w:spacing w:before="38" w:after="38"/>
              <w:jc w:val="right"/>
              <w:rPr>
                <w:sz w:val="13"/>
              </w:rPr>
            </w:pPr>
          </w:p>
        </w:tc>
      </w:tr>
      <w:tr w:rsidR="00C91013" w:rsidRPr="0047058F" w14:paraId="2A7E8981"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bottom w:val="single" w:sz="4" w:space="0" w:color="000000"/>
            </w:tcBorders>
          </w:tcPr>
          <w:p w14:paraId="597DB456" w14:textId="77777777" w:rsidR="00F92BE1" w:rsidRPr="0047058F" w:rsidRDefault="000D2D22" w:rsidP="00C91013">
            <w:pPr>
              <w:pStyle w:val="TableText"/>
              <w:spacing w:before="38" w:after="38"/>
              <w:ind w:left="144"/>
              <w:rPr>
                <w:rFonts w:eastAsia="Cambria" w:cs="Arial"/>
              </w:rPr>
            </w:pPr>
            <w:r>
              <w:rPr>
                <w:rFonts w:eastAsia="Cambria"/>
              </w:rPr>
              <w:t>Satisfied/</w:t>
            </w:r>
            <w:r w:rsidR="00F92BE1" w:rsidRPr="0047058F">
              <w:rPr>
                <w:rFonts w:eastAsia="Cambria"/>
              </w:rPr>
              <w:t>very satisfied</w:t>
            </w:r>
          </w:p>
        </w:tc>
        <w:tc>
          <w:tcPr>
            <w:tcW w:w="196" w:type="pct"/>
            <w:tcBorders>
              <w:bottom w:val="single" w:sz="4" w:space="0" w:color="000000"/>
            </w:tcBorders>
          </w:tcPr>
          <w:p w14:paraId="467C21C1" w14:textId="77777777" w:rsidR="00F92BE1" w:rsidRPr="0047058F" w:rsidRDefault="00F92BE1" w:rsidP="00C91013">
            <w:pPr>
              <w:pStyle w:val="TableText"/>
              <w:spacing w:before="38" w:after="38"/>
              <w:jc w:val="right"/>
              <w:rPr>
                <w:sz w:val="13"/>
              </w:rPr>
            </w:pPr>
            <w:r w:rsidRPr="0047058F">
              <w:rPr>
                <w:rFonts w:cs="Arial"/>
                <w:sz w:val="13"/>
              </w:rPr>
              <w:t>76</w:t>
            </w:r>
          </w:p>
        </w:tc>
        <w:tc>
          <w:tcPr>
            <w:tcW w:w="472" w:type="pct"/>
            <w:tcBorders>
              <w:bottom w:val="single" w:sz="4" w:space="0" w:color="000000"/>
            </w:tcBorders>
          </w:tcPr>
          <w:p w14:paraId="2327D324" w14:textId="77777777" w:rsidR="00F92BE1" w:rsidRPr="0047058F" w:rsidRDefault="00F92BE1" w:rsidP="00C91013">
            <w:pPr>
              <w:pStyle w:val="TableText"/>
              <w:spacing w:before="38" w:after="38"/>
              <w:jc w:val="right"/>
              <w:rPr>
                <w:sz w:val="13"/>
              </w:rPr>
            </w:pPr>
            <w:r w:rsidRPr="0047058F">
              <w:rPr>
                <w:rFonts w:cs="Arial"/>
                <w:sz w:val="13"/>
              </w:rPr>
              <w:t>22.6 (5.4–39.8)</w:t>
            </w:r>
          </w:p>
        </w:tc>
        <w:tc>
          <w:tcPr>
            <w:tcW w:w="199" w:type="pct"/>
            <w:tcBorders>
              <w:bottom w:val="single" w:sz="4" w:space="0" w:color="000000"/>
            </w:tcBorders>
          </w:tcPr>
          <w:p w14:paraId="49DBC061" w14:textId="77777777" w:rsidR="00F92BE1" w:rsidRPr="0047058F" w:rsidRDefault="00F92BE1" w:rsidP="00C91013">
            <w:pPr>
              <w:pStyle w:val="TableText"/>
              <w:spacing w:before="38" w:after="38"/>
              <w:jc w:val="right"/>
              <w:rPr>
                <w:sz w:val="13"/>
              </w:rPr>
            </w:pPr>
            <w:r w:rsidRPr="0047058F">
              <w:rPr>
                <w:rFonts w:cs="Arial"/>
                <w:sz w:val="13"/>
              </w:rPr>
              <w:t>107</w:t>
            </w:r>
          </w:p>
        </w:tc>
        <w:tc>
          <w:tcPr>
            <w:tcW w:w="431" w:type="pct"/>
            <w:tcBorders>
              <w:bottom w:val="single" w:sz="4" w:space="0" w:color="000000"/>
            </w:tcBorders>
          </w:tcPr>
          <w:p w14:paraId="0E701AD7" w14:textId="77777777" w:rsidR="00F92BE1" w:rsidRPr="0047058F" w:rsidRDefault="00F92BE1" w:rsidP="00C91013">
            <w:pPr>
              <w:pStyle w:val="TableText"/>
              <w:spacing w:before="38" w:after="38"/>
              <w:jc w:val="right"/>
              <w:rPr>
                <w:sz w:val="13"/>
              </w:rPr>
            </w:pPr>
            <w:r w:rsidRPr="0047058F">
              <w:rPr>
                <w:rFonts w:cs="Arial"/>
                <w:sz w:val="13"/>
              </w:rPr>
              <w:t>31.8 (15.6–48.0)</w:t>
            </w:r>
          </w:p>
        </w:tc>
        <w:tc>
          <w:tcPr>
            <w:tcW w:w="194" w:type="pct"/>
            <w:tcBorders>
              <w:bottom w:val="single" w:sz="4" w:space="0" w:color="000000"/>
            </w:tcBorders>
          </w:tcPr>
          <w:p w14:paraId="7DC25629" w14:textId="77777777" w:rsidR="00F92BE1" w:rsidRPr="0047058F" w:rsidRDefault="00F92BE1" w:rsidP="00C91013">
            <w:pPr>
              <w:pStyle w:val="TableText"/>
              <w:spacing w:before="38" w:after="38"/>
              <w:jc w:val="right"/>
              <w:rPr>
                <w:sz w:val="13"/>
              </w:rPr>
            </w:pPr>
            <w:r w:rsidRPr="0047058F">
              <w:rPr>
                <w:rFonts w:cs="Arial"/>
                <w:sz w:val="13"/>
              </w:rPr>
              <w:t>154</w:t>
            </w:r>
          </w:p>
        </w:tc>
        <w:tc>
          <w:tcPr>
            <w:tcW w:w="432" w:type="pct"/>
            <w:tcBorders>
              <w:bottom w:val="single" w:sz="4" w:space="0" w:color="000000"/>
            </w:tcBorders>
          </w:tcPr>
          <w:p w14:paraId="23705B9B" w14:textId="77777777" w:rsidR="00F92BE1" w:rsidRPr="0047058F" w:rsidRDefault="00F92BE1" w:rsidP="00C91013">
            <w:pPr>
              <w:pStyle w:val="TableText"/>
              <w:spacing w:before="38" w:after="38"/>
              <w:jc w:val="right"/>
              <w:rPr>
                <w:sz w:val="13"/>
              </w:rPr>
            </w:pPr>
            <w:r w:rsidRPr="0047058F">
              <w:rPr>
                <w:rFonts w:cs="Arial"/>
                <w:sz w:val="13"/>
              </w:rPr>
              <w:t>45.7 (31.3–60.1)</w:t>
            </w:r>
          </w:p>
        </w:tc>
        <w:tc>
          <w:tcPr>
            <w:tcW w:w="451" w:type="pct"/>
            <w:tcBorders>
              <w:bottom w:val="single" w:sz="4" w:space="0" w:color="000000"/>
            </w:tcBorders>
          </w:tcPr>
          <w:p w14:paraId="287714C3" w14:textId="77777777" w:rsidR="00F92BE1" w:rsidRPr="0047058F" w:rsidRDefault="00F92BE1" w:rsidP="00C91013">
            <w:pPr>
              <w:pStyle w:val="TableText"/>
              <w:spacing w:before="38" w:after="38"/>
              <w:jc w:val="right"/>
              <w:rPr>
                <w:sz w:val="13"/>
              </w:rPr>
            </w:pPr>
            <w:r w:rsidRPr="0047058F">
              <w:rPr>
                <w:sz w:val="13"/>
              </w:rPr>
              <w:t>0.75 (0.42–1.32)</w:t>
            </w:r>
          </w:p>
        </w:tc>
        <w:tc>
          <w:tcPr>
            <w:tcW w:w="452" w:type="pct"/>
            <w:tcBorders>
              <w:bottom w:val="single" w:sz="4" w:space="0" w:color="000000"/>
            </w:tcBorders>
          </w:tcPr>
          <w:p w14:paraId="7B64534E" w14:textId="77777777" w:rsidR="00F92BE1" w:rsidRPr="0047058F" w:rsidRDefault="00F92BE1" w:rsidP="00C91013">
            <w:pPr>
              <w:pStyle w:val="TableText"/>
              <w:spacing w:before="38" w:after="38"/>
              <w:jc w:val="right"/>
              <w:rPr>
                <w:sz w:val="13"/>
              </w:rPr>
            </w:pPr>
            <w:r w:rsidRPr="0047058F">
              <w:rPr>
                <w:sz w:val="13"/>
              </w:rPr>
              <w:t>–</w:t>
            </w:r>
          </w:p>
        </w:tc>
        <w:tc>
          <w:tcPr>
            <w:tcW w:w="433" w:type="pct"/>
            <w:tcBorders>
              <w:bottom w:val="single" w:sz="4" w:space="0" w:color="000000"/>
            </w:tcBorders>
          </w:tcPr>
          <w:p w14:paraId="52DCC8B4" w14:textId="77777777" w:rsidR="00F92BE1" w:rsidRPr="0047058F" w:rsidRDefault="00F92BE1" w:rsidP="00C91013">
            <w:pPr>
              <w:pStyle w:val="TableText"/>
              <w:spacing w:before="38" w:after="38"/>
              <w:jc w:val="right"/>
              <w:rPr>
                <w:sz w:val="13"/>
              </w:rPr>
            </w:pPr>
            <w:r w:rsidRPr="0047058F">
              <w:rPr>
                <w:sz w:val="13"/>
              </w:rPr>
              <w:t>0.94 (0.54–1.62)</w:t>
            </w:r>
          </w:p>
        </w:tc>
        <w:tc>
          <w:tcPr>
            <w:tcW w:w="433" w:type="pct"/>
            <w:tcBorders>
              <w:bottom w:val="single" w:sz="4" w:space="0" w:color="000000"/>
            </w:tcBorders>
          </w:tcPr>
          <w:p w14:paraId="7B0C747C" w14:textId="77777777" w:rsidR="00F92BE1" w:rsidRPr="0047058F" w:rsidRDefault="00F92BE1" w:rsidP="00C91013">
            <w:pPr>
              <w:pStyle w:val="TableText"/>
              <w:spacing w:before="38" w:after="38"/>
              <w:jc w:val="right"/>
              <w:rPr>
                <w:sz w:val="13"/>
              </w:rPr>
            </w:pPr>
            <w:r w:rsidRPr="0047058F">
              <w:rPr>
                <w:sz w:val="13"/>
              </w:rPr>
              <w:t>–</w:t>
            </w:r>
          </w:p>
        </w:tc>
        <w:tc>
          <w:tcPr>
            <w:tcW w:w="281" w:type="pct"/>
            <w:tcBorders>
              <w:bottom w:val="single" w:sz="4" w:space="0" w:color="000000"/>
            </w:tcBorders>
          </w:tcPr>
          <w:p w14:paraId="27DDA3BF" w14:textId="77777777" w:rsidR="00F92BE1" w:rsidRPr="0047058F" w:rsidRDefault="00F92BE1" w:rsidP="00C91013">
            <w:pPr>
              <w:pStyle w:val="TableText"/>
              <w:spacing w:before="38" w:after="38"/>
              <w:jc w:val="right"/>
              <w:rPr>
                <w:sz w:val="13"/>
              </w:rPr>
            </w:pPr>
          </w:p>
        </w:tc>
        <w:tc>
          <w:tcPr>
            <w:tcW w:w="282" w:type="pct"/>
            <w:tcBorders>
              <w:bottom w:val="single" w:sz="4" w:space="0" w:color="000000"/>
            </w:tcBorders>
          </w:tcPr>
          <w:p w14:paraId="7CDFA309" w14:textId="77777777" w:rsidR="00F92BE1" w:rsidRPr="0047058F" w:rsidRDefault="00F92BE1" w:rsidP="00C91013">
            <w:pPr>
              <w:pStyle w:val="TableText"/>
              <w:spacing w:before="38" w:after="38"/>
              <w:jc w:val="right"/>
              <w:rPr>
                <w:sz w:val="13"/>
              </w:rPr>
            </w:pPr>
          </w:p>
        </w:tc>
      </w:tr>
      <w:tr w:rsidR="00C91013" w:rsidRPr="0047058F" w14:paraId="3B9598CA" w14:textId="77777777" w:rsidTr="00C91013">
        <w:trPr>
          <w:cantSplit/>
        </w:trPr>
        <w:tc>
          <w:tcPr>
            <w:tcW w:w="5000" w:type="pct"/>
            <w:gridSpan w:val="13"/>
            <w:tcBorders>
              <w:top w:val="single" w:sz="4" w:space="0" w:color="000000"/>
              <w:bottom w:val="nil"/>
            </w:tcBorders>
          </w:tcPr>
          <w:p w14:paraId="536DEFCE" w14:textId="77777777" w:rsidR="00C91013" w:rsidRPr="0047058F" w:rsidRDefault="00C91013" w:rsidP="00C91013">
            <w:pPr>
              <w:pStyle w:val="TableText"/>
              <w:spacing w:before="38" w:after="38"/>
              <w:rPr>
                <w:sz w:val="13"/>
              </w:rPr>
            </w:pPr>
            <w:r w:rsidRPr="0047058F">
              <w:rPr>
                <w:b/>
                <w:color w:val="auto"/>
              </w:rPr>
              <w:t>Suicidality, anger and resilience (time point 1)</w:t>
            </w:r>
          </w:p>
        </w:tc>
      </w:tr>
      <w:tr w:rsidR="00C91013" w:rsidRPr="0047058F" w14:paraId="3CCCD2C6"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top w:val="nil"/>
            </w:tcBorders>
          </w:tcPr>
          <w:p w14:paraId="751346E2" w14:textId="77777777" w:rsidR="00F92BE1" w:rsidRPr="0047058F" w:rsidRDefault="00F92BE1" w:rsidP="00C91013">
            <w:pPr>
              <w:pStyle w:val="TableText"/>
              <w:spacing w:before="38" w:after="38"/>
              <w:rPr>
                <w:rFonts w:cs="Arial"/>
              </w:rPr>
            </w:pPr>
            <w:r w:rsidRPr="0047058F">
              <w:rPr>
                <w:rFonts w:cs="Arial"/>
              </w:rPr>
              <w:t>Any 12-month suicidality</w:t>
            </w:r>
          </w:p>
        </w:tc>
        <w:tc>
          <w:tcPr>
            <w:tcW w:w="196" w:type="pct"/>
            <w:tcBorders>
              <w:top w:val="nil"/>
            </w:tcBorders>
          </w:tcPr>
          <w:p w14:paraId="7F935391" w14:textId="77777777" w:rsidR="00F92BE1" w:rsidRPr="0047058F" w:rsidRDefault="00F92BE1" w:rsidP="00C91013">
            <w:pPr>
              <w:pStyle w:val="TableText"/>
              <w:spacing w:before="38" w:after="38"/>
              <w:jc w:val="right"/>
              <w:rPr>
                <w:sz w:val="13"/>
              </w:rPr>
            </w:pPr>
          </w:p>
        </w:tc>
        <w:tc>
          <w:tcPr>
            <w:tcW w:w="472" w:type="pct"/>
            <w:tcBorders>
              <w:top w:val="nil"/>
            </w:tcBorders>
          </w:tcPr>
          <w:p w14:paraId="51F9F176" w14:textId="77777777" w:rsidR="00F92BE1" w:rsidRPr="0047058F" w:rsidRDefault="00F92BE1" w:rsidP="00C91013">
            <w:pPr>
              <w:pStyle w:val="TableText"/>
              <w:spacing w:before="38" w:after="38"/>
              <w:jc w:val="right"/>
              <w:rPr>
                <w:sz w:val="13"/>
              </w:rPr>
            </w:pPr>
          </w:p>
        </w:tc>
        <w:tc>
          <w:tcPr>
            <w:tcW w:w="199" w:type="pct"/>
            <w:tcBorders>
              <w:top w:val="nil"/>
            </w:tcBorders>
          </w:tcPr>
          <w:p w14:paraId="7CB12B95" w14:textId="77777777" w:rsidR="00F92BE1" w:rsidRPr="0047058F" w:rsidRDefault="00F92BE1" w:rsidP="00C91013">
            <w:pPr>
              <w:pStyle w:val="TableText"/>
              <w:spacing w:before="38" w:after="38"/>
              <w:jc w:val="right"/>
              <w:rPr>
                <w:sz w:val="13"/>
              </w:rPr>
            </w:pPr>
          </w:p>
        </w:tc>
        <w:tc>
          <w:tcPr>
            <w:tcW w:w="431" w:type="pct"/>
            <w:tcBorders>
              <w:top w:val="nil"/>
            </w:tcBorders>
          </w:tcPr>
          <w:p w14:paraId="33E1ECAA" w14:textId="77777777" w:rsidR="00F92BE1" w:rsidRPr="0047058F" w:rsidRDefault="00F92BE1" w:rsidP="00C91013">
            <w:pPr>
              <w:pStyle w:val="TableText"/>
              <w:spacing w:before="38" w:after="38"/>
              <w:jc w:val="right"/>
              <w:rPr>
                <w:sz w:val="13"/>
              </w:rPr>
            </w:pPr>
          </w:p>
        </w:tc>
        <w:tc>
          <w:tcPr>
            <w:tcW w:w="194" w:type="pct"/>
            <w:tcBorders>
              <w:top w:val="nil"/>
            </w:tcBorders>
          </w:tcPr>
          <w:p w14:paraId="7D410135" w14:textId="77777777" w:rsidR="00F92BE1" w:rsidRPr="0047058F" w:rsidRDefault="00F92BE1" w:rsidP="00C91013">
            <w:pPr>
              <w:pStyle w:val="TableText"/>
              <w:spacing w:before="38" w:after="38"/>
              <w:jc w:val="right"/>
              <w:rPr>
                <w:sz w:val="13"/>
              </w:rPr>
            </w:pPr>
          </w:p>
        </w:tc>
        <w:tc>
          <w:tcPr>
            <w:tcW w:w="432" w:type="pct"/>
            <w:tcBorders>
              <w:top w:val="nil"/>
            </w:tcBorders>
          </w:tcPr>
          <w:p w14:paraId="41D84B16" w14:textId="77777777" w:rsidR="00F92BE1" w:rsidRPr="0047058F" w:rsidRDefault="00F92BE1" w:rsidP="00C91013">
            <w:pPr>
              <w:pStyle w:val="TableText"/>
              <w:spacing w:before="38" w:after="38"/>
              <w:jc w:val="right"/>
              <w:rPr>
                <w:sz w:val="13"/>
              </w:rPr>
            </w:pPr>
          </w:p>
        </w:tc>
        <w:tc>
          <w:tcPr>
            <w:tcW w:w="451" w:type="pct"/>
            <w:tcBorders>
              <w:top w:val="nil"/>
            </w:tcBorders>
          </w:tcPr>
          <w:p w14:paraId="21C55626" w14:textId="77777777" w:rsidR="00F92BE1" w:rsidRPr="0047058F" w:rsidRDefault="00F92BE1" w:rsidP="00C91013">
            <w:pPr>
              <w:pStyle w:val="TableText"/>
              <w:spacing w:before="38" w:after="38"/>
              <w:jc w:val="right"/>
              <w:rPr>
                <w:sz w:val="13"/>
              </w:rPr>
            </w:pPr>
          </w:p>
        </w:tc>
        <w:tc>
          <w:tcPr>
            <w:tcW w:w="452" w:type="pct"/>
            <w:tcBorders>
              <w:top w:val="nil"/>
            </w:tcBorders>
          </w:tcPr>
          <w:p w14:paraId="2A86AA66" w14:textId="77777777" w:rsidR="00F92BE1" w:rsidRPr="0047058F" w:rsidRDefault="00F92BE1" w:rsidP="00C91013">
            <w:pPr>
              <w:pStyle w:val="TableText"/>
              <w:spacing w:before="38" w:after="38"/>
              <w:jc w:val="right"/>
              <w:rPr>
                <w:sz w:val="13"/>
              </w:rPr>
            </w:pPr>
          </w:p>
        </w:tc>
        <w:tc>
          <w:tcPr>
            <w:tcW w:w="433" w:type="pct"/>
            <w:tcBorders>
              <w:top w:val="nil"/>
            </w:tcBorders>
          </w:tcPr>
          <w:p w14:paraId="0B43E68C" w14:textId="77777777" w:rsidR="00F92BE1" w:rsidRPr="0047058F" w:rsidRDefault="00F92BE1" w:rsidP="00C91013">
            <w:pPr>
              <w:pStyle w:val="TableText"/>
              <w:spacing w:before="38" w:after="38"/>
              <w:jc w:val="right"/>
              <w:rPr>
                <w:sz w:val="13"/>
              </w:rPr>
            </w:pPr>
          </w:p>
        </w:tc>
        <w:tc>
          <w:tcPr>
            <w:tcW w:w="433" w:type="pct"/>
            <w:tcBorders>
              <w:top w:val="nil"/>
            </w:tcBorders>
          </w:tcPr>
          <w:p w14:paraId="46F03405" w14:textId="77777777" w:rsidR="00F92BE1" w:rsidRPr="0047058F" w:rsidRDefault="00F92BE1" w:rsidP="00C91013">
            <w:pPr>
              <w:pStyle w:val="TableText"/>
              <w:spacing w:before="38" w:after="38"/>
              <w:jc w:val="right"/>
              <w:rPr>
                <w:sz w:val="13"/>
              </w:rPr>
            </w:pPr>
          </w:p>
        </w:tc>
        <w:tc>
          <w:tcPr>
            <w:tcW w:w="281" w:type="pct"/>
            <w:tcBorders>
              <w:top w:val="nil"/>
            </w:tcBorders>
          </w:tcPr>
          <w:p w14:paraId="08086F46" w14:textId="77777777" w:rsidR="00F92BE1" w:rsidRPr="0047058F" w:rsidRDefault="00F92BE1" w:rsidP="00C91013">
            <w:pPr>
              <w:pStyle w:val="TableText"/>
              <w:spacing w:before="38" w:after="38"/>
              <w:jc w:val="right"/>
              <w:rPr>
                <w:sz w:val="13"/>
              </w:rPr>
            </w:pPr>
            <w:r w:rsidRPr="0047058F">
              <w:rPr>
                <w:sz w:val="13"/>
              </w:rPr>
              <w:t>0.0397</w:t>
            </w:r>
          </w:p>
        </w:tc>
        <w:tc>
          <w:tcPr>
            <w:tcW w:w="282" w:type="pct"/>
            <w:tcBorders>
              <w:top w:val="nil"/>
            </w:tcBorders>
          </w:tcPr>
          <w:p w14:paraId="46A18089" w14:textId="77777777" w:rsidR="00F92BE1" w:rsidRPr="0047058F" w:rsidRDefault="00F92BE1" w:rsidP="00C91013">
            <w:pPr>
              <w:pStyle w:val="TableText"/>
              <w:spacing w:before="38" w:after="38"/>
              <w:jc w:val="right"/>
              <w:rPr>
                <w:sz w:val="13"/>
              </w:rPr>
            </w:pPr>
            <w:r w:rsidRPr="0047058F">
              <w:rPr>
                <w:sz w:val="13"/>
              </w:rPr>
              <w:t>ns</w:t>
            </w:r>
          </w:p>
        </w:tc>
      </w:tr>
      <w:tr w:rsidR="00C91013" w:rsidRPr="0047058F" w14:paraId="1857BA04" w14:textId="77777777" w:rsidTr="00C91013">
        <w:trPr>
          <w:cantSplit/>
        </w:trPr>
        <w:tc>
          <w:tcPr>
            <w:tcW w:w="744" w:type="pct"/>
          </w:tcPr>
          <w:p w14:paraId="18BEC8F4" w14:textId="77777777" w:rsidR="00F92BE1" w:rsidRPr="0047058F" w:rsidRDefault="00F92BE1" w:rsidP="00C91013">
            <w:pPr>
              <w:pStyle w:val="TableText"/>
              <w:spacing w:before="38" w:after="38"/>
              <w:ind w:left="144"/>
              <w:rPr>
                <w:rFonts w:cs="Arial"/>
              </w:rPr>
            </w:pPr>
            <w:r w:rsidRPr="0047058F">
              <w:rPr>
                <w:rFonts w:cs="Arial"/>
              </w:rPr>
              <w:t>No</w:t>
            </w:r>
          </w:p>
        </w:tc>
        <w:tc>
          <w:tcPr>
            <w:tcW w:w="196" w:type="pct"/>
          </w:tcPr>
          <w:p w14:paraId="6A2FF601" w14:textId="77777777" w:rsidR="00F92BE1" w:rsidRPr="0047058F" w:rsidRDefault="00F92BE1" w:rsidP="00C91013">
            <w:pPr>
              <w:pStyle w:val="TableText"/>
              <w:spacing w:before="38" w:after="38"/>
              <w:jc w:val="right"/>
              <w:rPr>
                <w:sz w:val="13"/>
              </w:rPr>
            </w:pPr>
            <w:r w:rsidRPr="0047058F">
              <w:rPr>
                <w:rFonts w:cs="Arial"/>
                <w:sz w:val="13"/>
              </w:rPr>
              <w:t>85</w:t>
            </w:r>
          </w:p>
        </w:tc>
        <w:tc>
          <w:tcPr>
            <w:tcW w:w="472" w:type="pct"/>
          </w:tcPr>
          <w:p w14:paraId="4CFD7B80" w14:textId="77777777" w:rsidR="00F92BE1" w:rsidRPr="0047058F" w:rsidRDefault="00F92BE1" w:rsidP="00C91013">
            <w:pPr>
              <w:pStyle w:val="TableText"/>
              <w:spacing w:before="38" w:after="38"/>
              <w:jc w:val="right"/>
              <w:rPr>
                <w:sz w:val="13"/>
              </w:rPr>
            </w:pPr>
            <w:r w:rsidRPr="0047058F">
              <w:rPr>
                <w:rFonts w:cs="Arial"/>
                <w:sz w:val="13"/>
              </w:rPr>
              <w:t>27.7 (11.0–44.4)</w:t>
            </w:r>
          </w:p>
        </w:tc>
        <w:tc>
          <w:tcPr>
            <w:tcW w:w="199" w:type="pct"/>
          </w:tcPr>
          <w:p w14:paraId="3377AFFF" w14:textId="77777777" w:rsidR="00F92BE1" w:rsidRPr="0047058F" w:rsidRDefault="00F92BE1" w:rsidP="00C91013">
            <w:pPr>
              <w:pStyle w:val="TableText"/>
              <w:spacing w:before="38" w:after="38"/>
              <w:jc w:val="right"/>
              <w:rPr>
                <w:sz w:val="13"/>
              </w:rPr>
            </w:pPr>
            <w:r w:rsidRPr="0047058F">
              <w:rPr>
                <w:rFonts w:cs="Arial"/>
                <w:sz w:val="13"/>
              </w:rPr>
              <w:t>106</w:t>
            </w:r>
          </w:p>
        </w:tc>
        <w:tc>
          <w:tcPr>
            <w:tcW w:w="431" w:type="pct"/>
          </w:tcPr>
          <w:p w14:paraId="11A7A2F4" w14:textId="77777777" w:rsidR="00F92BE1" w:rsidRPr="0047058F" w:rsidRDefault="00F92BE1" w:rsidP="00C91013">
            <w:pPr>
              <w:pStyle w:val="TableText"/>
              <w:spacing w:before="38" w:after="38"/>
              <w:jc w:val="right"/>
              <w:rPr>
                <w:sz w:val="13"/>
              </w:rPr>
            </w:pPr>
            <w:r w:rsidRPr="0047058F">
              <w:rPr>
                <w:rFonts w:cs="Arial"/>
                <w:sz w:val="13"/>
              </w:rPr>
              <w:t>34.5 (18.6–50.4)</w:t>
            </w:r>
          </w:p>
        </w:tc>
        <w:tc>
          <w:tcPr>
            <w:tcW w:w="194" w:type="pct"/>
          </w:tcPr>
          <w:p w14:paraId="672331E5" w14:textId="77777777" w:rsidR="00F92BE1" w:rsidRPr="0047058F" w:rsidRDefault="00F92BE1" w:rsidP="00C91013">
            <w:pPr>
              <w:pStyle w:val="TableText"/>
              <w:spacing w:before="38" w:after="38"/>
              <w:jc w:val="right"/>
              <w:rPr>
                <w:sz w:val="13"/>
              </w:rPr>
            </w:pPr>
            <w:r w:rsidRPr="0047058F">
              <w:rPr>
                <w:rFonts w:cs="Arial"/>
                <w:sz w:val="13"/>
              </w:rPr>
              <w:t>116</w:t>
            </w:r>
          </w:p>
        </w:tc>
        <w:tc>
          <w:tcPr>
            <w:tcW w:w="432" w:type="pct"/>
          </w:tcPr>
          <w:p w14:paraId="4C3E146E" w14:textId="77777777" w:rsidR="00F92BE1" w:rsidRPr="0047058F" w:rsidRDefault="00F92BE1" w:rsidP="00C91013">
            <w:pPr>
              <w:pStyle w:val="TableText"/>
              <w:spacing w:before="38" w:after="38"/>
              <w:jc w:val="right"/>
              <w:rPr>
                <w:sz w:val="13"/>
              </w:rPr>
            </w:pPr>
            <w:r w:rsidRPr="0047058F">
              <w:rPr>
                <w:rFonts w:cs="Arial"/>
                <w:sz w:val="13"/>
              </w:rPr>
              <w:t>37.8 (22.3–53.3)</w:t>
            </w:r>
          </w:p>
        </w:tc>
        <w:tc>
          <w:tcPr>
            <w:tcW w:w="451" w:type="pct"/>
          </w:tcPr>
          <w:p w14:paraId="04A28B91"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6AD0F7B7"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6DBC109A"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62D5DE27"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41B861E6" w14:textId="77777777" w:rsidR="00F92BE1" w:rsidRPr="0047058F" w:rsidRDefault="00F92BE1" w:rsidP="00C91013">
            <w:pPr>
              <w:pStyle w:val="TableText"/>
              <w:spacing w:before="38" w:after="38"/>
              <w:jc w:val="right"/>
              <w:rPr>
                <w:color w:val="000000" w:themeColor="text1"/>
                <w:sz w:val="13"/>
              </w:rPr>
            </w:pPr>
          </w:p>
        </w:tc>
        <w:tc>
          <w:tcPr>
            <w:tcW w:w="282" w:type="pct"/>
          </w:tcPr>
          <w:p w14:paraId="59908553" w14:textId="77777777" w:rsidR="00F92BE1" w:rsidRPr="0047058F" w:rsidRDefault="00F92BE1" w:rsidP="00C91013">
            <w:pPr>
              <w:pStyle w:val="TableText"/>
              <w:spacing w:before="38" w:after="38"/>
              <w:jc w:val="right"/>
              <w:rPr>
                <w:color w:val="000000" w:themeColor="text1"/>
                <w:sz w:val="13"/>
              </w:rPr>
            </w:pPr>
          </w:p>
        </w:tc>
      </w:tr>
      <w:tr w:rsidR="00C91013" w:rsidRPr="0047058F" w14:paraId="01EEEB94"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7887DE67" w14:textId="77777777" w:rsidR="00F92BE1" w:rsidRPr="0047058F" w:rsidRDefault="00F92BE1" w:rsidP="00C91013">
            <w:pPr>
              <w:pStyle w:val="TableText"/>
              <w:spacing w:before="38" w:after="38"/>
              <w:ind w:left="144"/>
              <w:rPr>
                <w:rFonts w:cs="Arial"/>
              </w:rPr>
            </w:pPr>
            <w:r w:rsidRPr="0047058F">
              <w:rPr>
                <w:rFonts w:cs="Arial"/>
              </w:rPr>
              <w:t>Yes</w:t>
            </w:r>
          </w:p>
        </w:tc>
        <w:tc>
          <w:tcPr>
            <w:tcW w:w="196" w:type="pct"/>
          </w:tcPr>
          <w:p w14:paraId="0F6C030B" w14:textId="77777777" w:rsidR="00F92BE1" w:rsidRPr="0047058F" w:rsidRDefault="00F92BE1" w:rsidP="00C91013">
            <w:pPr>
              <w:pStyle w:val="TableText"/>
              <w:spacing w:before="38" w:after="38"/>
              <w:jc w:val="right"/>
              <w:rPr>
                <w:sz w:val="13"/>
              </w:rPr>
            </w:pPr>
            <w:r w:rsidRPr="0047058F">
              <w:rPr>
                <w:rFonts w:cs="Arial"/>
                <w:sz w:val="13"/>
              </w:rPr>
              <w:t>41</w:t>
            </w:r>
          </w:p>
        </w:tc>
        <w:tc>
          <w:tcPr>
            <w:tcW w:w="472" w:type="pct"/>
          </w:tcPr>
          <w:p w14:paraId="3DBD6695" w14:textId="77777777" w:rsidR="00F92BE1" w:rsidRPr="0047058F" w:rsidRDefault="00F92BE1" w:rsidP="00C91013">
            <w:pPr>
              <w:pStyle w:val="TableText"/>
              <w:spacing w:before="38" w:after="38"/>
              <w:jc w:val="right"/>
              <w:rPr>
                <w:sz w:val="13"/>
              </w:rPr>
            </w:pPr>
            <w:r w:rsidRPr="0047058F">
              <w:rPr>
                <w:rFonts w:cs="Arial"/>
                <w:sz w:val="13"/>
              </w:rPr>
              <w:t>17.4 (0.0–35.2)</w:t>
            </w:r>
          </w:p>
        </w:tc>
        <w:tc>
          <w:tcPr>
            <w:tcW w:w="199" w:type="pct"/>
          </w:tcPr>
          <w:p w14:paraId="261534B4" w14:textId="77777777" w:rsidR="00F92BE1" w:rsidRPr="0047058F" w:rsidRDefault="00F92BE1" w:rsidP="00C91013">
            <w:pPr>
              <w:pStyle w:val="TableText"/>
              <w:spacing w:before="38" w:after="38"/>
              <w:jc w:val="right"/>
              <w:rPr>
                <w:sz w:val="13"/>
              </w:rPr>
            </w:pPr>
            <w:r w:rsidRPr="0047058F">
              <w:rPr>
                <w:rFonts w:cs="Arial"/>
                <w:sz w:val="13"/>
              </w:rPr>
              <w:t>73</w:t>
            </w:r>
          </w:p>
        </w:tc>
        <w:tc>
          <w:tcPr>
            <w:tcW w:w="431" w:type="pct"/>
          </w:tcPr>
          <w:p w14:paraId="16939750" w14:textId="77777777" w:rsidR="00F92BE1" w:rsidRPr="0047058F" w:rsidRDefault="00F92BE1" w:rsidP="00C91013">
            <w:pPr>
              <w:pStyle w:val="TableText"/>
              <w:spacing w:before="38" w:after="38"/>
              <w:jc w:val="right"/>
              <w:rPr>
                <w:sz w:val="13"/>
              </w:rPr>
            </w:pPr>
            <w:r w:rsidRPr="0047058F">
              <w:rPr>
                <w:rFonts w:cs="Arial"/>
                <w:sz w:val="13"/>
              </w:rPr>
              <w:t>31.1 (14.8–47.4)</w:t>
            </w:r>
          </w:p>
        </w:tc>
        <w:tc>
          <w:tcPr>
            <w:tcW w:w="194" w:type="pct"/>
          </w:tcPr>
          <w:p w14:paraId="37209B33" w14:textId="77777777" w:rsidR="00F92BE1" w:rsidRPr="0047058F" w:rsidRDefault="00F92BE1" w:rsidP="00C91013">
            <w:pPr>
              <w:pStyle w:val="TableText"/>
              <w:spacing w:before="38" w:after="38"/>
              <w:jc w:val="right"/>
              <w:rPr>
                <w:sz w:val="13"/>
              </w:rPr>
            </w:pPr>
            <w:r w:rsidRPr="0047058F">
              <w:rPr>
                <w:rFonts w:cs="Arial"/>
                <w:sz w:val="13"/>
              </w:rPr>
              <w:t>121</w:t>
            </w:r>
          </w:p>
        </w:tc>
        <w:tc>
          <w:tcPr>
            <w:tcW w:w="432" w:type="pct"/>
          </w:tcPr>
          <w:p w14:paraId="78EEC3C6" w14:textId="77777777" w:rsidR="00F92BE1" w:rsidRPr="0047058F" w:rsidRDefault="00F92BE1" w:rsidP="00C91013">
            <w:pPr>
              <w:pStyle w:val="TableText"/>
              <w:spacing w:before="38" w:after="38"/>
              <w:jc w:val="right"/>
              <w:rPr>
                <w:sz w:val="13"/>
              </w:rPr>
            </w:pPr>
            <w:r w:rsidRPr="0047058F">
              <w:rPr>
                <w:rFonts w:cs="Arial"/>
                <w:sz w:val="13"/>
              </w:rPr>
              <w:t>51.5 (37.9–65.1)</w:t>
            </w:r>
          </w:p>
        </w:tc>
        <w:tc>
          <w:tcPr>
            <w:tcW w:w="451" w:type="pct"/>
          </w:tcPr>
          <w:p w14:paraId="7AD9715F" w14:textId="77777777" w:rsidR="00F92BE1" w:rsidRPr="0047058F" w:rsidRDefault="00F92BE1" w:rsidP="00C91013">
            <w:pPr>
              <w:pStyle w:val="TableText"/>
              <w:spacing w:before="38" w:after="38"/>
              <w:jc w:val="right"/>
              <w:rPr>
                <w:sz w:val="13"/>
              </w:rPr>
            </w:pPr>
            <w:r w:rsidRPr="0047058F">
              <w:rPr>
                <w:sz w:val="13"/>
              </w:rPr>
              <w:t>1.34 (0.80–2.26)</w:t>
            </w:r>
          </w:p>
        </w:tc>
        <w:tc>
          <w:tcPr>
            <w:tcW w:w="452" w:type="pct"/>
          </w:tcPr>
          <w:p w14:paraId="02DF3FD4" w14:textId="77777777" w:rsidR="00F92BE1" w:rsidRPr="0047058F" w:rsidRDefault="00F92BE1" w:rsidP="00C91013">
            <w:pPr>
              <w:pStyle w:val="TableText"/>
              <w:spacing w:before="38" w:after="38"/>
              <w:jc w:val="right"/>
              <w:rPr>
                <w:sz w:val="13"/>
              </w:rPr>
            </w:pPr>
            <w:r w:rsidRPr="0047058F">
              <w:rPr>
                <w:sz w:val="13"/>
              </w:rPr>
              <w:t>–</w:t>
            </w:r>
          </w:p>
        </w:tc>
        <w:tc>
          <w:tcPr>
            <w:tcW w:w="433" w:type="pct"/>
          </w:tcPr>
          <w:p w14:paraId="49A0544C" w14:textId="77777777" w:rsidR="00F92BE1" w:rsidRPr="0047058F" w:rsidRDefault="00F92BE1" w:rsidP="00C91013">
            <w:pPr>
              <w:pStyle w:val="TableText"/>
              <w:spacing w:before="38" w:after="38"/>
              <w:jc w:val="right"/>
              <w:rPr>
                <w:sz w:val="13"/>
              </w:rPr>
            </w:pPr>
            <w:r w:rsidRPr="0047058F">
              <w:rPr>
                <w:sz w:val="13"/>
              </w:rPr>
              <w:t>1.85 (1.13–3.02)</w:t>
            </w:r>
          </w:p>
        </w:tc>
        <w:tc>
          <w:tcPr>
            <w:tcW w:w="433" w:type="pct"/>
          </w:tcPr>
          <w:p w14:paraId="26CECEDD" w14:textId="77777777" w:rsidR="00F92BE1" w:rsidRPr="0047058F" w:rsidRDefault="00F92BE1" w:rsidP="00C91013">
            <w:pPr>
              <w:pStyle w:val="TableText"/>
              <w:spacing w:before="38" w:after="38"/>
              <w:jc w:val="right"/>
              <w:rPr>
                <w:sz w:val="13"/>
              </w:rPr>
            </w:pPr>
            <w:r w:rsidRPr="0047058F">
              <w:rPr>
                <w:sz w:val="13"/>
              </w:rPr>
              <w:t>–</w:t>
            </w:r>
          </w:p>
        </w:tc>
        <w:tc>
          <w:tcPr>
            <w:tcW w:w="281" w:type="pct"/>
          </w:tcPr>
          <w:p w14:paraId="66E2CA4D" w14:textId="77777777" w:rsidR="00F92BE1" w:rsidRPr="0047058F" w:rsidRDefault="00F92BE1" w:rsidP="00C91013">
            <w:pPr>
              <w:pStyle w:val="TableText"/>
              <w:spacing w:before="38" w:after="38"/>
              <w:jc w:val="right"/>
              <w:rPr>
                <w:color w:val="000000" w:themeColor="text1"/>
                <w:sz w:val="13"/>
              </w:rPr>
            </w:pPr>
          </w:p>
        </w:tc>
        <w:tc>
          <w:tcPr>
            <w:tcW w:w="282" w:type="pct"/>
          </w:tcPr>
          <w:p w14:paraId="2577D9E5" w14:textId="77777777" w:rsidR="00F92BE1" w:rsidRPr="0047058F" w:rsidRDefault="00F92BE1" w:rsidP="00C91013">
            <w:pPr>
              <w:pStyle w:val="TableText"/>
              <w:spacing w:before="38" w:after="38"/>
              <w:jc w:val="right"/>
              <w:rPr>
                <w:color w:val="000000" w:themeColor="text1"/>
                <w:sz w:val="13"/>
              </w:rPr>
            </w:pPr>
          </w:p>
        </w:tc>
      </w:tr>
      <w:tr w:rsidR="00C91013" w:rsidRPr="0047058F" w14:paraId="04F37B91" w14:textId="77777777" w:rsidTr="00C91013">
        <w:trPr>
          <w:cantSplit/>
        </w:trPr>
        <w:tc>
          <w:tcPr>
            <w:tcW w:w="744" w:type="pct"/>
          </w:tcPr>
          <w:p w14:paraId="45D047E2" w14:textId="77777777" w:rsidR="00F92BE1" w:rsidRPr="0047058F" w:rsidRDefault="00F92BE1" w:rsidP="00C91013">
            <w:pPr>
              <w:pStyle w:val="TableText"/>
              <w:spacing w:before="38" w:after="38"/>
              <w:rPr>
                <w:rFonts w:eastAsia="Cambria" w:cs="Arial"/>
              </w:rPr>
            </w:pPr>
            <w:r w:rsidRPr="0047058F">
              <w:rPr>
                <w:rFonts w:eastAsia="Cambria" w:cs="Arial"/>
              </w:rPr>
              <w:t>Problematic anger on DAR-5</w:t>
            </w:r>
          </w:p>
        </w:tc>
        <w:tc>
          <w:tcPr>
            <w:tcW w:w="196" w:type="pct"/>
          </w:tcPr>
          <w:p w14:paraId="62628F01" w14:textId="77777777" w:rsidR="00F92BE1" w:rsidRPr="0047058F" w:rsidRDefault="00F92BE1" w:rsidP="00C91013">
            <w:pPr>
              <w:pStyle w:val="TableText"/>
              <w:spacing w:before="38" w:after="38"/>
              <w:jc w:val="right"/>
              <w:rPr>
                <w:sz w:val="13"/>
              </w:rPr>
            </w:pPr>
          </w:p>
        </w:tc>
        <w:tc>
          <w:tcPr>
            <w:tcW w:w="472" w:type="pct"/>
          </w:tcPr>
          <w:p w14:paraId="7A150B67" w14:textId="77777777" w:rsidR="00F92BE1" w:rsidRPr="0047058F" w:rsidRDefault="00F92BE1" w:rsidP="00C91013">
            <w:pPr>
              <w:pStyle w:val="TableText"/>
              <w:spacing w:before="38" w:after="38"/>
              <w:jc w:val="right"/>
              <w:rPr>
                <w:sz w:val="13"/>
              </w:rPr>
            </w:pPr>
          </w:p>
        </w:tc>
        <w:tc>
          <w:tcPr>
            <w:tcW w:w="199" w:type="pct"/>
          </w:tcPr>
          <w:p w14:paraId="146359CB" w14:textId="77777777" w:rsidR="00F92BE1" w:rsidRPr="0047058F" w:rsidRDefault="00F92BE1" w:rsidP="00C91013">
            <w:pPr>
              <w:pStyle w:val="TableText"/>
              <w:spacing w:before="38" w:after="38"/>
              <w:jc w:val="right"/>
              <w:rPr>
                <w:sz w:val="13"/>
              </w:rPr>
            </w:pPr>
          </w:p>
        </w:tc>
        <w:tc>
          <w:tcPr>
            <w:tcW w:w="431" w:type="pct"/>
          </w:tcPr>
          <w:p w14:paraId="42787F76" w14:textId="77777777" w:rsidR="00F92BE1" w:rsidRPr="0047058F" w:rsidRDefault="00F92BE1" w:rsidP="00C91013">
            <w:pPr>
              <w:pStyle w:val="TableText"/>
              <w:spacing w:before="38" w:after="38"/>
              <w:jc w:val="right"/>
              <w:rPr>
                <w:sz w:val="13"/>
              </w:rPr>
            </w:pPr>
          </w:p>
        </w:tc>
        <w:tc>
          <w:tcPr>
            <w:tcW w:w="194" w:type="pct"/>
          </w:tcPr>
          <w:p w14:paraId="23BEACFB" w14:textId="77777777" w:rsidR="00F92BE1" w:rsidRPr="0047058F" w:rsidRDefault="00F92BE1" w:rsidP="00C91013">
            <w:pPr>
              <w:pStyle w:val="TableText"/>
              <w:spacing w:before="38" w:after="38"/>
              <w:jc w:val="right"/>
              <w:rPr>
                <w:sz w:val="13"/>
              </w:rPr>
            </w:pPr>
          </w:p>
        </w:tc>
        <w:tc>
          <w:tcPr>
            <w:tcW w:w="432" w:type="pct"/>
          </w:tcPr>
          <w:p w14:paraId="64FEEE3A" w14:textId="77777777" w:rsidR="00F92BE1" w:rsidRPr="0047058F" w:rsidRDefault="00F92BE1" w:rsidP="00C91013">
            <w:pPr>
              <w:pStyle w:val="TableText"/>
              <w:spacing w:before="38" w:after="38"/>
              <w:jc w:val="right"/>
              <w:rPr>
                <w:sz w:val="13"/>
              </w:rPr>
            </w:pPr>
          </w:p>
        </w:tc>
        <w:tc>
          <w:tcPr>
            <w:tcW w:w="451" w:type="pct"/>
          </w:tcPr>
          <w:p w14:paraId="23060721" w14:textId="77777777" w:rsidR="00F92BE1" w:rsidRPr="0047058F" w:rsidRDefault="00F92BE1" w:rsidP="00C91013">
            <w:pPr>
              <w:pStyle w:val="TableText"/>
              <w:spacing w:before="38" w:after="38"/>
              <w:jc w:val="right"/>
              <w:rPr>
                <w:sz w:val="13"/>
              </w:rPr>
            </w:pPr>
          </w:p>
        </w:tc>
        <w:tc>
          <w:tcPr>
            <w:tcW w:w="452" w:type="pct"/>
          </w:tcPr>
          <w:p w14:paraId="394C5195" w14:textId="77777777" w:rsidR="00F92BE1" w:rsidRPr="0047058F" w:rsidRDefault="00F92BE1" w:rsidP="00C91013">
            <w:pPr>
              <w:pStyle w:val="TableText"/>
              <w:spacing w:before="38" w:after="38"/>
              <w:jc w:val="right"/>
              <w:rPr>
                <w:sz w:val="13"/>
              </w:rPr>
            </w:pPr>
          </w:p>
        </w:tc>
        <w:tc>
          <w:tcPr>
            <w:tcW w:w="433" w:type="pct"/>
          </w:tcPr>
          <w:p w14:paraId="3FE29DBE" w14:textId="77777777" w:rsidR="00F92BE1" w:rsidRPr="0047058F" w:rsidRDefault="00F92BE1" w:rsidP="00C91013">
            <w:pPr>
              <w:pStyle w:val="TableText"/>
              <w:spacing w:before="38" w:after="38"/>
              <w:jc w:val="right"/>
              <w:rPr>
                <w:sz w:val="13"/>
              </w:rPr>
            </w:pPr>
          </w:p>
        </w:tc>
        <w:tc>
          <w:tcPr>
            <w:tcW w:w="433" w:type="pct"/>
          </w:tcPr>
          <w:p w14:paraId="73CA48FA" w14:textId="77777777" w:rsidR="00F92BE1" w:rsidRPr="0047058F" w:rsidRDefault="00F92BE1" w:rsidP="00C91013">
            <w:pPr>
              <w:pStyle w:val="TableText"/>
              <w:spacing w:before="38" w:after="38"/>
              <w:jc w:val="right"/>
              <w:rPr>
                <w:sz w:val="13"/>
              </w:rPr>
            </w:pPr>
          </w:p>
        </w:tc>
        <w:tc>
          <w:tcPr>
            <w:tcW w:w="281" w:type="pct"/>
          </w:tcPr>
          <w:p w14:paraId="325E9F8C"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&lt; 0.0001</w:t>
            </w:r>
          </w:p>
        </w:tc>
        <w:tc>
          <w:tcPr>
            <w:tcW w:w="282" w:type="pct"/>
          </w:tcPr>
          <w:p w14:paraId="731B9A18"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0.0004</w:t>
            </w:r>
          </w:p>
        </w:tc>
      </w:tr>
      <w:tr w:rsidR="00C91013" w:rsidRPr="0047058F" w14:paraId="1E009E68"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0BD80C12" w14:textId="77777777" w:rsidR="00F92BE1" w:rsidRPr="0047058F" w:rsidRDefault="00F92BE1" w:rsidP="00C91013">
            <w:pPr>
              <w:pStyle w:val="TableText"/>
              <w:spacing w:before="38" w:after="38"/>
              <w:ind w:left="144"/>
              <w:rPr>
                <w:rFonts w:eastAsiaTheme="minorEastAsia"/>
              </w:rPr>
            </w:pPr>
            <w:r w:rsidRPr="0047058F">
              <w:rPr>
                <w:rFonts w:eastAsiaTheme="minorEastAsia"/>
              </w:rPr>
              <w:t>No</w:t>
            </w:r>
          </w:p>
        </w:tc>
        <w:tc>
          <w:tcPr>
            <w:tcW w:w="196" w:type="pct"/>
          </w:tcPr>
          <w:p w14:paraId="7A53D053" w14:textId="77777777" w:rsidR="00F92BE1" w:rsidRPr="0047058F" w:rsidRDefault="00F92BE1" w:rsidP="00C91013">
            <w:pPr>
              <w:pStyle w:val="TableText"/>
              <w:spacing w:before="38" w:after="38"/>
              <w:jc w:val="right"/>
              <w:rPr>
                <w:sz w:val="13"/>
              </w:rPr>
            </w:pPr>
            <w:r w:rsidRPr="0047058F">
              <w:rPr>
                <w:rFonts w:cs="Arial"/>
                <w:sz w:val="13"/>
              </w:rPr>
              <w:t>89</w:t>
            </w:r>
          </w:p>
        </w:tc>
        <w:tc>
          <w:tcPr>
            <w:tcW w:w="472" w:type="pct"/>
          </w:tcPr>
          <w:p w14:paraId="7C6BEC6C" w14:textId="77777777" w:rsidR="00F92BE1" w:rsidRPr="0047058F" w:rsidRDefault="00F92BE1" w:rsidP="00C91013">
            <w:pPr>
              <w:pStyle w:val="TableText"/>
              <w:spacing w:before="38" w:after="38"/>
              <w:jc w:val="right"/>
              <w:rPr>
                <w:sz w:val="13"/>
              </w:rPr>
            </w:pPr>
            <w:r w:rsidRPr="0047058F">
              <w:rPr>
                <w:rFonts w:cs="Arial"/>
                <w:sz w:val="13"/>
              </w:rPr>
              <w:t>29.3 (12.8–45.8)</w:t>
            </w:r>
          </w:p>
        </w:tc>
        <w:tc>
          <w:tcPr>
            <w:tcW w:w="199" w:type="pct"/>
          </w:tcPr>
          <w:p w14:paraId="5359D735" w14:textId="77777777" w:rsidR="00F92BE1" w:rsidRPr="0047058F" w:rsidRDefault="00F92BE1" w:rsidP="00C91013">
            <w:pPr>
              <w:pStyle w:val="TableText"/>
              <w:spacing w:before="38" w:after="38"/>
              <w:jc w:val="right"/>
              <w:rPr>
                <w:sz w:val="13"/>
              </w:rPr>
            </w:pPr>
            <w:r w:rsidRPr="0047058F">
              <w:rPr>
                <w:rFonts w:cs="Arial"/>
                <w:sz w:val="13"/>
              </w:rPr>
              <w:t>109</w:t>
            </w:r>
          </w:p>
        </w:tc>
        <w:tc>
          <w:tcPr>
            <w:tcW w:w="431" w:type="pct"/>
          </w:tcPr>
          <w:p w14:paraId="38A1DC5A" w14:textId="77777777" w:rsidR="00F92BE1" w:rsidRPr="0047058F" w:rsidRDefault="00F92BE1" w:rsidP="00C91013">
            <w:pPr>
              <w:pStyle w:val="TableText"/>
              <w:spacing w:before="38" w:after="38"/>
              <w:jc w:val="right"/>
              <w:rPr>
                <w:sz w:val="13"/>
              </w:rPr>
            </w:pPr>
            <w:r w:rsidRPr="0047058F">
              <w:rPr>
                <w:rFonts w:cs="Arial"/>
                <w:sz w:val="13"/>
              </w:rPr>
              <w:t>35.9 (20.2–51.6)</w:t>
            </w:r>
          </w:p>
        </w:tc>
        <w:tc>
          <w:tcPr>
            <w:tcW w:w="194" w:type="pct"/>
          </w:tcPr>
          <w:p w14:paraId="348F4934" w14:textId="77777777" w:rsidR="00F92BE1" w:rsidRPr="0047058F" w:rsidRDefault="00F92BE1" w:rsidP="00C91013">
            <w:pPr>
              <w:pStyle w:val="TableText"/>
              <w:spacing w:before="38" w:after="38"/>
              <w:jc w:val="right"/>
              <w:rPr>
                <w:sz w:val="13"/>
              </w:rPr>
            </w:pPr>
            <w:r w:rsidRPr="0047058F">
              <w:rPr>
                <w:rFonts w:cs="Arial"/>
                <w:sz w:val="13"/>
              </w:rPr>
              <w:t>106</w:t>
            </w:r>
          </w:p>
        </w:tc>
        <w:tc>
          <w:tcPr>
            <w:tcW w:w="432" w:type="pct"/>
          </w:tcPr>
          <w:p w14:paraId="77F827EE" w14:textId="77777777" w:rsidR="00F92BE1" w:rsidRPr="0047058F" w:rsidRDefault="00F92BE1" w:rsidP="00C91013">
            <w:pPr>
              <w:pStyle w:val="TableText"/>
              <w:spacing w:before="38" w:after="38"/>
              <w:jc w:val="right"/>
              <w:rPr>
                <w:sz w:val="13"/>
              </w:rPr>
            </w:pPr>
            <w:r w:rsidRPr="0047058F">
              <w:rPr>
                <w:rFonts w:cs="Arial"/>
                <w:sz w:val="13"/>
              </w:rPr>
              <w:t>34.9 (19.1–50.7)</w:t>
            </w:r>
          </w:p>
        </w:tc>
        <w:tc>
          <w:tcPr>
            <w:tcW w:w="451" w:type="pct"/>
          </w:tcPr>
          <w:p w14:paraId="0620BFB7"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31677279"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689F5F20"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4511404B" w14:textId="77777777" w:rsidR="00F92BE1" w:rsidRPr="0047058F" w:rsidRDefault="00F92BE1" w:rsidP="00C91013">
            <w:pPr>
              <w:pStyle w:val="TableText"/>
              <w:spacing w:before="38" w:after="38"/>
              <w:jc w:val="right"/>
              <w:rPr>
                <w:sz w:val="13"/>
              </w:rPr>
            </w:pPr>
            <w:r w:rsidRPr="0047058F">
              <w:rPr>
                <w:sz w:val="13"/>
              </w:rPr>
              <w:t>ref</w:t>
            </w:r>
          </w:p>
        </w:tc>
        <w:tc>
          <w:tcPr>
            <w:tcW w:w="281" w:type="pct"/>
          </w:tcPr>
          <w:p w14:paraId="41DC45C7" w14:textId="77777777" w:rsidR="00F92BE1" w:rsidRPr="0047058F" w:rsidRDefault="00F92BE1" w:rsidP="00C91013">
            <w:pPr>
              <w:pStyle w:val="TableText"/>
              <w:spacing w:before="38" w:after="38"/>
              <w:jc w:val="right"/>
              <w:rPr>
                <w:color w:val="000000" w:themeColor="text1"/>
                <w:sz w:val="13"/>
              </w:rPr>
            </w:pPr>
          </w:p>
        </w:tc>
        <w:tc>
          <w:tcPr>
            <w:tcW w:w="282" w:type="pct"/>
          </w:tcPr>
          <w:p w14:paraId="3A6DB68A" w14:textId="77777777" w:rsidR="00F92BE1" w:rsidRPr="0047058F" w:rsidRDefault="00F92BE1" w:rsidP="00C91013">
            <w:pPr>
              <w:pStyle w:val="TableText"/>
              <w:spacing w:before="38" w:after="38"/>
              <w:jc w:val="right"/>
              <w:rPr>
                <w:color w:val="000000" w:themeColor="text1"/>
                <w:sz w:val="13"/>
              </w:rPr>
            </w:pPr>
          </w:p>
        </w:tc>
      </w:tr>
      <w:tr w:rsidR="00C91013" w:rsidRPr="0047058F" w14:paraId="4A021424" w14:textId="77777777" w:rsidTr="00C91013">
        <w:trPr>
          <w:cantSplit/>
        </w:trPr>
        <w:tc>
          <w:tcPr>
            <w:tcW w:w="744" w:type="pct"/>
          </w:tcPr>
          <w:p w14:paraId="18C9C032" w14:textId="77777777" w:rsidR="00F92BE1" w:rsidRPr="0047058F" w:rsidRDefault="00F92BE1" w:rsidP="00C91013">
            <w:pPr>
              <w:pStyle w:val="TableText"/>
              <w:spacing w:before="38" w:after="38"/>
              <w:ind w:left="144"/>
              <w:rPr>
                <w:rFonts w:eastAsiaTheme="minorEastAsia"/>
              </w:rPr>
            </w:pPr>
            <w:r w:rsidRPr="0047058F">
              <w:rPr>
                <w:rFonts w:eastAsiaTheme="minorEastAsia"/>
              </w:rPr>
              <w:t>Yes</w:t>
            </w:r>
          </w:p>
        </w:tc>
        <w:tc>
          <w:tcPr>
            <w:tcW w:w="196" w:type="pct"/>
          </w:tcPr>
          <w:p w14:paraId="0EDEEB6D" w14:textId="77777777" w:rsidR="00F92BE1" w:rsidRPr="0047058F" w:rsidRDefault="00F92BE1" w:rsidP="00C91013">
            <w:pPr>
              <w:pStyle w:val="TableText"/>
              <w:spacing w:before="38" w:after="38"/>
              <w:jc w:val="right"/>
              <w:rPr>
                <w:sz w:val="13"/>
              </w:rPr>
            </w:pPr>
            <w:r w:rsidRPr="0047058F">
              <w:rPr>
                <w:rFonts w:cs="Arial"/>
                <w:sz w:val="13"/>
              </w:rPr>
              <w:t>37</w:t>
            </w:r>
          </w:p>
        </w:tc>
        <w:tc>
          <w:tcPr>
            <w:tcW w:w="472" w:type="pct"/>
          </w:tcPr>
          <w:p w14:paraId="18FA5CFD" w14:textId="77777777" w:rsidR="00F92BE1" w:rsidRPr="0047058F" w:rsidRDefault="00F92BE1" w:rsidP="00C91013">
            <w:pPr>
              <w:pStyle w:val="TableText"/>
              <w:spacing w:before="38" w:after="38"/>
              <w:jc w:val="right"/>
              <w:rPr>
                <w:sz w:val="13"/>
              </w:rPr>
            </w:pPr>
            <w:r w:rsidRPr="0047058F">
              <w:rPr>
                <w:rFonts w:cs="Arial"/>
                <w:sz w:val="13"/>
              </w:rPr>
              <w:t>15.5 (0.0–33.5)</w:t>
            </w:r>
          </w:p>
        </w:tc>
        <w:tc>
          <w:tcPr>
            <w:tcW w:w="199" w:type="pct"/>
          </w:tcPr>
          <w:p w14:paraId="57CE05B7" w14:textId="77777777" w:rsidR="00F92BE1" w:rsidRPr="0047058F" w:rsidRDefault="00F92BE1" w:rsidP="00C91013">
            <w:pPr>
              <w:pStyle w:val="TableText"/>
              <w:spacing w:before="38" w:after="38"/>
              <w:jc w:val="right"/>
              <w:rPr>
                <w:sz w:val="13"/>
              </w:rPr>
            </w:pPr>
            <w:r w:rsidRPr="0047058F">
              <w:rPr>
                <w:rFonts w:cs="Arial"/>
                <w:sz w:val="13"/>
              </w:rPr>
              <w:t>70</w:t>
            </w:r>
          </w:p>
        </w:tc>
        <w:tc>
          <w:tcPr>
            <w:tcW w:w="431" w:type="pct"/>
          </w:tcPr>
          <w:p w14:paraId="15BE12FA" w14:textId="77777777" w:rsidR="00F92BE1" w:rsidRPr="0047058F" w:rsidRDefault="00F92BE1" w:rsidP="00C91013">
            <w:pPr>
              <w:pStyle w:val="TableText"/>
              <w:spacing w:before="38" w:after="38"/>
              <w:jc w:val="right"/>
              <w:rPr>
                <w:sz w:val="13"/>
              </w:rPr>
            </w:pPr>
            <w:r w:rsidRPr="0047058F">
              <w:rPr>
                <w:rFonts w:cs="Arial"/>
                <w:sz w:val="13"/>
              </w:rPr>
              <w:t>29.4 (12.9–45.9)</w:t>
            </w:r>
          </w:p>
        </w:tc>
        <w:tc>
          <w:tcPr>
            <w:tcW w:w="194" w:type="pct"/>
          </w:tcPr>
          <w:p w14:paraId="37EABDF6" w14:textId="77777777" w:rsidR="00F92BE1" w:rsidRPr="0047058F" w:rsidRDefault="00F92BE1" w:rsidP="00C91013">
            <w:pPr>
              <w:pStyle w:val="TableText"/>
              <w:spacing w:before="38" w:after="38"/>
              <w:jc w:val="right"/>
              <w:rPr>
                <w:sz w:val="13"/>
              </w:rPr>
            </w:pPr>
            <w:r w:rsidRPr="0047058F">
              <w:rPr>
                <w:rFonts w:cs="Arial"/>
                <w:sz w:val="13"/>
              </w:rPr>
              <w:t>131</w:t>
            </w:r>
          </w:p>
        </w:tc>
        <w:tc>
          <w:tcPr>
            <w:tcW w:w="432" w:type="pct"/>
          </w:tcPr>
          <w:p w14:paraId="43866899" w14:textId="77777777" w:rsidR="00F92BE1" w:rsidRPr="0047058F" w:rsidRDefault="00F92BE1" w:rsidP="00C91013">
            <w:pPr>
              <w:pStyle w:val="TableText"/>
              <w:spacing w:before="38" w:after="38"/>
              <w:jc w:val="right"/>
              <w:rPr>
                <w:sz w:val="13"/>
              </w:rPr>
            </w:pPr>
            <w:r w:rsidRPr="0047058F">
              <w:rPr>
                <w:rFonts w:cs="Arial"/>
                <w:sz w:val="13"/>
              </w:rPr>
              <w:t>55.0 (41.9–68.1)</w:t>
            </w:r>
          </w:p>
        </w:tc>
        <w:tc>
          <w:tcPr>
            <w:tcW w:w="451" w:type="pct"/>
          </w:tcPr>
          <w:p w14:paraId="16679472" w14:textId="77777777" w:rsidR="00F92BE1" w:rsidRPr="0047058F" w:rsidRDefault="00F92BE1" w:rsidP="00C91013">
            <w:pPr>
              <w:pStyle w:val="TableText"/>
              <w:spacing w:before="38" w:after="38"/>
              <w:jc w:val="right"/>
              <w:rPr>
                <w:sz w:val="13"/>
              </w:rPr>
            </w:pPr>
            <w:r w:rsidRPr="0047058F">
              <w:rPr>
                <w:sz w:val="13"/>
              </w:rPr>
              <w:t>1.67 (0.98–2.87)</w:t>
            </w:r>
          </w:p>
        </w:tc>
        <w:tc>
          <w:tcPr>
            <w:tcW w:w="452" w:type="pct"/>
          </w:tcPr>
          <w:p w14:paraId="1EB68B3E" w14:textId="77777777" w:rsidR="00F92BE1" w:rsidRPr="0047058F" w:rsidRDefault="00F92BE1" w:rsidP="00C91013">
            <w:pPr>
              <w:pStyle w:val="TableText"/>
              <w:spacing w:before="38" w:after="38"/>
              <w:jc w:val="right"/>
              <w:rPr>
                <w:sz w:val="13"/>
              </w:rPr>
            </w:pPr>
            <w:r w:rsidRPr="0047058F">
              <w:rPr>
                <w:sz w:val="13"/>
              </w:rPr>
              <w:t>1.61 (0.90–2.86)</w:t>
            </w:r>
          </w:p>
        </w:tc>
        <w:tc>
          <w:tcPr>
            <w:tcW w:w="433" w:type="pct"/>
          </w:tcPr>
          <w:p w14:paraId="5C089B58" w14:textId="77777777" w:rsidR="00F92BE1" w:rsidRPr="0047058F" w:rsidRDefault="00F92BE1" w:rsidP="00C91013">
            <w:pPr>
              <w:pStyle w:val="TableText"/>
              <w:spacing w:before="38" w:after="38"/>
              <w:jc w:val="right"/>
              <w:rPr>
                <w:sz w:val="13"/>
              </w:rPr>
            </w:pPr>
            <w:r w:rsidRPr="0047058F">
              <w:rPr>
                <w:sz w:val="13"/>
              </w:rPr>
              <w:t>3.45 (2.07–5.76)</w:t>
            </w:r>
          </w:p>
        </w:tc>
        <w:tc>
          <w:tcPr>
            <w:tcW w:w="433" w:type="pct"/>
          </w:tcPr>
          <w:p w14:paraId="513C664B" w14:textId="77777777" w:rsidR="00F92BE1" w:rsidRPr="0047058F" w:rsidRDefault="00F92BE1" w:rsidP="00C91013">
            <w:pPr>
              <w:pStyle w:val="TableText"/>
              <w:spacing w:before="38" w:after="38"/>
              <w:jc w:val="right"/>
              <w:rPr>
                <w:sz w:val="13"/>
              </w:rPr>
            </w:pPr>
            <w:r w:rsidRPr="0047058F">
              <w:rPr>
                <w:sz w:val="13"/>
              </w:rPr>
              <w:t>2.90 (1.65–5.09)</w:t>
            </w:r>
          </w:p>
        </w:tc>
        <w:tc>
          <w:tcPr>
            <w:tcW w:w="281" w:type="pct"/>
          </w:tcPr>
          <w:p w14:paraId="152D3798" w14:textId="77777777" w:rsidR="00F92BE1" w:rsidRPr="0047058F" w:rsidRDefault="00F92BE1" w:rsidP="00C91013">
            <w:pPr>
              <w:pStyle w:val="TableText"/>
              <w:spacing w:before="38" w:after="38"/>
              <w:jc w:val="right"/>
              <w:rPr>
                <w:color w:val="000000" w:themeColor="text1"/>
                <w:sz w:val="13"/>
              </w:rPr>
            </w:pPr>
          </w:p>
        </w:tc>
        <w:tc>
          <w:tcPr>
            <w:tcW w:w="282" w:type="pct"/>
          </w:tcPr>
          <w:p w14:paraId="02BA8EB9" w14:textId="77777777" w:rsidR="00F92BE1" w:rsidRPr="0047058F" w:rsidRDefault="00F92BE1" w:rsidP="00C91013">
            <w:pPr>
              <w:pStyle w:val="TableText"/>
              <w:spacing w:before="38" w:after="38"/>
              <w:jc w:val="right"/>
              <w:rPr>
                <w:color w:val="000000" w:themeColor="text1"/>
                <w:sz w:val="13"/>
              </w:rPr>
            </w:pPr>
          </w:p>
        </w:tc>
      </w:tr>
      <w:tr w:rsidR="00C91013" w:rsidRPr="0047058F" w14:paraId="725BC872"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bottom w:val="single" w:sz="4" w:space="0" w:color="000000"/>
            </w:tcBorders>
          </w:tcPr>
          <w:p w14:paraId="4CCB871D" w14:textId="77777777" w:rsidR="00F92BE1" w:rsidRPr="0047058F" w:rsidRDefault="00F92BE1" w:rsidP="00C91013">
            <w:pPr>
              <w:pStyle w:val="TableText"/>
              <w:spacing w:before="38" w:after="38"/>
            </w:pPr>
            <w:r w:rsidRPr="0047058F">
              <w:t>Resilience (mean)</w:t>
            </w:r>
          </w:p>
        </w:tc>
        <w:tc>
          <w:tcPr>
            <w:tcW w:w="196" w:type="pct"/>
            <w:tcBorders>
              <w:bottom w:val="single" w:sz="4" w:space="0" w:color="000000"/>
            </w:tcBorders>
          </w:tcPr>
          <w:p w14:paraId="370B52CE" w14:textId="77777777" w:rsidR="00F92BE1" w:rsidRPr="0047058F" w:rsidRDefault="00F92BE1" w:rsidP="00C91013">
            <w:pPr>
              <w:pStyle w:val="TableText"/>
              <w:spacing w:before="38" w:after="38"/>
              <w:jc w:val="right"/>
              <w:rPr>
                <w:sz w:val="13"/>
              </w:rPr>
            </w:pPr>
            <w:r w:rsidRPr="0047058F">
              <w:rPr>
                <w:rFonts w:cs="Arial"/>
                <w:sz w:val="13"/>
              </w:rPr>
              <w:t>126</w:t>
            </w:r>
          </w:p>
        </w:tc>
        <w:tc>
          <w:tcPr>
            <w:tcW w:w="472" w:type="pct"/>
            <w:tcBorders>
              <w:bottom w:val="single" w:sz="4" w:space="0" w:color="000000"/>
            </w:tcBorders>
          </w:tcPr>
          <w:p w14:paraId="4874788F" w14:textId="77777777" w:rsidR="00F92BE1" w:rsidRPr="0047058F" w:rsidRDefault="00F92BE1" w:rsidP="00C91013">
            <w:pPr>
              <w:pStyle w:val="TableText"/>
              <w:spacing w:before="38" w:after="38"/>
              <w:jc w:val="right"/>
              <w:rPr>
                <w:sz w:val="13"/>
              </w:rPr>
            </w:pPr>
            <w:r w:rsidRPr="0047058F">
              <w:rPr>
                <w:rFonts w:cs="Arial"/>
                <w:sz w:val="13"/>
              </w:rPr>
              <w:t>5.80 (0.15)</w:t>
            </w:r>
          </w:p>
        </w:tc>
        <w:tc>
          <w:tcPr>
            <w:tcW w:w="199" w:type="pct"/>
            <w:tcBorders>
              <w:bottom w:val="single" w:sz="4" w:space="0" w:color="000000"/>
            </w:tcBorders>
          </w:tcPr>
          <w:p w14:paraId="3741E9FB" w14:textId="77777777" w:rsidR="00F92BE1" w:rsidRPr="0047058F" w:rsidRDefault="00F92BE1" w:rsidP="00C91013">
            <w:pPr>
              <w:pStyle w:val="TableText"/>
              <w:spacing w:before="38" w:after="38"/>
              <w:jc w:val="right"/>
              <w:rPr>
                <w:sz w:val="13"/>
              </w:rPr>
            </w:pPr>
            <w:r w:rsidRPr="0047058F">
              <w:rPr>
                <w:rFonts w:cs="Arial"/>
                <w:sz w:val="13"/>
              </w:rPr>
              <w:t>179</w:t>
            </w:r>
          </w:p>
        </w:tc>
        <w:tc>
          <w:tcPr>
            <w:tcW w:w="431" w:type="pct"/>
            <w:tcBorders>
              <w:bottom w:val="single" w:sz="4" w:space="0" w:color="000000"/>
            </w:tcBorders>
          </w:tcPr>
          <w:p w14:paraId="76BA0877" w14:textId="77777777" w:rsidR="00F92BE1" w:rsidRPr="0047058F" w:rsidRDefault="00F92BE1" w:rsidP="00C91013">
            <w:pPr>
              <w:pStyle w:val="TableText"/>
              <w:spacing w:before="38" w:after="38"/>
              <w:jc w:val="right"/>
              <w:rPr>
                <w:sz w:val="13"/>
              </w:rPr>
            </w:pPr>
            <w:r w:rsidRPr="0047058F">
              <w:rPr>
                <w:rFonts w:cs="Arial"/>
                <w:sz w:val="13"/>
              </w:rPr>
              <w:t>5.64 (0.12)</w:t>
            </w:r>
          </w:p>
        </w:tc>
        <w:tc>
          <w:tcPr>
            <w:tcW w:w="194" w:type="pct"/>
            <w:tcBorders>
              <w:bottom w:val="single" w:sz="4" w:space="0" w:color="000000"/>
            </w:tcBorders>
          </w:tcPr>
          <w:p w14:paraId="59E3A59B" w14:textId="77777777" w:rsidR="00F92BE1" w:rsidRPr="0047058F" w:rsidRDefault="00F92BE1" w:rsidP="00C91013">
            <w:pPr>
              <w:pStyle w:val="TableText"/>
              <w:spacing w:before="38" w:after="38"/>
              <w:jc w:val="right"/>
              <w:rPr>
                <w:sz w:val="13"/>
              </w:rPr>
            </w:pPr>
            <w:r w:rsidRPr="0047058F">
              <w:rPr>
                <w:rFonts w:cs="Arial"/>
                <w:sz w:val="13"/>
              </w:rPr>
              <w:t>237</w:t>
            </w:r>
          </w:p>
        </w:tc>
        <w:tc>
          <w:tcPr>
            <w:tcW w:w="432" w:type="pct"/>
            <w:tcBorders>
              <w:bottom w:val="single" w:sz="4" w:space="0" w:color="000000"/>
            </w:tcBorders>
          </w:tcPr>
          <w:p w14:paraId="0D550633" w14:textId="77777777" w:rsidR="00F92BE1" w:rsidRPr="0047058F" w:rsidRDefault="00F92BE1" w:rsidP="00C91013">
            <w:pPr>
              <w:pStyle w:val="TableText"/>
              <w:spacing w:before="38" w:after="38"/>
              <w:jc w:val="right"/>
              <w:rPr>
                <w:sz w:val="13"/>
              </w:rPr>
            </w:pPr>
            <w:r w:rsidRPr="0047058F">
              <w:rPr>
                <w:rFonts w:cs="Arial"/>
                <w:sz w:val="13"/>
              </w:rPr>
              <w:t>5.25 (0.10)</w:t>
            </w:r>
          </w:p>
        </w:tc>
        <w:tc>
          <w:tcPr>
            <w:tcW w:w="451" w:type="pct"/>
            <w:tcBorders>
              <w:bottom w:val="single" w:sz="4" w:space="0" w:color="000000"/>
            </w:tcBorders>
          </w:tcPr>
          <w:p w14:paraId="11DB92AB" w14:textId="77777777" w:rsidR="00F92BE1" w:rsidRPr="0047058F" w:rsidRDefault="00F92BE1" w:rsidP="00C91013">
            <w:pPr>
              <w:pStyle w:val="TableText"/>
              <w:spacing w:before="38" w:after="38"/>
              <w:jc w:val="right"/>
              <w:rPr>
                <w:sz w:val="13"/>
              </w:rPr>
            </w:pPr>
            <w:r w:rsidRPr="0047058F">
              <w:rPr>
                <w:sz w:val="13"/>
              </w:rPr>
              <w:t>0.91 (0.77–1.08)</w:t>
            </w:r>
          </w:p>
        </w:tc>
        <w:tc>
          <w:tcPr>
            <w:tcW w:w="452" w:type="pct"/>
            <w:tcBorders>
              <w:bottom w:val="single" w:sz="4" w:space="0" w:color="000000"/>
            </w:tcBorders>
          </w:tcPr>
          <w:p w14:paraId="2F96702E" w14:textId="77777777" w:rsidR="00F92BE1" w:rsidRPr="0047058F" w:rsidRDefault="00F92BE1" w:rsidP="00C91013">
            <w:pPr>
              <w:pStyle w:val="TableText"/>
              <w:spacing w:before="38" w:after="38"/>
              <w:jc w:val="right"/>
              <w:rPr>
                <w:sz w:val="13"/>
              </w:rPr>
            </w:pPr>
            <w:r w:rsidRPr="0047058F">
              <w:rPr>
                <w:sz w:val="13"/>
              </w:rPr>
              <w:t>–</w:t>
            </w:r>
          </w:p>
        </w:tc>
        <w:tc>
          <w:tcPr>
            <w:tcW w:w="433" w:type="pct"/>
            <w:tcBorders>
              <w:bottom w:val="single" w:sz="4" w:space="0" w:color="000000"/>
            </w:tcBorders>
          </w:tcPr>
          <w:p w14:paraId="395A682F" w14:textId="77777777" w:rsidR="00F92BE1" w:rsidRPr="0047058F" w:rsidRDefault="00F92BE1" w:rsidP="00C91013">
            <w:pPr>
              <w:pStyle w:val="TableText"/>
              <w:spacing w:before="38" w:after="38"/>
              <w:jc w:val="right"/>
              <w:rPr>
                <w:sz w:val="13"/>
              </w:rPr>
            </w:pPr>
            <w:r w:rsidRPr="0047058F">
              <w:rPr>
                <w:sz w:val="13"/>
              </w:rPr>
              <w:t>0.77 (0.66–0.91)</w:t>
            </w:r>
          </w:p>
        </w:tc>
        <w:tc>
          <w:tcPr>
            <w:tcW w:w="433" w:type="pct"/>
            <w:tcBorders>
              <w:bottom w:val="single" w:sz="4" w:space="0" w:color="000000"/>
            </w:tcBorders>
          </w:tcPr>
          <w:p w14:paraId="5C5B93E3" w14:textId="77777777" w:rsidR="00F92BE1" w:rsidRPr="0047058F" w:rsidRDefault="00F92BE1" w:rsidP="00C91013">
            <w:pPr>
              <w:pStyle w:val="TableText"/>
              <w:spacing w:before="38" w:after="38"/>
              <w:jc w:val="right"/>
              <w:rPr>
                <w:sz w:val="13"/>
              </w:rPr>
            </w:pPr>
            <w:r w:rsidRPr="0047058F">
              <w:rPr>
                <w:sz w:val="13"/>
              </w:rPr>
              <w:t>–</w:t>
            </w:r>
          </w:p>
        </w:tc>
        <w:tc>
          <w:tcPr>
            <w:tcW w:w="281" w:type="pct"/>
            <w:tcBorders>
              <w:bottom w:val="single" w:sz="4" w:space="0" w:color="000000"/>
            </w:tcBorders>
          </w:tcPr>
          <w:p w14:paraId="404549E0"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0.0026</w:t>
            </w:r>
          </w:p>
        </w:tc>
        <w:tc>
          <w:tcPr>
            <w:tcW w:w="282" w:type="pct"/>
            <w:tcBorders>
              <w:bottom w:val="single" w:sz="4" w:space="0" w:color="000000"/>
            </w:tcBorders>
          </w:tcPr>
          <w:p w14:paraId="3D2FEB1F"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ns</w:t>
            </w:r>
          </w:p>
        </w:tc>
      </w:tr>
      <w:tr w:rsidR="00C91013" w:rsidRPr="0047058F" w14:paraId="2CD796F6" w14:textId="77777777" w:rsidTr="00C91013">
        <w:trPr>
          <w:cantSplit/>
        </w:trPr>
        <w:tc>
          <w:tcPr>
            <w:tcW w:w="5000" w:type="pct"/>
            <w:gridSpan w:val="13"/>
            <w:tcBorders>
              <w:top w:val="single" w:sz="4" w:space="0" w:color="000000"/>
              <w:bottom w:val="nil"/>
            </w:tcBorders>
          </w:tcPr>
          <w:p w14:paraId="4625A27E" w14:textId="77777777" w:rsidR="00C91013" w:rsidRPr="0047058F" w:rsidRDefault="00C91013" w:rsidP="00C91013">
            <w:pPr>
              <w:pStyle w:val="TableText"/>
              <w:spacing w:before="38" w:after="38"/>
              <w:rPr>
                <w:sz w:val="13"/>
              </w:rPr>
            </w:pPr>
            <w:r w:rsidRPr="0047058F">
              <w:rPr>
                <w:b/>
                <w:color w:val="000000" w:themeColor="text1"/>
              </w:rPr>
              <w:t>Help seeking (time point 1)</w:t>
            </w:r>
          </w:p>
        </w:tc>
      </w:tr>
      <w:tr w:rsidR="00C91013" w:rsidRPr="0047058F" w14:paraId="5484DCAA"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Borders>
              <w:top w:val="nil"/>
            </w:tcBorders>
          </w:tcPr>
          <w:p w14:paraId="65C73761" w14:textId="77777777" w:rsidR="00F92BE1" w:rsidRPr="0047058F" w:rsidRDefault="00F92BE1" w:rsidP="00C91013">
            <w:pPr>
              <w:pStyle w:val="TableText"/>
              <w:spacing w:before="38" w:after="38"/>
            </w:pPr>
            <w:r w:rsidRPr="0047058F">
              <w:t>Seen any health professional in last month for feelings of psychological distress</w:t>
            </w:r>
          </w:p>
        </w:tc>
        <w:tc>
          <w:tcPr>
            <w:tcW w:w="196" w:type="pct"/>
            <w:tcBorders>
              <w:top w:val="nil"/>
            </w:tcBorders>
          </w:tcPr>
          <w:p w14:paraId="26A4602D" w14:textId="77777777" w:rsidR="00F92BE1" w:rsidRPr="0047058F" w:rsidRDefault="00F92BE1" w:rsidP="00C91013">
            <w:pPr>
              <w:pStyle w:val="TableText"/>
              <w:spacing w:before="38" w:after="38"/>
              <w:jc w:val="right"/>
              <w:rPr>
                <w:sz w:val="13"/>
              </w:rPr>
            </w:pPr>
          </w:p>
        </w:tc>
        <w:tc>
          <w:tcPr>
            <w:tcW w:w="472" w:type="pct"/>
            <w:tcBorders>
              <w:top w:val="nil"/>
            </w:tcBorders>
          </w:tcPr>
          <w:p w14:paraId="0B0A7352" w14:textId="77777777" w:rsidR="00F92BE1" w:rsidRPr="0047058F" w:rsidRDefault="00F92BE1" w:rsidP="00C91013">
            <w:pPr>
              <w:pStyle w:val="TableText"/>
              <w:spacing w:before="38" w:after="38"/>
              <w:jc w:val="right"/>
              <w:rPr>
                <w:sz w:val="13"/>
              </w:rPr>
            </w:pPr>
          </w:p>
        </w:tc>
        <w:tc>
          <w:tcPr>
            <w:tcW w:w="199" w:type="pct"/>
            <w:tcBorders>
              <w:top w:val="nil"/>
            </w:tcBorders>
          </w:tcPr>
          <w:p w14:paraId="2AF6C384" w14:textId="77777777" w:rsidR="00F92BE1" w:rsidRPr="0047058F" w:rsidRDefault="00F92BE1" w:rsidP="00C91013">
            <w:pPr>
              <w:pStyle w:val="TableText"/>
              <w:spacing w:before="38" w:after="38"/>
              <w:jc w:val="right"/>
              <w:rPr>
                <w:sz w:val="13"/>
              </w:rPr>
            </w:pPr>
          </w:p>
        </w:tc>
        <w:tc>
          <w:tcPr>
            <w:tcW w:w="431" w:type="pct"/>
            <w:tcBorders>
              <w:top w:val="nil"/>
            </w:tcBorders>
          </w:tcPr>
          <w:p w14:paraId="57B777AB" w14:textId="77777777" w:rsidR="00F92BE1" w:rsidRPr="0047058F" w:rsidRDefault="00F92BE1" w:rsidP="00C91013">
            <w:pPr>
              <w:pStyle w:val="TableText"/>
              <w:spacing w:before="38" w:after="38"/>
              <w:jc w:val="right"/>
              <w:rPr>
                <w:sz w:val="13"/>
              </w:rPr>
            </w:pPr>
          </w:p>
        </w:tc>
        <w:tc>
          <w:tcPr>
            <w:tcW w:w="194" w:type="pct"/>
            <w:tcBorders>
              <w:top w:val="nil"/>
            </w:tcBorders>
          </w:tcPr>
          <w:p w14:paraId="3476B75C" w14:textId="77777777" w:rsidR="00F92BE1" w:rsidRPr="0047058F" w:rsidRDefault="00F92BE1" w:rsidP="00C91013">
            <w:pPr>
              <w:pStyle w:val="TableText"/>
              <w:spacing w:before="38" w:after="38"/>
              <w:jc w:val="right"/>
              <w:rPr>
                <w:sz w:val="13"/>
              </w:rPr>
            </w:pPr>
          </w:p>
        </w:tc>
        <w:tc>
          <w:tcPr>
            <w:tcW w:w="432" w:type="pct"/>
            <w:tcBorders>
              <w:top w:val="nil"/>
            </w:tcBorders>
          </w:tcPr>
          <w:p w14:paraId="49650EE6" w14:textId="77777777" w:rsidR="00F92BE1" w:rsidRPr="0047058F" w:rsidRDefault="00F92BE1" w:rsidP="00C91013">
            <w:pPr>
              <w:pStyle w:val="TableText"/>
              <w:spacing w:before="38" w:after="38"/>
              <w:jc w:val="right"/>
              <w:rPr>
                <w:sz w:val="13"/>
              </w:rPr>
            </w:pPr>
          </w:p>
        </w:tc>
        <w:tc>
          <w:tcPr>
            <w:tcW w:w="451" w:type="pct"/>
            <w:tcBorders>
              <w:top w:val="nil"/>
            </w:tcBorders>
          </w:tcPr>
          <w:p w14:paraId="44F97C86" w14:textId="77777777" w:rsidR="00F92BE1" w:rsidRPr="0047058F" w:rsidRDefault="00F92BE1" w:rsidP="00C91013">
            <w:pPr>
              <w:pStyle w:val="TableText"/>
              <w:spacing w:before="38" w:after="38"/>
              <w:jc w:val="right"/>
              <w:rPr>
                <w:sz w:val="13"/>
              </w:rPr>
            </w:pPr>
          </w:p>
        </w:tc>
        <w:tc>
          <w:tcPr>
            <w:tcW w:w="452" w:type="pct"/>
            <w:tcBorders>
              <w:top w:val="nil"/>
            </w:tcBorders>
          </w:tcPr>
          <w:p w14:paraId="322AFAE5" w14:textId="77777777" w:rsidR="00F92BE1" w:rsidRPr="0047058F" w:rsidRDefault="00F92BE1" w:rsidP="00C91013">
            <w:pPr>
              <w:pStyle w:val="TableText"/>
              <w:spacing w:before="38" w:after="38"/>
              <w:jc w:val="right"/>
              <w:rPr>
                <w:sz w:val="13"/>
              </w:rPr>
            </w:pPr>
          </w:p>
        </w:tc>
        <w:tc>
          <w:tcPr>
            <w:tcW w:w="433" w:type="pct"/>
            <w:tcBorders>
              <w:top w:val="nil"/>
            </w:tcBorders>
          </w:tcPr>
          <w:p w14:paraId="35E7F158" w14:textId="77777777" w:rsidR="00F92BE1" w:rsidRPr="0047058F" w:rsidRDefault="00F92BE1" w:rsidP="00C91013">
            <w:pPr>
              <w:pStyle w:val="TableText"/>
              <w:spacing w:before="38" w:after="38"/>
              <w:jc w:val="right"/>
              <w:rPr>
                <w:sz w:val="13"/>
              </w:rPr>
            </w:pPr>
          </w:p>
        </w:tc>
        <w:tc>
          <w:tcPr>
            <w:tcW w:w="433" w:type="pct"/>
            <w:tcBorders>
              <w:top w:val="nil"/>
            </w:tcBorders>
          </w:tcPr>
          <w:p w14:paraId="1E2281C1" w14:textId="77777777" w:rsidR="00F92BE1" w:rsidRPr="0047058F" w:rsidRDefault="00F92BE1" w:rsidP="00C91013">
            <w:pPr>
              <w:pStyle w:val="TableText"/>
              <w:spacing w:before="38" w:after="38"/>
              <w:jc w:val="right"/>
              <w:rPr>
                <w:sz w:val="13"/>
              </w:rPr>
            </w:pPr>
          </w:p>
        </w:tc>
        <w:tc>
          <w:tcPr>
            <w:tcW w:w="281" w:type="pct"/>
            <w:tcBorders>
              <w:top w:val="nil"/>
            </w:tcBorders>
          </w:tcPr>
          <w:p w14:paraId="2CD89937" w14:textId="77777777" w:rsidR="00F92BE1" w:rsidRPr="0047058F" w:rsidRDefault="00F92BE1" w:rsidP="00C91013">
            <w:pPr>
              <w:pStyle w:val="TableText"/>
              <w:spacing w:before="38" w:after="38"/>
              <w:jc w:val="right"/>
              <w:rPr>
                <w:sz w:val="13"/>
              </w:rPr>
            </w:pPr>
            <w:r w:rsidRPr="0047058F">
              <w:rPr>
                <w:sz w:val="13"/>
              </w:rPr>
              <w:t>&lt; 0.0001</w:t>
            </w:r>
          </w:p>
        </w:tc>
        <w:tc>
          <w:tcPr>
            <w:tcW w:w="282" w:type="pct"/>
            <w:tcBorders>
              <w:top w:val="nil"/>
            </w:tcBorders>
          </w:tcPr>
          <w:p w14:paraId="0C7A8D21" w14:textId="77777777" w:rsidR="00F92BE1" w:rsidRPr="0047058F" w:rsidRDefault="00F92BE1" w:rsidP="00C91013">
            <w:pPr>
              <w:pStyle w:val="TableText"/>
              <w:spacing w:before="38" w:after="38"/>
              <w:jc w:val="right"/>
              <w:rPr>
                <w:sz w:val="13"/>
              </w:rPr>
            </w:pPr>
            <w:r w:rsidRPr="0047058F">
              <w:rPr>
                <w:sz w:val="13"/>
              </w:rPr>
              <w:t>&lt; 0.0001</w:t>
            </w:r>
          </w:p>
        </w:tc>
      </w:tr>
      <w:tr w:rsidR="00C91013" w:rsidRPr="0047058F" w14:paraId="635E8325" w14:textId="77777777" w:rsidTr="00C91013">
        <w:trPr>
          <w:cantSplit/>
        </w:trPr>
        <w:tc>
          <w:tcPr>
            <w:tcW w:w="744" w:type="pct"/>
          </w:tcPr>
          <w:p w14:paraId="08125003" w14:textId="77777777" w:rsidR="00F92BE1" w:rsidRPr="0047058F" w:rsidRDefault="00F92BE1" w:rsidP="00C91013">
            <w:pPr>
              <w:pStyle w:val="TableText"/>
              <w:spacing w:before="38" w:after="38"/>
              <w:ind w:left="144"/>
              <w:rPr>
                <w:rFonts w:eastAsia="Cambria" w:cs="Arial"/>
              </w:rPr>
            </w:pPr>
            <w:r w:rsidRPr="0047058F">
              <w:rPr>
                <w:rFonts w:eastAsia="Cambria" w:cs="Arial"/>
              </w:rPr>
              <w:t>No</w:t>
            </w:r>
          </w:p>
        </w:tc>
        <w:tc>
          <w:tcPr>
            <w:tcW w:w="196" w:type="pct"/>
          </w:tcPr>
          <w:p w14:paraId="419425EF" w14:textId="77777777" w:rsidR="00F92BE1" w:rsidRPr="0047058F" w:rsidRDefault="00F92BE1" w:rsidP="00C91013">
            <w:pPr>
              <w:pStyle w:val="TableText"/>
              <w:spacing w:before="38" w:after="38"/>
              <w:jc w:val="right"/>
              <w:rPr>
                <w:sz w:val="13"/>
              </w:rPr>
            </w:pPr>
            <w:r w:rsidRPr="0047058F">
              <w:rPr>
                <w:rFonts w:cs="Arial"/>
                <w:sz w:val="13"/>
              </w:rPr>
              <w:t>92</w:t>
            </w:r>
          </w:p>
        </w:tc>
        <w:tc>
          <w:tcPr>
            <w:tcW w:w="472" w:type="pct"/>
          </w:tcPr>
          <w:p w14:paraId="6B80070E" w14:textId="77777777" w:rsidR="00F92BE1" w:rsidRPr="0047058F" w:rsidRDefault="00F92BE1" w:rsidP="00C91013">
            <w:pPr>
              <w:pStyle w:val="TableText"/>
              <w:spacing w:before="38" w:after="38"/>
              <w:jc w:val="right"/>
              <w:rPr>
                <w:sz w:val="13"/>
              </w:rPr>
            </w:pPr>
            <w:r w:rsidRPr="0047058F">
              <w:rPr>
                <w:rFonts w:cs="Arial"/>
                <w:sz w:val="13"/>
              </w:rPr>
              <w:t>27.8 (11.1–44.5)</w:t>
            </w:r>
          </w:p>
        </w:tc>
        <w:tc>
          <w:tcPr>
            <w:tcW w:w="199" w:type="pct"/>
          </w:tcPr>
          <w:p w14:paraId="299B9DFF" w14:textId="77777777" w:rsidR="00F92BE1" w:rsidRPr="0047058F" w:rsidRDefault="00F92BE1" w:rsidP="00C91013">
            <w:pPr>
              <w:pStyle w:val="TableText"/>
              <w:spacing w:before="38" w:after="38"/>
              <w:jc w:val="right"/>
              <w:rPr>
                <w:sz w:val="13"/>
              </w:rPr>
            </w:pPr>
            <w:r w:rsidRPr="0047058F">
              <w:rPr>
                <w:rFonts w:cs="Arial"/>
                <w:sz w:val="13"/>
              </w:rPr>
              <w:t>124</w:t>
            </w:r>
          </w:p>
        </w:tc>
        <w:tc>
          <w:tcPr>
            <w:tcW w:w="431" w:type="pct"/>
          </w:tcPr>
          <w:p w14:paraId="5209077E" w14:textId="77777777" w:rsidR="00F92BE1" w:rsidRPr="0047058F" w:rsidRDefault="00F92BE1" w:rsidP="00C91013">
            <w:pPr>
              <w:pStyle w:val="TableText"/>
              <w:spacing w:before="38" w:after="38"/>
              <w:jc w:val="right"/>
              <w:rPr>
                <w:sz w:val="13"/>
              </w:rPr>
            </w:pPr>
            <w:r w:rsidRPr="0047058F">
              <w:rPr>
                <w:rFonts w:cs="Arial"/>
                <w:sz w:val="13"/>
              </w:rPr>
              <w:t>37.5 (22.0–53.0)</w:t>
            </w:r>
          </w:p>
        </w:tc>
        <w:tc>
          <w:tcPr>
            <w:tcW w:w="194" w:type="pct"/>
          </w:tcPr>
          <w:p w14:paraId="3F714E08" w14:textId="77777777" w:rsidR="00F92BE1" w:rsidRPr="0047058F" w:rsidRDefault="00F92BE1" w:rsidP="00C91013">
            <w:pPr>
              <w:pStyle w:val="TableText"/>
              <w:spacing w:before="38" w:after="38"/>
              <w:jc w:val="right"/>
              <w:rPr>
                <w:sz w:val="13"/>
              </w:rPr>
            </w:pPr>
            <w:r w:rsidRPr="0047058F">
              <w:rPr>
                <w:rFonts w:cs="Arial"/>
                <w:sz w:val="13"/>
              </w:rPr>
              <w:t>115</w:t>
            </w:r>
          </w:p>
        </w:tc>
        <w:tc>
          <w:tcPr>
            <w:tcW w:w="432" w:type="pct"/>
          </w:tcPr>
          <w:p w14:paraId="78CB59E7" w14:textId="77777777" w:rsidR="00F92BE1" w:rsidRPr="0047058F" w:rsidRDefault="00F92BE1" w:rsidP="00C91013">
            <w:pPr>
              <w:pStyle w:val="TableText"/>
              <w:spacing w:before="38" w:after="38"/>
              <w:jc w:val="right"/>
              <w:rPr>
                <w:sz w:val="13"/>
              </w:rPr>
            </w:pPr>
            <w:r w:rsidRPr="0047058F">
              <w:rPr>
                <w:rFonts w:cs="Arial"/>
                <w:sz w:val="13"/>
              </w:rPr>
              <w:t>34.7 (18.9–50.5)</w:t>
            </w:r>
          </w:p>
        </w:tc>
        <w:tc>
          <w:tcPr>
            <w:tcW w:w="451" w:type="pct"/>
          </w:tcPr>
          <w:p w14:paraId="2C44DA52" w14:textId="77777777" w:rsidR="00F92BE1" w:rsidRPr="0047058F" w:rsidRDefault="00F92BE1" w:rsidP="00C91013">
            <w:pPr>
              <w:pStyle w:val="TableText"/>
              <w:spacing w:before="38" w:after="38"/>
              <w:jc w:val="right"/>
              <w:rPr>
                <w:sz w:val="13"/>
              </w:rPr>
            </w:pPr>
            <w:r w:rsidRPr="0047058F">
              <w:rPr>
                <w:sz w:val="13"/>
              </w:rPr>
              <w:t>ref</w:t>
            </w:r>
          </w:p>
        </w:tc>
        <w:tc>
          <w:tcPr>
            <w:tcW w:w="452" w:type="pct"/>
          </w:tcPr>
          <w:p w14:paraId="687848BD"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698B6967" w14:textId="77777777" w:rsidR="00F92BE1" w:rsidRPr="0047058F" w:rsidRDefault="00F92BE1" w:rsidP="00C91013">
            <w:pPr>
              <w:pStyle w:val="TableText"/>
              <w:spacing w:before="38" w:after="38"/>
              <w:jc w:val="right"/>
              <w:rPr>
                <w:sz w:val="13"/>
              </w:rPr>
            </w:pPr>
            <w:r w:rsidRPr="0047058F">
              <w:rPr>
                <w:sz w:val="13"/>
              </w:rPr>
              <w:t>ref</w:t>
            </w:r>
          </w:p>
        </w:tc>
        <w:tc>
          <w:tcPr>
            <w:tcW w:w="433" w:type="pct"/>
          </w:tcPr>
          <w:p w14:paraId="24578018" w14:textId="77777777" w:rsidR="00F92BE1" w:rsidRPr="0047058F" w:rsidRDefault="00F92BE1" w:rsidP="00C91013">
            <w:pPr>
              <w:pStyle w:val="TableText"/>
              <w:spacing w:before="38" w:after="38"/>
              <w:jc w:val="right"/>
              <w:rPr>
                <w:sz w:val="13"/>
              </w:rPr>
            </w:pPr>
            <w:r w:rsidRPr="0047058F">
              <w:rPr>
                <w:sz w:val="13"/>
              </w:rPr>
              <w:t>ref</w:t>
            </w:r>
          </w:p>
        </w:tc>
        <w:tc>
          <w:tcPr>
            <w:tcW w:w="281" w:type="pct"/>
          </w:tcPr>
          <w:p w14:paraId="4BD9CCDE" w14:textId="77777777" w:rsidR="00F92BE1" w:rsidRPr="0047058F" w:rsidRDefault="00F92BE1" w:rsidP="00C91013">
            <w:pPr>
              <w:pStyle w:val="TableText"/>
              <w:spacing w:before="38" w:after="38"/>
              <w:jc w:val="right"/>
              <w:rPr>
                <w:sz w:val="13"/>
              </w:rPr>
            </w:pPr>
          </w:p>
        </w:tc>
        <w:tc>
          <w:tcPr>
            <w:tcW w:w="282" w:type="pct"/>
          </w:tcPr>
          <w:p w14:paraId="7D954AAB" w14:textId="77777777" w:rsidR="00F92BE1" w:rsidRPr="0047058F" w:rsidRDefault="00F92BE1" w:rsidP="00C91013">
            <w:pPr>
              <w:pStyle w:val="TableText"/>
              <w:spacing w:before="38" w:after="38"/>
              <w:jc w:val="right"/>
              <w:rPr>
                <w:sz w:val="13"/>
              </w:rPr>
            </w:pPr>
          </w:p>
        </w:tc>
      </w:tr>
      <w:tr w:rsidR="00C91013" w:rsidRPr="0047058F" w14:paraId="52A59AA7"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BDA1A8D" w14:textId="77777777" w:rsidR="00F92BE1" w:rsidRPr="0047058F" w:rsidRDefault="00F92BE1" w:rsidP="00C91013">
            <w:pPr>
              <w:pStyle w:val="TableText"/>
              <w:spacing w:before="38" w:after="38"/>
              <w:ind w:left="144"/>
              <w:rPr>
                <w:rFonts w:eastAsiaTheme="minorEastAsia"/>
              </w:rPr>
            </w:pPr>
            <w:r w:rsidRPr="0047058F">
              <w:rPr>
                <w:rFonts w:eastAsiaTheme="minorEastAsia"/>
              </w:rPr>
              <w:t>Yes</w:t>
            </w:r>
          </w:p>
        </w:tc>
        <w:tc>
          <w:tcPr>
            <w:tcW w:w="196" w:type="pct"/>
          </w:tcPr>
          <w:p w14:paraId="39397395" w14:textId="77777777" w:rsidR="00F92BE1" w:rsidRPr="0047058F" w:rsidRDefault="00F92BE1" w:rsidP="00C91013">
            <w:pPr>
              <w:pStyle w:val="TableText"/>
              <w:spacing w:before="38" w:after="38"/>
              <w:jc w:val="right"/>
              <w:rPr>
                <w:sz w:val="13"/>
              </w:rPr>
            </w:pPr>
            <w:r w:rsidRPr="0047058F">
              <w:rPr>
                <w:rFonts w:cs="Arial"/>
                <w:sz w:val="13"/>
              </w:rPr>
              <w:t>34</w:t>
            </w:r>
          </w:p>
        </w:tc>
        <w:tc>
          <w:tcPr>
            <w:tcW w:w="472" w:type="pct"/>
          </w:tcPr>
          <w:p w14:paraId="6C13E53B" w14:textId="77777777" w:rsidR="00F92BE1" w:rsidRPr="0047058F" w:rsidRDefault="00F92BE1" w:rsidP="00C91013">
            <w:pPr>
              <w:pStyle w:val="TableText"/>
              <w:spacing w:before="38" w:after="38"/>
              <w:jc w:val="right"/>
              <w:rPr>
                <w:sz w:val="13"/>
              </w:rPr>
            </w:pPr>
            <w:r w:rsidRPr="0047058F">
              <w:rPr>
                <w:rFonts w:cs="Arial"/>
                <w:sz w:val="13"/>
              </w:rPr>
              <w:t>16.1 (0.0–34.1)</w:t>
            </w:r>
          </w:p>
        </w:tc>
        <w:tc>
          <w:tcPr>
            <w:tcW w:w="199" w:type="pct"/>
          </w:tcPr>
          <w:p w14:paraId="524DFAEC" w14:textId="77777777" w:rsidR="00F92BE1" w:rsidRPr="0047058F" w:rsidRDefault="00F92BE1" w:rsidP="00C91013">
            <w:pPr>
              <w:pStyle w:val="TableText"/>
              <w:spacing w:before="38" w:after="38"/>
              <w:jc w:val="right"/>
              <w:rPr>
                <w:sz w:val="13"/>
              </w:rPr>
            </w:pPr>
            <w:r w:rsidRPr="0047058F">
              <w:rPr>
                <w:rFonts w:cs="Arial"/>
                <w:sz w:val="13"/>
              </w:rPr>
              <w:t>55</w:t>
            </w:r>
          </w:p>
        </w:tc>
        <w:tc>
          <w:tcPr>
            <w:tcW w:w="431" w:type="pct"/>
          </w:tcPr>
          <w:p w14:paraId="14A01E8E" w14:textId="77777777" w:rsidR="00F92BE1" w:rsidRPr="0047058F" w:rsidRDefault="00F92BE1" w:rsidP="00C91013">
            <w:pPr>
              <w:pStyle w:val="TableText"/>
              <w:spacing w:before="38" w:after="38"/>
              <w:jc w:val="right"/>
              <w:rPr>
                <w:sz w:val="13"/>
              </w:rPr>
            </w:pPr>
            <w:r w:rsidRPr="0047058F">
              <w:rPr>
                <w:rFonts w:cs="Arial"/>
                <w:sz w:val="13"/>
              </w:rPr>
              <w:t>26.1 (9.3–42.9)</w:t>
            </w:r>
          </w:p>
        </w:tc>
        <w:tc>
          <w:tcPr>
            <w:tcW w:w="194" w:type="pct"/>
          </w:tcPr>
          <w:p w14:paraId="5DC0F9DD" w14:textId="77777777" w:rsidR="00F92BE1" w:rsidRPr="0047058F" w:rsidRDefault="00F92BE1" w:rsidP="00C91013">
            <w:pPr>
              <w:pStyle w:val="TableText"/>
              <w:spacing w:before="38" w:after="38"/>
              <w:jc w:val="right"/>
              <w:rPr>
                <w:sz w:val="13"/>
              </w:rPr>
            </w:pPr>
            <w:r w:rsidRPr="0047058F">
              <w:rPr>
                <w:rFonts w:cs="Arial"/>
                <w:sz w:val="13"/>
              </w:rPr>
              <w:t>122</w:t>
            </w:r>
          </w:p>
        </w:tc>
        <w:tc>
          <w:tcPr>
            <w:tcW w:w="432" w:type="pct"/>
          </w:tcPr>
          <w:p w14:paraId="4F3E69AD" w14:textId="77777777" w:rsidR="00F92BE1" w:rsidRPr="0047058F" w:rsidRDefault="00F92BE1" w:rsidP="00C91013">
            <w:pPr>
              <w:pStyle w:val="TableText"/>
              <w:spacing w:before="38" w:after="38"/>
              <w:jc w:val="right"/>
              <w:rPr>
                <w:sz w:val="13"/>
              </w:rPr>
            </w:pPr>
            <w:r w:rsidRPr="0047058F">
              <w:rPr>
                <w:rFonts w:cs="Arial"/>
                <w:sz w:val="13"/>
              </w:rPr>
              <w:t>57.8 (45.1–70.5)</w:t>
            </w:r>
          </w:p>
        </w:tc>
        <w:tc>
          <w:tcPr>
            <w:tcW w:w="451" w:type="pct"/>
          </w:tcPr>
          <w:p w14:paraId="2868FC3F" w14:textId="77777777" w:rsidR="00F92BE1" w:rsidRPr="0047058F" w:rsidRDefault="00F92BE1" w:rsidP="00C91013">
            <w:pPr>
              <w:pStyle w:val="TableText"/>
              <w:spacing w:before="38" w:after="38"/>
              <w:jc w:val="right"/>
              <w:rPr>
                <w:sz w:val="13"/>
              </w:rPr>
            </w:pPr>
            <w:r w:rsidRPr="0047058F">
              <w:rPr>
                <w:sz w:val="13"/>
              </w:rPr>
              <w:t>1.41 (0.80–2.50)</w:t>
            </w:r>
          </w:p>
        </w:tc>
        <w:tc>
          <w:tcPr>
            <w:tcW w:w="452" w:type="pct"/>
          </w:tcPr>
          <w:p w14:paraId="5EA1D407" w14:textId="77777777" w:rsidR="00F92BE1" w:rsidRPr="0047058F" w:rsidRDefault="00F92BE1" w:rsidP="00C91013">
            <w:pPr>
              <w:pStyle w:val="TableText"/>
              <w:spacing w:before="38" w:after="38"/>
              <w:jc w:val="right"/>
              <w:rPr>
                <w:sz w:val="13"/>
              </w:rPr>
            </w:pPr>
            <w:r w:rsidRPr="0047058F">
              <w:rPr>
                <w:sz w:val="13"/>
              </w:rPr>
              <w:t>1.24 (0.68–2.26)</w:t>
            </w:r>
          </w:p>
        </w:tc>
        <w:tc>
          <w:tcPr>
            <w:tcW w:w="433" w:type="pct"/>
          </w:tcPr>
          <w:p w14:paraId="014FF3E7" w14:textId="77777777" w:rsidR="00F92BE1" w:rsidRPr="0047058F" w:rsidRDefault="00F92BE1" w:rsidP="00C91013">
            <w:pPr>
              <w:pStyle w:val="TableText"/>
              <w:spacing w:before="38" w:after="38"/>
              <w:jc w:val="right"/>
              <w:rPr>
                <w:sz w:val="13"/>
              </w:rPr>
            </w:pPr>
            <w:r w:rsidRPr="0047058F">
              <w:rPr>
                <w:sz w:val="13"/>
              </w:rPr>
              <w:t>3.74 (2.20–6.38)</w:t>
            </w:r>
          </w:p>
        </w:tc>
        <w:tc>
          <w:tcPr>
            <w:tcW w:w="433" w:type="pct"/>
          </w:tcPr>
          <w:p w14:paraId="734C92D9" w14:textId="77777777" w:rsidR="00F92BE1" w:rsidRPr="0047058F" w:rsidRDefault="00F92BE1" w:rsidP="00C91013">
            <w:pPr>
              <w:pStyle w:val="TableText"/>
              <w:spacing w:before="38" w:after="38"/>
              <w:jc w:val="right"/>
              <w:rPr>
                <w:sz w:val="13"/>
              </w:rPr>
            </w:pPr>
            <w:r w:rsidRPr="0047058F">
              <w:rPr>
                <w:sz w:val="13"/>
              </w:rPr>
              <w:t>3.33 (1.88–5.90)</w:t>
            </w:r>
          </w:p>
        </w:tc>
        <w:tc>
          <w:tcPr>
            <w:tcW w:w="281" w:type="pct"/>
          </w:tcPr>
          <w:p w14:paraId="5BAA75EF" w14:textId="77777777" w:rsidR="00F92BE1" w:rsidRPr="0047058F" w:rsidRDefault="00F92BE1" w:rsidP="00C91013">
            <w:pPr>
              <w:pStyle w:val="TableText"/>
              <w:spacing w:before="38" w:after="38"/>
              <w:jc w:val="right"/>
              <w:rPr>
                <w:sz w:val="13"/>
              </w:rPr>
            </w:pPr>
          </w:p>
        </w:tc>
        <w:tc>
          <w:tcPr>
            <w:tcW w:w="282" w:type="pct"/>
          </w:tcPr>
          <w:p w14:paraId="357B34CE" w14:textId="77777777" w:rsidR="00F92BE1" w:rsidRPr="0047058F" w:rsidRDefault="00F92BE1" w:rsidP="00C91013">
            <w:pPr>
              <w:pStyle w:val="TableText"/>
              <w:spacing w:before="38" w:after="38"/>
              <w:jc w:val="right"/>
              <w:rPr>
                <w:sz w:val="13"/>
              </w:rPr>
            </w:pPr>
          </w:p>
        </w:tc>
      </w:tr>
      <w:tr w:rsidR="00C91013" w:rsidRPr="0047058F" w14:paraId="232E1EA9" w14:textId="77777777" w:rsidTr="00C91013">
        <w:trPr>
          <w:cantSplit/>
        </w:trPr>
        <w:tc>
          <w:tcPr>
            <w:tcW w:w="5000" w:type="pct"/>
            <w:gridSpan w:val="13"/>
          </w:tcPr>
          <w:p w14:paraId="362ACE03" w14:textId="7574E2A2" w:rsidR="00C91013" w:rsidRPr="0047058F" w:rsidRDefault="00C91013" w:rsidP="003876A3">
            <w:pPr>
              <w:pStyle w:val="TableText"/>
              <w:spacing w:before="38" w:after="38"/>
              <w:rPr>
                <w:color w:val="000000" w:themeColor="text1"/>
                <w:sz w:val="13"/>
              </w:rPr>
            </w:pPr>
            <w:r w:rsidRPr="0047058F">
              <w:rPr>
                <w:rFonts w:eastAsiaTheme="minorEastAsia"/>
                <w:b/>
                <w:lang w:eastAsia="en-AU"/>
              </w:rPr>
              <w:t>Lifetime trauma and deployment exposures (time point 2)</w:t>
            </w:r>
          </w:p>
        </w:tc>
      </w:tr>
      <w:tr w:rsidR="00C91013" w:rsidRPr="0047058F" w14:paraId="2FE1AE89"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3B5AFD81" w14:textId="77777777" w:rsidR="00F92BE1" w:rsidRPr="0047058F" w:rsidRDefault="00F92BE1" w:rsidP="00C91013">
            <w:pPr>
              <w:pStyle w:val="TableText"/>
              <w:spacing w:before="38" w:after="38"/>
              <w:rPr>
                <w:rFonts w:eastAsia="Cambria" w:cs="Arial"/>
                <w:color w:val="000000" w:themeColor="text1"/>
              </w:rPr>
            </w:pPr>
            <w:r w:rsidRPr="0047058F">
              <w:rPr>
                <w:rFonts w:eastAsia="Cambria" w:cs="Arial"/>
                <w:color w:val="000000" w:themeColor="text1"/>
              </w:rPr>
              <w:t>Number of different traumatic deployment exposures</w:t>
            </w:r>
          </w:p>
        </w:tc>
        <w:tc>
          <w:tcPr>
            <w:tcW w:w="196" w:type="pct"/>
          </w:tcPr>
          <w:p w14:paraId="2CBC1BFA" w14:textId="77777777" w:rsidR="00F92BE1" w:rsidRPr="0047058F" w:rsidRDefault="00F92BE1" w:rsidP="00C91013">
            <w:pPr>
              <w:pStyle w:val="TableText"/>
              <w:spacing w:before="38" w:after="38"/>
              <w:jc w:val="right"/>
              <w:rPr>
                <w:color w:val="000000" w:themeColor="text1"/>
                <w:sz w:val="13"/>
              </w:rPr>
            </w:pPr>
          </w:p>
        </w:tc>
        <w:tc>
          <w:tcPr>
            <w:tcW w:w="472" w:type="pct"/>
          </w:tcPr>
          <w:p w14:paraId="4789FEB1" w14:textId="77777777" w:rsidR="00F92BE1" w:rsidRPr="0047058F" w:rsidRDefault="00F92BE1" w:rsidP="00C91013">
            <w:pPr>
              <w:pStyle w:val="TableText"/>
              <w:spacing w:before="38" w:after="38"/>
              <w:jc w:val="right"/>
              <w:rPr>
                <w:color w:val="000000" w:themeColor="text1"/>
                <w:sz w:val="13"/>
              </w:rPr>
            </w:pPr>
          </w:p>
        </w:tc>
        <w:tc>
          <w:tcPr>
            <w:tcW w:w="199" w:type="pct"/>
          </w:tcPr>
          <w:p w14:paraId="13FCA0F9" w14:textId="77777777" w:rsidR="00F92BE1" w:rsidRPr="0047058F" w:rsidRDefault="00F92BE1" w:rsidP="00C91013">
            <w:pPr>
              <w:pStyle w:val="TableText"/>
              <w:spacing w:before="38" w:after="38"/>
              <w:jc w:val="right"/>
              <w:rPr>
                <w:color w:val="000000" w:themeColor="text1"/>
                <w:sz w:val="13"/>
              </w:rPr>
            </w:pPr>
          </w:p>
        </w:tc>
        <w:tc>
          <w:tcPr>
            <w:tcW w:w="431" w:type="pct"/>
          </w:tcPr>
          <w:p w14:paraId="5DB82DAC" w14:textId="77777777" w:rsidR="00F92BE1" w:rsidRPr="0047058F" w:rsidRDefault="00F92BE1" w:rsidP="00C91013">
            <w:pPr>
              <w:pStyle w:val="TableText"/>
              <w:spacing w:before="38" w:after="38"/>
              <w:jc w:val="right"/>
              <w:rPr>
                <w:color w:val="000000" w:themeColor="text1"/>
                <w:sz w:val="13"/>
              </w:rPr>
            </w:pPr>
          </w:p>
        </w:tc>
        <w:tc>
          <w:tcPr>
            <w:tcW w:w="194" w:type="pct"/>
          </w:tcPr>
          <w:p w14:paraId="7DBD08AE" w14:textId="77777777" w:rsidR="00F92BE1" w:rsidRPr="0047058F" w:rsidRDefault="00F92BE1" w:rsidP="00C91013">
            <w:pPr>
              <w:pStyle w:val="TableText"/>
              <w:spacing w:before="38" w:after="38"/>
              <w:jc w:val="right"/>
              <w:rPr>
                <w:color w:val="000000" w:themeColor="text1"/>
                <w:sz w:val="13"/>
              </w:rPr>
            </w:pPr>
          </w:p>
        </w:tc>
        <w:tc>
          <w:tcPr>
            <w:tcW w:w="432" w:type="pct"/>
          </w:tcPr>
          <w:p w14:paraId="5802FC50" w14:textId="77777777" w:rsidR="00F92BE1" w:rsidRPr="0047058F" w:rsidRDefault="00F92BE1" w:rsidP="00C91013">
            <w:pPr>
              <w:pStyle w:val="TableText"/>
              <w:spacing w:before="38" w:after="38"/>
              <w:jc w:val="right"/>
              <w:rPr>
                <w:color w:val="000000" w:themeColor="text1"/>
                <w:sz w:val="13"/>
              </w:rPr>
            </w:pPr>
          </w:p>
        </w:tc>
        <w:tc>
          <w:tcPr>
            <w:tcW w:w="451" w:type="pct"/>
          </w:tcPr>
          <w:p w14:paraId="059661B5" w14:textId="77777777" w:rsidR="00F92BE1" w:rsidRPr="0047058F" w:rsidRDefault="00F92BE1" w:rsidP="00C91013">
            <w:pPr>
              <w:pStyle w:val="TableText"/>
              <w:spacing w:before="38" w:after="38"/>
              <w:jc w:val="right"/>
              <w:rPr>
                <w:color w:val="000000" w:themeColor="text1"/>
                <w:sz w:val="13"/>
              </w:rPr>
            </w:pPr>
          </w:p>
        </w:tc>
        <w:tc>
          <w:tcPr>
            <w:tcW w:w="452" w:type="pct"/>
          </w:tcPr>
          <w:p w14:paraId="752F0BA8" w14:textId="77777777" w:rsidR="00F92BE1" w:rsidRPr="0047058F" w:rsidRDefault="00F92BE1" w:rsidP="00C91013">
            <w:pPr>
              <w:pStyle w:val="TableText"/>
              <w:spacing w:before="38" w:after="38"/>
              <w:jc w:val="right"/>
              <w:rPr>
                <w:color w:val="000000" w:themeColor="text1"/>
                <w:sz w:val="13"/>
              </w:rPr>
            </w:pPr>
          </w:p>
        </w:tc>
        <w:tc>
          <w:tcPr>
            <w:tcW w:w="433" w:type="pct"/>
          </w:tcPr>
          <w:p w14:paraId="28DF20FF" w14:textId="77777777" w:rsidR="00F92BE1" w:rsidRPr="0047058F" w:rsidRDefault="00F92BE1" w:rsidP="00C91013">
            <w:pPr>
              <w:pStyle w:val="TableText"/>
              <w:spacing w:before="38" w:after="38"/>
              <w:jc w:val="right"/>
              <w:rPr>
                <w:color w:val="000000" w:themeColor="text1"/>
                <w:sz w:val="13"/>
              </w:rPr>
            </w:pPr>
          </w:p>
        </w:tc>
        <w:tc>
          <w:tcPr>
            <w:tcW w:w="433" w:type="pct"/>
          </w:tcPr>
          <w:p w14:paraId="13019EF2" w14:textId="77777777" w:rsidR="00F92BE1" w:rsidRPr="0047058F" w:rsidRDefault="00F92BE1" w:rsidP="00C91013">
            <w:pPr>
              <w:pStyle w:val="TableText"/>
              <w:spacing w:before="38" w:after="38"/>
              <w:jc w:val="right"/>
              <w:rPr>
                <w:color w:val="000000" w:themeColor="text1"/>
                <w:sz w:val="13"/>
              </w:rPr>
            </w:pPr>
          </w:p>
        </w:tc>
        <w:tc>
          <w:tcPr>
            <w:tcW w:w="281" w:type="pct"/>
          </w:tcPr>
          <w:p w14:paraId="403B6841"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&lt; 0.0001</w:t>
            </w:r>
          </w:p>
        </w:tc>
        <w:tc>
          <w:tcPr>
            <w:tcW w:w="282" w:type="pct"/>
          </w:tcPr>
          <w:p w14:paraId="421B643F"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0.0226</w:t>
            </w:r>
          </w:p>
        </w:tc>
      </w:tr>
      <w:tr w:rsidR="00C91013" w:rsidRPr="0047058F" w14:paraId="605B1157" w14:textId="77777777" w:rsidTr="00C91013">
        <w:trPr>
          <w:cantSplit/>
        </w:trPr>
        <w:tc>
          <w:tcPr>
            <w:tcW w:w="744" w:type="pct"/>
          </w:tcPr>
          <w:p w14:paraId="7FF19BF3" w14:textId="77777777" w:rsidR="00F92BE1" w:rsidRPr="0047058F" w:rsidRDefault="00F92BE1" w:rsidP="00C91013">
            <w:pPr>
              <w:pStyle w:val="TableText"/>
              <w:spacing w:before="38" w:after="38"/>
              <w:ind w:left="144"/>
              <w:rPr>
                <w:rFonts w:eastAsia="Cambria" w:cs="Arial"/>
                <w:color w:val="000000" w:themeColor="text1"/>
              </w:rPr>
            </w:pPr>
            <w:r w:rsidRPr="0047058F">
              <w:rPr>
                <w:rFonts w:eastAsia="Cambria" w:cs="Arial"/>
                <w:color w:val="000000" w:themeColor="text1"/>
              </w:rPr>
              <w:t>Low</w:t>
            </w:r>
          </w:p>
        </w:tc>
        <w:tc>
          <w:tcPr>
            <w:tcW w:w="196" w:type="pct"/>
          </w:tcPr>
          <w:p w14:paraId="72F8C5D7" w14:textId="77777777" w:rsidR="00F92BE1" w:rsidRPr="0047058F" w:rsidRDefault="00F92BE1" w:rsidP="00C91013">
            <w:pPr>
              <w:pStyle w:val="TableText"/>
              <w:spacing w:before="38" w:after="38"/>
              <w:jc w:val="right"/>
              <w:rPr>
                <w:color w:val="000000" w:themeColor="text1"/>
                <w:sz w:val="13"/>
              </w:rPr>
            </w:pPr>
            <w:r w:rsidRPr="0047058F">
              <w:rPr>
                <w:rFonts w:cs="Arial"/>
                <w:sz w:val="13"/>
              </w:rPr>
              <w:t>70</w:t>
            </w:r>
          </w:p>
        </w:tc>
        <w:tc>
          <w:tcPr>
            <w:tcW w:w="472" w:type="pct"/>
          </w:tcPr>
          <w:p w14:paraId="4CCAC004" w14:textId="77777777" w:rsidR="00F92BE1" w:rsidRPr="0047058F" w:rsidRDefault="00F92BE1" w:rsidP="00C91013">
            <w:pPr>
              <w:pStyle w:val="TableText"/>
              <w:spacing w:before="38" w:after="38"/>
              <w:jc w:val="right"/>
              <w:rPr>
                <w:color w:val="000000" w:themeColor="text1"/>
                <w:sz w:val="13"/>
              </w:rPr>
            </w:pPr>
            <w:r w:rsidRPr="0047058F">
              <w:rPr>
                <w:rFonts w:cs="Arial"/>
                <w:sz w:val="13"/>
              </w:rPr>
              <w:t>29.7 (13.3–46.1)</w:t>
            </w:r>
          </w:p>
        </w:tc>
        <w:tc>
          <w:tcPr>
            <w:tcW w:w="199" w:type="pct"/>
          </w:tcPr>
          <w:p w14:paraId="19353D7C" w14:textId="77777777" w:rsidR="00F92BE1" w:rsidRPr="0047058F" w:rsidRDefault="00F92BE1" w:rsidP="00C91013">
            <w:pPr>
              <w:pStyle w:val="TableText"/>
              <w:spacing w:before="38" w:after="38"/>
              <w:jc w:val="right"/>
              <w:rPr>
                <w:color w:val="000000" w:themeColor="text1"/>
                <w:sz w:val="13"/>
              </w:rPr>
            </w:pPr>
            <w:r w:rsidRPr="0047058F">
              <w:rPr>
                <w:rFonts w:cs="Arial"/>
                <w:sz w:val="13"/>
              </w:rPr>
              <w:t>78</w:t>
            </w:r>
          </w:p>
        </w:tc>
        <w:tc>
          <w:tcPr>
            <w:tcW w:w="431" w:type="pct"/>
          </w:tcPr>
          <w:p w14:paraId="2A848455" w14:textId="77777777" w:rsidR="00F92BE1" w:rsidRPr="0047058F" w:rsidRDefault="00F92BE1" w:rsidP="00C91013">
            <w:pPr>
              <w:pStyle w:val="TableText"/>
              <w:spacing w:before="38" w:after="38"/>
              <w:jc w:val="right"/>
              <w:rPr>
                <w:color w:val="000000" w:themeColor="text1"/>
                <w:sz w:val="13"/>
              </w:rPr>
            </w:pPr>
            <w:r w:rsidRPr="0047058F">
              <w:rPr>
                <w:rFonts w:cs="Arial"/>
                <w:sz w:val="13"/>
              </w:rPr>
              <w:t>33.1 (17.1–49.1)</w:t>
            </w:r>
          </w:p>
        </w:tc>
        <w:tc>
          <w:tcPr>
            <w:tcW w:w="194" w:type="pct"/>
          </w:tcPr>
          <w:p w14:paraId="38D572E4" w14:textId="77777777" w:rsidR="00F92BE1" w:rsidRPr="0047058F" w:rsidRDefault="00F92BE1" w:rsidP="00C91013">
            <w:pPr>
              <w:pStyle w:val="TableText"/>
              <w:spacing w:before="38" w:after="38"/>
              <w:jc w:val="right"/>
              <w:rPr>
                <w:color w:val="000000" w:themeColor="text1"/>
                <w:sz w:val="13"/>
              </w:rPr>
            </w:pPr>
            <w:r w:rsidRPr="0047058F">
              <w:rPr>
                <w:rFonts w:cs="Arial"/>
                <w:sz w:val="13"/>
              </w:rPr>
              <w:t>88</w:t>
            </w:r>
          </w:p>
        </w:tc>
        <w:tc>
          <w:tcPr>
            <w:tcW w:w="432" w:type="pct"/>
          </w:tcPr>
          <w:p w14:paraId="6FA56FA3" w14:textId="77777777" w:rsidR="00F92BE1" w:rsidRPr="0047058F" w:rsidRDefault="00F92BE1" w:rsidP="00C91013">
            <w:pPr>
              <w:pStyle w:val="TableText"/>
              <w:spacing w:before="38" w:after="38"/>
              <w:jc w:val="right"/>
              <w:rPr>
                <w:color w:val="000000" w:themeColor="text1"/>
                <w:sz w:val="13"/>
              </w:rPr>
            </w:pPr>
            <w:r w:rsidRPr="0047058F">
              <w:rPr>
                <w:rFonts w:cs="Arial"/>
                <w:sz w:val="13"/>
              </w:rPr>
              <w:t>37.3 (21.8–52.8)</w:t>
            </w:r>
          </w:p>
        </w:tc>
        <w:tc>
          <w:tcPr>
            <w:tcW w:w="451" w:type="pct"/>
          </w:tcPr>
          <w:p w14:paraId="38B8C61D"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52" w:type="pct"/>
          </w:tcPr>
          <w:p w14:paraId="239510CB"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33" w:type="pct"/>
          </w:tcPr>
          <w:p w14:paraId="28B1EF73"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33" w:type="pct"/>
          </w:tcPr>
          <w:p w14:paraId="4D3BCEFE"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281" w:type="pct"/>
          </w:tcPr>
          <w:p w14:paraId="0A80B34E" w14:textId="77777777" w:rsidR="00F92BE1" w:rsidRPr="0047058F" w:rsidRDefault="00F92BE1" w:rsidP="00C91013">
            <w:pPr>
              <w:pStyle w:val="TableText"/>
              <w:spacing w:before="38" w:after="38"/>
              <w:jc w:val="right"/>
              <w:rPr>
                <w:color w:val="000000" w:themeColor="text1"/>
                <w:sz w:val="13"/>
              </w:rPr>
            </w:pPr>
          </w:p>
        </w:tc>
        <w:tc>
          <w:tcPr>
            <w:tcW w:w="282" w:type="pct"/>
          </w:tcPr>
          <w:p w14:paraId="066B6053" w14:textId="77777777" w:rsidR="00F92BE1" w:rsidRPr="0047058F" w:rsidRDefault="00F92BE1" w:rsidP="00C91013">
            <w:pPr>
              <w:pStyle w:val="TableText"/>
              <w:spacing w:before="38" w:after="38"/>
              <w:jc w:val="right"/>
              <w:rPr>
                <w:color w:val="000000" w:themeColor="text1"/>
                <w:sz w:val="13"/>
              </w:rPr>
            </w:pPr>
          </w:p>
        </w:tc>
      </w:tr>
      <w:tr w:rsidR="00C91013" w:rsidRPr="0047058F" w14:paraId="549F521B"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20B5117F" w14:textId="77777777" w:rsidR="00F92BE1" w:rsidRPr="0047058F" w:rsidRDefault="00F92BE1" w:rsidP="00C91013">
            <w:pPr>
              <w:pStyle w:val="TableText"/>
              <w:spacing w:before="38" w:after="38"/>
              <w:ind w:left="144"/>
              <w:rPr>
                <w:rFonts w:eastAsia="Cambria" w:cs="Arial"/>
                <w:color w:val="000000" w:themeColor="text1"/>
              </w:rPr>
            </w:pPr>
            <w:r w:rsidRPr="0047058F">
              <w:rPr>
                <w:rFonts w:eastAsia="Cambria" w:cs="Arial"/>
                <w:color w:val="000000" w:themeColor="text1"/>
              </w:rPr>
              <w:t>Moderate</w:t>
            </w:r>
          </w:p>
        </w:tc>
        <w:tc>
          <w:tcPr>
            <w:tcW w:w="196" w:type="pct"/>
          </w:tcPr>
          <w:p w14:paraId="5D6CF546" w14:textId="77777777" w:rsidR="00F92BE1" w:rsidRPr="0047058F" w:rsidRDefault="00F92BE1" w:rsidP="00C91013">
            <w:pPr>
              <w:pStyle w:val="TableText"/>
              <w:spacing w:before="38" w:after="38"/>
              <w:jc w:val="right"/>
              <w:rPr>
                <w:color w:val="000000" w:themeColor="text1"/>
                <w:sz w:val="13"/>
              </w:rPr>
            </w:pPr>
            <w:r w:rsidRPr="0047058F">
              <w:rPr>
                <w:rFonts w:cs="Arial"/>
                <w:sz w:val="13"/>
              </w:rPr>
              <w:t>39</w:t>
            </w:r>
          </w:p>
        </w:tc>
        <w:tc>
          <w:tcPr>
            <w:tcW w:w="472" w:type="pct"/>
          </w:tcPr>
          <w:p w14:paraId="380A6ADA" w14:textId="77777777" w:rsidR="00F92BE1" w:rsidRPr="0047058F" w:rsidRDefault="00F92BE1" w:rsidP="00C91013">
            <w:pPr>
              <w:pStyle w:val="TableText"/>
              <w:spacing w:before="38" w:after="38"/>
              <w:jc w:val="right"/>
              <w:rPr>
                <w:color w:val="000000" w:themeColor="text1"/>
                <w:sz w:val="13"/>
              </w:rPr>
            </w:pPr>
            <w:r w:rsidRPr="0047058F">
              <w:rPr>
                <w:rFonts w:cs="Arial"/>
                <w:sz w:val="13"/>
              </w:rPr>
              <w:t>31.0 (14.7–47.3)</w:t>
            </w:r>
          </w:p>
        </w:tc>
        <w:tc>
          <w:tcPr>
            <w:tcW w:w="199" w:type="pct"/>
          </w:tcPr>
          <w:p w14:paraId="02B200AB" w14:textId="77777777" w:rsidR="00F92BE1" w:rsidRPr="0047058F" w:rsidRDefault="00F92BE1" w:rsidP="00C91013">
            <w:pPr>
              <w:pStyle w:val="TableText"/>
              <w:spacing w:before="38" w:after="38"/>
              <w:jc w:val="right"/>
              <w:rPr>
                <w:color w:val="000000" w:themeColor="text1"/>
                <w:sz w:val="13"/>
              </w:rPr>
            </w:pPr>
            <w:r w:rsidRPr="0047058F">
              <w:rPr>
                <w:rFonts w:cs="Arial"/>
                <w:sz w:val="13"/>
              </w:rPr>
              <w:t>42</w:t>
            </w:r>
          </w:p>
        </w:tc>
        <w:tc>
          <w:tcPr>
            <w:tcW w:w="431" w:type="pct"/>
          </w:tcPr>
          <w:p w14:paraId="01D060F0" w14:textId="77777777" w:rsidR="00F92BE1" w:rsidRPr="0047058F" w:rsidRDefault="00F92BE1" w:rsidP="00C91013">
            <w:pPr>
              <w:pStyle w:val="TableText"/>
              <w:spacing w:before="38" w:after="38"/>
              <w:jc w:val="right"/>
              <w:rPr>
                <w:color w:val="000000" w:themeColor="text1"/>
                <w:sz w:val="13"/>
              </w:rPr>
            </w:pPr>
            <w:r w:rsidRPr="0047058F">
              <w:rPr>
                <w:rFonts w:cs="Arial"/>
                <w:sz w:val="13"/>
              </w:rPr>
              <w:t>33.3 (17.3–49.3)</w:t>
            </w:r>
          </w:p>
        </w:tc>
        <w:tc>
          <w:tcPr>
            <w:tcW w:w="194" w:type="pct"/>
          </w:tcPr>
          <w:p w14:paraId="32238F3D" w14:textId="77777777" w:rsidR="00F92BE1" w:rsidRPr="0047058F" w:rsidRDefault="00F92BE1" w:rsidP="00C91013">
            <w:pPr>
              <w:pStyle w:val="TableText"/>
              <w:spacing w:before="38" w:after="38"/>
              <w:jc w:val="right"/>
              <w:rPr>
                <w:color w:val="000000" w:themeColor="text1"/>
                <w:sz w:val="13"/>
              </w:rPr>
            </w:pPr>
            <w:r w:rsidRPr="0047058F">
              <w:rPr>
                <w:rFonts w:cs="Arial"/>
                <w:sz w:val="13"/>
              </w:rPr>
              <w:t>45</w:t>
            </w:r>
          </w:p>
        </w:tc>
        <w:tc>
          <w:tcPr>
            <w:tcW w:w="432" w:type="pct"/>
          </w:tcPr>
          <w:p w14:paraId="193ADC8B" w14:textId="77777777" w:rsidR="00F92BE1" w:rsidRPr="0047058F" w:rsidRDefault="00F92BE1" w:rsidP="00C91013">
            <w:pPr>
              <w:pStyle w:val="TableText"/>
              <w:spacing w:before="38" w:after="38"/>
              <w:jc w:val="right"/>
              <w:rPr>
                <w:color w:val="000000" w:themeColor="text1"/>
                <w:sz w:val="13"/>
              </w:rPr>
            </w:pPr>
            <w:r w:rsidRPr="0047058F">
              <w:rPr>
                <w:rFonts w:cs="Arial"/>
                <w:sz w:val="13"/>
              </w:rPr>
              <w:t>35.7 (20.0–51.4)</w:t>
            </w:r>
          </w:p>
        </w:tc>
        <w:tc>
          <w:tcPr>
            <w:tcW w:w="451" w:type="pct"/>
          </w:tcPr>
          <w:p w14:paraId="022B73FA"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1.10 (0.61–1.99)</w:t>
            </w:r>
          </w:p>
        </w:tc>
        <w:tc>
          <w:tcPr>
            <w:tcW w:w="452" w:type="pct"/>
          </w:tcPr>
          <w:p w14:paraId="580CE921"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0.71 (0.37–1.36)</w:t>
            </w:r>
          </w:p>
        </w:tc>
        <w:tc>
          <w:tcPr>
            <w:tcW w:w="433" w:type="pct"/>
          </w:tcPr>
          <w:p w14:paraId="02587062"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0.98 (0.55–1.76)</w:t>
            </w:r>
          </w:p>
        </w:tc>
        <w:tc>
          <w:tcPr>
            <w:tcW w:w="433" w:type="pct"/>
          </w:tcPr>
          <w:p w14:paraId="15DC1E78"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0.62 (0.32–1.21)</w:t>
            </w:r>
          </w:p>
        </w:tc>
        <w:tc>
          <w:tcPr>
            <w:tcW w:w="281" w:type="pct"/>
          </w:tcPr>
          <w:p w14:paraId="3889A448" w14:textId="77777777" w:rsidR="00F92BE1" w:rsidRPr="0047058F" w:rsidRDefault="00F92BE1" w:rsidP="00C91013">
            <w:pPr>
              <w:pStyle w:val="TableText"/>
              <w:spacing w:before="38" w:after="38"/>
              <w:jc w:val="right"/>
              <w:rPr>
                <w:color w:val="000000" w:themeColor="text1"/>
                <w:sz w:val="13"/>
              </w:rPr>
            </w:pPr>
          </w:p>
        </w:tc>
        <w:tc>
          <w:tcPr>
            <w:tcW w:w="282" w:type="pct"/>
          </w:tcPr>
          <w:p w14:paraId="137041F7" w14:textId="77777777" w:rsidR="00F92BE1" w:rsidRPr="0047058F" w:rsidRDefault="00F92BE1" w:rsidP="00C91013">
            <w:pPr>
              <w:pStyle w:val="TableText"/>
              <w:spacing w:before="38" w:after="38"/>
              <w:jc w:val="right"/>
              <w:rPr>
                <w:color w:val="000000" w:themeColor="text1"/>
                <w:sz w:val="13"/>
              </w:rPr>
            </w:pPr>
          </w:p>
        </w:tc>
      </w:tr>
      <w:tr w:rsidR="00C91013" w:rsidRPr="0047058F" w14:paraId="3968598A" w14:textId="77777777" w:rsidTr="003876A3">
        <w:trPr>
          <w:cantSplit/>
        </w:trPr>
        <w:tc>
          <w:tcPr>
            <w:tcW w:w="744" w:type="pct"/>
          </w:tcPr>
          <w:p w14:paraId="7F1DCA8B" w14:textId="77777777" w:rsidR="00F92BE1" w:rsidRPr="0047058F" w:rsidRDefault="00F92BE1" w:rsidP="00C91013">
            <w:pPr>
              <w:pStyle w:val="TableText"/>
              <w:spacing w:before="38" w:after="38"/>
              <w:ind w:left="144"/>
              <w:rPr>
                <w:rFonts w:eastAsia="Cambria" w:cs="Arial"/>
                <w:color w:val="000000" w:themeColor="text1"/>
              </w:rPr>
            </w:pPr>
            <w:r w:rsidRPr="0047058F">
              <w:rPr>
                <w:rFonts w:eastAsia="Cambria" w:cs="Arial"/>
                <w:color w:val="000000" w:themeColor="text1"/>
              </w:rPr>
              <w:t>High</w:t>
            </w:r>
          </w:p>
        </w:tc>
        <w:tc>
          <w:tcPr>
            <w:tcW w:w="196" w:type="pct"/>
          </w:tcPr>
          <w:p w14:paraId="34F0368D" w14:textId="77777777" w:rsidR="00F92BE1" w:rsidRPr="0047058F" w:rsidRDefault="00F92BE1" w:rsidP="00C91013">
            <w:pPr>
              <w:pStyle w:val="TableText"/>
              <w:spacing w:before="38" w:after="38"/>
              <w:jc w:val="right"/>
              <w:rPr>
                <w:color w:val="000000" w:themeColor="text1"/>
                <w:sz w:val="13"/>
              </w:rPr>
            </w:pPr>
            <w:r w:rsidRPr="0047058F">
              <w:rPr>
                <w:rFonts w:cs="Arial"/>
                <w:sz w:val="13"/>
              </w:rPr>
              <w:t>17</w:t>
            </w:r>
          </w:p>
        </w:tc>
        <w:tc>
          <w:tcPr>
            <w:tcW w:w="472" w:type="pct"/>
          </w:tcPr>
          <w:p w14:paraId="7E698307" w14:textId="77777777" w:rsidR="00F92BE1" w:rsidRPr="0047058F" w:rsidRDefault="00F92BE1" w:rsidP="00C91013">
            <w:pPr>
              <w:pStyle w:val="TableText"/>
              <w:spacing w:before="38" w:after="38"/>
              <w:jc w:val="right"/>
              <w:rPr>
                <w:color w:val="000000" w:themeColor="text1"/>
                <w:sz w:val="13"/>
              </w:rPr>
            </w:pPr>
            <w:r w:rsidRPr="0047058F">
              <w:rPr>
                <w:rFonts w:cs="Arial"/>
                <w:sz w:val="13"/>
              </w:rPr>
              <w:t>9.4 (0.0–28.1)</w:t>
            </w:r>
          </w:p>
        </w:tc>
        <w:tc>
          <w:tcPr>
            <w:tcW w:w="199" w:type="pct"/>
          </w:tcPr>
          <w:p w14:paraId="30D4B282" w14:textId="77777777" w:rsidR="00F92BE1" w:rsidRPr="0047058F" w:rsidRDefault="00F92BE1" w:rsidP="00C91013">
            <w:pPr>
              <w:pStyle w:val="TableText"/>
              <w:spacing w:before="38" w:after="38"/>
              <w:jc w:val="right"/>
              <w:rPr>
                <w:color w:val="000000" w:themeColor="text1"/>
                <w:sz w:val="13"/>
              </w:rPr>
            </w:pPr>
            <w:r w:rsidRPr="0047058F">
              <w:rPr>
                <w:rFonts w:cs="Arial"/>
                <w:sz w:val="13"/>
              </w:rPr>
              <w:t>59</w:t>
            </w:r>
          </w:p>
        </w:tc>
        <w:tc>
          <w:tcPr>
            <w:tcW w:w="431" w:type="pct"/>
          </w:tcPr>
          <w:p w14:paraId="6AD0EE94" w14:textId="77777777" w:rsidR="00F92BE1" w:rsidRPr="0047058F" w:rsidRDefault="00F92BE1" w:rsidP="00C91013">
            <w:pPr>
              <w:pStyle w:val="TableText"/>
              <w:spacing w:before="38" w:after="38"/>
              <w:jc w:val="right"/>
              <w:rPr>
                <w:color w:val="000000" w:themeColor="text1"/>
                <w:sz w:val="13"/>
              </w:rPr>
            </w:pPr>
            <w:r w:rsidRPr="0047058F">
              <w:rPr>
                <w:rFonts w:cs="Arial"/>
                <w:sz w:val="13"/>
              </w:rPr>
              <w:t>32.8 (16.7–48.9)</w:t>
            </w:r>
          </w:p>
        </w:tc>
        <w:tc>
          <w:tcPr>
            <w:tcW w:w="194" w:type="pct"/>
          </w:tcPr>
          <w:p w14:paraId="6C5D9D4C" w14:textId="77777777" w:rsidR="00F92BE1" w:rsidRPr="0047058F" w:rsidRDefault="00F92BE1" w:rsidP="00C91013">
            <w:pPr>
              <w:pStyle w:val="TableText"/>
              <w:spacing w:before="38" w:after="38"/>
              <w:jc w:val="right"/>
              <w:rPr>
                <w:color w:val="000000" w:themeColor="text1"/>
                <w:sz w:val="13"/>
              </w:rPr>
            </w:pPr>
            <w:r w:rsidRPr="0047058F">
              <w:rPr>
                <w:rFonts w:cs="Arial"/>
                <w:sz w:val="13"/>
              </w:rPr>
              <w:t>104</w:t>
            </w:r>
          </w:p>
        </w:tc>
        <w:tc>
          <w:tcPr>
            <w:tcW w:w="432" w:type="pct"/>
          </w:tcPr>
          <w:p w14:paraId="5E685E6D" w14:textId="77777777" w:rsidR="00F92BE1" w:rsidRPr="0047058F" w:rsidRDefault="00F92BE1" w:rsidP="00C91013">
            <w:pPr>
              <w:pStyle w:val="TableText"/>
              <w:spacing w:before="38" w:after="38"/>
              <w:jc w:val="right"/>
              <w:rPr>
                <w:color w:val="000000" w:themeColor="text1"/>
                <w:sz w:val="13"/>
              </w:rPr>
            </w:pPr>
            <w:r w:rsidRPr="0047058F">
              <w:rPr>
                <w:rFonts w:cs="Arial"/>
                <w:sz w:val="13"/>
              </w:rPr>
              <w:t>57.8 (45.1–70.5)</w:t>
            </w:r>
          </w:p>
        </w:tc>
        <w:tc>
          <w:tcPr>
            <w:tcW w:w="451" w:type="pct"/>
          </w:tcPr>
          <w:p w14:paraId="64FB5223"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3.48 (1.74–6.94)</w:t>
            </w:r>
          </w:p>
        </w:tc>
        <w:tc>
          <w:tcPr>
            <w:tcW w:w="452" w:type="pct"/>
          </w:tcPr>
          <w:p w14:paraId="188B010D"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1.56 (0.69–3.50)</w:t>
            </w:r>
          </w:p>
        </w:tc>
        <w:tc>
          <w:tcPr>
            <w:tcW w:w="433" w:type="pct"/>
            <w:tcMar>
              <w:left w:w="58" w:type="dxa"/>
            </w:tcMar>
          </w:tcPr>
          <w:p w14:paraId="27B41EA0" w14:textId="6F66A2E9" w:rsidR="00F92BE1" w:rsidRPr="0047058F" w:rsidRDefault="00F92BE1" w:rsidP="003876A3">
            <w:pPr>
              <w:pStyle w:val="TableText"/>
              <w:spacing w:before="38" w:after="38"/>
              <w:jc w:val="right"/>
              <w:rPr>
                <w:color w:val="000000" w:themeColor="text1"/>
                <w:sz w:val="13"/>
              </w:rPr>
            </w:pPr>
            <w:r w:rsidRPr="0047058F">
              <w:rPr>
                <w:rFonts w:cs="Arial"/>
                <w:color w:val="000000" w:themeColor="text1"/>
                <w:sz w:val="13"/>
              </w:rPr>
              <w:t>5.50 (2.84–10.66)</w:t>
            </w:r>
          </w:p>
        </w:tc>
        <w:tc>
          <w:tcPr>
            <w:tcW w:w="433" w:type="pct"/>
          </w:tcPr>
          <w:p w14:paraId="44079DDE"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2.28 (1.03–5.06)</w:t>
            </w:r>
          </w:p>
        </w:tc>
        <w:tc>
          <w:tcPr>
            <w:tcW w:w="281" w:type="pct"/>
          </w:tcPr>
          <w:p w14:paraId="73401AE6" w14:textId="77777777" w:rsidR="00F92BE1" w:rsidRPr="0047058F" w:rsidRDefault="00F92BE1" w:rsidP="00C91013">
            <w:pPr>
              <w:pStyle w:val="TableText"/>
              <w:spacing w:before="38" w:after="38"/>
              <w:jc w:val="right"/>
              <w:rPr>
                <w:color w:val="000000" w:themeColor="text1"/>
                <w:sz w:val="13"/>
              </w:rPr>
            </w:pPr>
          </w:p>
        </w:tc>
        <w:tc>
          <w:tcPr>
            <w:tcW w:w="282" w:type="pct"/>
          </w:tcPr>
          <w:p w14:paraId="7D54CDCE" w14:textId="77777777" w:rsidR="00F92BE1" w:rsidRPr="0047058F" w:rsidRDefault="00F92BE1" w:rsidP="00C91013">
            <w:pPr>
              <w:pStyle w:val="TableText"/>
              <w:spacing w:before="38" w:after="38"/>
              <w:jc w:val="right"/>
              <w:rPr>
                <w:color w:val="000000" w:themeColor="text1"/>
                <w:sz w:val="13"/>
              </w:rPr>
            </w:pPr>
          </w:p>
        </w:tc>
      </w:tr>
      <w:tr w:rsidR="00C91013" w:rsidRPr="0047058F" w14:paraId="1B233F1D"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733FC6CA" w14:textId="77777777" w:rsidR="00F92BE1" w:rsidRPr="0047058F" w:rsidRDefault="00F92BE1" w:rsidP="00C91013">
            <w:pPr>
              <w:pStyle w:val="TableText"/>
              <w:spacing w:before="38" w:after="38"/>
              <w:rPr>
                <w:color w:val="000000" w:themeColor="text1"/>
              </w:rPr>
            </w:pPr>
            <w:r w:rsidRPr="0047058F">
              <w:rPr>
                <w:color w:val="000000" w:themeColor="text1"/>
              </w:rPr>
              <w:t>Number of lifetime trauma types</w:t>
            </w:r>
          </w:p>
        </w:tc>
        <w:tc>
          <w:tcPr>
            <w:tcW w:w="196" w:type="pct"/>
          </w:tcPr>
          <w:p w14:paraId="70BA3468" w14:textId="77777777" w:rsidR="00F92BE1" w:rsidRPr="0047058F" w:rsidRDefault="00F92BE1" w:rsidP="00C91013">
            <w:pPr>
              <w:pStyle w:val="TableText"/>
              <w:spacing w:before="38" w:after="38"/>
              <w:jc w:val="right"/>
              <w:rPr>
                <w:rFonts w:cs="Arial"/>
                <w:color w:val="000000" w:themeColor="text1"/>
                <w:sz w:val="13"/>
              </w:rPr>
            </w:pPr>
          </w:p>
        </w:tc>
        <w:tc>
          <w:tcPr>
            <w:tcW w:w="472" w:type="pct"/>
          </w:tcPr>
          <w:p w14:paraId="327971E4" w14:textId="77777777" w:rsidR="00F92BE1" w:rsidRPr="0047058F" w:rsidRDefault="00F92BE1" w:rsidP="00C91013">
            <w:pPr>
              <w:pStyle w:val="TableText"/>
              <w:spacing w:before="38" w:after="38"/>
              <w:jc w:val="right"/>
              <w:rPr>
                <w:rFonts w:cs="Arial"/>
                <w:color w:val="000000" w:themeColor="text1"/>
                <w:sz w:val="13"/>
              </w:rPr>
            </w:pPr>
          </w:p>
        </w:tc>
        <w:tc>
          <w:tcPr>
            <w:tcW w:w="199" w:type="pct"/>
          </w:tcPr>
          <w:p w14:paraId="78131842" w14:textId="77777777" w:rsidR="00F92BE1" w:rsidRPr="0047058F" w:rsidRDefault="00F92BE1" w:rsidP="00C91013">
            <w:pPr>
              <w:pStyle w:val="TableText"/>
              <w:spacing w:before="38" w:after="38"/>
              <w:jc w:val="right"/>
              <w:rPr>
                <w:rFonts w:cs="Arial"/>
                <w:color w:val="000000" w:themeColor="text1"/>
                <w:sz w:val="13"/>
              </w:rPr>
            </w:pPr>
          </w:p>
        </w:tc>
        <w:tc>
          <w:tcPr>
            <w:tcW w:w="431" w:type="pct"/>
          </w:tcPr>
          <w:p w14:paraId="0F96936A" w14:textId="77777777" w:rsidR="00F92BE1" w:rsidRPr="0047058F" w:rsidRDefault="00F92BE1" w:rsidP="00C91013">
            <w:pPr>
              <w:pStyle w:val="TableText"/>
              <w:spacing w:before="38" w:after="38"/>
              <w:jc w:val="right"/>
              <w:rPr>
                <w:rFonts w:cs="Arial"/>
                <w:color w:val="000000" w:themeColor="text1"/>
                <w:sz w:val="13"/>
              </w:rPr>
            </w:pPr>
          </w:p>
        </w:tc>
        <w:tc>
          <w:tcPr>
            <w:tcW w:w="194" w:type="pct"/>
          </w:tcPr>
          <w:p w14:paraId="1EA211AB" w14:textId="77777777" w:rsidR="00F92BE1" w:rsidRPr="0047058F" w:rsidRDefault="00F92BE1" w:rsidP="00C91013">
            <w:pPr>
              <w:pStyle w:val="TableText"/>
              <w:spacing w:before="38" w:after="38"/>
              <w:jc w:val="right"/>
              <w:rPr>
                <w:rFonts w:cs="Arial"/>
                <w:color w:val="000000" w:themeColor="text1"/>
                <w:sz w:val="13"/>
              </w:rPr>
            </w:pPr>
          </w:p>
        </w:tc>
        <w:tc>
          <w:tcPr>
            <w:tcW w:w="432" w:type="pct"/>
          </w:tcPr>
          <w:p w14:paraId="4A8C7D86" w14:textId="77777777" w:rsidR="00F92BE1" w:rsidRPr="0047058F" w:rsidRDefault="00F92BE1" w:rsidP="00C91013">
            <w:pPr>
              <w:pStyle w:val="TableText"/>
              <w:spacing w:before="38" w:after="38"/>
              <w:jc w:val="right"/>
              <w:rPr>
                <w:rFonts w:cs="Arial"/>
                <w:color w:val="000000" w:themeColor="text1"/>
                <w:sz w:val="13"/>
              </w:rPr>
            </w:pPr>
          </w:p>
        </w:tc>
        <w:tc>
          <w:tcPr>
            <w:tcW w:w="451" w:type="pct"/>
          </w:tcPr>
          <w:p w14:paraId="0AB8648F" w14:textId="77777777" w:rsidR="00F92BE1" w:rsidRPr="0047058F" w:rsidRDefault="00F92BE1" w:rsidP="00C91013">
            <w:pPr>
              <w:pStyle w:val="TableText"/>
              <w:spacing w:before="38" w:after="38"/>
              <w:jc w:val="right"/>
              <w:rPr>
                <w:color w:val="000000" w:themeColor="text1"/>
                <w:sz w:val="13"/>
              </w:rPr>
            </w:pPr>
          </w:p>
        </w:tc>
        <w:tc>
          <w:tcPr>
            <w:tcW w:w="452" w:type="pct"/>
          </w:tcPr>
          <w:p w14:paraId="5EF6847C" w14:textId="77777777" w:rsidR="00F92BE1" w:rsidRPr="0047058F" w:rsidRDefault="00F92BE1" w:rsidP="00C91013">
            <w:pPr>
              <w:pStyle w:val="TableText"/>
              <w:spacing w:before="38" w:after="38"/>
              <w:jc w:val="right"/>
              <w:rPr>
                <w:color w:val="000000" w:themeColor="text1"/>
                <w:sz w:val="13"/>
              </w:rPr>
            </w:pPr>
          </w:p>
        </w:tc>
        <w:tc>
          <w:tcPr>
            <w:tcW w:w="433" w:type="pct"/>
          </w:tcPr>
          <w:p w14:paraId="32456E47" w14:textId="77777777" w:rsidR="00F92BE1" w:rsidRPr="0047058F" w:rsidRDefault="00F92BE1" w:rsidP="00C91013">
            <w:pPr>
              <w:pStyle w:val="TableText"/>
              <w:spacing w:before="38" w:after="38"/>
              <w:jc w:val="right"/>
              <w:rPr>
                <w:color w:val="000000" w:themeColor="text1"/>
                <w:sz w:val="13"/>
              </w:rPr>
            </w:pPr>
          </w:p>
        </w:tc>
        <w:tc>
          <w:tcPr>
            <w:tcW w:w="433" w:type="pct"/>
          </w:tcPr>
          <w:p w14:paraId="2CA45C7B" w14:textId="77777777" w:rsidR="00F92BE1" w:rsidRPr="0047058F" w:rsidRDefault="00F92BE1" w:rsidP="00C91013">
            <w:pPr>
              <w:pStyle w:val="TableText"/>
              <w:spacing w:before="38" w:after="38"/>
              <w:jc w:val="right"/>
              <w:rPr>
                <w:color w:val="000000" w:themeColor="text1"/>
                <w:sz w:val="13"/>
              </w:rPr>
            </w:pPr>
          </w:p>
        </w:tc>
        <w:tc>
          <w:tcPr>
            <w:tcW w:w="281" w:type="pct"/>
          </w:tcPr>
          <w:p w14:paraId="387CA77C"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&lt; 0.0001</w:t>
            </w:r>
          </w:p>
        </w:tc>
        <w:tc>
          <w:tcPr>
            <w:tcW w:w="282" w:type="pct"/>
          </w:tcPr>
          <w:p w14:paraId="213220DB"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0.0455</w:t>
            </w:r>
          </w:p>
        </w:tc>
      </w:tr>
      <w:tr w:rsidR="00C91013" w:rsidRPr="0047058F" w14:paraId="652CA730" w14:textId="77777777" w:rsidTr="00C91013">
        <w:trPr>
          <w:cantSplit/>
        </w:trPr>
        <w:tc>
          <w:tcPr>
            <w:tcW w:w="744" w:type="pct"/>
          </w:tcPr>
          <w:p w14:paraId="3238EEF0" w14:textId="77777777" w:rsidR="00F92BE1" w:rsidRPr="0047058F" w:rsidRDefault="00F92BE1" w:rsidP="00C91013">
            <w:pPr>
              <w:pStyle w:val="TableText"/>
              <w:spacing w:before="38" w:after="38"/>
              <w:ind w:left="144"/>
              <w:rPr>
                <w:color w:val="000000" w:themeColor="text1"/>
              </w:rPr>
            </w:pPr>
            <w:r w:rsidRPr="0047058F">
              <w:rPr>
                <w:rFonts w:cs="Arial"/>
                <w:color w:val="000000" w:themeColor="text1"/>
              </w:rPr>
              <w:t>0–1</w:t>
            </w:r>
          </w:p>
        </w:tc>
        <w:tc>
          <w:tcPr>
            <w:tcW w:w="196" w:type="pct"/>
          </w:tcPr>
          <w:p w14:paraId="4D3337E4"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55</w:t>
            </w:r>
          </w:p>
        </w:tc>
        <w:tc>
          <w:tcPr>
            <w:tcW w:w="472" w:type="pct"/>
          </w:tcPr>
          <w:p w14:paraId="40F40357"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36.7 (21.1–52.3)</w:t>
            </w:r>
          </w:p>
        </w:tc>
        <w:tc>
          <w:tcPr>
            <w:tcW w:w="199" w:type="pct"/>
          </w:tcPr>
          <w:p w14:paraId="6C30EE74"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48</w:t>
            </w:r>
          </w:p>
        </w:tc>
        <w:tc>
          <w:tcPr>
            <w:tcW w:w="431" w:type="pct"/>
          </w:tcPr>
          <w:p w14:paraId="2C38CDC8"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32.0 (15.8–48.2)</w:t>
            </w:r>
          </w:p>
        </w:tc>
        <w:tc>
          <w:tcPr>
            <w:tcW w:w="194" w:type="pct"/>
          </w:tcPr>
          <w:p w14:paraId="1A3B2C07"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47</w:t>
            </w:r>
          </w:p>
        </w:tc>
        <w:tc>
          <w:tcPr>
            <w:tcW w:w="432" w:type="pct"/>
          </w:tcPr>
          <w:p w14:paraId="6B14CF20"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31.3 (15.1–47.5)</w:t>
            </w:r>
          </w:p>
        </w:tc>
        <w:tc>
          <w:tcPr>
            <w:tcW w:w="451" w:type="pct"/>
          </w:tcPr>
          <w:p w14:paraId="185ADC83"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52" w:type="pct"/>
          </w:tcPr>
          <w:p w14:paraId="70CA57FE"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33" w:type="pct"/>
          </w:tcPr>
          <w:p w14:paraId="1D9E9347"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433" w:type="pct"/>
          </w:tcPr>
          <w:p w14:paraId="6784C2C3" w14:textId="77777777" w:rsidR="00F92BE1" w:rsidRPr="0047058F" w:rsidRDefault="00F92BE1" w:rsidP="00C91013">
            <w:pPr>
              <w:pStyle w:val="TableText"/>
              <w:spacing w:before="38" w:after="38"/>
              <w:jc w:val="right"/>
              <w:rPr>
                <w:color w:val="000000" w:themeColor="text1"/>
                <w:sz w:val="13"/>
              </w:rPr>
            </w:pPr>
            <w:r w:rsidRPr="0047058F">
              <w:rPr>
                <w:color w:val="000000" w:themeColor="text1"/>
                <w:sz w:val="13"/>
              </w:rPr>
              <w:t>ref</w:t>
            </w:r>
          </w:p>
        </w:tc>
        <w:tc>
          <w:tcPr>
            <w:tcW w:w="281" w:type="pct"/>
          </w:tcPr>
          <w:p w14:paraId="6B30A6FA" w14:textId="77777777" w:rsidR="00F92BE1" w:rsidRPr="0047058F" w:rsidRDefault="00F92BE1" w:rsidP="00C91013">
            <w:pPr>
              <w:pStyle w:val="TableText"/>
              <w:spacing w:before="38" w:after="38"/>
              <w:jc w:val="right"/>
              <w:rPr>
                <w:color w:val="000000" w:themeColor="text1"/>
                <w:sz w:val="13"/>
              </w:rPr>
            </w:pPr>
          </w:p>
        </w:tc>
        <w:tc>
          <w:tcPr>
            <w:tcW w:w="282" w:type="pct"/>
          </w:tcPr>
          <w:p w14:paraId="4482B37D" w14:textId="77777777" w:rsidR="00F92BE1" w:rsidRPr="0047058F" w:rsidRDefault="00F92BE1" w:rsidP="00C91013">
            <w:pPr>
              <w:pStyle w:val="TableText"/>
              <w:spacing w:before="38" w:after="38"/>
              <w:jc w:val="right"/>
              <w:rPr>
                <w:color w:val="000000" w:themeColor="text1"/>
                <w:sz w:val="13"/>
              </w:rPr>
            </w:pPr>
          </w:p>
        </w:tc>
      </w:tr>
      <w:tr w:rsidR="00C91013" w:rsidRPr="0047058F" w14:paraId="2AF47921" w14:textId="77777777" w:rsidTr="00C91013">
        <w:trPr>
          <w:cnfStyle w:val="000000100000" w:firstRow="0" w:lastRow="0" w:firstColumn="0" w:lastColumn="0" w:oddVBand="0" w:evenVBand="0" w:oddHBand="1" w:evenHBand="0" w:firstRowFirstColumn="0" w:firstRowLastColumn="0" w:lastRowFirstColumn="0" w:lastRowLastColumn="0"/>
          <w:cantSplit/>
        </w:trPr>
        <w:tc>
          <w:tcPr>
            <w:tcW w:w="744" w:type="pct"/>
          </w:tcPr>
          <w:p w14:paraId="7D16C209" w14:textId="77777777" w:rsidR="00F92BE1" w:rsidRPr="0047058F" w:rsidRDefault="00F92BE1" w:rsidP="00C91013">
            <w:pPr>
              <w:pStyle w:val="TableText"/>
              <w:spacing w:before="38" w:after="38"/>
              <w:ind w:left="144"/>
              <w:rPr>
                <w:color w:val="000000" w:themeColor="text1"/>
              </w:rPr>
            </w:pPr>
            <w:r w:rsidRPr="0047058F">
              <w:rPr>
                <w:rFonts w:cs="Arial"/>
                <w:color w:val="000000" w:themeColor="text1"/>
              </w:rPr>
              <w:t>2–3</w:t>
            </w:r>
          </w:p>
        </w:tc>
        <w:tc>
          <w:tcPr>
            <w:tcW w:w="196" w:type="pct"/>
          </w:tcPr>
          <w:p w14:paraId="6D1EDF29"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40</w:t>
            </w:r>
          </w:p>
        </w:tc>
        <w:tc>
          <w:tcPr>
            <w:tcW w:w="472" w:type="pct"/>
          </w:tcPr>
          <w:p w14:paraId="54640687"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32.8 (16.7–48.9)</w:t>
            </w:r>
          </w:p>
        </w:tc>
        <w:tc>
          <w:tcPr>
            <w:tcW w:w="199" w:type="pct"/>
          </w:tcPr>
          <w:p w14:paraId="1C5B52C5"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33</w:t>
            </w:r>
          </w:p>
        </w:tc>
        <w:tc>
          <w:tcPr>
            <w:tcW w:w="431" w:type="pct"/>
          </w:tcPr>
          <w:p w14:paraId="76830E5A"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27.0 (10.3–43.7)</w:t>
            </w:r>
          </w:p>
        </w:tc>
        <w:tc>
          <w:tcPr>
            <w:tcW w:w="194" w:type="pct"/>
          </w:tcPr>
          <w:p w14:paraId="1CCA9B24"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49</w:t>
            </w:r>
          </w:p>
        </w:tc>
        <w:tc>
          <w:tcPr>
            <w:tcW w:w="432" w:type="pct"/>
          </w:tcPr>
          <w:p w14:paraId="23AE8514"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40.2 (25.0–55.4)</w:t>
            </w:r>
          </w:p>
        </w:tc>
        <w:tc>
          <w:tcPr>
            <w:tcW w:w="451" w:type="pct"/>
          </w:tcPr>
          <w:p w14:paraId="7934114D"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0.98 (0.51–1.90)</w:t>
            </w:r>
          </w:p>
        </w:tc>
        <w:tc>
          <w:tcPr>
            <w:tcW w:w="452" w:type="pct"/>
          </w:tcPr>
          <w:p w14:paraId="5D88AA49"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0.81 (0.41–1.62)</w:t>
            </w:r>
          </w:p>
        </w:tc>
        <w:tc>
          <w:tcPr>
            <w:tcW w:w="433" w:type="pct"/>
          </w:tcPr>
          <w:p w14:paraId="5EF9A156"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1.37 (0.73–2.59)</w:t>
            </w:r>
          </w:p>
        </w:tc>
        <w:tc>
          <w:tcPr>
            <w:tcW w:w="433" w:type="pct"/>
          </w:tcPr>
          <w:p w14:paraId="29AF52E2"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1.19 (0.60–2.37)</w:t>
            </w:r>
          </w:p>
        </w:tc>
        <w:tc>
          <w:tcPr>
            <w:tcW w:w="281" w:type="pct"/>
          </w:tcPr>
          <w:p w14:paraId="460B7E7E" w14:textId="77777777" w:rsidR="00F92BE1" w:rsidRPr="0047058F" w:rsidRDefault="00F92BE1" w:rsidP="00C91013">
            <w:pPr>
              <w:pStyle w:val="TableText"/>
              <w:spacing w:before="38" w:after="38"/>
              <w:jc w:val="right"/>
              <w:rPr>
                <w:color w:val="000000" w:themeColor="text1"/>
                <w:sz w:val="13"/>
              </w:rPr>
            </w:pPr>
          </w:p>
        </w:tc>
        <w:tc>
          <w:tcPr>
            <w:tcW w:w="282" w:type="pct"/>
          </w:tcPr>
          <w:p w14:paraId="4200922C" w14:textId="77777777" w:rsidR="00F92BE1" w:rsidRPr="0047058F" w:rsidRDefault="00F92BE1" w:rsidP="00C91013">
            <w:pPr>
              <w:pStyle w:val="TableText"/>
              <w:spacing w:before="38" w:after="38"/>
              <w:jc w:val="right"/>
              <w:rPr>
                <w:color w:val="000000" w:themeColor="text1"/>
                <w:sz w:val="13"/>
              </w:rPr>
            </w:pPr>
          </w:p>
        </w:tc>
      </w:tr>
      <w:tr w:rsidR="00C91013" w:rsidRPr="0047058F" w14:paraId="663F1127" w14:textId="77777777" w:rsidTr="00C91013">
        <w:trPr>
          <w:cantSplit/>
        </w:trPr>
        <w:tc>
          <w:tcPr>
            <w:tcW w:w="744" w:type="pct"/>
          </w:tcPr>
          <w:p w14:paraId="7FD7A3FA" w14:textId="77777777" w:rsidR="00F92BE1" w:rsidRPr="0047058F" w:rsidRDefault="00F92BE1" w:rsidP="00C91013">
            <w:pPr>
              <w:pStyle w:val="TableText"/>
              <w:spacing w:before="38" w:after="38"/>
              <w:ind w:left="144"/>
              <w:rPr>
                <w:color w:val="000000" w:themeColor="text1"/>
              </w:rPr>
            </w:pPr>
            <w:r w:rsidRPr="0047058F">
              <w:rPr>
                <w:rFonts w:cs="Arial"/>
                <w:color w:val="000000" w:themeColor="text1"/>
              </w:rPr>
              <w:t>4+</w:t>
            </w:r>
          </w:p>
        </w:tc>
        <w:tc>
          <w:tcPr>
            <w:tcW w:w="196" w:type="pct"/>
          </w:tcPr>
          <w:p w14:paraId="0EBAA87B"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31</w:t>
            </w:r>
          </w:p>
        </w:tc>
        <w:tc>
          <w:tcPr>
            <w:tcW w:w="472" w:type="pct"/>
          </w:tcPr>
          <w:p w14:paraId="29DE3780"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11.5 (0.0–29.9)</w:t>
            </w:r>
          </w:p>
        </w:tc>
        <w:tc>
          <w:tcPr>
            <w:tcW w:w="199" w:type="pct"/>
          </w:tcPr>
          <w:p w14:paraId="4D03E18C"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98</w:t>
            </w:r>
          </w:p>
        </w:tc>
        <w:tc>
          <w:tcPr>
            <w:tcW w:w="431" w:type="pct"/>
          </w:tcPr>
          <w:p w14:paraId="28F08C9B"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36.3 (20.7–51.9)</w:t>
            </w:r>
          </w:p>
        </w:tc>
        <w:tc>
          <w:tcPr>
            <w:tcW w:w="194" w:type="pct"/>
          </w:tcPr>
          <w:p w14:paraId="2F4EDA7F"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141</w:t>
            </w:r>
          </w:p>
        </w:tc>
        <w:tc>
          <w:tcPr>
            <w:tcW w:w="432" w:type="pct"/>
          </w:tcPr>
          <w:p w14:paraId="7F20F8D9" w14:textId="77777777" w:rsidR="00F92BE1" w:rsidRPr="0047058F" w:rsidRDefault="00F92BE1" w:rsidP="00C91013">
            <w:pPr>
              <w:pStyle w:val="TableText"/>
              <w:spacing w:before="38" w:after="38"/>
              <w:jc w:val="right"/>
              <w:rPr>
                <w:rFonts w:cs="Arial"/>
                <w:color w:val="000000" w:themeColor="text1"/>
                <w:sz w:val="13"/>
              </w:rPr>
            </w:pPr>
            <w:r w:rsidRPr="0047058F">
              <w:rPr>
                <w:rFonts w:cs="Arial"/>
                <w:color w:val="000000" w:themeColor="text1"/>
                <w:sz w:val="13"/>
              </w:rPr>
              <w:t>52.2 (38.6–65.8)</w:t>
            </w:r>
          </w:p>
        </w:tc>
        <w:tc>
          <w:tcPr>
            <w:tcW w:w="451" w:type="pct"/>
          </w:tcPr>
          <w:p w14:paraId="2EF79E4F"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3.44 (1.85–6.37)</w:t>
            </w:r>
          </w:p>
        </w:tc>
        <w:tc>
          <w:tcPr>
            <w:tcW w:w="452" w:type="pct"/>
          </w:tcPr>
          <w:p w14:paraId="6C8111BE"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2.24 (1.07–4.67)</w:t>
            </w:r>
          </w:p>
        </w:tc>
        <w:tc>
          <w:tcPr>
            <w:tcW w:w="433" w:type="pct"/>
          </w:tcPr>
          <w:p w14:paraId="2E928615"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5.11 (2.79–9.37)</w:t>
            </w:r>
          </w:p>
        </w:tc>
        <w:tc>
          <w:tcPr>
            <w:tcW w:w="433" w:type="pct"/>
          </w:tcPr>
          <w:p w14:paraId="462EA85F" w14:textId="77777777" w:rsidR="00F92BE1" w:rsidRPr="0047058F" w:rsidRDefault="00F92BE1" w:rsidP="00C91013">
            <w:pPr>
              <w:pStyle w:val="TableText"/>
              <w:spacing w:before="38" w:after="38"/>
              <w:jc w:val="right"/>
              <w:rPr>
                <w:color w:val="000000" w:themeColor="text1"/>
                <w:sz w:val="13"/>
              </w:rPr>
            </w:pPr>
            <w:r w:rsidRPr="0047058F">
              <w:rPr>
                <w:rFonts w:cs="Arial"/>
                <w:color w:val="000000" w:themeColor="text1"/>
                <w:sz w:val="13"/>
              </w:rPr>
              <w:t>2.56 (1.21–5.39)</w:t>
            </w:r>
          </w:p>
        </w:tc>
        <w:tc>
          <w:tcPr>
            <w:tcW w:w="281" w:type="pct"/>
          </w:tcPr>
          <w:p w14:paraId="06FE2F10" w14:textId="77777777" w:rsidR="00F92BE1" w:rsidRPr="0047058F" w:rsidRDefault="00F92BE1" w:rsidP="00C91013">
            <w:pPr>
              <w:pStyle w:val="TableText"/>
              <w:spacing w:before="38" w:after="38"/>
              <w:jc w:val="right"/>
              <w:rPr>
                <w:color w:val="000000" w:themeColor="text1"/>
                <w:sz w:val="13"/>
              </w:rPr>
            </w:pPr>
          </w:p>
        </w:tc>
        <w:tc>
          <w:tcPr>
            <w:tcW w:w="282" w:type="pct"/>
          </w:tcPr>
          <w:p w14:paraId="60603787" w14:textId="77777777" w:rsidR="00F92BE1" w:rsidRPr="0047058F" w:rsidRDefault="00F92BE1" w:rsidP="00C91013">
            <w:pPr>
              <w:pStyle w:val="TableText"/>
              <w:spacing w:before="38" w:after="38"/>
              <w:jc w:val="right"/>
              <w:rPr>
                <w:color w:val="000000" w:themeColor="text1"/>
                <w:sz w:val="13"/>
              </w:rPr>
            </w:pPr>
          </w:p>
        </w:tc>
      </w:tr>
    </w:tbl>
    <w:p w14:paraId="1C820094" w14:textId="77777777" w:rsidR="00F92BE1" w:rsidRPr="0047058F" w:rsidRDefault="00F92BE1" w:rsidP="00F92BE1">
      <w:pPr>
        <w:pStyle w:val="TableNotes"/>
      </w:pPr>
      <w:r w:rsidRPr="0047058F">
        <w:t>ns = not significant</w:t>
      </w:r>
    </w:p>
    <w:p w14:paraId="425CE776" w14:textId="77777777" w:rsidR="00ED05E6" w:rsidRPr="0047058F" w:rsidRDefault="00ED05E6" w:rsidP="00ED05E6"/>
    <w:p w14:paraId="01286E77" w14:textId="77777777" w:rsidR="00ED05E6" w:rsidRPr="0047058F" w:rsidRDefault="00ED05E6" w:rsidP="00ED05E6">
      <w:pPr>
        <w:sectPr w:rsidR="00ED05E6" w:rsidRPr="0047058F" w:rsidSect="00ED05E6">
          <w:footerReference w:type="even" r:id="rId85"/>
          <w:footerReference w:type="default" r:id="rId86"/>
          <w:pgSz w:w="14170" w:h="9979" w:orient="landscape" w:code="243"/>
          <w:pgMar w:top="1872" w:right="1440" w:bottom="1152" w:left="1440" w:header="576" w:footer="576" w:gutter="0"/>
          <w:cols w:space="708"/>
          <w:docGrid w:linePitch="360"/>
        </w:sectPr>
      </w:pPr>
    </w:p>
    <w:p w14:paraId="0722817B" w14:textId="77777777" w:rsidR="00ED05E6" w:rsidRPr="0047058F" w:rsidRDefault="004B0C33" w:rsidP="00ED05E6">
      <w:pPr>
        <w:pStyle w:val="Heading1"/>
      </w:pPr>
      <w:bookmarkStart w:id="479" w:name="_Toc532474388"/>
      <w:r w:rsidRPr="0047058F">
        <w:t>Discussion</w:t>
      </w:r>
      <w:bookmarkEnd w:id="479"/>
    </w:p>
    <w:p w14:paraId="51CE12A4" w14:textId="46A2A660" w:rsidR="004B0C33" w:rsidRPr="0047058F" w:rsidRDefault="004B0C33" w:rsidP="004B0C33">
      <w:pPr>
        <w:rPr>
          <w:rFonts w:cstheme="minorHAnsi"/>
        </w:rPr>
      </w:pPr>
      <w:r w:rsidRPr="0047058F">
        <w:rPr>
          <w:rFonts w:cstheme="minorHAnsi"/>
        </w:rPr>
        <w:t xml:space="preserve">The key objective of this report </w:t>
      </w:r>
      <w:r w:rsidR="0040397D">
        <w:rPr>
          <w:rFonts w:cstheme="minorHAnsi"/>
        </w:rPr>
        <w:t>i</w:t>
      </w:r>
      <w:r w:rsidRPr="0047058F">
        <w:rPr>
          <w:rFonts w:cstheme="minorHAnsi"/>
        </w:rPr>
        <w:t xml:space="preserve">s to outline the course of mental health in ADF members who transitioned from regular ‘full-time’ service between 2010 and 2014, and to map the predictors of their changing mental health status over this period. The patterns of transition over this period in those who left the ADF were considered in relation to personnel who remained in the ADF in this time frame. This information needs to be understood in the context of the previous reports of the Mental Health and Wellbeing Transition Study, and in particular the </w:t>
      </w:r>
      <w:r w:rsidRPr="0047058F">
        <w:rPr>
          <w:rFonts w:cstheme="minorHAnsi"/>
          <w:i/>
        </w:rPr>
        <w:t>Mental Health Prevalence Report</w:t>
      </w:r>
      <w:r w:rsidRPr="0047058F">
        <w:rPr>
          <w:rFonts w:cstheme="minorHAnsi"/>
        </w:rPr>
        <w:t xml:space="preserve"> (Van Hooff et al., 2018) and the </w:t>
      </w:r>
      <w:r w:rsidRPr="0047058F">
        <w:rPr>
          <w:rFonts w:cstheme="minorHAnsi"/>
          <w:i/>
        </w:rPr>
        <w:t>Pathways to Care Report</w:t>
      </w:r>
      <w:r w:rsidRPr="0047058F">
        <w:rPr>
          <w:rFonts w:cstheme="minorHAnsi"/>
        </w:rPr>
        <w:t xml:space="preserve"> (Forbes et al., 2018). As per findings from the </w:t>
      </w:r>
      <w:r w:rsidRPr="0047058F">
        <w:rPr>
          <w:rFonts w:cstheme="minorHAnsi"/>
          <w:i/>
        </w:rPr>
        <w:t>Mental Health Prevalence Report</w:t>
      </w:r>
      <w:r w:rsidRPr="0047058F">
        <w:rPr>
          <w:rFonts w:cstheme="minorHAnsi"/>
        </w:rPr>
        <w:t>, the overall prevalence and severity of 12-month mental disorder in the Transitioned ADF was high, and the spectrum of mental disorders reported was broader than anticipated. This was particularly the case for anxiety disorders. Importantly, the self-reported mental health of the Transitioned ADF in 2015 was significantly worse than both the Regular ADF (in relation to symptoms of posttraumatic stress disorder (PTSD), anxiety, depression, alcohol consumption, anger and suicidality) and the Australian community in 2015 (in relation to psychological distress).</w:t>
      </w:r>
      <w:r w:rsidRPr="0047058F">
        <w:t xml:space="preserve"> </w:t>
      </w:r>
      <w:r w:rsidRPr="0047058F">
        <w:rPr>
          <w:rFonts w:cstheme="minorHAnsi"/>
        </w:rPr>
        <w:t>Finally, the report identified a substantial group of people with subsyndromal symptoms who would benefit from further monitoring and early intervention. This group represents those at significant risk of the later emergence of disorder – an issue that is further supported by the findings of the current report.</w:t>
      </w:r>
    </w:p>
    <w:p w14:paraId="69AE0371" w14:textId="77777777" w:rsidR="004B0C33" w:rsidRPr="0047058F" w:rsidRDefault="004B0C33" w:rsidP="004B0C33">
      <w:pPr>
        <w:rPr>
          <w:rFonts w:cstheme="minorHAnsi"/>
        </w:rPr>
      </w:pPr>
      <w:r w:rsidRPr="0047058F">
        <w:rPr>
          <w:rFonts w:cstheme="minorHAnsi"/>
        </w:rPr>
        <w:t>In the context of these findings, and considering the large numbers of personnel transitioning from the ADF each year, it is important to profile how mental health changes in the period after transition. This is essential information if both the ADF and the Department of Veterans’ Affairs are to knowledgeably develop policies to improve the transition process and the care for veterans.</w:t>
      </w:r>
    </w:p>
    <w:p w14:paraId="53C6F0BF" w14:textId="77777777" w:rsidR="004B0C33" w:rsidRPr="0047058F" w:rsidRDefault="004B0C33" w:rsidP="0083574C">
      <w:pPr>
        <w:pStyle w:val="Heading2"/>
      </w:pPr>
      <w:bookmarkStart w:id="480" w:name="_Toc529117484"/>
      <w:bookmarkStart w:id="481" w:name="_Toc532474389"/>
      <w:r w:rsidRPr="0047058F">
        <w:t>Socio-demographic factors</w:t>
      </w:r>
      <w:bookmarkEnd w:id="480"/>
      <w:bookmarkEnd w:id="481"/>
    </w:p>
    <w:p w14:paraId="120EC268" w14:textId="63C159F1" w:rsidR="004B0C33" w:rsidRPr="0047058F" w:rsidRDefault="004B0C33" w:rsidP="004B0C33">
      <w:r w:rsidRPr="0047058F">
        <w:t xml:space="preserve">The full details of the socio-demographic profile of the Transitioned ADF sample is reported in the </w:t>
      </w:r>
      <w:r w:rsidRPr="0047058F">
        <w:rPr>
          <w:i/>
        </w:rPr>
        <w:t>Mental Health Prevalence Report</w:t>
      </w:r>
      <w:r w:rsidRPr="0047058F">
        <w:t xml:space="preserve"> (Van Hooff et al., 2018). In terms of data pertinent to the longitudinal cohort, approximately one-third of Transitioned personnel remained as Active Reservists (38.4%), and 30.1% as Inactive Reservists. Most Transitioned ADF requested their own discharge (57.7%), and one-fifth received medical discharges (18.6%). Comparable proportions of Transitioned and Regular ADF personnel were in a relationship (91.7% vs 86.3%), and similar proportions had served more than 20 years in the ADF (48.1% vs 45.5%). However, more Transitioned than Regular ADF personnel had served less than eight years in the ADF (17.7% vs 6.7%). Importantly, just over one-half (55.3%) of Transitioned personnel reported civilian employment, and one-third (38.8%) reported that they had been unemployed for a period of at least three months. The issue of one-third of veterans reporting unemployment represents a significant risk factor for mental health problems (Butterworth, Leach, McManus &amp; Stansfeld, 2013; Butterworth et al., 2011). Moreover, the rate of unemployment after leaving the ADF is likely to be associated with ongoing difficulties, with evidence suggesting those who leave active service may have problems in obtaining better employment in the future (Leach et al., 2010). There has been considerable attention given to employment of veterans in recent years, including the Prime Minister’s Veterans’ Employment Program, </w:t>
      </w:r>
      <w:r w:rsidR="004A5AED">
        <w:t xml:space="preserve">announced in 2016, </w:t>
      </w:r>
      <w:r w:rsidRPr="0047058F">
        <w:t>which promotes employment opportunities within the private sector (Australian Government, 2017). Recent initiatives have demonstrated that supported employment programs markedly benefit veterans and result in maintenance of long-term employment (Davis et al., 2018). Considering the potential benefits that employment can have on psychosocial functioning (Sripada et al., 2018), it is particularly important to maintain efforts to support employment pathways for veterans and to reduce barriers to retaining employment.</w:t>
      </w:r>
    </w:p>
    <w:p w14:paraId="5B44BC4A" w14:textId="77777777" w:rsidR="004B0C33" w:rsidRPr="0047058F" w:rsidRDefault="004B0C33" w:rsidP="00860F45">
      <w:pPr>
        <w:pStyle w:val="Heading2"/>
      </w:pPr>
      <w:bookmarkStart w:id="482" w:name="_Toc529117485"/>
      <w:bookmarkStart w:id="483" w:name="_Toc532474390"/>
      <w:r w:rsidRPr="0047058F">
        <w:t>Changing rates of mental disorder between 2010 and 2015</w:t>
      </w:r>
      <w:bookmarkEnd w:id="482"/>
      <w:bookmarkEnd w:id="483"/>
    </w:p>
    <w:p w14:paraId="76F838AC" w14:textId="77777777" w:rsidR="004B0C33" w:rsidRPr="0047058F" w:rsidRDefault="004B0C33" w:rsidP="004B0C33">
      <w:pPr>
        <w:rPr>
          <w:rFonts w:asciiTheme="minorHAnsi" w:hAnsiTheme="minorHAnsi" w:cstheme="minorHAnsi"/>
        </w:rPr>
      </w:pPr>
      <w:r w:rsidRPr="0047058F">
        <w:rPr>
          <w:rFonts w:asciiTheme="minorHAnsi" w:hAnsiTheme="minorHAnsi" w:cstheme="minorHAnsi"/>
        </w:rPr>
        <w:t xml:space="preserve">A fuller discussion of the population-level prevalence rates of mental disorders in the entire Transitioned ADF is presented in the </w:t>
      </w:r>
      <w:r w:rsidRPr="0047058F">
        <w:rPr>
          <w:rFonts w:asciiTheme="minorHAnsi" w:hAnsiTheme="minorHAnsi" w:cstheme="minorHAnsi"/>
          <w:i/>
        </w:rPr>
        <w:t>Mental Health Prevalence Report</w:t>
      </w:r>
      <w:r w:rsidRPr="0047058F">
        <w:rPr>
          <w:rFonts w:asciiTheme="minorHAnsi" w:hAnsiTheme="minorHAnsi" w:cstheme="minorHAnsi"/>
        </w:rPr>
        <w:t xml:space="preserve">. In contrast, it is important to note that prevalence rates described in the current report are based on unweighted data, whereas the results in the </w:t>
      </w:r>
      <w:r w:rsidRPr="0047058F">
        <w:rPr>
          <w:rFonts w:asciiTheme="minorHAnsi" w:hAnsiTheme="minorHAnsi" w:cstheme="minorHAnsi"/>
          <w:i/>
        </w:rPr>
        <w:t>Mental Health Prevalence Report</w:t>
      </w:r>
      <w:r w:rsidRPr="0047058F">
        <w:rPr>
          <w:rFonts w:asciiTheme="minorHAnsi" w:hAnsiTheme="minorHAnsi" w:cstheme="minorHAnsi"/>
        </w:rPr>
        <w:t xml:space="preserve"> are based on weighted data. In this sense, the estimated prevalence rates in the </w:t>
      </w:r>
      <w:r w:rsidRPr="0047058F">
        <w:rPr>
          <w:rFonts w:asciiTheme="minorHAnsi" w:hAnsiTheme="minorHAnsi" w:cstheme="minorHAnsi"/>
          <w:i/>
        </w:rPr>
        <w:t>Mental Health Prevalence Report</w:t>
      </w:r>
      <w:r w:rsidRPr="0047058F">
        <w:rPr>
          <w:rFonts w:asciiTheme="minorHAnsi" w:hAnsiTheme="minorHAnsi" w:cstheme="minorHAnsi"/>
        </w:rPr>
        <w:t xml:space="preserve"> may be considered more reliable at a population level than the unweighted rates reported here. The emphasis in the current report is on the shifts in mental health status over time.</w:t>
      </w:r>
    </w:p>
    <w:p w14:paraId="2BA31DDD" w14:textId="77777777" w:rsidR="004B0C33" w:rsidRPr="0047058F" w:rsidRDefault="004B0C33" w:rsidP="004B0C33">
      <w:r w:rsidRPr="0047058F">
        <w:rPr>
          <w:rFonts w:asciiTheme="minorHAnsi" w:hAnsiTheme="minorHAnsi" w:cstheme="minorHAnsi"/>
        </w:rPr>
        <w:t>It is also worth emphasising that the prevalence rates of mental health problems reflected in the self-reported data are lower than those from the Composite International Diagnostic Interview (CIDI) data. One important methodological difference to note in this regard is that while the CIDI data reflect mental health status over the past 12 months, the self-report data are limited to mental health functioning in the past month. Accordingly, it would be expected that rates of mental health problems would be lower in the self-report compared to CIDI data. While the longitudinal cohort was selected out for the purpose of this report, and is not representative of the broader population</w:t>
      </w:r>
      <w:r w:rsidRPr="0047058F">
        <w:t>, the patterns observed were largely comparable to those reported in the 2010 ADF Mental Health Prevalence and Wellbeing Study. These patterns are further discussed below.</w:t>
      </w:r>
    </w:p>
    <w:p w14:paraId="2BBD7909" w14:textId="77777777" w:rsidR="004B0C33" w:rsidRPr="0047058F" w:rsidRDefault="004B0C33" w:rsidP="00860F45">
      <w:pPr>
        <w:pStyle w:val="Heading2"/>
      </w:pPr>
      <w:bookmarkStart w:id="484" w:name="_Toc529117486"/>
      <w:bookmarkStart w:id="485" w:name="_Toc532474391"/>
      <w:r w:rsidRPr="0047058F">
        <w:t>Resilience</w:t>
      </w:r>
      <w:bookmarkEnd w:id="484"/>
      <w:bookmarkEnd w:id="485"/>
    </w:p>
    <w:p w14:paraId="1ED90844" w14:textId="77777777" w:rsidR="004B0C33" w:rsidRPr="0047058F" w:rsidRDefault="004B0C33" w:rsidP="004B0C33">
      <w:r w:rsidRPr="0047058F">
        <w:t>Overall, more than half of the longitudinal cohort reported having no disorder at both time points, with 58.0% in 2010 and 54.0% in 2015 reporting no disorder. This highlights that most personnel across both Regular ADF and Transitioned ADF demonstrated a pattern of resilience over time. This accords with much evidence in both military and veteran (Bonanno et al., 2012b), and civilian (Bonanno,</w:t>
      </w:r>
      <w:r w:rsidRPr="0047058F">
        <w:rPr>
          <w:rFonts w:cstheme="minorHAnsi"/>
        </w:rPr>
        <w:t xml:space="preserve"> Kennedy, Galatzer-Levy, Lude &amp; Elfstr</w:t>
      </w:r>
      <w:r w:rsidRPr="0047058F">
        <w:rPr>
          <w:rFonts w:cs="Calibri"/>
        </w:rPr>
        <w:t>ö</w:t>
      </w:r>
      <w:r w:rsidRPr="0047058F">
        <w:rPr>
          <w:rFonts w:cstheme="minorHAnsi"/>
        </w:rPr>
        <w:t>m</w:t>
      </w:r>
      <w:r w:rsidRPr="0047058F">
        <w:t>, 2012a; Bryant et al., 2015; Orcutt, Bonanno, Hannan &amp; Miron, 2014), literature. These patterns of resilience indicate that most veterans display good mental health following military service, and this pattern is even observed in those exposed to adversity. Using more assessment points than used in the current study, longitudinal studies that have used latent growth mixture modelling of military samples have shown that most personnel display good mental health over time (Berntsen et al., 2012; Bonanno et al., 2012b; Donoho et al., 2017; Isaacs et al., 2017). Although this pattern has been shown in personnel deployed to the Gulf War (Orcutt et al., 2004), Kosovo (Dickstein et al., 2010), Afghanistan (Berntsen et al., 2012), and Iraq (Bonanno et al., 2012b), there is less evidence regarding resilient trajectories during transition specifically. Studies that have been conducted with transitioned personnel also report that most personnel report good mental health following discharge from active military service (Hatch et al., 2013; Thompson et al., 2015).</w:t>
      </w:r>
    </w:p>
    <w:p w14:paraId="071EE2D0" w14:textId="77777777" w:rsidR="004B0C33" w:rsidRPr="0047058F" w:rsidRDefault="004B0C33" w:rsidP="00860F45">
      <w:pPr>
        <w:pStyle w:val="Heading2"/>
      </w:pPr>
      <w:bookmarkStart w:id="486" w:name="_Toc529117487"/>
      <w:bookmarkStart w:id="487" w:name="_Toc532474392"/>
      <w:r w:rsidRPr="0047058F">
        <w:t>Twelve-month CIDI mental disorders over time</w:t>
      </w:r>
      <w:bookmarkEnd w:id="486"/>
      <w:bookmarkEnd w:id="487"/>
    </w:p>
    <w:p w14:paraId="46EFEB54" w14:textId="77777777" w:rsidR="004B0C33" w:rsidRPr="0047058F" w:rsidRDefault="004B0C33" w:rsidP="00860F45">
      <w:pPr>
        <w:pStyle w:val="Heading3"/>
      </w:pPr>
      <w:bookmarkStart w:id="488" w:name="_Toc532474393"/>
      <w:r w:rsidRPr="0047058F">
        <w:t>Anxiety disorder</w:t>
      </w:r>
      <w:bookmarkEnd w:id="488"/>
    </w:p>
    <w:p w14:paraId="7D23BDF8" w14:textId="77777777" w:rsidR="004B0C33" w:rsidRPr="0047058F" w:rsidRDefault="004B0C33" w:rsidP="004B0C33">
      <w:r w:rsidRPr="0047058F">
        <w:t>The most commonly reported International Statistical Classification of Diseases and Related Health Problems, 10th Revision (ICD-10) mental disorders in both 2010 and 2015 were anxiety disorders (32.6% in 2010 and 37.8% in 2015). Of the disorders assessed, anxiety disorders were the only disorder category that significantly increased over time. For those who did not report an anxiety disorder in 2010, comparable proportions of those who transitioned and those who remained in regular ADF service developed an anxiety disorder in 2015 (22.4% vs 24.0%). Among those who reported an anxiety disorder in 2010, proportionally more personnel who transitioned retained an anxiety disorder in 2015 relative to those who remained in the ADF (75.0% vs 62.9%). Several key points emerge from these results.</w:t>
      </w:r>
    </w:p>
    <w:p w14:paraId="5F3BC5BC" w14:textId="77777777" w:rsidR="004B0C33" w:rsidRPr="0047058F" w:rsidRDefault="004B0C33" w:rsidP="004B0C33">
      <w:r w:rsidRPr="0047058F">
        <w:t>Anxiety is one of the most commonly reported mental health conditions in the community, and consistent with this pattern, here it was also the most commonly observed disorder category in the Transitioned and Regular ADF. In the National Survey of Mental Health and Wellbeing, 11.8% of the Australian community respondents met criteria for an anxiety disorder in the previous 12 months (McEvoy, Grove &amp; Slade, 2011).</w:t>
      </w:r>
    </w:p>
    <w:p w14:paraId="131D93D8" w14:textId="77777777" w:rsidR="004B0C33" w:rsidRPr="0047058F" w:rsidRDefault="004B0C33" w:rsidP="004B0C33">
      <w:r w:rsidRPr="0047058F">
        <w:t>Being transitioned in 2015 (compared to remaining in regular service) was associated with greater likelihood of retention of an anxiety disorder in 2015. Several factors could explain this. It is possible that those who transitioned from the ADF had a more severe anxiety disorder initially, and accordingly these individuals were more at risk of retaining their disorder. This possibility is supported by the observation that those who had transitioned in 2015 reported higher rates of anxiety disorder in both 2010 and 2015, compared to those who remained in the Regular ADF in 2015, with the difference slightly more pronounced in 2010 (2010: 38.3% vs 29.9%; OR 1.5; 95% CI 1.1, 2.0), (2015: 42.5% vs 35.6%; OR 1.3; 95% CI 1.0, 1.8). This pattern indicates that ADF personnel who transitioned in 2015 were also more likely to have an anxiety disorder while still serving in the ADF. The converse of this is that ADF members who were less likely to have an anxiety disorder in 2010 were more likely to remain in active service. That is, psychologically healthier personnel may remain in the ADF while those with an anxiety disorder are more likely to discharge, potentially as a result of their mental health. The healthy worker effect hypothesis maintains that those with more psychological problems during military service are more likely to transition, and this is consistent with the above observation. This accords with evidence from the United Kingdom suggesting that personnel who leave military service prematurely are more psychologically at risk (Buckman et al., 2013; King’s Centre for Military Health Research, 2010; van Staden et al., 2007).</w:t>
      </w:r>
    </w:p>
    <w:p w14:paraId="70BD7113" w14:textId="77777777" w:rsidR="004B0C33" w:rsidRPr="0047058F" w:rsidRDefault="004B0C33" w:rsidP="004B0C33">
      <w:r w:rsidRPr="0047058F">
        <w:t>Furthermore, those who develop mental health symptoms or disorders before discharge may particularly struggle with their adjustment to civilian life (Coll, Weiss &amp; Yarvis, 2011; Department of Veterans’ Affairs, 2016; Institute of Medicine, 2013; Kukla, Rattray &amp; Salyers, 2015; Pease, Billera &amp; Gerard, 2016; Sayer, Carlson &amp; Frazier, 2014; Tanielian &amp; Jaycox, 2008). This is consistent with evidence that stressors and psychological problems occurring prior to or during military service (including childhood adversity, non-military-related accidents or disasters, as well as combat exposure and physical assault occurring during military service) may compound psychological difficulties during transition (Clancy et al., 2006; Dedert et al., 2009; Iversen et al., 2007; King’s Centre for Military Health Research, 2014; van Staden et al., 2007).</w:t>
      </w:r>
    </w:p>
    <w:p w14:paraId="2EA7DB2B" w14:textId="77777777" w:rsidR="004B0C33" w:rsidRPr="0047058F" w:rsidRDefault="004B0C33" w:rsidP="004B0C33">
      <w:r w:rsidRPr="0047058F">
        <w:t xml:space="preserve">Alternatively, the stressors associated with transition may have compounded the anxiety experienced by these individuals, hence they may have been less able to overcome their anxiety disorder. This possibility accords with evidence that transition is associated with </w:t>
      </w:r>
      <w:r w:rsidRPr="0047058F">
        <w:rPr>
          <w:i/>
        </w:rPr>
        <w:t>increases</w:t>
      </w:r>
      <w:r w:rsidRPr="0047058F">
        <w:t xml:space="preserve"> in mental health problems (Dobson et al., 2012; Sim et al., 2015), and with the documented difficulties that many veterans face in the post-transition period (Mobbs &amp; Bonanno, 2018; Ray &amp; Heaslip, 2011). Finally, it is also possible that the ADF provides a protective environment and that those who remained active ADF members enjoyed additional supports in this period and this resulted in more of these individuals remitting from their anxiety disorder.</w:t>
      </w:r>
    </w:p>
    <w:p w14:paraId="788FBE6F" w14:textId="77777777" w:rsidR="004B0C33" w:rsidRPr="0047058F" w:rsidRDefault="004B0C33" w:rsidP="004B0C33">
      <w:pPr>
        <w:pStyle w:val="Heading4"/>
        <w:ind w:left="864" w:hanging="864"/>
      </w:pPr>
      <w:r w:rsidRPr="0047058F">
        <w:t>Specific anxiety disorders</w:t>
      </w:r>
    </w:p>
    <w:p w14:paraId="3D89A2E8" w14:textId="77777777" w:rsidR="004B0C33" w:rsidRPr="0047058F" w:rsidRDefault="004B0C33" w:rsidP="004B0C33">
      <w:r w:rsidRPr="0047058F">
        <w:t xml:space="preserve">Focusing on specific anxiety disorders, one can see similar patterns as discussed above. The majority of those who in 2010 </w:t>
      </w:r>
      <w:r w:rsidRPr="0047058F">
        <w:rPr>
          <w:i/>
        </w:rPr>
        <w:t>did not</w:t>
      </w:r>
      <w:r w:rsidRPr="0047058F">
        <w:t xml:space="preserve"> meet criteria for panic attacks, panic disorder, agoraphobia, specific phobia, or PTSD, also did not meet criteria for that mental disorder in 2015. However, among those who met criteria for any of these disorders in 2010, those who transitioned from the ADF in this period were more likely to have that same mental disorder in 2015 relative to those who remained in the ADF. For example, panic disorder rates were slightly higher in 2010 among those who had transitioned versus those who stayed in the ADF (5.4% vs 3.6%); however, the rate of panic disorder climbed markedly in those who transitioned relative to those who remained in the ADF by 2015 (8.0% vs 2.3%).</w:t>
      </w:r>
    </w:p>
    <w:p w14:paraId="643B7E6A" w14:textId="0BA46C50" w:rsidR="004B0C33" w:rsidRPr="0047058F" w:rsidRDefault="004B0C33" w:rsidP="004B0C33">
      <w:r w:rsidRPr="0047058F">
        <w:t xml:space="preserve">It is worth considering that each of the conditions that markedly increased over time (panic disorder, agoraphobia, specific phobia, and PTSD) are understood as </w:t>
      </w:r>
      <w:r w:rsidRPr="0047058F">
        <w:rPr>
          <w:i/>
        </w:rPr>
        <w:t xml:space="preserve">fear circuitry </w:t>
      </w:r>
      <w:r w:rsidRPr="0047058F">
        <w:t xml:space="preserve">disorders, </w:t>
      </w:r>
      <w:r w:rsidR="00E31CEE">
        <w:t>which</w:t>
      </w:r>
      <w:r w:rsidRPr="0047058F">
        <w:t xml:space="preserve"> are characterised by dysfunction to how the neurobiological system processes and maintains stress responses to the environment. It is theorised that these disorders commence because people learn that stimuli that are present at the time of a traumatic event (e.g. loud noises, smell of petrol, sight of blood) are paired with fear. Accordingly, when one is subsequently exposed to these stimuli, there is the perception that the threat is present again, leading to the experience of anxiety (Milad, Rauch, Pitman &amp; Quirk, 2006). Although a traumatic event precedes the onset of PTSD specifically, there is also evidence that aversive or traumatic experiences can precede onset of panic disorder (Faravelli, 1985; Manfro et al., 1996) and social phobia (McCabe, Antony, Summerfeldt, Liss &amp; Swinson, 2003). Support for the fear circuitry category has also drawn on findings showing that whereas fear circuitry disorders tend to be characterised by excessive amygdala reactivity, and impaired regulation of that response by the medial prefrontal cortex (Rauch &amp; Drevets, 2009), different neural networks appear to be involved in non-fear circuitry anxiety disorders, such as generalised anxiety disorder and depression (Cannistraro et al., 2004; Nitschke et al., 2009; Rauch et al., 2007). A key postulate is that fear conditioning involves increased sympathetic nervous system, or impaired parasympathetic nervous system, activity in the immediate aftermath of trauma exposure. Consistent with the fear circuitry proposal, evidence has shown that elevated heart rates in the initial days after a traumatic event predict subsequent PTSD, panic disorder, agoraphobia, and social phobia but not depression, generalised anxiety disorder, or obsessive-compulsive disorder (Bryant, Creamer, O’Donnell, Silove &amp; McFarlane, 2011). This convergent evidence suggests that ADF personnel who experience some form of fear circuitry disorder (PTSD, panic attack or panic disorder, social phobia, specific phobia, or agoraphobia) during the period when they are an active ADF member may be prone to retaining this group of disorders following discharge, potentially because fear circuitry mechanisms are thought to include sensitisation to later stressors that can exacerbate the condition (Post et al., 1995).</w:t>
      </w:r>
    </w:p>
    <w:p w14:paraId="596D8412" w14:textId="77777777" w:rsidR="004B0C33" w:rsidRPr="0047058F" w:rsidRDefault="004B0C33" w:rsidP="004B0C33">
      <w:r w:rsidRPr="0047058F">
        <w:t xml:space="preserve">Interestingly, and consistent with the above discussion, this pattern was not observed for generalised anxiety disorder (GAD) and obsessive-compulsive disorder (OCD). Specifically, of those with either GAD or OCD in 2010, more </w:t>
      </w:r>
      <w:r w:rsidRPr="0047058F">
        <w:rPr>
          <w:i/>
        </w:rPr>
        <w:t xml:space="preserve">Regular ADF </w:t>
      </w:r>
      <w:r w:rsidRPr="0047058F">
        <w:t>members retained their disorder in 2015 than Transitioned members. It should be noted, however, that very few personnel met criteria for GAD or OCD, so these shifts need to be considered cautiously. Nonetheless, these findings reinforce the conclusion that there is a different pattern of disorder course between the fear circuitry and non-fear circuitry disorders. The observation that Transitioned ADF personnel were not more susceptible to retaining their affective disorder, OCD, or GAD underscores that stress sensitisation may play a role in the greater retention of fear circuitry disorders.</w:t>
      </w:r>
    </w:p>
    <w:p w14:paraId="59707F07" w14:textId="77777777" w:rsidR="004B0C33" w:rsidRPr="0047058F" w:rsidRDefault="004B0C33" w:rsidP="004B0C33">
      <w:pPr>
        <w:pStyle w:val="Heading4"/>
        <w:ind w:left="864" w:hanging="864"/>
      </w:pPr>
      <w:r w:rsidRPr="0047058F">
        <w:t>Posttraumatic stress disorder</w:t>
      </w:r>
    </w:p>
    <w:p w14:paraId="4BC61D3D" w14:textId="77777777" w:rsidR="004B0C33" w:rsidRPr="0047058F" w:rsidRDefault="004B0C33" w:rsidP="004B0C33">
      <w:r w:rsidRPr="0047058F">
        <w:t xml:space="preserve">It is worth discussing the pattern of PTSD as distinct from the other anxiety disorders for several reasons. There is the focused attention on PTSD among military and veteran agencies because of the repeated exposure to trauma. Further, the </w:t>
      </w:r>
      <w:r w:rsidRPr="0047058F">
        <w:rPr>
          <w:i/>
        </w:rPr>
        <w:t>Diagnostic and Statistical Manual of Mental Disorders, Fifth Edition</w:t>
      </w:r>
      <w:r w:rsidRPr="0047058F">
        <w:t xml:space="preserve"> (DSM-5) now recognises PTSD in a trauma-related stressor category that is separate from anxiety disorders (Friedman et al., 2011b). In the longitudinal cohort, 13.4% met criteria for PTSD in 2010 and 16.7% met criteria for the disorder in 2015. Although the overall incidence of PTSD did not vary over time, those members who had transitioned in 2015 had higher rates in both 2010 and 2015 compared to those who remained in the Regular ADF in 2015. This difference was larger for PTSD than any of the disorder categories (2010: 19.5% vs 10.6%; OR 2.1; 95% CI 1.4, 3.1), (2015: 24.5% vs 13.1%; OR 2.2; 95% CI 1.5, 3.1), a pattern which highlights several important points.</w:t>
      </w:r>
    </w:p>
    <w:p w14:paraId="0A5C8401" w14:textId="77777777" w:rsidR="004B0C33" w:rsidRPr="0047058F" w:rsidRDefault="004B0C33" w:rsidP="004B0C33">
      <w:r w:rsidRPr="0047058F">
        <w:t>First, the greater rate of PTSD in the Transitioned ADF post-discharge (relative to Regular ADF) may be attributable in part to the increased vulnerability of these personnel during military service. That is, the higher rates of PTSD of Transitioned ADF members in 2010 suggest that those personnel who were more symptomatic were more likely to discharge than those who did not have stress reactions. This accords with the healthy worker effect in which the psychologically healthier personnel are more prone to remain in the ADF.</w:t>
      </w:r>
    </w:p>
    <w:p w14:paraId="1A40E1D9" w14:textId="77777777" w:rsidR="004B0C33" w:rsidRPr="0047058F" w:rsidRDefault="004B0C33" w:rsidP="004B0C33">
      <w:pPr>
        <w:rPr>
          <w:rFonts w:cstheme="minorHAnsi"/>
        </w:rPr>
      </w:pPr>
      <w:r w:rsidRPr="0047058F">
        <w:rPr>
          <w:rFonts w:cstheme="minorHAnsi"/>
        </w:rPr>
        <w:t>Second, the finding that the rate of PTSD increased somewhat in the Transitioned ADF (19.5% in 2010 to 24.5% in 2015) raises the possibility of some delayed or worsening cases of PTSD. As specified in DSM-5, delayed-onset PTSD can involve new onset of PTSD symptoms or worsening of symptoms over time (Friedman et al., 2011a). This pattern has often been observed in military populations, with reviews calculating that delayed-onset can account for 38.2% of PTSD cases in military/veteran populations (Andrews et al., 2007). The finding that Transitioned personnel had higher rates of PTSD symptoms during military service in 2010 suggests that there may have been elevated rates of posttraumatic stress symptoms, albeit at subsyndromal levels, that predisposed those individuals to worsen after discharge. This accords with evidence from military/veteran studies that delayed-onset PTSD is typically associated with elevated subsyndromal levels of PTSD prior to the worsening of symptoms to the point where they meet diagnostic threshold (Berntsen et al., 2012; Bonanno et al., 2012b; Dickstein et al., 2010; Orcutt et al., 2004).</w:t>
      </w:r>
    </w:p>
    <w:p w14:paraId="4625003F" w14:textId="77777777" w:rsidR="004B0C33" w:rsidRPr="0047058F" w:rsidRDefault="004B0C33" w:rsidP="004B0C33">
      <w:pPr>
        <w:rPr>
          <w:rFonts w:cstheme="minorHAnsi"/>
        </w:rPr>
      </w:pPr>
      <w:r w:rsidRPr="0047058F">
        <w:rPr>
          <w:rFonts w:cstheme="minorHAnsi"/>
        </w:rPr>
        <w:t>Third, the observation that PTSD increased over time in the Transitioned personnel also accords with evidence that transition can occur in the context of many stressors. Loss of social network, loss of identity, financial and employment challenges, and lack of structure can contribute to psychological and social difficulties faced by veterans. Delayed-onset PTSD has been associated with greater stressors in the period prior to the worsening of symptoms (Andrews et al., 2009), and so it is possible that the stressors experienced by Transitioned personnel after discharge triggered a worsening of PTSD symptoms to the point that diagnostic thresholds were met.</w:t>
      </w:r>
    </w:p>
    <w:p w14:paraId="1487567E" w14:textId="77777777" w:rsidR="004B0C33" w:rsidRPr="0047058F" w:rsidRDefault="004B0C33" w:rsidP="004B0C33">
      <w:pPr>
        <w:rPr>
          <w:rFonts w:cstheme="minorHAnsi"/>
        </w:rPr>
      </w:pPr>
      <w:r w:rsidRPr="0047058F">
        <w:rPr>
          <w:rFonts w:cstheme="minorHAnsi"/>
        </w:rPr>
        <w:t>Fourth, the finding that Transitioned personnel had increased rates of PTSD in 2015, and that this was preceded by higher rates of PTSD during active service in 2010, can be explained in terms of sensitisation models of PTSD (McFarlane, 2010; Smid et al., 2012). It is likely that the experience of trauma and stress during ADF service sensitised neural networks in a way that made them more susceptible to the stressors they experienced following discharge (Stam, 2007a). Accordingly, the myriad of stressors occurring during the transition phase would compound stress networks in the brain that are already sensitive to responding because of the prior posttraumatic stress (either full or subsyndromal) levels experienced during ADF service.</w:t>
      </w:r>
    </w:p>
    <w:p w14:paraId="270DDEF1" w14:textId="77777777" w:rsidR="004B0C33" w:rsidRPr="0047058F" w:rsidRDefault="004B0C33" w:rsidP="00860F45">
      <w:pPr>
        <w:pStyle w:val="Heading3"/>
      </w:pPr>
      <w:bookmarkStart w:id="489" w:name="_Toc532474394"/>
      <w:r w:rsidRPr="0047058F">
        <w:t>Affective disorders</w:t>
      </w:r>
      <w:bookmarkEnd w:id="489"/>
    </w:p>
    <w:p w14:paraId="5A2E7BBF" w14:textId="77777777" w:rsidR="004B0C33" w:rsidRPr="0047058F" w:rsidRDefault="004B0C33" w:rsidP="004B0C33">
      <w:pPr>
        <w:rPr>
          <w:rFonts w:cstheme="minorHAnsi"/>
        </w:rPr>
      </w:pPr>
      <w:r w:rsidRPr="0047058F">
        <w:rPr>
          <w:rFonts w:cstheme="minorHAnsi"/>
        </w:rPr>
        <w:t xml:space="preserve">Overall, rates of affective disorders remained reasonably stable across the 2010 and 2015 assessments (18.3% in 2010, and 21.1% in 2015), and there were no marked differences between those who had transitioned compared to those who remained in the Regular ADF. In terms of </w:t>
      </w:r>
      <w:r w:rsidRPr="0047058F">
        <w:rPr>
          <w:rFonts w:cstheme="minorHAnsi"/>
          <w:bCs/>
        </w:rPr>
        <w:t>depressive episodes, similar proportions of Transitioned and Regular ADF became new cases in 2015 (11.0% vs 11.1%). Of those reporting a depressive episode in 2010, a marginally greater proportion of those who had transitioned (31.0%) retained this disorder in 2015 compared to those who remained in the Regular ADF (26.8%).</w:t>
      </w:r>
      <w:r w:rsidRPr="0047058F">
        <w:rPr>
          <w:rFonts w:cstheme="minorHAnsi"/>
        </w:rPr>
        <w:t xml:space="preserve"> </w:t>
      </w:r>
      <w:r w:rsidRPr="0047058F">
        <w:rPr>
          <w:rFonts w:cstheme="minorHAnsi"/>
          <w:bCs/>
        </w:rPr>
        <w:t>These patterns are somewhat consistent with evidence that military personnel who are discharged from active service prematurely are more likely to have a depressive disorder (Brignone et al., 2017), and supports prior research of ADF personnel showing that veterans have greater rates of depressive disorder than currently serving ADF personnel (Dobson et al., 2012). However, the findings from the current study suggest that, overall, the rates of depressive disorder remained constant over time for both those personnel who remained in the ADF and those who transitioned. Although there was a trend for Transitioned personnel to retain their depressive disorder, this was only marginal and markedly less than previous studies.</w:t>
      </w:r>
    </w:p>
    <w:p w14:paraId="444E3111" w14:textId="77777777" w:rsidR="004B0C33" w:rsidRPr="0047058F" w:rsidRDefault="004B0C33" w:rsidP="004B0C33">
      <w:pPr>
        <w:rPr>
          <w:rFonts w:cstheme="minorHAnsi"/>
          <w:bCs/>
        </w:rPr>
      </w:pPr>
      <w:r w:rsidRPr="0047058F">
        <w:rPr>
          <w:rFonts w:cstheme="minorHAnsi"/>
          <w:bCs/>
        </w:rPr>
        <w:t>The proportion of new dysthymia and bipolar affective disorder cases in 2015 was small. Slightly more of those who had transitioned (6.6%) became new cases of dysthymia in 2015 compared to those who remained in the Regular ADF (3.1%), although a much greater proportion of those who had transitioned (40.0%) retained their disorder in 2015 compared to those who remained in the Regular ADF (7.7%). However, the numbers of personnel having these disorders are so small that one cannot make reliable inferences about the changing patterns over time in terms of dysthymia.</w:t>
      </w:r>
    </w:p>
    <w:p w14:paraId="06BD3B7C" w14:textId="77777777" w:rsidR="004B0C33" w:rsidRPr="0047058F" w:rsidRDefault="004B0C33" w:rsidP="004B0C33">
      <w:pPr>
        <w:rPr>
          <w:rFonts w:cstheme="minorHAnsi"/>
          <w:bCs/>
        </w:rPr>
      </w:pPr>
      <w:r w:rsidRPr="0047058F">
        <w:rPr>
          <w:rFonts w:cstheme="minorHAnsi"/>
          <w:bCs/>
        </w:rPr>
        <w:t>For bipolar affective disorder, slightly more of those who had transitioned (6.5%) became new cases in 2015 compared to those who remained in the Regular ADF (3.7%), and a slightly smaller proportion of those who transitioned (30.8%) retained their disorder in 2015 compared to those who remained in the Regular ADF (38.1%). Again, the actual numbers of bipolar disorder cases are so small that no reliable conclusions can be drawn regarding patterns of change.</w:t>
      </w:r>
    </w:p>
    <w:p w14:paraId="249FC383" w14:textId="3DDBF2E8" w:rsidR="004B0C33" w:rsidRPr="0047058F" w:rsidRDefault="004B0C33" w:rsidP="00860F45">
      <w:pPr>
        <w:pStyle w:val="Heading3"/>
      </w:pPr>
      <w:bookmarkStart w:id="490" w:name="_Toc532474395"/>
      <w:r w:rsidRPr="0047058F">
        <w:t>Alcohol disorders</w:t>
      </w:r>
      <w:bookmarkEnd w:id="490"/>
    </w:p>
    <w:p w14:paraId="201C4CA9" w14:textId="77777777" w:rsidR="004B0C33" w:rsidRPr="0047058F" w:rsidRDefault="004B0C33" w:rsidP="004B0C33">
      <w:pPr>
        <w:rPr>
          <w:rFonts w:cstheme="minorHAnsi"/>
        </w:rPr>
      </w:pPr>
      <w:r w:rsidRPr="0047058F">
        <w:rPr>
          <w:rFonts w:cstheme="minorHAnsi"/>
        </w:rPr>
        <w:t>Overall, the rates of alcohol disorders were relatively low and showed no significant difference over time, with 6.5% reported in 2010 and 6.3% in 2015. Although there were comparable rates of alcohol disorders in 2010 in both the Transitioned and Regular ADF samples, in 2015 those who had transitioned in 2015 reported higher rates of alcohol disorder, with a trend towards a decrease in alcohol disorders among those who remained in the Regular ADF. Several points emerge from these findings.</w:t>
      </w:r>
    </w:p>
    <w:p w14:paraId="78B5C196" w14:textId="356A5BB4" w:rsidR="004B0C33" w:rsidRPr="0047058F" w:rsidRDefault="004B0C33" w:rsidP="004B0C33">
      <w:pPr>
        <w:rPr>
          <w:rFonts w:cstheme="minorHAnsi"/>
        </w:rPr>
      </w:pPr>
      <w:r w:rsidRPr="0047058F">
        <w:rPr>
          <w:rFonts w:cstheme="minorHAnsi"/>
        </w:rPr>
        <w:t xml:space="preserve">This pattern highlights that personnel who discharged were not apparently showing signs of alcohol use disorder during military service and this only became apparent after they transitioned. Interestingly, different patterns have been observed in longitudinal studies in international military agencies. A study of US personnel found that transitioned Operation Iraqi Freedom/Operation Enduring Freedom personnel displayed increased alcohol use during service, a decrease immediately after separation, and then a return to pre-military levels (Golub &amp; Bennett, 2014). It should be noted this study focused on personnel who discharged to low-income minority neighbourhoods, and so may not be generalisable to the broader veteran population. It has been noted </w:t>
      </w:r>
      <w:r w:rsidR="007D2912">
        <w:rPr>
          <w:rFonts w:cstheme="minorHAnsi"/>
        </w:rPr>
        <w:t xml:space="preserve">that </w:t>
      </w:r>
      <w:r w:rsidRPr="0047058F">
        <w:rPr>
          <w:rFonts w:cstheme="minorHAnsi"/>
        </w:rPr>
        <w:t>military cultures and policies regarding alcohol vary around the world, and so patterns observed in the Australian context may be different from those observed in the United States or United Kingdom (Sundin et al., 2014).</w:t>
      </w:r>
    </w:p>
    <w:p w14:paraId="6FD0A1A8" w14:textId="77777777" w:rsidR="004B0C33" w:rsidRPr="0047058F" w:rsidRDefault="004B0C33" w:rsidP="004B0C33">
      <w:pPr>
        <w:rPr>
          <w:rFonts w:cstheme="minorHAnsi"/>
        </w:rPr>
      </w:pPr>
      <w:r w:rsidRPr="0047058F">
        <w:rPr>
          <w:rFonts w:cstheme="minorHAnsi"/>
        </w:rPr>
        <w:t>The finding that alcohol use disorder was reasonably low during active service in the ADF, with no differences between those who later transitioned and those who remained in the ADF while in service, indicates that alcohol abuse is not as problematic in the ADF as has been reported in some other militaries. This pattern may be attributed, in part, to the controlled environment of the ADF in which a drinking culture may not be as encouraged as other military agencies. One review indicated a culture of hazardous drinking in the UK military, and that this translated into problematic alcohol use in those who maintain military social networks after transition (St George’s House, 2014). Alcohol abuse is reportedly a greater concern in the UK military than PTSD (Fear, Wood &amp; Wessely, 2009); however, lessons from the UK cohorts need to be considered in the context of findings that alcohol abuse is more prevalent in the UK than US or Australian militaries (King’s Centre for Military Health Research, 2014; Sundin et al., 2014).</w:t>
      </w:r>
    </w:p>
    <w:p w14:paraId="31D6A823" w14:textId="77777777" w:rsidR="004B0C33" w:rsidRPr="0047058F" w:rsidRDefault="004B0C33" w:rsidP="004B0C33">
      <w:pPr>
        <w:rPr>
          <w:rFonts w:cstheme="minorHAnsi"/>
        </w:rPr>
      </w:pPr>
      <w:r w:rsidRPr="0047058F">
        <w:rPr>
          <w:rFonts w:cstheme="minorHAnsi"/>
        </w:rPr>
        <w:t xml:space="preserve">The observation of an increased rate of alcohol use problems after discharge from the ADF is consistent with much evidence from Australian and international literature on alcohol use in veteran populations. For example, the prevalence of 12-month probable alcohol disorder approximately doubled in the 10-year period (from 3.1% to 6.3% for Gulf War veterans and 1.6% to 2.9% for the comparison group) (Sim et al., 2015). It is also consistent with international studies that report that alcohol misuse is reported as a key problem among veterans (Golub &amp; Bennett, 2014). It is worth noting that the </w:t>
      </w:r>
      <w:r w:rsidRPr="0047058F">
        <w:rPr>
          <w:rFonts w:cstheme="minorHAnsi"/>
          <w:i/>
        </w:rPr>
        <w:t>Mental Health Prevalence Report</w:t>
      </w:r>
      <w:r w:rsidRPr="0047058F">
        <w:rPr>
          <w:rFonts w:cstheme="minorHAnsi"/>
        </w:rPr>
        <w:t xml:space="preserve"> (Van Hooff et al., 2018) noted that 95% of the Transitioned ADF who met criteria for a 12-month alcohol disorder had a comorbid mental disorder. This finding accords with the suggestion that one reason for the increased alcohol use was self-medication (Crum et al., 2013; Davis et al., 2013).</w:t>
      </w:r>
    </w:p>
    <w:p w14:paraId="12FD152B" w14:textId="77777777" w:rsidR="004B0C33" w:rsidRPr="0047058F" w:rsidRDefault="004B0C33" w:rsidP="00860F45">
      <w:pPr>
        <w:pStyle w:val="Heading2"/>
      </w:pPr>
      <w:bookmarkStart w:id="491" w:name="_Toc487011271"/>
      <w:bookmarkStart w:id="492" w:name="_Toc493663166"/>
      <w:bookmarkStart w:id="493" w:name="_Toc494449791"/>
      <w:bookmarkStart w:id="494" w:name="_Toc510680443"/>
      <w:bookmarkStart w:id="495" w:name="_Toc529117488"/>
      <w:bookmarkStart w:id="496" w:name="_Toc532474396"/>
      <w:r w:rsidRPr="0047058F">
        <w:t xml:space="preserve">Self-reported mental health </w:t>
      </w:r>
      <w:bookmarkEnd w:id="491"/>
      <w:bookmarkEnd w:id="492"/>
      <w:bookmarkEnd w:id="493"/>
      <w:bookmarkEnd w:id="494"/>
      <w:r w:rsidRPr="0047058F">
        <w:t>over time</w:t>
      </w:r>
      <w:bookmarkEnd w:id="495"/>
      <w:bookmarkEnd w:id="496"/>
    </w:p>
    <w:p w14:paraId="1221CCEB" w14:textId="3A0290D0" w:rsidR="004B0C33" w:rsidRPr="0047058F" w:rsidRDefault="004B0C33" w:rsidP="004B0C33">
      <w:pPr>
        <w:rPr>
          <w:rFonts w:cstheme="minorHAnsi"/>
        </w:rPr>
      </w:pPr>
      <w:r w:rsidRPr="0047058F">
        <w:rPr>
          <w:rFonts w:cstheme="minorHAnsi"/>
        </w:rPr>
        <w:t xml:space="preserve">Up to this point, this discussion has focused on the relationship between </w:t>
      </w:r>
      <w:r w:rsidRPr="0047058F">
        <w:rPr>
          <w:rFonts w:cstheme="minorHAnsi"/>
          <w:i/>
        </w:rPr>
        <w:t>12-month</w:t>
      </w:r>
      <w:r w:rsidRPr="0047058F">
        <w:rPr>
          <w:rFonts w:cstheme="minorHAnsi"/>
        </w:rPr>
        <w:t xml:space="preserve"> diagnosable mental disorders among the Transitioned and Regular ADF from 2010 to 2015 (when the Transitioned personnel had discharged from the ADF). This next section outlines the changes to self-reported </w:t>
      </w:r>
      <w:r w:rsidRPr="0047058F">
        <w:rPr>
          <w:rFonts w:cstheme="minorHAnsi"/>
          <w:i/>
        </w:rPr>
        <w:t xml:space="preserve">current </w:t>
      </w:r>
      <w:r w:rsidRPr="0047058F">
        <w:rPr>
          <w:rFonts w:cstheme="minorHAnsi"/>
        </w:rPr>
        <w:t xml:space="preserve">mental health symptomatology. A major advantage of the self-report measures is that they provide insights into the </w:t>
      </w:r>
      <w:r w:rsidRPr="0047058F">
        <w:rPr>
          <w:rFonts w:cstheme="minorHAnsi"/>
          <w:i/>
        </w:rPr>
        <w:t xml:space="preserve">severity </w:t>
      </w:r>
      <w:r w:rsidRPr="0047058F">
        <w:rPr>
          <w:rFonts w:cstheme="minorHAnsi"/>
        </w:rPr>
        <w:t xml:space="preserve">of each mental health condition rather than dichotomous diagnostic categorisations. Another advantage is that this approach permits identification of people who experience subsyndromal levels of each mental health condition. This is important because there is evidence that people often shift from subsyndromal to full diagnostic disorder (Bryant et al., 2013), and that subsyndromal levels can be predictive of subsequent disorder over time (O’Donnell, 2013; Pietrzak et al., 2013). Importantly, subsyndromal levels of PTSD and other disorder are also associated with significant impairment and accordingly can impact on veteran wellbeing as much as symptoms associated with diagnosable disorders (Judd, Paulus, Wells &amp; Rapaport, 1996; Karsten, Penninx, Verboom, Nolen &amp; Hartman, 2013). Specifically, </w:t>
      </w:r>
      <w:r w:rsidR="006A7D5E">
        <w:rPr>
          <w:rFonts w:cstheme="minorHAnsi"/>
        </w:rPr>
        <w:t>this section</w:t>
      </w:r>
      <w:r w:rsidRPr="0047058F">
        <w:rPr>
          <w:rFonts w:cstheme="minorHAnsi"/>
        </w:rPr>
        <w:t xml:space="preserve"> reports severity in both the Transitioned and Regular ADF personnel of:</w:t>
      </w:r>
    </w:p>
    <w:p w14:paraId="35BF12FC" w14:textId="77777777" w:rsidR="004B0C33" w:rsidRPr="0047058F" w:rsidRDefault="004B0C33" w:rsidP="00F97EE1">
      <w:pPr>
        <w:pStyle w:val="Bullet"/>
        <w:spacing w:after="60"/>
      </w:pPr>
      <w:r w:rsidRPr="0047058F">
        <w:t>psychological distress</w:t>
      </w:r>
    </w:p>
    <w:p w14:paraId="7E482F8D" w14:textId="77777777" w:rsidR="004B0C33" w:rsidRPr="0047058F" w:rsidRDefault="004B0C33" w:rsidP="00F97EE1">
      <w:pPr>
        <w:pStyle w:val="Bullet"/>
        <w:spacing w:after="60"/>
      </w:pPr>
      <w:r w:rsidRPr="0047058F">
        <w:t>PTSD</w:t>
      </w:r>
    </w:p>
    <w:p w14:paraId="3255248B" w14:textId="77777777" w:rsidR="004B0C33" w:rsidRPr="0047058F" w:rsidRDefault="004B0C33" w:rsidP="00F97EE1">
      <w:pPr>
        <w:pStyle w:val="Bullet"/>
        <w:spacing w:after="60"/>
      </w:pPr>
      <w:r w:rsidRPr="0047058F">
        <w:t>abuse of alcohol</w:t>
      </w:r>
    </w:p>
    <w:p w14:paraId="0767A6C4" w14:textId="77777777" w:rsidR="004B0C33" w:rsidRPr="0047058F" w:rsidRDefault="004B0C33" w:rsidP="00F97EE1">
      <w:pPr>
        <w:pStyle w:val="Bullet"/>
        <w:spacing w:after="60"/>
      </w:pPr>
      <w:r w:rsidRPr="0047058F">
        <w:t>depression</w:t>
      </w:r>
    </w:p>
    <w:p w14:paraId="2E755E82" w14:textId="77777777" w:rsidR="004B0C33" w:rsidRPr="0047058F" w:rsidRDefault="004B0C33" w:rsidP="00F97EE1">
      <w:pPr>
        <w:pStyle w:val="Bullet"/>
        <w:spacing w:after="60"/>
      </w:pPr>
      <w:r w:rsidRPr="0047058F">
        <w:t>anger</w:t>
      </w:r>
    </w:p>
    <w:p w14:paraId="67B768A2" w14:textId="77777777" w:rsidR="004B0C33" w:rsidRPr="0047058F" w:rsidRDefault="004B0C33" w:rsidP="00F97EE1">
      <w:pPr>
        <w:pStyle w:val="Bullet"/>
        <w:spacing w:after="60"/>
      </w:pPr>
      <w:r w:rsidRPr="0047058F">
        <w:t>violence</w:t>
      </w:r>
    </w:p>
    <w:p w14:paraId="0235ECAA" w14:textId="77777777" w:rsidR="004B0C33" w:rsidRPr="0047058F" w:rsidRDefault="004B0C33" w:rsidP="0083574C">
      <w:pPr>
        <w:pStyle w:val="Bullet"/>
      </w:pPr>
      <w:r w:rsidRPr="0047058F">
        <w:t>suicidality.</w:t>
      </w:r>
    </w:p>
    <w:p w14:paraId="69C4F91E" w14:textId="77777777" w:rsidR="004B0C33" w:rsidRPr="0047058F" w:rsidRDefault="004B0C33" w:rsidP="00860F45">
      <w:pPr>
        <w:pStyle w:val="Heading3"/>
      </w:pPr>
      <w:bookmarkStart w:id="497" w:name="_Toc487011272"/>
      <w:bookmarkStart w:id="498" w:name="_Toc493663167"/>
      <w:bookmarkStart w:id="499" w:name="_Toc494449792"/>
      <w:bookmarkStart w:id="500" w:name="_Toc510680444"/>
      <w:bookmarkStart w:id="501" w:name="_Toc532474397"/>
      <w:r w:rsidRPr="0047058F">
        <w:t>Psychological distress</w:t>
      </w:r>
      <w:bookmarkEnd w:id="497"/>
      <w:bookmarkEnd w:id="498"/>
      <w:bookmarkEnd w:id="499"/>
      <w:bookmarkEnd w:id="500"/>
      <w:bookmarkEnd w:id="501"/>
    </w:p>
    <w:p w14:paraId="4495D90E" w14:textId="77777777" w:rsidR="004B0C33" w:rsidRPr="0047058F" w:rsidRDefault="004B0C33" w:rsidP="004B0C33">
      <w:pPr>
        <w:rPr>
          <w:rFonts w:cstheme="minorHAnsi"/>
        </w:rPr>
      </w:pPr>
      <w:r w:rsidRPr="0047058F">
        <w:rPr>
          <w:rFonts w:cstheme="minorHAnsi"/>
        </w:rPr>
        <w:t>Those who remained in the Regular ADF reported lower levels of disorder on the Kessler Psychological Distress 10-item scale (K10) in 2010 and 2015 compared to those who had transitioned. This finding reinforces the finding observed using the CIDI that personnel who left the ADF tended to have more psychological difficulties during their ADF service. This underscores the conclusion that a healthy worker effect was in operation, such that psychologically fitter individuals were more likely to remain in active service.</w:t>
      </w:r>
    </w:p>
    <w:p w14:paraId="43B4C0CF" w14:textId="77777777" w:rsidR="004B0C33" w:rsidRPr="0047058F" w:rsidRDefault="004B0C33" w:rsidP="004B0C33">
      <w:pPr>
        <w:rPr>
          <w:rFonts w:cstheme="minorHAnsi"/>
        </w:rPr>
      </w:pPr>
      <w:r w:rsidRPr="0047058F">
        <w:rPr>
          <w:rFonts w:cstheme="minorHAnsi"/>
        </w:rPr>
        <w:t>Among the Transitioned ADF, 63.3% had no disorder on the K10 in 2010, 25.2% reported subsyndromal disorder and 11.5% had probable disorder. In 2015, 56.2% had no disorder, subsyndromal disorder fell to 21.1% and probable disorder almost doubled to 22.6%. Of those who had no disorder on the K10 in 2010, 16.1% had a subsyndromal disorder in 2015 and 15.2% had a probable disorder. Of those with a subsyndromal disorder in 2010, 32.7% remained in this category, 42.2% no longer had a disorder, and 25.2% now had a probable disorder. Of those with a probable disorder in 2010, over half (58.0%) still had a probable disorder, 23.2% now had a subsyndromal disorder and 18.8% no longer met criteria for a disorder. A somewhat comparable pattern emerged in the Regular ADF, however to a lesser extent. Specifically, whereas there was a proportion of Regular ADF personnel who had no disorder in 2010 but developed a probable disorder in 2015 (8.5%), this was less than the proportion of new probable cases observed in the Transitioned ADF (15.2%). Similarly, whereas 17.5% of Regular ADF personnel who had subsyndromal disorder in 2010 progressed to probable disorder in 2015, this was less than the rate who followed this pattern among the Transitioned ADF (25.2%).</w:t>
      </w:r>
    </w:p>
    <w:p w14:paraId="08558D0F" w14:textId="77777777" w:rsidR="004B0C33" w:rsidRPr="0047058F" w:rsidRDefault="004B0C33" w:rsidP="004B0C33">
      <w:pPr>
        <w:rPr>
          <w:rFonts w:cstheme="minorHAnsi"/>
        </w:rPr>
      </w:pPr>
      <w:r w:rsidRPr="0047058F">
        <w:rPr>
          <w:rFonts w:cstheme="minorHAnsi"/>
        </w:rPr>
        <w:t>These patterns highlight the dynamic nature of psychological health both during ADF service and especially following transition. The finding that 15.2% who had no disorder in 2010 reported probable disorder in 2015 points to the fact that individuals can be apparently experiencing low levels of distress and this can change markedly within several years.</w:t>
      </w:r>
    </w:p>
    <w:p w14:paraId="55113358" w14:textId="77777777" w:rsidR="004B0C33" w:rsidRPr="0047058F" w:rsidRDefault="004B0C33" w:rsidP="004B0C33">
      <w:pPr>
        <w:rPr>
          <w:rFonts w:cstheme="minorHAnsi"/>
        </w:rPr>
      </w:pPr>
      <w:r w:rsidRPr="0047058F">
        <w:rPr>
          <w:rFonts w:cstheme="minorHAnsi"/>
        </w:rPr>
        <w:t xml:space="preserve">The finding that 25.2% of Transitioned personnel and 17.5% of Regular ADF personnel worsened from subsyndromal disorder to probable disorder from 2010 to 2015 is consistent with previous evidence that subsyndromal levels of disorders are predictive of subsequent development of disorder (Bryant et al., 2013; O’Donnell, 2013; Pietrzak et al., 2013). Importantly, the observation that this pattern was marginally stronger for Transitioned ADF members compared to Regular ADF members reinforces the proposal that those who transition are more susceptible to worsening of symptoms following discharge, which in turn is consistent with evidence of the abundant challenges facing many veterans following discharge. These findings also reinforce the possibility that one reason Transitioned ADF members were more likely to report distress after discharge is that they experienced greater levels of distress </w:t>
      </w:r>
      <w:r w:rsidRPr="0047058F">
        <w:rPr>
          <w:rFonts w:cstheme="minorHAnsi"/>
          <w:i/>
        </w:rPr>
        <w:t>during</w:t>
      </w:r>
      <w:r w:rsidRPr="0047058F">
        <w:rPr>
          <w:rFonts w:cstheme="minorHAnsi"/>
        </w:rPr>
        <w:t xml:space="preserve"> military service. This is consistent with a sensitisation explanation for the greater development of distress over time (Stam, 2007a).</w:t>
      </w:r>
    </w:p>
    <w:p w14:paraId="0FEB87F8" w14:textId="77777777" w:rsidR="004B0C33" w:rsidRPr="0047058F" w:rsidRDefault="004B0C33" w:rsidP="004B0C33">
      <w:pPr>
        <w:rPr>
          <w:rFonts w:cstheme="minorHAnsi"/>
        </w:rPr>
      </w:pPr>
      <w:r w:rsidRPr="0047058F">
        <w:rPr>
          <w:rFonts w:cstheme="minorHAnsi"/>
        </w:rPr>
        <w:t>The finding that 18.8% of Transitioned personnel and 35.2% of Regular ADF members who had a probable disorder on the K10 in 2010 subsequently remitted to the point where they had no disorder in 2015 highlights that many people can overcome their mental health issue. Proportionally more Regular ADF than Transitioned personnel remitted over the five years, which may reflect a healthy worker effect because those who were able to overcome psychological problems may have decided to remain in the ADF. It is also possible that fewer Transitioned personnel remitted because of the difficulties they faced post-discharge.</w:t>
      </w:r>
    </w:p>
    <w:p w14:paraId="59CBF621" w14:textId="77777777" w:rsidR="004B0C33" w:rsidRPr="0047058F" w:rsidRDefault="004B0C33" w:rsidP="00860F45">
      <w:pPr>
        <w:pStyle w:val="Heading3"/>
      </w:pPr>
      <w:bookmarkStart w:id="502" w:name="_Toc487011273"/>
      <w:bookmarkStart w:id="503" w:name="_Toc493663168"/>
      <w:bookmarkStart w:id="504" w:name="_Toc494449793"/>
      <w:bookmarkStart w:id="505" w:name="_Toc510680445"/>
      <w:bookmarkStart w:id="506" w:name="_Toc532474398"/>
      <w:r w:rsidRPr="0047058F">
        <w:t>Posttraumatic stress disorder symptoms</w:t>
      </w:r>
      <w:bookmarkEnd w:id="502"/>
      <w:bookmarkEnd w:id="503"/>
      <w:bookmarkEnd w:id="504"/>
      <w:bookmarkEnd w:id="505"/>
      <w:bookmarkEnd w:id="506"/>
    </w:p>
    <w:p w14:paraId="00AE434F" w14:textId="16B373BB" w:rsidR="004B0C33" w:rsidRPr="0047058F" w:rsidRDefault="004B0C33" w:rsidP="004B0C33">
      <w:pPr>
        <w:rPr>
          <w:rFonts w:cstheme="minorHAnsi"/>
        </w:rPr>
      </w:pPr>
      <w:r w:rsidRPr="0047058F">
        <w:rPr>
          <w:rFonts w:cstheme="minorHAnsi"/>
          <w:lang w:eastAsia="en-AU"/>
        </w:rPr>
        <w:t xml:space="preserve">A somewhat similar pattern as for psychological distress was observed for </w:t>
      </w:r>
      <w:r w:rsidR="00A85D32">
        <w:rPr>
          <w:rFonts w:cstheme="minorHAnsi"/>
          <w:lang w:eastAsia="en-AU"/>
        </w:rPr>
        <w:t xml:space="preserve">PTSD </w:t>
      </w:r>
      <w:r w:rsidRPr="0047058F">
        <w:rPr>
          <w:rFonts w:cstheme="minorHAnsi"/>
          <w:lang w:eastAsia="en-AU"/>
        </w:rPr>
        <w:t xml:space="preserve">symptoms. In terms of the Transitioned ADF, 75.0% did not meet criteria for a disorder in 2010, 19.6% met criteria for a subsyndromal disorder and 5.4% met probable disorder. In 2015, only 62.8% had no disorder, while subsyndromal increased to 25.0% and probable disorder increased to 12.2%. </w:t>
      </w:r>
      <w:r w:rsidRPr="0047058F">
        <w:rPr>
          <w:rFonts w:cstheme="minorHAnsi"/>
        </w:rPr>
        <w:t xml:space="preserve">Those who remained in the Regular ADF reported lower levels of disorder on the PTSD Checklist – civilian version (PCL-C) in 2010 and 2015 compared to those who had transitioned. </w:t>
      </w:r>
      <w:r w:rsidRPr="0047058F">
        <w:rPr>
          <w:rFonts w:cstheme="minorHAnsi"/>
          <w:lang w:eastAsia="en-AU"/>
        </w:rPr>
        <w:t xml:space="preserve">In 2010, 83.3% of those who remained in the Regular ADF had no disorder, 14.9% had subsyndromal disorder and just 1.8% had probable disorder. In 2015, 79.9% had no disorder and subsyndromal disorder increased slightly to 17.1% and probable disorder to 3.0%. These patterns highlight that over time the </w:t>
      </w:r>
      <w:r w:rsidR="00A85D32">
        <w:rPr>
          <w:rFonts w:cstheme="minorHAnsi"/>
          <w:lang w:eastAsia="en-AU"/>
        </w:rPr>
        <w:t>PTSD</w:t>
      </w:r>
      <w:r w:rsidRPr="0047058F">
        <w:rPr>
          <w:rFonts w:cstheme="minorHAnsi"/>
          <w:lang w:eastAsia="en-AU"/>
        </w:rPr>
        <w:t xml:space="preserve"> symptoms worsened to a greater extent in the Transitioned ADF relative to the Regular ADF. Although there were very slight increases in the Regular ADF cohort in subsyndromal and probable disorder, these changes were much smaller than those observed in the Transitioned ADF. Combining proportions of subsyndromal and probable disorder, it can be seen that whereas the proportion of Transitioned personnel with some level of posttraumatic stress increased from 25.0% in 2010 to 37.2% in 2015, the comparable increase in Regular ADF personnel was 16.7% in 2010 and 20.1% in 2015.</w:t>
      </w:r>
    </w:p>
    <w:p w14:paraId="3858CFB8" w14:textId="77777777" w:rsidR="004B0C33" w:rsidRPr="0047058F" w:rsidRDefault="004B0C33" w:rsidP="004B0C33">
      <w:pPr>
        <w:rPr>
          <w:rFonts w:cstheme="minorHAnsi"/>
          <w:lang w:eastAsia="en-AU"/>
        </w:rPr>
      </w:pPr>
      <w:r w:rsidRPr="0047058F">
        <w:rPr>
          <w:rFonts w:cstheme="minorHAnsi"/>
          <w:lang w:eastAsia="en-AU"/>
        </w:rPr>
        <w:t>There were marked shifts over time in levels of posttraumatic stress in the Transitioned and Regular ADF. Specifically, of Transitioned ADF members with no disorder in 2010, 19.8% became new cases of subsyndromal disorder in 2015 and 6.3% became new cases of probable disorder. In contrast, of Regular ADF with no disorder in 2010, 12.3% now had a subsyndromal disorder and only 1.4% had a probable disorder in 2015.</w:t>
      </w:r>
    </w:p>
    <w:p w14:paraId="42258B27" w14:textId="77777777" w:rsidR="004B0C33" w:rsidRPr="0047058F" w:rsidRDefault="004B0C33" w:rsidP="004B0C33">
      <w:pPr>
        <w:rPr>
          <w:rFonts w:cstheme="minorHAnsi"/>
          <w:lang w:eastAsia="en-AU"/>
        </w:rPr>
      </w:pPr>
      <w:r w:rsidRPr="0047058F">
        <w:rPr>
          <w:rFonts w:cstheme="minorHAnsi"/>
          <w:lang w:eastAsia="en-AU"/>
        </w:rPr>
        <w:t>In terms of those with subsyndromal disorder in 2010, 42.0% of Transitioned personnel remained subsyndromal, 34.7% no longer had a disorder and 23.4% now met criteria for probable disorder. A different pattern emerged for Regular ADF personnel in that whereas 39.5% remained in this category in 2015 (compared to Transitioned personnel), 50.6% no longer had a disorder and 9.9% now had a probable disorder. That is, Regular ADF personnel who had subsyndromal levels of posttraumatic stress in 2010 tended to improve over time relative to the Transitioned personnel.</w:t>
      </w:r>
    </w:p>
    <w:p w14:paraId="35583D25" w14:textId="77777777" w:rsidR="004B0C33" w:rsidRPr="0047058F" w:rsidRDefault="004B0C33" w:rsidP="004B0C33">
      <w:pPr>
        <w:rPr>
          <w:rFonts w:cstheme="minorHAnsi"/>
          <w:lang w:eastAsia="en-AU"/>
        </w:rPr>
      </w:pPr>
      <w:r w:rsidRPr="0047058F">
        <w:rPr>
          <w:rFonts w:cstheme="minorHAnsi"/>
          <w:lang w:eastAsia="en-AU"/>
        </w:rPr>
        <w:t>Regarding those with probable disorder in 2010, over half (55.0%) of Transitioned personnel remained probable disorder cases in 2015, 34.9% shifted to subsyndromal and 10.1% no longer met criteria for disorder. In contrast, in 2010, 17.7% of Regular ADF personnel still had a probable disorder in 2015, 57.3% shifted to subsyndromal disorder and 25.0% no longer had a disorder. This pattern underscores that in contrast to Transitioned personnel who had probable PTSD in 2010, the majority of the Regular ADF cohort remitted over time.</w:t>
      </w:r>
    </w:p>
    <w:p w14:paraId="152E9673" w14:textId="7D6B7FCE" w:rsidR="004B0C33" w:rsidRPr="0047058F" w:rsidRDefault="004B0C33" w:rsidP="004B0C33">
      <w:pPr>
        <w:rPr>
          <w:rFonts w:cstheme="minorHAnsi"/>
          <w:lang w:eastAsia="en-AU"/>
        </w:rPr>
      </w:pPr>
      <w:r w:rsidRPr="0047058F">
        <w:rPr>
          <w:rFonts w:cstheme="minorHAnsi"/>
          <w:lang w:eastAsia="en-AU"/>
        </w:rPr>
        <w:t>These patterns reinforce findings from the CIDI data that the Transitioned ADF are markedly more at risk than Regular ADF of worsened PTSD over time. The PCL-C data extend the CIDI data by demonstrating that a significant proportion of personnel who subsequently experience PTSD following discharge from the ADF have elevated levels of posttraumatic stress during military service – and markedly more than those who remain in the ADF. The finding that 65.4% of Transitioned personnel who reported subsyndromal levels of posttraumatic stress during military service reported subsyndromal or probable PTSD in 2015 highlights that these individuals are at high risk even during their ADF service. Although many may not have diagnosable PTSD during ADF service, their subsyndromal levels during ADF service render them at risk for subsequent posttraumatic stress. This accords with prior civilian evidence that subsyndromal PTSD is a risk factor for subsequent full-blown PTSD (Halpern, Maunder, Schwartz &amp; Gurevich, 2011; O’Donnell, 2013). In the context that subsyndromal PTSD is associated with marked functional impairment (Stein et al., 1997; Zlotnick, Franklin &amp; Zimmerman, 2002; Fetzner, McMillan &amp; Asmundson, 2012; Marshall et al., 2001; Pietrzak et al., 2009; Schmidt, 2015)</w:t>
      </w:r>
      <w:r w:rsidRPr="0047058F">
        <w:rPr>
          <w:rFonts w:cstheme="minorHAnsi"/>
        </w:rPr>
        <w:t xml:space="preserve">, </w:t>
      </w:r>
      <w:r w:rsidRPr="0047058F">
        <w:rPr>
          <w:rFonts w:cstheme="minorHAnsi"/>
          <w:lang w:eastAsia="en-AU"/>
        </w:rPr>
        <w:t>it is clearly important to focus preventative and treatment attention on those with subsyndromal levels of posttraumatic stress because of the impairment they can suffer and the risk they possess to worsen over time.</w:t>
      </w:r>
    </w:p>
    <w:p w14:paraId="374E83BC" w14:textId="77777777" w:rsidR="004B0C33" w:rsidRPr="0047058F" w:rsidRDefault="004B0C33" w:rsidP="004B0C33">
      <w:pPr>
        <w:rPr>
          <w:rFonts w:cstheme="minorHAnsi"/>
        </w:rPr>
      </w:pPr>
      <w:r w:rsidRPr="0047058F">
        <w:rPr>
          <w:rFonts w:cstheme="minorHAnsi"/>
          <w:lang w:eastAsia="en-AU"/>
        </w:rPr>
        <w:t>The overall pattern of subsyndromal levels of PTSD being a risk for more severe subsequent PTSD, and particularly following transition, is consistent with evidence of distinct neurobiological patterns in military samples with subsyndromal PTSD. A range of studies have noted that military samples with subsyndromal PTSD have altered neurobiological patterns that are consistent with biological alterations implicating stress responses observed in PTSD (Schür et al., 2016; Steudte-Schmiedgen et al., 2015; van Zuiden et al., 2015; Vermetten, Baker &amp; Yehuda, 2015; Wiborg et al., 2016).</w:t>
      </w:r>
    </w:p>
    <w:p w14:paraId="5A20817C" w14:textId="20130EDA" w:rsidR="004B0C33" w:rsidRPr="0047058F" w:rsidRDefault="004B0C33" w:rsidP="00860F45">
      <w:pPr>
        <w:pStyle w:val="Heading3"/>
      </w:pPr>
      <w:bookmarkStart w:id="507" w:name="_Toc487011274"/>
      <w:bookmarkStart w:id="508" w:name="_Toc493663169"/>
      <w:bookmarkStart w:id="509" w:name="_Toc494449794"/>
      <w:bookmarkStart w:id="510" w:name="_Toc510680446"/>
      <w:bookmarkStart w:id="511" w:name="_Toc532474399"/>
      <w:r w:rsidRPr="0047058F">
        <w:t>Alcohol us</w:t>
      </w:r>
      <w:r w:rsidR="003D6EDF">
        <w:t>e</w:t>
      </w:r>
      <w:bookmarkEnd w:id="507"/>
      <w:bookmarkEnd w:id="508"/>
      <w:bookmarkEnd w:id="509"/>
      <w:bookmarkEnd w:id="510"/>
      <w:bookmarkEnd w:id="511"/>
    </w:p>
    <w:p w14:paraId="2C14691C" w14:textId="77777777" w:rsidR="004B0C33" w:rsidRPr="0047058F" w:rsidRDefault="004B0C33" w:rsidP="004B0C33">
      <w:pPr>
        <w:rPr>
          <w:rFonts w:cstheme="minorHAnsi"/>
        </w:rPr>
      </w:pPr>
      <w:r w:rsidRPr="0047058F">
        <w:rPr>
          <w:rFonts w:cstheme="minorHAnsi"/>
        </w:rPr>
        <w:t>Overall, those who remained in the Regular ADF reported somewhat lower levels of disorder on the Alcohol Use Disorders Identification Test (AUDIT) in 2010 and markedly lower levels in 2015 compared to those who had transitioned. For those who had transitioned, 74.2% had no disorder on the AUDIT in 2010, 23.8% had a subsyndromal disorder and 2.0% had a probable disorder. In 2015, 69.2% reported no disorder, subsyndromal disorder increased slightly to 25.4% and probable disorder doubled to 5.4%. In 2010, 77.5% of those remaining in the Regular ADF did not meet criteria for disorder on the AUDIT in 2010, 21.8% met criteria for subsyndromal disorder and 0.7% for probable disorder. In 2015, those not meeting criteria for a disorder increased to 80.4%, those meeting criteria for subsyndromal disorder decreased to 18.4% and the proportion of those having a probable alcohol use disorder stayed relatively stable at 1.2%.</w:t>
      </w:r>
    </w:p>
    <w:p w14:paraId="261122B4" w14:textId="77777777" w:rsidR="004B0C33" w:rsidRPr="0047058F" w:rsidRDefault="004B0C33" w:rsidP="004B0C33">
      <w:pPr>
        <w:rPr>
          <w:rFonts w:cstheme="minorHAnsi"/>
        </w:rPr>
      </w:pPr>
      <w:r w:rsidRPr="0047058F">
        <w:rPr>
          <w:rFonts w:cstheme="minorHAnsi"/>
        </w:rPr>
        <w:t>Regarding those with no disorder in 2010, more of the Regular ADF members (90.6%) relative to Transitioned ADF members (82.7%) maintained no disorder status in 2015. More Transitioned ADF members (15.2%) worsened from no disorder in 2010 to subsyndromal disorder than Regular ADF members (9.2%). Further, although the absolute rates were low, proportionally more Transitioned personnel (2.1%) shifted from having no alcohol disorder in 2010 to probable disorder in 2015, when compared to Regular ADF (0.2%).</w:t>
      </w:r>
    </w:p>
    <w:p w14:paraId="7A6D0A76" w14:textId="77777777" w:rsidR="004B0C33" w:rsidRPr="0047058F" w:rsidRDefault="004B0C33" w:rsidP="004B0C33">
      <w:pPr>
        <w:rPr>
          <w:rFonts w:cstheme="minorHAnsi"/>
        </w:rPr>
      </w:pPr>
      <w:r w:rsidRPr="0047058F">
        <w:rPr>
          <w:rFonts w:cstheme="minorHAnsi"/>
        </w:rPr>
        <w:t>In terms of those with subsyndromal alcohol disorder, only marginally more of the Transitioned ADF (55.9%) relative to Regular ADF members (50.0%) retained their subsyndromal status in 2015. However, twice as many Transitioned ADF than Regular ADF worsened to probable disorder in 2015 (11.9% vs 4.2%).</w:t>
      </w:r>
    </w:p>
    <w:p w14:paraId="44373E1D" w14:textId="77777777" w:rsidR="004B0C33" w:rsidRPr="0047058F" w:rsidRDefault="004B0C33" w:rsidP="004B0C33">
      <w:pPr>
        <w:rPr>
          <w:rFonts w:cstheme="minorHAnsi"/>
        </w:rPr>
      </w:pPr>
      <w:r w:rsidRPr="0047058F">
        <w:rPr>
          <w:rFonts w:cstheme="minorHAnsi"/>
        </w:rPr>
        <w:t>Regarding those with probable disorder in 2010, more Transitioned ADF still had an alcohol disorder in 2015 (48.8%) compared to Regular ADF (21.6%), and fewer Transitioned ADF (43.9%) decreased alcohol use to subsyndromal status than Regular ADF (54.1%).</w:t>
      </w:r>
    </w:p>
    <w:p w14:paraId="1656B215" w14:textId="77777777" w:rsidR="004B0C33" w:rsidRPr="0047058F" w:rsidRDefault="004B0C33" w:rsidP="004B0C33">
      <w:pPr>
        <w:rPr>
          <w:rFonts w:cstheme="minorHAnsi"/>
        </w:rPr>
      </w:pPr>
      <w:r w:rsidRPr="0047058F">
        <w:rPr>
          <w:rFonts w:cstheme="minorHAnsi"/>
        </w:rPr>
        <w:t>The observation that 5.4% of Transitioned personnel reported an alcohol use disorder and 25.4% reported a subsyndromal alcohol use disorder in 2015 is problematic from a public health perspective because of the long-term health risks associated with alcohol abuse (Fuehrlein et al., 2016).</w:t>
      </w:r>
    </w:p>
    <w:p w14:paraId="16FA976A" w14:textId="77777777" w:rsidR="004B0C33" w:rsidRPr="0047058F" w:rsidRDefault="004B0C33" w:rsidP="004B0C33">
      <w:pPr>
        <w:rPr>
          <w:rFonts w:cstheme="minorHAnsi"/>
        </w:rPr>
      </w:pPr>
      <w:r w:rsidRPr="0047058F">
        <w:rPr>
          <w:rFonts w:cstheme="minorHAnsi"/>
        </w:rPr>
        <w:t>The observation that alcohol use disorder was lower during ADF service may be attributed, in part, to the controlled drinking environment that exists during active military service. Although it has been repeatedly noted that some militaries have a significant problem with alcohol abuse, such as the UK military (King’s Centre for Military Health Research, 2014; St George’s House, 2014), this is not replicated in other militaries, including the ADF</w:t>
      </w:r>
      <w:r w:rsidRPr="0047058F">
        <w:rPr>
          <w:rFonts w:eastAsia="MS Mincho" w:cstheme="minorHAnsi"/>
          <w:color w:val="141413"/>
        </w:rPr>
        <w:t xml:space="preserve"> (Sundin et al., 2014).</w:t>
      </w:r>
    </w:p>
    <w:p w14:paraId="268F716F" w14:textId="77777777" w:rsidR="004B0C33" w:rsidRPr="0047058F" w:rsidRDefault="004B0C33" w:rsidP="004B0C33">
      <w:pPr>
        <w:rPr>
          <w:rFonts w:cstheme="minorHAnsi"/>
        </w:rPr>
      </w:pPr>
      <w:r w:rsidRPr="0047058F">
        <w:rPr>
          <w:rFonts w:cstheme="minorHAnsi"/>
        </w:rPr>
        <w:t>There was a significant increase in the rate of alcohol abuse disorder in Transitioned ADF members relative to Regular ADF members. Importantly, this level of difference was not apparent during ADF service in 2010, so the higher rate of alcohol abuse in those who transitioned out of the ADF cannot be attributed to drinking habits during military service. It is possible, however, that alcohol abuse increased after discharge because of increased psychological distress that was already present during ADF service in those who transitioned, as well as the increase in psychological symptoms that occurred after discharge. Self-medication plays a role in a significant proportion of alcohol abuse cases (Crum et al., 2013; Davis et al., 2013). Considering that Transitioned ADF members had higher rates of distress, PTSD, and other disorders in 2010, and this morbidity only increased after discharge, it is very possible that increased alcohol use disorder in Transitioned personnel is due to these individuals’ psychological difficulties. This scenario raises the possible opportunity to limit alcohol abuse by early intervention in the military and post-discharge that aims to limit psychological disorder, as well as integrated approaches that treat comorbid alcohol abuse and psychological disorders (Langdon et al., 2016).</w:t>
      </w:r>
    </w:p>
    <w:p w14:paraId="67FF8471" w14:textId="77777777" w:rsidR="004B0C33" w:rsidRPr="0047058F" w:rsidRDefault="004B0C33" w:rsidP="00860F45">
      <w:pPr>
        <w:pStyle w:val="Heading3"/>
      </w:pPr>
      <w:bookmarkStart w:id="512" w:name="_Toc487011275"/>
      <w:bookmarkStart w:id="513" w:name="_Toc493663170"/>
      <w:bookmarkStart w:id="514" w:name="_Toc494449795"/>
      <w:bookmarkStart w:id="515" w:name="_Toc510680447"/>
      <w:bookmarkStart w:id="516" w:name="_Toc532474400"/>
      <w:r w:rsidRPr="0047058F">
        <w:t>Depressive symptoms</w:t>
      </w:r>
      <w:bookmarkEnd w:id="512"/>
      <w:bookmarkEnd w:id="513"/>
      <w:bookmarkEnd w:id="514"/>
      <w:bookmarkEnd w:id="515"/>
      <w:bookmarkEnd w:id="516"/>
    </w:p>
    <w:p w14:paraId="5088CA14" w14:textId="77777777" w:rsidR="004B0C33" w:rsidRPr="0047058F" w:rsidRDefault="004B0C33" w:rsidP="004B0C33">
      <w:pPr>
        <w:rPr>
          <w:rFonts w:cstheme="minorHAnsi"/>
        </w:rPr>
      </w:pPr>
      <w:r w:rsidRPr="0047058F">
        <w:rPr>
          <w:rFonts w:cstheme="minorHAnsi"/>
        </w:rPr>
        <w:t>There was an overall trend for depressive disorder symptoms to increase in both Transitioned and Regular ADF members between 2010 and 2015. For those who had transitioned, 73.7% had no disorder on the Patient Health Questionnaire 9-item scale (PHQ-9) in 2010, 23.6% had a subsyndromal disorder and 2.7% had a probable disorder. In 2015, 54.9% reported no disorder, subsyndromal disorder increased slightly to 33.6% and probable disorder doubled to 11.5%. Of those remaining in the Regular ADF in 2015, 82.9% did not meet criteria for disorder on the PHQ-9 in 2010, 16.1% met criteria for subsyndromal disorder and 1.0% for probable disorder. In 2015, those not meeting criteria for a disorder decreased to 67.1%, those meeting criteria for subsyndromal disorder increased to 29.6% and the proportion of those having a probable depressive disorder increased to 3.3%. That is, although both groups increased between 2010 and 2015, the relative increase in depressive disorders was markedly greater for those who discharged from active military service.</w:t>
      </w:r>
    </w:p>
    <w:p w14:paraId="2ABD31BE" w14:textId="77777777" w:rsidR="004B0C33" w:rsidRPr="0047058F" w:rsidRDefault="004B0C33" w:rsidP="004B0C33">
      <w:pPr>
        <w:rPr>
          <w:rFonts w:cstheme="minorHAnsi"/>
        </w:rPr>
      </w:pPr>
      <w:r w:rsidRPr="0047058F">
        <w:rPr>
          <w:rFonts w:cstheme="minorHAnsi"/>
        </w:rPr>
        <w:t>Regarding those with no disorder in 2010, a greater proportion of the Regular ADF (74.3%) relative to Transitioned ADF (66.1%) maintained no disorder status in 2015. Comparable proportions of Transitioned ADF (27.4%) and Regular ADF (23.9%) worsened from no disorder in 2010 to subsyndromal disorder in 2015. However, although the absolute rates were low, proportionally more Transitioned ADF members (6.4%) shifted from being no depressive disorder in 2010 to probable disorder in 2015 when compared to Regular ADF (1.8%).</w:t>
      </w:r>
    </w:p>
    <w:p w14:paraId="3729FCA6" w14:textId="77777777" w:rsidR="004B0C33" w:rsidRPr="0047058F" w:rsidRDefault="004B0C33" w:rsidP="004B0C33">
      <w:pPr>
        <w:rPr>
          <w:rFonts w:cstheme="minorHAnsi"/>
        </w:rPr>
      </w:pPr>
      <w:r w:rsidRPr="0047058F">
        <w:rPr>
          <w:rFonts w:cstheme="minorHAnsi"/>
        </w:rPr>
        <w:t>In terms of those with subsyndromal depressive disorder, marginally fewer of the Transitioned ADF (51.9%) relative to Regular ADF (57.3%) retained their subsyndromal status in 2015. However, twice as many Transitioned compared to Regular ADF members worsened to probable disorder in 2015 (23.1% vs 9.2%).</w:t>
      </w:r>
    </w:p>
    <w:p w14:paraId="60CE2FBD" w14:textId="77777777" w:rsidR="004B0C33" w:rsidRPr="0047058F" w:rsidRDefault="004B0C33" w:rsidP="004B0C33">
      <w:pPr>
        <w:rPr>
          <w:rFonts w:cstheme="minorHAnsi"/>
        </w:rPr>
      </w:pPr>
      <w:r w:rsidRPr="0047058F">
        <w:rPr>
          <w:rFonts w:cstheme="minorHAnsi"/>
        </w:rPr>
        <w:t>Regarding those with probable disorder in 2010, more Transitioned personnel still had a depressive disorder in 2015 (48.2%) when compared to Regular ADF (31.0%), and fewer Transitioned ADF (41.1%) decreased to subsyndromal status than Regular ADF (55.2%).</w:t>
      </w:r>
    </w:p>
    <w:p w14:paraId="610A51C8" w14:textId="77777777" w:rsidR="004B0C33" w:rsidRPr="0047058F" w:rsidRDefault="004B0C33" w:rsidP="004B0C33">
      <w:pPr>
        <w:rPr>
          <w:rFonts w:cstheme="minorHAnsi"/>
          <w:color w:val="auto"/>
        </w:rPr>
      </w:pPr>
      <w:r w:rsidRPr="0047058F">
        <w:rPr>
          <w:rFonts w:cstheme="minorHAnsi"/>
        </w:rPr>
        <w:t xml:space="preserve">Overall, Transitioned ADF members had more depression during service than those who remained in the ADF. It is likely that one reason for the greater depression in Transitioned ADF members in 2015 relative to those who remained in the Regular ADF was that they suffered more depression during military service, and this contributed to their discharge from the ADF. The observation that </w:t>
      </w:r>
      <w:r w:rsidRPr="0047058F">
        <w:rPr>
          <w:rFonts w:cstheme="minorHAnsi"/>
          <w:color w:val="000000" w:themeColor="text1"/>
        </w:rPr>
        <w:t>psychologically healthier individuals tend to remain in the ADF is a theme that is recurrently noted in this report, and it is underscored by the self-reported depression levels.</w:t>
      </w:r>
    </w:p>
    <w:p w14:paraId="63F0439D" w14:textId="77777777" w:rsidR="004B0C33" w:rsidRPr="0047058F" w:rsidRDefault="004B0C33" w:rsidP="004B0C33">
      <w:pPr>
        <w:rPr>
          <w:rFonts w:cstheme="minorHAnsi"/>
        </w:rPr>
      </w:pPr>
      <w:r w:rsidRPr="0047058F">
        <w:rPr>
          <w:rFonts w:cstheme="minorHAnsi"/>
        </w:rPr>
        <w:t>Despite the conclusion of a healthy worker effect contributing to greater depression in those who transitioned out of the ADF, it is worth noting that more than twice as many of those who transitioned worsened over time to have probable depression than those who remained in the Regular ADF. This suggests that pre-existing depression levels cannot adequately explain the worsening of depression levels after discharge. It has been noted earlier in this report that transition is associated with many challenges, including loss of identity (Black &amp; Papile, 2010; Caspi &amp; Roberts, 2001; Mobbs &amp; Bonanno, 2018; Ray &amp; Heaslip, 2011), unemployment, financial difficulties, domestic difficulties (Morin, 2011), and delayed issues related to moral injury–related problems (Wisco et al., 2017). Each of these challenges can contribute to depression (Denneson et al., 2015; Pease et al., 2016), and it is possible that they have cumulative effects over time after discharge from the ADF, because it is during this period that many transitioned ADF experience these difficulties to a greater degree. For example, the lack of identity of no longer being in active military service or the loss of the social network that the ADF affords may compound depressive tendencies. It is highly likely that these effects will be greatest in those who are already predisposed to depression, which this report highlights are those individuals who do eventually discharge from the ADF.</w:t>
      </w:r>
    </w:p>
    <w:p w14:paraId="135ED5B3" w14:textId="6581A718" w:rsidR="004B0C33" w:rsidRPr="0047058F" w:rsidRDefault="004B0C33" w:rsidP="004B0C33">
      <w:pPr>
        <w:rPr>
          <w:rFonts w:cstheme="minorHAnsi"/>
        </w:rPr>
      </w:pPr>
      <w:r w:rsidRPr="0047058F">
        <w:rPr>
          <w:rFonts w:cstheme="minorHAnsi"/>
        </w:rPr>
        <w:t xml:space="preserve">It is worth emphasising that twice as many of those who transitioned compared to those who remained in the Regular ADF worsened from subsyndromal levels of depression during ADF service to probable depressive disorder in 2015. This highlights an opportunity for early intervention among those with indications of depression in the ADF. There are many effective programs for depression that have solid evidence bases, and many of the psychological programs that exist are ideally suited for subsyndromal levels of depression (Cuijpers, </w:t>
      </w:r>
      <w:r w:rsidR="00F14DB3">
        <w:rPr>
          <w:rFonts w:cstheme="minorHAnsi"/>
        </w:rPr>
        <w:t>v</w:t>
      </w:r>
      <w:r w:rsidRPr="0047058F">
        <w:rPr>
          <w:rFonts w:cstheme="minorHAnsi"/>
        </w:rPr>
        <w:t>an Straten &amp; Warmerdam, 2007; Lang, Blackwell, Harmer, Davison &amp; Holmes, 2012; Rahman et al., 2016), while pharmacological interventions exist for more syndromal depression (Cuijpers et al., 2010).</w:t>
      </w:r>
      <w:r w:rsidRPr="0047058F">
        <w:rPr>
          <w:rFonts w:cstheme="minorHAnsi"/>
          <w:color w:val="000000" w:themeColor="text1"/>
        </w:rPr>
        <w:t xml:space="preserve"> Identification and early intervention for subsyndromal depression in ADF personnel could have two potential benefits: (a) retention of individuals within the ADF, and (b) prevention of worsening depression following discharge.</w:t>
      </w:r>
    </w:p>
    <w:p w14:paraId="3838EA93" w14:textId="77777777" w:rsidR="004B0C33" w:rsidRPr="0047058F" w:rsidRDefault="004B0C33" w:rsidP="00860F45">
      <w:pPr>
        <w:pStyle w:val="Heading3"/>
      </w:pPr>
      <w:bookmarkStart w:id="517" w:name="_Toc487011276"/>
      <w:bookmarkStart w:id="518" w:name="_Toc493663171"/>
      <w:bookmarkStart w:id="519" w:name="_Toc494449796"/>
      <w:bookmarkStart w:id="520" w:name="_Toc510680448"/>
      <w:bookmarkStart w:id="521" w:name="_Toc532474401"/>
      <w:r w:rsidRPr="0047058F">
        <w:t>Anger</w:t>
      </w:r>
      <w:bookmarkEnd w:id="517"/>
      <w:bookmarkEnd w:id="518"/>
      <w:bookmarkEnd w:id="519"/>
      <w:bookmarkEnd w:id="520"/>
      <w:bookmarkEnd w:id="521"/>
    </w:p>
    <w:p w14:paraId="7A8BEC3B" w14:textId="77777777" w:rsidR="004B0C33" w:rsidRPr="0047058F" w:rsidRDefault="004B0C33" w:rsidP="004B0C33">
      <w:pPr>
        <w:rPr>
          <w:rFonts w:cstheme="minorHAnsi"/>
        </w:rPr>
      </w:pPr>
      <w:r w:rsidRPr="0047058F">
        <w:rPr>
          <w:rFonts w:cstheme="minorHAnsi"/>
        </w:rPr>
        <w:t>Overall, there was a trend for those who transitioned to experience more anger problems than those who remained in active military service; however, the rate of increase in anger problems was similar for both groups, with anger doubling from 12.0% to 24.8% in the Transitioned ADF, and from 7.3% to 13.0% in the Regular ADF.</w:t>
      </w:r>
    </w:p>
    <w:p w14:paraId="64F283AD" w14:textId="77777777" w:rsidR="004B0C33" w:rsidRPr="0047058F" w:rsidRDefault="004B0C33" w:rsidP="004B0C33">
      <w:pPr>
        <w:rPr>
          <w:rFonts w:cstheme="minorHAnsi"/>
        </w:rPr>
      </w:pPr>
      <w:r w:rsidRPr="0047058F">
        <w:rPr>
          <w:rFonts w:cstheme="minorHAnsi"/>
        </w:rPr>
        <w:t>Regarding those with no anger problems in 2010, fewer of those who remained in the Regular ADF (10.4%) compared to those who transitioned (19.9%) reported anger problems in 2015. In terms of those with anger problems in 2010, markedly more of those who transitioned (61.3%) reported anger problems compared with those who remained in the Regular ADF (46.0%) in 2015.</w:t>
      </w:r>
    </w:p>
    <w:p w14:paraId="46B26195" w14:textId="77777777" w:rsidR="004B0C33" w:rsidRPr="0047058F" w:rsidRDefault="004B0C33" w:rsidP="004B0C33">
      <w:pPr>
        <w:rPr>
          <w:rFonts w:cstheme="minorHAnsi"/>
        </w:rPr>
      </w:pPr>
      <w:r w:rsidRPr="0047058F">
        <w:rPr>
          <w:rFonts w:cstheme="minorHAnsi"/>
        </w:rPr>
        <w:t>Anger is increasingly recognised as a common feature of posttraumatic stress (Barrett, Mills &amp; Teesson, 2013), such that it is now formally acknowledged in the DSM-5 PTSD criteria (Friedman et al., 2011a). Anger can be associated with the greater arousal that is frequent in posttraumatic stress, and also with the exaggerated vigilance that can readily trigger aggression in response to perceived threats (Jakupcak et al., 2007). Moreover, anger can be a major driver of poor functioning because of its capacity to disrupt social functioning and close interpersonal relationships (Meffert et al., 2014). These factors underscore why it is critical to consider anger in the context of veterans who transition from the ADF.</w:t>
      </w:r>
    </w:p>
    <w:p w14:paraId="445673E2" w14:textId="77777777" w:rsidR="004B0C33" w:rsidRPr="0047058F" w:rsidRDefault="004B0C33" w:rsidP="004B0C33">
      <w:pPr>
        <w:rPr>
          <w:rFonts w:cstheme="minorHAnsi"/>
        </w:rPr>
      </w:pPr>
      <w:r w:rsidRPr="0047058F">
        <w:rPr>
          <w:rFonts w:cstheme="minorHAnsi"/>
        </w:rPr>
        <w:t>Transitioned ADF members displayed more anger problems during their ADF service than those who remained in the ADF. This suggests that the heightened anger problems observed in 2015 in the Transitioned ADF may be attributed, in part, to the earlier anger problems that existed in 2010 during ADF service.</w:t>
      </w:r>
    </w:p>
    <w:p w14:paraId="43A88E60" w14:textId="77777777" w:rsidR="004B0C33" w:rsidRPr="0047058F" w:rsidRDefault="004B0C33" w:rsidP="004B0C33">
      <w:pPr>
        <w:rPr>
          <w:rFonts w:cstheme="minorHAnsi"/>
        </w:rPr>
      </w:pPr>
      <w:r w:rsidRPr="0047058F">
        <w:rPr>
          <w:rFonts w:cstheme="minorHAnsi"/>
        </w:rPr>
        <w:t xml:space="preserve">The pattern of findings indicates that treatment programs for Transitioned ADF need to address the anger problems that exist in the large proportion of Transitioned ADF reporting these. However, mainstream PTSD programs may not work optimally in reducing anger problems (Rodenburg, Heesink &amp; </w:t>
      </w:r>
      <w:r w:rsidRPr="0047058F">
        <w:t>Drožđek</w:t>
      </w:r>
      <w:r w:rsidRPr="0047058F">
        <w:rPr>
          <w:rFonts w:cstheme="minorHAnsi"/>
        </w:rPr>
        <w:t>, 2016). Programs do exist for treating anger (Chemtob, Novaco, Hamada &amp; Gross, 1997; Morland et al., 2010), and early interventions that target anger for personnel who display anger problems in the ADF may serve to limit worsening of anger problems in the years following discharge. The observation that anger problems worsened in those who left the ADF in the years following discharge, and that these personnel were more at risk of anger problems while in active service, underscores the potential value of early intervention for anger problems during ADF service.</w:t>
      </w:r>
    </w:p>
    <w:p w14:paraId="346ADA95" w14:textId="77777777" w:rsidR="004B0C33" w:rsidRPr="0047058F" w:rsidRDefault="004B0C33" w:rsidP="00860F45">
      <w:pPr>
        <w:pStyle w:val="Heading3"/>
      </w:pPr>
      <w:bookmarkStart w:id="522" w:name="_Toc532474402"/>
      <w:r w:rsidRPr="0047058F">
        <w:t>Violence</w:t>
      </w:r>
      <w:bookmarkEnd w:id="522"/>
    </w:p>
    <w:p w14:paraId="02505A94" w14:textId="77777777" w:rsidR="004B0C33" w:rsidRPr="0047058F" w:rsidRDefault="004B0C33" w:rsidP="004B0C33">
      <w:pPr>
        <w:rPr>
          <w:rFonts w:cstheme="minorHAnsi"/>
        </w:rPr>
      </w:pPr>
      <w:r w:rsidRPr="0047058F">
        <w:rPr>
          <w:rFonts w:cstheme="minorHAnsi"/>
        </w:rPr>
        <w:t>Overall, the reported incidence of physical violence was very low: 1.6% in 2010 and 1.3% in 2015. There was a trend for those who transitioned to engage in violence more than those who remained in active military service. Among those who had transitioned, 2.5% reported violence problems in 2010, which remained the same rate in 2015. Among those who remained in the Regular ADF, 1.2% reported violence problems in 2010, which reduced to 0.9% in 2015.</w:t>
      </w:r>
    </w:p>
    <w:p w14:paraId="5FAF8813" w14:textId="77777777" w:rsidR="004B0C33" w:rsidRPr="0047058F" w:rsidRDefault="004B0C33" w:rsidP="004B0C33">
      <w:pPr>
        <w:rPr>
          <w:rFonts w:cstheme="minorHAnsi"/>
        </w:rPr>
      </w:pPr>
      <w:r w:rsidRPr="0047058F">
        <w:rPr>
          <w:rFonts w:cstheme="minorHAnsi"/>
        </w:rPr>
        <w:t>Regarding those with no violence problems in 2010, fewer of the Regular ADF personnel (0.8%) relative to Transitioned personnel (2.1%) reported violence problems in 2015. In terms of those with violence problems in 2010, markedly more of the Transitioned personnel (16.7%) reported violence problems than Regular ADF personnel (5.8%) in 2015.</w:t>
      </w:r>
    </w:p>
    <w:p w14:paraId="6C043677" w14:textId="77777777" w:rsidR="004B0C33" w:rsidRPr="0047058F" w:rsidRDefault="004B0C33" w:rsidP="004B0C33">
      <w:pPr>
        <w:rPr>
          <w:rFonts w:cstheme="minorHAnsi"/>
        </w:rPr>
      </w:pPr>
      <w:r w:rsidRPr="0047058F">
        <w:rPr>
          <w:rFonts w:cstheme="minorHAnsi"/>
        </w:rPr>
        <w:t>Although the absolute numbers are actually quite low, these acts of violence can have very significant adverse consequences, including domestic violence, criminal charges, and even imprisonment. There is evidence from international militaries that veterans who had combat roles from the Middle East wars have higher conviction rates related to violence than those not involved in combat (MacManus et al., 2013). Accordingly, it is important that cases of violence in veterans are mitigated to reduce the personal, family, and social repercussions. To this end, this pattern of findings suggests that 16.7% of those with any violent tendencies during active service display violence after discharge. Accordingly, there should be strict policies in the ADF regarding management of any violent behaviour, including evidence-based treatment programs that aim to reduce aggressive behaviours in any ADF personnel who display violent tendencies.</w:t>
      </w:r>
    </w:p>
    <w:p w14:paraId="78AA63D8" w14:textId="77777777" w:rsidR="004B0C33" w:rsidRPr="0047058F" w:rsidRDefault="004B0C33" w:rsidP="0083574C">
      <w:pPr>
        <w:pStyle w:val="Heading3"/>
      </w:pPr>
      <w:bookmarkStart w:id="523" w:name="_Toc487011277"/>
      <w:bookmarkStart w:id="524" w:name="_Toc493663172"/>
      <w:bookmarkStart w:id="525" w:name="_Toc494449797"/>
      <w:bookmarkStart w:id="526" w:name="_Toc510680449"/>
      <w:bookmarkStart w:id="527" w:name="_Toc532474403"/>
      <w:r w:rsidRPr="0047058F">
        <w:t>Suicidality</w:t>
      </w:r>
      <w:bookmarkEnd w:id="523"/>
      <w:bookmarkEnd w:id="524"/>
      <w:bookmarkEnd w:id="525"/>
      <w:bookmarkEnd w:id="526"/>
      <w:bookmarkEnd w:id="527"/>
    </w:p>
    <w:p w14:paraId="3BC555F9" w14:textId="77777777" w:rsidR="004B0C33" w:rsidRPr="0047058F" w:rsidRDefault="004B0C33" w:rsidP="004B0C33">
      <w:pPr>
        <w:rPr>
          <w:rFonts w:cstheme="minorHAnsi"/>
        </w:rPr>
      </w:pPr>
      <w:r w:rsidRPr="0047058F">
        <w:rPr>
          <w:rFonts w:cstheme="minorHAnsi"/>
        </w:rPr>
        <w:t>In 2010, 8.8% of the cohort reported any suicidality, and this increased to 16.7% in 2015. Among those who had transitioned, 12.3% reported any suicidality in 2010, which more than doubled to 27.4% in 2015. Rates of suicidality among those who remained in the Regular ADF also increased from 2010 to 2015, with 7.5% reporting suicidality in 2010 compared to 12.7% in 2015. Most noteworthy was the proportion who made a suicide plan, with rates more than doubling in those who remained in the Regular ADF between 2010 and 2015 (0.8% vs 2.0%).</w:t>
      </w:r>
    </w:p>
    <w:p w14:paraId="1C7FF8B7" w14:textId="77777777" w:rsidR="004B0C33" w:rsidRPr="0047058F" w:rsidRDefault="004B0C33" w:rsidP="004B0C33">
      <w:pPr>
        <w:rPr>
          <w:rFonts w:cstheme="minorHAnsi"/>
        </w:rPr>
      </w:pPr>
      <w:r w:rsidRPr="0047058F">
        <w:rPr>
          <w:rFonts w:cstheme="minorHAnsi"/>
        </w:rPr>
        <w:t>Regarding those with no suicidality in 2010, more of the Transitioned ADF (21.7%) reported suicidality in 2015 relative to the Regular ADF (9.9%). In terms of those with suicidality in 2010, more of the Transitioned ADF (68.1%) reported suicidality than Regular ADF (47.2%) in 2015.</w:t>
      </w:r>
    </w:p>
    <w:p w14:paraId="7475545A" w14:textId="39F44007" w:rsidR="004B0C33" w:rsidRPr="0047058F" w:rsidRDefault="004B0C33" w:rsidP="004B0C33">
      <w:pPr>
        <w:rPr>
          <w:rFonts w:cstheme="minorHAnsi"/>
        </w:rPr>
      </w:pPr>
      <w:r w:rsidRPr="0047058F">
        <w:rPr>
          <w:rFonts w:cstheme="minorHAnsi"/>
        </w:rPr>
        <w:t>The observation that one in four personnel who transitioned out of the ADF reported suicidal ideation is a concerning pattern because suicidal ideation is one of the major predictors of completed suicides (Cavanagh, Carson, Sharpe &amp; Lawrie, 2003). This trend accords with the observation that reported suicide attempts were greater in Transitioned (1.3%) compared to Regular ADF members (0.5%); it is also possible that respondents may also be under-reporting suicide attempts. Hence, it is important to reduce ideation before it advances to suicid</w:t>
      </w:r>
      <w:r w:rsidR="00F37C48">
        <w:rPr>
          <w:rFonts w:cstheme="minorHAnsi"/>
        </w:rPr>
        <w:t>e</w:t>
      </w:r>
      <w:r w:rsidRPr="0047058F">
        <w:rPr>
          <w:rFonts w:cstheme="minorHAnsi"/>
        </w:rPr>
        <w:t xml:space="preserve"> attempts.</w:t>
      </w:r>
    </w:p>
    <w:p w14:paraId="5431F2A9" w14:textId="77777777" w:rsidR="004B0C33" w:rsidRPr="0047058F" w:rsidRDefault="004B0C33" w:rsidP="004B0C33">
      <w:pPr>
        <w:rPr>
          <w:rFonts w:cstheme="minorHAnsi"/>
        </w:rPr>
      </w:pPr>
      <w:r w:rsidRPr="0047058F">
        <w:rPr>
          <w:rFonts w:cstheme="minorHAnsi"/>
        </w:rPr>
        <w:t>As with other disorders reported above, suicidal ideation during ADF service was an important precursor to suicidality following discharge, with over two-thirds of those reporting suicidality in the ADF reporting suicidality following discharge. This highlights that significant inroads could be made into reducing suicide risk after transition by targeting suicidal ideation in those with risk during ADF service. There are various suicide prevention and treatment programs available that possess good evidence, including web-based programs that can be implemented with considerable confidentiality and can overcome logistic issues of access to care (Larsen, Nicholas &amp; Christensen, 2016; Perry, Werner-Seidler, Calear &amp; Christensen, 2016). Consideration of these programs, as well as more traditional evidence-based programs that involve face-to-face treatment (Calati &amp; Courtet, 2016), could target those in the ADF showing early signs of suicidal risk.</w:t>
      </w:r>
    </w:p>
    <w:p w14:paraId="1B3721E0" w14:textId="6A490D21" w:rsidR="004B0C33" w:rsidRPr="0047058F" w:rsidRDefault="004B0C33" w:rsidP="004B0C33">
      <w:pPr>
        <w:rPr>
          <w:rFonts w:cstheme="minorHAnsi"/>
        </w:rPr>
      </w:pPr>
      <w:r w:rsidRPr="0047058F">
        <w:rPr>
          <w:rFonts w:cstheme="minorHAnsi"/>
        </w:rPr>
        <w:t>Although most transitioned personnel who initially reported suicidal ideation during ADF service subsequently reported suicidal ideation after discharge, there was nonetheless an increase in suicidal ideation in Transitioned ADF members after discharge. This occurred because many Transitioned personnel who did not report suicidal risk in 2010 did so in 2015. This suggests that those with suicidal ideation while in ADF service are at high risk after discharge, and that many others will develop suicidal ideation for the first time after transition. The ADF has implemented a range of strategies to reduce suicidal risk in the services in recent years, and the rate of suicid</w:t>
      </w:r>
      <w:r w:rsidR="00F37C48">
        <w:rPr>
          <w:rFonts w:cstheme="minorHAnsi"/>
        </w:rPr>
        <w:t>e</w:t>
      </w:r>
      <w:r w:rsidRPr="0047058F">
        <w:rPr>
          <w:rFonts w:cstheme="minorHAnsi"/>
        </w:rPr>
        <w:t xml:space="preserve"> attempts in the ADF is lower than in the Australian community. This suggests that strategies employed within the ADF may be effective, but when members discharge from military service, they may no longer have the controls in place that limit suicidal ideation. This pattern also suggests that aiming suicidal risk reduction strategies for ADF personnel with suicidal ideation would not necessarily be targeting those individuals who only develop suicidal risk after discharge. It appears that the stressors of transition may lead to a range of potential factors that can trigger new cases of suicidal ideation. Accordingly, there is a need to increase awareness among Transitioned ADF of the services available for suicidality, reduce stigma and other barriers to care, and ensure that adequate services are available for treatment of those with suicidal risk after discharge.</w:t>
      </w:r>
    </w:p>
    <w:p w14:paraId="2D1B581B" w14:textId="77777777" w:rsidR="004B0C33" w:rsidRPr="0047058F" w:rsidRDefault="004B0C33" w:rsidP="004B0C33">
      <w:pPr>
        <w:rPr>
          <w:rFonts w:cstheme="minorHAnsi"/>
        </w:rPr>
      </w:pPr>
      <w:r w:rsidRPr="0047058F">
        <w:rPr>
          <w:rFonts w:cstheme="minorHAnsi"/>
        </w:rPr>
        <w:t>In addition to documenting the change in mental disorder status over time, this report also examined predictors of this change. These findings are discussed below.</w:t>
      </w:r>
    </w:p>
    <w:p w14:paraId="0D0FD376" w14:textId="77777777" w:rsidR="004B0C33" w:rsidRPr="0047058F" w:rsidRDefault="004B0C33" w:rsidP="00860F45">
      <w:pPr>
        <w:pStyle w:val="Heading2"/>
      </w:pPr>
      <w:bookmarkStart w:id="528" w:name="_Toc529117489"/>
      <w:bookmarkStart w:id="529" w:name="_Toc532474404"/>
      <w:r w:rsidRPr="0047058F">
        <w:t>Role of rank in predicting mental health status</w:t>
      </w:r>
      <w:bookmarkEnd w:id="528"/>
      <w:bookmarkEnd w:id="529"/>
    </w:p>
    <w:p w14:paraId="33300C91" w14:textId="0F899ADC" w:rsidR="004B0C33" w:rsidRPr="0047058F" w:rsidRDefault="004B0C33" w:rsidP="004B0C33">
      <w:pPr>
        <w:rPr>
          <w:rFonts w:cstheme="minorHAnsi"/>
        </w:rPr>
      </w:pPr>
      <w:r w:rsidRPr="0047058F">
        <w:rPr>
          <w:rFonts w:cstheme="minorHAnsi"/>
        </w:rPr>
        <w:t xml:space="preserve">Predictive modelling showed that Officers were less likely to develop subsyndromal or probable disorder in 2015 (as defined by the K10 and PCL-C) after having no disorder in the ADF in 2010 than Non-Commissioned Officers and those of other ranks. Similarly, Officers were less likely to retain subsyndromal status over time, or worsen from subsyndromal status to probable disorder over time. These patterns suggest that Officers are more resilient over time than other ADF personnel, possibly reflecting resilience factors that are associated with their Officer status. It is also possible that patterns observed in the better mental health of Officers are similar to those described earlier in terms of the </w:t>
      </w:r>
      <w:r w:rsidRPr="0047058F">
        <w:rPr>
          <w:rFonts w:cstheme="minorHAnsi"/>
          <w:i/>
        </w:rPr>
        <w:t>healthy worker effect</w:t>
      </w:r>
      <w:r w:rsidRPr="0047058F">
        <w:rPr>
          <w:rFonts w:cstheme="minorHAnsi"/>
        </w:rPr>
        <w:t xml:space="preserve">. That is, it is possible that personnel who remain in the ADF longer and rise to the role of Officer may do so because of their good psychological health. Further, it is possible that Officers display better mental health because of their sustained good mental health during their ADF service, or their capacity to attain the role of officer may be associated with factors that typically accompany good mental health (e.g. educational status, socio-demographic background). In any case, it suggests that policy decisions regarding monitoring and management of mental health following discharge may need to be tailored somewhat differently according to one’s ADF rank. </w:t>
      </w:r>
      <w:r w:rsidR="00233514">
        <w:rPr>
          <w:rFonts w:cstheme="minorHAnsi"/>
        </w:rPr>
        <w:t>W</w:t>
      </w:r>
      <w:r w:rsidRPr="0047058F">
        <w:rPr>
          <w:rFonts w:cstheme="minorHAnsi"/>
        </w:rPr>
        <w:t>hile Officers appear to be less at risk of developing a new disorder or a worsening of an existing problem following discharge than Non-Commissioned Officers or other ranks, Officers can nevertheless develop mental health difficulties. Accordingly, one needs to consider other risk factors, including subsyndromal levels of symptoms during military service, when planning services for Officers after discharge.</w:t>
      </w:r>
    </w:p>
    <w:p w14:paraId="555EE114" w14:textId="77777777" w:rsidR="004B0C33" w:rsidRPr="0047058F" w:rsidRDefault="004B0C33" w:rsidP="00860F45">
      <w:pPr>
        <w:pStyle w:val="Heading2"/>
      </w:pPr>
      <w:bookmarkStart w:id="530" w:name="_Toc529117490"/>
      <w:bookmarkStart w:id="531" w:name="_Toc532474405"/>
      <w:r w:rsidRPr="0047058F">
        <w:t>Role of trauma exposure in predicting mental health status</w:t>
      </w:r>
      <w:bookmarkEnd w:id="530"/>
      <w:bookmarkEnd w:id="531"/>
    </w:p>
    <w:p w14:paraId="33EDA444" w14:textId="77777777" w:rsidR="004B0C33" w:rsidRPr="0047058F" w:rsidRDefault="004B0C33" w:rsidP="004B0C33">
      <w:pPr>
        <w:rPr>
          <w:rFonts w:cstheme="minorHAnsi"/>
          <w:spacing w:val="-2"/>
        </w:rPr>
      </w:pPr>
      <w:r w:rsidRPr="0047058F">
        <w:rPr>
          <w:rFonts w:cstheme="minorHAnsi"/>
        </w:rPr>
        <w:t xml:space="preserve">The amount of lifetime trauma exposure played an important role in predicting the longitudinal course of mental disorder in the longitudinal cohort. Specifically, the greater the trauma exposure, the more likely ADF members worsened from no disorder in 2010 to subsyndromal disorder in 2015, and from subsyndromal in 2010 to probable disorder in 2015. There is abundant evidence for the dosage effect between amount of trauma and likelihood of developing PTSD (May &amp; Wisco, 2016), with some evidence that the influence of trauma severity is more pronounced in military than civilian samples (Brewin, Andrews &amp; Valentine, 2000). This also accords with evidence that exposure to death and trauma is a vulnerability factor for suicidality (LeBouthillier, McMillan, Thibodeau &amp; Asmundson, 2015; Stanley et al., 2015). It is worth noting that this predictor included </w:t>
      </w:r>
      <w:r w:rsidRPr="0047058F">
        <w:rPr>
          <w:rFonts w:cstheme="minorHAnsi"/>
          <w:i/>
        </w:rPr>
        <w:t xml:space="preserve">lifetime </w:t>
      </w:r>
      <w:r w:rsidRPr="0047058F">
        <w:rPr>
          <w:rFonts w:cstheme="minorHAnsi"/>
        </w:rPr>
        <w:t>trauma exposure and not simply traumatic events experienced during deployments or ADF service. It has previously been noted that</w:t>
      </w:r>
      <w:r w:rsidRPr="0047058F">
        <w:rPr>
          <w:rFonts w:cstheme="minorHAnsi"/>
          <w:spacing w:val="-2"/>
        </w:rPr>
        <w:t xml:space="preserve"> lifetime rates of sexual trauma, such as experiencing rape and sexual assault, as well as interpersonal traumas, are more prevalent in the Regular ADF than in the Australian community, with the majority of these events first occurring before enlistment (Van Hooff et al., 2012). This pattern suggests that consideration for early intervention should be given to those ADF personnel who are more highly exposed to traumatic events (either prior to or during ADF service), as this represents a marked risk factor for worsening of symptoms following discharge.</w:t>
      </w:r>
    </w:p>
    <w:p w14:paraId="3EC3A30A" w14:textId="77777777" w:rsidR="004B0C33" w:rsidRPr="0047058F" w:rsidRDefault="004B0C33" w:rsidP="00860F45">
      <w:pPr>
        <w:pStyle w:val="Heading2"/>
      </w:pPr>
      <w:bookmarkStart w:id="532" w:name="_Toc529117491"/>
      <w:bookmarkStart w:id="533" w:name="_Toc532474406"/>
      <w:r w:rsidRPr="0047058F">
        <w:t>Role of anger in predicting mental health status</w:t>
      </w:r>
      <w:bookmarkEnd w:id="532"/>
      <w:bookmarkEnd w:id="533"/>
    </w:p>
    <w:p w14:paraId="72528468" w14:textId="77777777" w:rsidR="004B0C33" w:rsidRPr="0047058F" w:rsidRDefault="004B0C33" w:rsidP="004B0C33">
      <w:pPr>
        <w:rPr>
          <w:rFonts w:cstheme="minorHAnsi"/>
        </w:rPr>
      </w:pPr>
      <w:r w:rsidRPr="0047058F">
        <w:rPr>
          <w:rFonts w:cstheme="minorHAnsi"/>
          <w:spacing w:val="-2"/>
        </w:rPr>
        <w:t>Self-reported anger in 2010 was predictive of personnel developing subsyndromal disorder in 2015, as well as predicting those who worsened from subsyndromal disorder in 2010 to probable disorder in 2015. Several explanations may be offered for the predictive role of anger in leading to subsequent worsening of disorder. First, anger is one feature of PTSD, and so early indications of anger may reflect one aspect of PTSD that may be a risk factor for worsening of symptoms over time</w:t>
      </w:r>
      <w:r w:rsidRPr="0047058F">
        <w:rPr>
          <w:rFonts w:cstheme="minorHAnsi"/>
        </w:rPr>
        <w:t xml:space="preserve"> (Barrett et al., 2013; Jakupcak et al., 2007). Second, anger can undermine social, occupational, and interpersonal functioning, which can in turn compound psychological functioning (Meffert et al., 2014). Third, anger can inhibit fear responses, which may disrupt emotional processing of negative experiences and lead to worsening of PTSD and other fear disorder symptoms (Foa, Riggs, Massie &amp; Yarczower, 1995).</w:t>
      </w:r>
    </w:p>
    <w:p w14:paraId="62AE7873" w14:textId="77777777" w:rsidR="004B0C33" w:rsidRPr="0047058F" w:rsidRDefault="004B0C33" w:rsidP="00860F45">
      <w:pPr>
        <w:pStyle w:val="Heading2"/>
      </w:pPr>
      <w:bookmarkStart w:id="534" w:name="_Toc529117492"/>
      <w:bookmarkStart w:id="535" w:name="_Toc532474407"/>
      <w:r w:rsidRPr="0047058F">
        <w:t>Role of suicidality in predicting mental health status</w:t>
      </w:r>
      <w:bookmarkEnd w:id="534"/>
      <w:bookmarkEnd w:id="535"/>
    </w:p>
    <w:p w14:paraId="5A4FB88E" w14:textId="2D06A4AB" w:rsidR="004B0C33" w:rsidRPr="0047058F" w:rsidRDefault="004B0C33" w:rsidP="004B0C33">
      <w:pPr>
        <w:rPr>
          <w:rFonts w:cstheme="minorHAnsi"/>
        </w:rPr>
      </w:pPr>
      <w:r w:rsidRPr="0047058F">
        <w:rPr>
          <w:rFonts w:cstheme="minorHAnsi"/>
        </w:rPr>
        <w:t>Suicidality in 2010 predicted worsening from subsyndromal to probable disorder over time. Most attention on suicidality has focused on prediction of suicidal ideation (because of its risk status for subsequent suicid</w:t>
      </w:r>
      <w:r w:rsidR="00F37C48">
        <w:rPr>
          <w:rFonts w:cstheme="minorHAnsi"/>
        </w:rPr>
        <w:t>e</w:t>
      </w:r>
      <w:r w:rsidRPr="0047058F">
        <w:rPr>
          <w:rFonts w:cstheme="minorHAnsi"/>
        </w:rPr>
        <w:t xml:space="preserve"> attempts). It should be noted, however, that suicidality can also be used as an important predictor of subsequent disorders following discharge. The sense of hopelessness that ADF members may feel during military service may be a precursor to development of a range of disorders after transition. It is possible that the sense of hopelessness or futility that may be experienced during ADF service may limit capacity to engage in gainful employment, seek out social interactions, or be involved in meaningful activities – all factors that can contribute to worsening mental health. Accordingly, indications of suicidal risk during ADF service should not only be regarded as an important target of intervention to abort any development of suicidal intent, but also as a means to assist defence personnel who may require assistance to manage broader social and emotional needs.</w:t>
      </w:r>
    </w:p>
    <w:p w14:paraId="3F680530" w14:textId="77777777" w:rsidR="004B0C33" w:rsidRPr="0047058F" w:rsidRDefault="004B0C33" w:rsidP="00860F45">
      <w:pPr>
        <w:pStyle w:val="Heading2"/>
      </w:pPr>
      <w:bookmarkStart w:id="536" w:name="_Toc529117493"/>
      <w:bookmarkStart w:id="537" w:name="_Toc532474408"/>
      <w:r w:rsidRPr="0047058F">
        <w:t>Implications and synthesis of longitudinal findings</w:t>
      </w:r>
      <w:bookmarkEnd w:id="536"/>
      <w:bookmarkEnd w:id="537"/>
    </w:p>
    <w:p w14:paraId="149BE7F8" w14:textId="77777777" w:rsidR="004B0C33" w:rsidRPr="0047058F" w:rsidRDefault="004B0C33" w:rsidP="004B0C33">
      <w:r w:rsidRPr="0047058F">
        <w:t>This section summarises the findings from the longitudinal analyses in the context of potential implications for how mental health of transitioned ADF may be understood and managed. One of the major conclusions to emerge from these findings is the differential course of psychological problems over time between Regular and Transitioned personnel. Across psychological problems, Regular ADF personnel tended to have a more episodic course than Transitioned personnel, who tended to have a more consistent pattern of problems. For example, whereas 55.0% of Transitioned personnel with probable PTSD in 2010 still had PTSD in 2015, 17.7% of Regular ADF personnel still had probable PTSD in 2015. This reflects a tendency for Regular ADF personnel to show remission over time, whereas the Transitioned personnel did not show this pattern.</w:t>
      </w:r>
    </w:p>
    <w:p w14:paraId="3C1ECD4A" w14:textId="77777777" w:rsidR="004B0C33" w:rsidRPr="0047058F" w:rsidRDefault="004B0C33" w:rsidP="00860F45">
      <w:pPr>
        <w:pStyle w:val="Heading3"/>
      </w:pPr>
      <w:bookmarkStart w:id="538" w:name="_Toc532474409"/>
      <w:r w:rsidRPr="0047058F">
        <w:t>Sensitisation of stress reactions during and following ADF service</w:t>
      </w:r>
      <w:bookmarkEnd w:id="538"/>
    </w:p>
    <w:p w14:paraId="04B67291" w14:textId="77777777" w:rsidR="004B0C33" w:rsidRPr="0047058F" w:rsidRDefault="004B0C33" w:rsidP="004B0C33">
      <w:pPr>
        <w:rPr>
          <w:rFonts w:cstheme="minorHAnsi"/>
        </w:rPr>
      </w:pPr>
      <w:r w:rsidRPr="0047058F">
        <w:rPr>
          <w:rFonts w:cstheme="minorHAnsi"/>
        </w:rPr>
        <w:t>A recurrent theme to emerge from these findings was that anxiety disorders and PTSD tended to worsen following transition, and this risk was heightened if there were indications of risk of these problems during ADF service. As noted earlier in this discussion, this pattern accords with considerable evidence that anxiety conditions can worsen over time as a function of sensitisation of neural processes that occur following initial exposure to stressful events. Given the heightened risk of individuals who display subsyndromal or probable levels of anxiety or PTSD during ADF service, there is an opportunity for targeted intervention to limit the likelihood of those individuals to suffer persistent or worsened symptoms after transition. It should be emphasised that it may be easier to reach these individuals while they are still active serving ADF members, since many transitioned individuals are not readily tracked and monitored to determine their mental health status. The finding that subsyndromal levels of anxiety or PTSD pose a marked risk for subsequent worsening after discharge highlights the issue that one should not focus only on those individuals who display full-blown disorders, but rather give equal attention to those with the early signs of anxiety or PTSD.</w:t>
      </w:r>
    </w:p>
    <w:p w14:paraId="6655E09E" w14:textId="77777777" w:rsidR="004B0C33" w:rsidRPr="0047058F" w:rsidRDefault="004B0C33" w:rsidP="00860F45">
      <w:pPr>
        <w:pStyle w:val="Heading3"/>
      </w:pPr>
      <w:bookmarkStart w:id="539" w:name="_Toc532474410"/>
      <w:r w:rsidRPr="0047058F">
        <w:t>Early detection of suicide risk</w:t>
      </w:r>
      <w:bookmarkEnd w:id="539"/>
    </w:p>
    <w:p w14:paraId="0796F33B" w14:textId="77777777" w:rsidR="004B0C33" w:rsidRPr="0047058F" w:rsidRDefault="004B0C33" w:rsidP="004B0C33">
      <w:r w:rsidRPr="0047058F">
        <w:t xml:space="preserve">The </w:t>
      </w:r>
      <w:r w:rsidRPr="0047058F">
        <w:rPr>
          <w:i/>
        </w:rPr>
        <w:t>Mental Health Prevalence Report</w:t>
      </w:r>
      <w:r w:rsidRPr="0047058F">
        <w:t xml:space="preserve"> has highlighted that those who transition out of the ADF are at heightened risk of suicidality (Van Hooff et al., 2018). Most worryingly, in the current report, the rate of suicidality doubled in those who transitioned between 2010 and 2015, to the extent that one in four personnel who transitioned out of the ADF reported suicidality. There is an opportunity for early intervention for many of these individuals because two-thirds of ADF personnel who reported suicidality during ADF service still reported suicidality after transition. There are numerous evidence-supported strategies that can be implemented to reduce suicidal risk, and the possibility of implementing these more effectively in those who indicate risk during ADF service may have long-term benefits.</w:t>
      </w:r>
    </w:p>
    <w:p w14:paraId="44FDCC24" w14:textId="77777777" w:rsidR="004B0C33" w:rsidRPr="0047058F" w:rsidRDefault="004B0C33" w:rsidP="00860F45">
      <w:pPr>
        <w:pStyle w:val="Heading3"/>
      </w:pPr>
      <w:bookmarkStart w:id="540" w:name="_Toc532474411"/>
      <w:r w:rsidRPr="0047058F">
        <w:t>Prevention of alcohol abuse</w:t>
      </w:r>
      <w:bookmarkEnd w:id="540"/>
    </w:p>
    <w:p w14:paraId="578D5346" w14:textId="77777777" w:rsidR="004B0C33" w:rsidRPr="0047058F" w:rsidRDefault="004B0C33" w:rsidP="004B0C33">
      <w:r w:rsidRPr="0047058F">
        <w:t>Alcohol problems represent a marked health and social issue for veteran communities around the world, and the current data suggest that preventative steps could be taken to address the early trajectory of problematic drinking while personnel are still in the ADF. The finding that increased alcohol problems in Transitioned personnel after discharge were not associated with differences between Regular and Transitioned ADF personnel in 2010 raises challenges for early detection and prevention. Nonetheless, efforts are needed regarding education about the risks of excessive alcohol use for those transitioning from the ADF.</w:t>
      </w:r>
    </w:p>
    <w:p w14:paraId="63C0883B" w14:textId="77777777" w:rsidR="004B0C33" w:rsidRPr="0047058F" w:rsidRDefault="004B0C33" w:rsidP="00860F45">
      <w:pPr>
        <w:pStyle w:val="Heading3"/>
      </w:pPr>
      <w:bookmarkStart w:id="541" w:name="_Toc532474412"/>
      <w:r w:rsidRPr="0047058F">
        <w:t>Screening of ADF members prior to and following transition</w:t>
      </w:r>
      <w:bookmarkEnd w:id="541"/>
    </w:p>
    <w:p w14:paraId="6C373D89" w14:textId="72E7F72E" w:rsidR="004B0C33" w:rsidRPr="0047058F" w:rsidRDefault="004B0C33" w:rsidP="004B0C33">
      <w:r w:rsidRPr="0047058F">
        <w:t xml:space="preserve">There was ample evidence from this research program that many mental health issues that arise following transition can be potentially detected through screening while personnel are serving in the ADF. This notion of mental health screening is well known to the ADF, and underpins the annual checks that are conducted of </w:t>
      </w:r>
      <w:r w:rsidR="00936968">
        <w:t>its</w:t>
      </w:r>
      <w:r w:rsidRPr="0047058F">
        <w:t xml:space="preserve"> personnel. However, the findings in this report suggest that attention may be given to reviewing how separation screenings are conducted (particularly in light of this report’s findings) in order to optimise this opportunity to identify those who may be more at risk of having difficulties in transition. It has been well documented that screenings in the absence of properly prepared and evidence-based programs to address the issues identified in the screening process can be ineffective (Rona et al., 2017; Rona et al., 2006). The repeated observation in the report that at-risk individuals can be identified prior to transition highlights that careful preparation and provision of best-evidence care should be provided to those at-risk individuals prior to leaving the ADF.</w:t>
      </w:r>
    </w:p>
    <w:p w14:paraId="1E40A583" w14:textId="77777777" w:rsidR="004B0C33" w:rsidRPr="0047058F" w:rsidRDefault="004B0C33" w:rsidP="004B0C33">
      <w:r w:rsidRPr="0047058F">
        <w:t xml:space="preserve">Another major trend in the report was that many cases of anxiety, depression, suicidality, and alcohol problems emerged for the first time after discharge. This pattern highlights that there is a continued need to raise awareness of these issues and potentially implement screening of ADF members following discharge. The </w:t>
      </w:r>
      <w:r w:rsidRPr="0047058F">
        <w:rPr>
          <w:i/>
        </w:rPr>
        <w:t>Mental Health Prevalence Report</w:t>
      </w:r>
      <w:r w:rsidRPr="0047058F">
        <w:t xml:space="preserve"> noted that many of the mental health issues that arose following discharge developed in the initial year after leaving the ADF, which raises the </w:t>
      </w:r>
      <w:r w:rsidRPr="0047058F">
        <w:rPr>
          <w:color w:val="auto"/>
        </w:rPr>
        <w:t xml:space="preserve">importance of connecting these ADF members to primary care and mental health services where needed after transition and the need to renew efforts where possible to improve awareness and early identification of mental health symptoms. </w:t>
      </w:r>
      <w:r w:rsidRPr="0047058F">
        <w:t xml:space="preserve">The ADF does not have a formal role to play in the management of mental health in veterans, whereas the Department of Veterans’ Affairs (DVA) offers many proactive services, but many transitioned ADF are not engaged with DVA. The </w:t>
      </w:r>
      <w:r w:rsidRPr="0047058F">
        <w:rPr>
          <w:i/>
        </w:rPr>
        <w:t>Pathways to Care Report</w:t>
      </w:r>
      <w:r w:rsidRPr="0047058F">
        <w:rPr>
          <w:rFonts w:cstheme="minorHAnsi"/>
        </w:rPr>
        <w:t xml:space="preserve"> (Forbes et al., 2018) highlighted that many transitioned ADF with mental health problems did engage with services after discharge; however, many of these services were not optimal. This represents a major challenge for those responsible for managing the mental health care of veterans. On the basis of the current report, there are huge potential gains to be made by early interventions in the transition period that (a) identify emerging mental health problems in the period after leaving the ADF, and (b) ensure that veterans with any mental health problem are directed to evidence-based care. Although the benefits of early intervention are well documented in the context of mental health, this remains a major challenge in Australia because identifying veterans in need and matching all of them with appropriate services has yet to be achieved. It should be noted that Australia is not alone in this regard, as military and veteran organisations around the world face comparable challenges.</w:t>
      </w:r>
    </w:p>
    <w:p w14:paraId="311A4611" w14:textId="77777777" w:rsidR="004B0C33" w:rsidRPr="0047058F" w:rsidRDefault="004B0C33" w:rsidP="00860F45">
      <w:pPr>
        <w:pStyle w:val="Heading2"/>
      </w:pPr>
      <w:bookmarkStart w:id="542" w:name="_Toc529117494"/>
      <w:bookmarkStart w:id="543" w:name="_Toc532474413"/>
      <w:r w:rsidRPr="0047058F">
        <w:t>Limitations</w:t>
      </w:r>
      <w:bookmarkEnd w:id="542"/>
      <w:bookmarkEnd w:id="543"/>
    </w:p>
    <w:p w14:paraId="57FECBD9" w14:textId="77777777" w:rsidR="004B0C33" w:rsidRPr="0047058F" w:rsidRDefault="004B0C33" w:rsidP="004B0C33">
      <w:r w:rsidRPr="0047058F">
        <w:t>It is worth noting several limitations with the current data. First, despite the large number of respondents in this cohort, there were nonetheless many categories with very small numbers in certain cells. When one has very small numbers in specific categories, it can render statistical analyses unreliable and also susceptible to misinterpretation. Accordingly, these analyses where very small numbers are cited need to be considered very tentatively and not considered indicative of robust patterns.</w:t>
      </w:r>
    </w:p>
    <w:p w14:paraId="64DF1D38" w14:textId="77777777" w:rsidR="004B0C33" w:rsidRPr="0047058F" w:rsidRDefault="004B0C33" w:rsidP="004B0C33">
      <w:r w:rsidRPr="0047058F">
        <w:t>Second, the self-report measures employed in this study did not encompass specific measurement of anxiety and depression. The Kessler Psychological Distress 10-item scale (K10) was employed as the primary index of psychological distress, which allows comparison with other major datasets in military and civilian contexts. A drawback of the K10 is that it does not specifically disentangle anxiety and depression, and so the self-report measures are not able to identify patterns of these two dimensions.</w:t>
      </w:r>
    </w:p>
    <w:p w14:paraId="5E70E1EE" w14:textId="77777777" w:rsidR="004B0C33" w:rsidRPr="0047058F" w:rsidRDefault="004B0C33" w:rsidP="004B0C33">
      <w:r w:rsidRPr="0047058F">
        <w:t>Third, although a major strength of the current report is its capacity to consider longitudinal patterns of mental health in personnel as they transition out of the ADF, the data are limited by only having two assessment points. There are two aspects of this limitation. First, it is imperative to capture the longer-term adjustment of veterans as they progress in civilian life because the trajectories of mental health may alter over time. Second, much more statistically sophisticated analyses can be conducted when there are three, or preferably four, assessments; this many assessments allows a much more nuanced profile of the long-term adjustment of veterans and of the factors that promote different patterns of adjustment. These factors underscore the importance for both the ADF and DVA to consider further assessments of this important transition study.</w:t>
      </w:r>
    </w:p>
    <w:p w14:paraId="2B985994" w14:textId="77777777" w:rsidR="004B0C33" w:rsidRPr="0047058F" w:rsidRDefault="004B0C33" w:rsidP="00860F45">
      <w:pPr>
        <w:pStyle w:val="Heading2"/>
      </w:pPr>
      <w:bookmarkStart w:id="544" w:name="_Toc529117495"/>
      <w:bookmarkStart w:id="545" w:name="_Toc532474414"/>
      <w:r w:rsidRPr="0047058F">
        <w:t>Conclusion</w:t>
      </w:r>
      <w:bookmarkEnd w:id="544"/>
      <w:bookmarkEnd w:id="545"/>
    </w:p>
    <w:p w14:paraId="0EB14EBF" w14:textId="77777777" w:rsidR="004B0C33" w:rsidRPr="0047058F" w:rsidRDefault="004B0C33" w:rsidP="004B0C33">
      <w:bookmarkStart w:id="546" w:name="_Hlk531440791"/>
      <w:r w:rsidRPr="0047058F">
        <w:rPr>
          <w:rFonts w:asciiTheme="minorHAnsi" w:hAnsiTheme="minorHAnsi" w:cstheme="minorHAnsi"/>
          <w:color w:val="000000" w:themeColor="text1"/>
        </w:rPr>
        <w:t>The current longitudinal report focuses on the shifts in mental health status over a five-year period (</w:t>
      </w:r>
      <w:bookmarkStart w:id="547" w:name="_Hlk531441483"/>
      <w:r w:rsidRPr="0047058F">
        <w:rPr>
          <w:rFonts w:asciiTheme="minorHAnsi" w:hAnsiTheme="minorHAnsi" w:cstheme="minorHAnsi"/>
          <w:color w:val="000000" w:themeColor="text1"/>
        </w:rPr>
        <w:t>2010–2015</w:t>
      </w:r>
      <w:bookmarkEnd w:id="547"/>
      <w:r w:rsidRPr="0047058F">
        <w:rPr>
          <w:rFonts w:asciiTheme="minorHAnsi" w:hAnsiTheme="minorHAnsi" w:cstheme="minorHAnsi"/>
          <w:color w:val="000000" w:themeColor="text1"/>
        </w:rPr>
        <w:t>)</w:t>
      </w:r>
      <w:bookmarkEnd w:id="546"/>
      <w:r w:rsidRPr="0047058F">
        <w:rPr>
          <w:rFonts w:asciiTheme="minorHAnsi" w:hAnsiTheme="minorHAnsi" w:cstheme="minorHAnsi"/>
          <w:color w:val="000000" w:themeColor="text1"/>
        </w:rPr>
        <w:t xml:space="preserve"> in those who have transitioned out of regular ‘full-time’ service compared to those who remain in the Regular ADF. Similar to other international military and veteran studies, results indicate that </w:t>
      </w:r>
      <w:r w:rsidRPr="0047058F">
        <w:rPr>
          <w:color w:val="000000" w:themeColor="text1"/>
        </w:rPr>
        <w:t xml:space="preserve">most people report good mental health following discharge from active military service, with some individuals, particularly those who remain in the ADF, even showing a remission in symptoms </w:t>
      </w:r>
      <w:r w:rsidRPr="0047058F">
        <w:rPr>
          <w:rFonts w:cstheme="minorHAnsi"/>
          <w:color w:val="000000" w:themeColor="text1"/>
        </w:rPr>
        <w:t xml:space="preserve">to the point where they had no disorder in 2015. Of those who do go on to develop problems, anxiety disorders and PTSD were the disorder types which were most likely to worsen following transition (most likely as a function of sensitisation of neural processes that occur following initial exposure to stressful events), with this risk being heightened if there were indications of risk of these problems during ADF service. This pattern was consistent for depressive disorders, anger and suicidality, indicating that psychologically healthier individuals tend to remain in the ADF whereas those </w:t>
      </w:r>
      <w:r w:rsidRPr="0047058F">
        <w:rPr>
          <w:color w:val="000000" w:themeColor="text1"/>
        </w:rPr>
        <w:t>who are more symptomatic are more likely to discharge</w:t>
      </w:r>
      <w:r w:rsidRPr="0047058F">
        <w:rPr>
          <w:rFonts w:cstheme="minorHAnsi"/>
          <w:color w:val="000000" w:themeColor="text1"/>
        </w:rPr>
        <w:t xml:space="preserve">. Alcohol disorders, in contrast, showed a slightly different pattern whereby although there was a significant increase in the rate of alcohol abuse disorder in Transitioned ADF members relative to Regular ADF members, this level of difference was not apparent during ADF service in 2010, indicating that the higher rate of alcohol abuse in those who transitioned out of the ADF cannot be attributed to drinking habits during military service. Results of this study highlight the importance of early intervention for all disorder types while personnel are still active serving ADF members (in order to treat those who already have a disorder and to prevent the worsening of symptoms from subsyndromal to probable disorder over time). Not only does this have the potential to reduce any subsequent adverse impacts of a difficult transition, but it may also assist ADF members to stay and thrive in active service. Additionally, these findings point to the need for early intervention following transition in those with signs of psychological disorder to reduce these problems before they become chronic and more resistant to management. In this context, it is important to note that the </w:t>
      </w:r>
      <w:r w:rsidRPr="0047058F">
        <w:rPr>
          <w:rFonts w:cstheme="minorHAnsi"/>
          <w:i/>
        </w:rPr>
        <w:t>Pathways to Care Report</w:t>
      </w:r>
      <w:r w:rsidRPr="0047058F">
        <w:rPr>
          <w:rFonts w:cstheme="minorHAnsi"/>
        </w:rPr>
        <w:t xml:space="preserve"> (Forbes et al., 2018) </w:t>
      </w:r>
      <w:r w:rsidRPr="0047058F">
        <w:rPr>
          <w:rFonts w:cstheme="minorHAnsi"/>
          <w:color w:val="000000" w:themeColor="text1"/>
        </w:rPr>
        <w:t xml:space="preserve">found that the help seeking of those who transition out of the ADF was quite high, especially in the initial 12 months after discharge. Despite this, there was evidence that there was inadequate engagement with </w:t>
      </w:r>
      <w:r w:rsidRPr="0047058F">
        <w:t>evidence-based treatments. This underscores the need for interventions offered to veterans to be evidence-based to optimise the likelihood that they will receive the best care available.</w:t>
      </w:r>
    </w:p>
    <w:p w14:paraId="4326AFE8" w14:textId="77777777" w:rsidR="004B0C33" w:rsidRPr="0047058F" w:rsidRDefault="004B0C33" w:rsidP="0061597C">
      <w:pPr>
        <w:sectPr w:rsidR="004B0C33" w:rsidRPr="0047058F" w:rsidSect="00147BFC">
          <w:footerReference w:type="even" r:id="rId87"/>
          <w:footerReference w:type="default" r:id="rId88"/>
          <w:type w:val="oddPage"/>
          <w:pgSz w:w="9979" w:h="14170" w:code="243"/>
          <w:pgMar w:top="1440" w:right="1152" w:bottom="1440" w:left="1728" w:header="576" w:footer="576" w:gutter="0"/>
          <w:cols w:space="708"/>
          <w:docGrid w:linePitch="360"/>
        </w:sectPr>
      </w:pPr>
    </w:p>
    <w:p w14:paraId="3E372BCD" w14:textId="77777777" w:rsidR="00160459" w:rsidRPr="0047058F" w:rsidRDefault="00160459" w:rsidP="001A1792">
      <w:pPr>
        <w:pStyle w:val="Heading1b"/>
        <w:ind w:left="1440" w:hanging="1440"/>
      </w:pPr>
      <w:bookmarkStart w:id="548" w:name="_Toc341700577"/>
      <w:bookmarkStart w:id="549" w:name="_Toc487011289"/>
      <w:bookmarkStart w:id="550" w:name="_Toc493663184"/>
      <w:bookmarkStart w:id="551" w:name="_Toc494449808"/>
      <w:bookmarkStart w:id="552" w:name="_Toc498521097"/>
      <w:bookmarkStart w:id="553" w:name="_Toc529117496"/>
      <w:bookmarkStart w:id="554" w:name="_Toc532474415"/>
      <w:r w:rsidRPr="0047058F">
        <w:t>Mental Health and Wellbeing Transition Study method</w:t>
      </w:r>
      <w:bookmarkEnd w:id="548"/>
      <w:bookmarkEnd w:id="549"/>
      <w:bookmarkEnd w:id="550"/>
      <w:bookmarkEnd w:id="551"/>
      <w:bookmarkEnd w:id="552"/>
      <w:r w:rsidRPr="0047058F">
        <w:t>ology</w:t>
      </w:r>
      <w:bookmarkEnd w:id="553"/>
      <w:bookmarkEnd w:id="554"/>
    </w:p>
    <w:p w14:paraId="65982D1D" w14:textId="77777777" w:rsidR="00160459" w:rsidRPr="0047058F" w:rsidRDefault="00160459" w:rsidP="00160459">
      <w:pPr>
        <w:rPr>
          <w:lang w:eastAsia="en-AU"/>
        </w:rPr>
      </w:pPr>
      <w:r w:rsidRPr="0047058F">
        <w:t>This annex outlines the study design, selection criteria, instrumentation, recruitment strategy and statistical procedures used for the Mental Health and Wellbeing Transition Study.</w:t>
      </w:r>
    </w:p>
    <w:p w14:paraId="1A07A2FB" w14:textId="77777777" w:rsidR="00160459" w:rsidRPr="0047058F" w:rsidRDefault="00160459" w:rsidP="00160459">
      <w:pPr>
        <w:pStyle w:val="Heading2b"/>
      </w:pPr>
      <w:bookmarkStart w:id="555" w:name="_Toc487011290"/>
      <w:bookmarkStart w:id="556" w:name="_Toc493663185"/>
      <w:r w:rsidRPr="0047058F">
        <w:t>Summary of the research</w:t>
      </w:r>
      <w:bookmarkEnd w:id="555"/>
      <w:bookmarkEnd w:id="556"/>
    </w:p>
    <w:p w14:paraId="32042ACF" w14:textId="77777777" w:rsidR="00160459" w:rsidRPr="0047058F" w:rsidRDefault="00160459" w:rsidP="00160459">
      <w:r w:rsidRPr="0047058F">
        <w:t>The Transition and Wellbeing Research Programme (the Programme) is a joint research initiative of the Department of Veterans’ Affairs (DVA) and the Department of Defence (Defence) to examine the impact of contemporary military service on the mental, physical and social health of serving and ex-serving Australian Defence Force (ADF) members and their families. It builds on previous research and will inform effective and evidence-based health and mental health service provision.</w:t>
      </w:r>
    </w:p>
    <w:p w14:paraId="64EB26CE" w14:textId="77777777" w:rsidR="00160459" w:rsidRPr="0047058F" w:rsidRDefault="00160459" w:rsidP="00160459">
      <w:r w:rsidRPr="0047058F">
        <w:t>The Programme was conducted by a consortium of six of Australia’s leading research institutions, led by the Centre for Traumatic Stress Studies at the University of Adelaide and the Australian Institute of Family Studies. The consortium included researchers from Phoenix Australia – Centre for Posttraumatic Mental Health, the University of New South Wales, Monash University and the University of Sydney.</w:t>
      </w:r>
    </w:p>
    <w:p w14:paraId="2C3CA459" w14:textId="77777777" w:rsidR="00160459" w:rsidRPr="0047058F" w:rsidRDefault="00160459" w:rsidP="00160459">
      <w:r w:rsidRPr="0047058F">
        <w:t>The 2010 Military Health Outcomes Program (MilHOP) detailed the prevalence of mental disorder in the 2010 Regular ADF and deployment-related health issues for those deployed to the Middle East Area of Operations (MEAO) between 2010 and 2012. Following the MilHOP, several research gaps were identified, including the mental health of ex-serving ADF members, Reservists, family members and ADF members in high-risk roles, as well as the course of mental disorders and pathways to care for individuals over time.</w:t>
      </w:r>
    </w:p>
    <w:p w14:paraId="2D79B94F" w14:textId="77777777" w:rsidR="00160459" w:rsidRPr="0047058F" w:rsidRDefault="00160459" w:rsidP="00160459">
      <w:r w:rsidRPr="0047058F">
        <w:t>The Programme aimed to address these research gaps in three separate but related studies:</w:t>
      </w:r>
    </w:p>
    <w:p w14:paraId="31C6D069" w14:textId="77777777" w:rsidR="00160459" w:rsidRPr="0047058F" w:rsidRDefault="00160459" w:rsidP="00160459">
      <w:pPr>
        <w:pStyle w:val="Bullet"/>
        <w:spacing w:after="120"/>
      </w:pPr>
      <w:r w:rsidRPr="0047058F">
        <w:t>the Mental Health and Wellbeing Transition Study</w:t>
      </w:r>
    </w:p>
    <w:p w14:paraId="33361547" w14:textId="77777777" w:rsidR="00160459" w:rsidRPr="0047058F" w:rsidRDefault="00160459" w:rsidP="00160459">
      <w:pPr>
        <w:pStyle w:val="Bullet"/>
        <w:spacing w:after="120"/>
      </w:pPr>
      <w:r w:rsidRPr="0047058F">
        <w:t>the Impact of Combat Study</w:t>
      </w:r>
    </w:p>
    <w:p w14:paraId="3CDB030F" w14:textId="77777777" w:rsidR="00160459" w:rsidRPr="0047058F" w:rsidRDefault="00160459" w:rsidP="00160459">
      <w:pPr>
        <w:pStyle w:val="Bullet"/>
      </w:pPr>
      <w:r w:rsidRPr="0047058F">
        <w:t>the Family Wellbeing Study.</w:t>
      </w:r>
    </w:p>
    <w:p w14:paraId="39112E1E" w14:textId="77777777" w:rsidR="00160459" w:rsidRPr="0047058F" w:rsidRDefault="00160459" w:rsidP="00160459">
      <w:pPr>
        <w:pStyle w:val="Heading2b"/>
      </w:pPr>
      <w:bookmarkStart w:id="557" w:name="_Toc482021442"/>
      <w:bookmarkStart w:id="558" w:name="_Toc482024533"/>
      <w:bookmarkStart w:id="559" w:name="_Toc484594355"/>
      <w:bookmarkStart w:id="560" w:name="_Toc487011291"/>
      <w:bookmarkStart w:id="561" w:name="_Toc493663186"/>
      <w:r w:rsidRPr="0047058F">
        <w:t>Aims of the Programme</w:t>
      </w:r>
      <w:bookmarkEnd w:id="557"/>
      <w:bookmarkEnd w:id="558"/>
      <w:bookmarkEnd w:id="559"/>
      <w:bookmarkEnd w:id="560"/>
      <w:bookmarkEnd w:id="561"/>
    </w:p>
    <w:p w14:paraId="6322FC4E" w14:textId="77777777" w:rsidR="00160459" w:rsidRPr="0047058F" w:rsidRDefault="00160459" w:rsidP="00160459">
      <w:pPr>
        <w:spacing w:after="160"/>
      </w:pPr>
      <w:r w:rsidRPr="0047058F">
        <w:t>The Transition and Wellbeing Research Programme objectives were to:</w:t>
      </w:r>
    </w:p>
    <w:p w14:paraId="50361A25" w14:textId="77777777" w:rsidR="00160459" w:rsidRPr="0047058F" w:rsidRDefault="00160459" w:rsidP="00160459">
      <w:pPr>
        <w:pStyle w:val="Bullet"/>
        <w:numPr>
          <w:ilvl w:val="0"/>
          <w:numId w:val="1"/>
        </w:numPr>
        <w:ind w:left="360"/>
      </w:pPr>
      <w:r w:rsidRPr="0047058F">
        <w:t>determine the prevalence of mental disorders among ADF members who have transitioned from Regular ADF service between 2010 and 2014</w:t>
      </w:r>
    </w:p>
    <w:p w14:paraId="4695E72A" w14:textId="77777777" w:rsidR="00160459" w:rsidRPr="0047058F" w:rsidRDefault="00160459" w:rsidP="00160459">
      <w:pPr>
        <w:pStyle w:val="Bullet"/>
        <w:numPr>
          <w:ilvl w:val="0"/>
          <w:numId w:val="1"/>
        </w:numPr>
        <w:ind w:left="360"/>
      </w:pPr>
      <w:r w:rsidRPr="0047058F">
        <w:t>examine self-reported mental health status of Transitioned ADF and the 2015 Regular ADF</w:t>
      </w:r>
    </w:p>
    <w:p w14:paraId="7FD21B68" w14:textId="77777777" w:rsidR="00160459" w:rsidRPr="0047058F" w:rsidRDefault="00160459" w:rsidP="00160459">
      <w:pPr>
        <w:pStyle w:val="Bullet"/>
        <w:numPr>
          <w:ilvl w:val="0"/>
          <w:numId w:val="1"/>
        </w:numPr>
        <w:ind w:left="360"/>
      </w:pPr>
      <w:r w:rsidRPr="0047058F">
        <w:t>examine the physical health status of Transitioned ADF and the 2015 Regular ADF</w:t>
      </w:r>
    </w:p>
    <w:p w14:paraId="3A726D3A" w14:textId="77777777" w:rsidR="00160459" w:rsidRPr="0047058F" w:rsidRDefault="00160459" w:rsidP="00160459">
      <w:pPr>
        <w:pStyle w:val="Bullet"/>
        <w:numPr>
          <w:ilvl w:val="0"/>
          <w:numId w:val="1"/>
        </w:numPr>
        <w:ind w:left="360"/>
      </w:pPr>
      <w:r w:rsidRPr="0047058F">
        <w:t>assess pathways to care for Transitioned ADF and the 2015 Regular ADF, including those with a diagnosed mental disorder</w:t>
      </w:r>
    </w:p>
    <w:p w14:paraId="52D51B11" w14:textId="77777777" w:rsidR="00160459" w:rsidRPr="0047058F" w:rsidRDefault="00160459" w:rsidP="00160459">
      <w:pPr>
        <w:pStyle w:val="Bullet"/>
        <w:numPr>
          <w:ilvl w:val="0"/>
          <w:numId w:val="1"/>
        </w:numPr>
        <w:ind w:left="360"/>
      </w:pPr>
      <w:r w:rsidRPr="0047058F">
        <w:t>examine the factors that contribute to the wellbeing of Transitioned ADF and the 2015 Regular ADF</w:t>
      </w:r>
    </w:p>
    <w:p w14:paraId="547C4293" w14:textId="77777777" w:rsidR="00160459" w:rsidRPr="0047058F" w:rsidRDefault="00160459" w:rsidP="00160459">
      <w:pPr>
        <w:pStyle w:val="Bullet"/>
        <w:numPr>
          <w:ilvl w:val="0"/>
          <w:numId w:val="1"/>
        </w:numPr>
        <w:ind w:left="360"/>
      </w:pPr>
      <w:r w:rsidRPr="0047058F">
        <w:t>conduct predictive modelling of the trajectory of mental health symptoms/disorder of Transitioned ADF and the 2015 Regular ADF, removing the need to rely on estimated rates</w:t>
      </w:r>
    </w:p>
    <w:p w14:paraId="3E12F4B8" w14:textId="77777777" w:rsidR="00160459" w:rsidRPr="0047058F" w:rsidRDefault="00160459" w:rsidP="00160459">
      <w:pPr>
        <w:pStyle w:val="Bullet"/>
        <w:numPr>
          <w:ilvl w:val="0"/>
          <w:numId w:val="1"/>
        </w:numPr>
        <w:ind w:left="360"/>
      </w:pPr>
      <w:r w:rsidRPr="0047058F">
        <w:t>investigate technology and its utility for health and mental health programs, including implications for future health service delivery</w:t>
      </w:r>
    </w:p>
    <w:p w14:paraId="7842FF39" w14:textId="77777777" w:rsidR="00160459" w:rsidRPr="0047058F" w:rsidRDefault="00160459" w:rsidP="00160459">
      <w:pPr>
        <w:pStyle w:val="Bullet"/>
        <w:numPr>
          <w:ilvl w:val="0"/>
          <w:numId w:val="1"/>
        </w:numPr>
        <w:ind w:left="360"/>
      </w:pPr>
      <w:r w:rsidRPr="0047058F">
        <w:t>follow up on the mental, physical and neurocognitive health and wellbeing of ADF members who deployed to the MEAO between 2010 and 2012</w:t>
      </w:r>
    </w:p>
    <w:p w14:paraId="3D461961" w14:textId="77777777" w:rsidR="00160459" w:rsidRPr="0047058F" w:rsidRDefault="00160459" w:rsidP="00160459">
      <w:pPr>
        <w:pStyle w:val="Bullet"/>
        <w:numPr>
          <w:ilvl w:val="0"/>
          <w:numId w:val="1"/>
        </w:numPr>
        <w:ind w:left="360"/>
      </w:pPr>
      <w:r w:rsidRPr="0047058F">
        <w:t>investigate the social, physical and mental health and wellbeing of 2015 Ab initio Reservists (those who joined as Reservists and have only served in the Reserves)</w:t>
      </w:r>
    </w:p>
    <w:p w14:paraId="454878D4" w14:textId="77777777" w:rsidR="00160459" w:rsidRPr="0047058F" w:rsidRDefault="00160459" w:rsidP="00160459">
      <w:pPr>
        <w:pStyle w:val="Bullet"/>
        <w:numPr>
          <w:ilvl w:val="0"/>
          <w:numId w:val="1"/>
        </w:numPr>
        <w:ind w:left="360"/>
      </w:pPr>
      <w:r w:rsidRPr="0047058F">
        <w:t>investigate the impact of ADF service on the health and wellbeing of the families of Transitioned ADF and the 2015 Regular ADF.</w:t>
      </w:r>
    </w:p>
    <w:p w14:paraId="085027A6" w14:textId="77777777" w:rsidR="00160459" w:rsidRPr="0047058F" w:rsidRDefault="00160459" w:rsidP="00160459">
      <w:pPr>
        <w:spacing w:after="160"/>
      </w:pPr>
      <w:r w:rsidRPr="0047058F">
        <w:t>These objectives will allow Defence and DVA to:</w:t>
      </w:r>
    </w:p>
    <w:p w14:paraId="060DBB7D" w14:textId="77777777" w:rsidR="00160459" w:rsidRPr="0047058F" w:rsidRDefault="00160459" w:rsidP="00160459">
      <w:pPr>
        <w:pStyle w:val="Bullet"/>
        <w:numPr>
          <w:ilvl w:val="0"/>
          <w:numId w:val="1"/>
        </w:numPr>
        <w:ind w:left="360"/>
      </w:pPr>
      <w:r w:rsidRPr="0047058F">
        <w:t>build on the 2010 MilHOP research to develop an understanding of how mental health changes and manifests during the readjustment phase post-separation</w:t>
      </w:r>
    </w:p>
    <w:p w14:paraId="57DE5604" w14:textId="77777777" w:rsidR="00160459" w:rsidRPr="0047058F" w:rsidRDefault="00160459" w:rsidP="00160459">
      <w:pPr>
        <w:pStyle w:val="Bullet"/>
        <w:numPr>
          <w:ilvl w:val="0"/>
          <w:numId w:val="1"/>
        </w:numPr>
        <w:ind w:left="360"/>
      </w:pPr>
      <w:r w:rsidRPr="0047058F">
        <w:t>develop insights into how to improve communication between contemporary veterans, DVA and Defence</w:t>
      </w:r>
    </w:p>
    <w:p w14:paraId="0796CCB8" w14:textId="77777777" w:rsidR="00160459" w:rsidRPr="0047058F" w:rsidRDefault="00160459" w:rsidP="00160459">
      <w:pPr>
        <w:pStyle w:val="Bullet"/>
        <w:numPr>
          <w:ilvl w:val="0"/>
          <w:numId w:val="1"/>
        </w:numPr>
        <w:ind w:left="360"/>
      </w:pPr>
      <w:r w:rsidRPr="0047058F">
        <w:t>further develop the research outcomes and optimise the use of existing datasets within DVA and Defence in relation to improving the understanding of the mental health of serving and ex-serving members and the access to clinical services and their outcomes</w:t>
      </w:r>
    </w:p>
    <w:p w14:paraId="3F386C96" w14:textId="77777777" w:rsidR="00160459" w:rsidRPr="0047058F" w:rsidRDefault="00160459" w:rsidP="00160459">
      <w:pPr>
        <w:pStyle w:val="Bullet"/>
        <w:numPr>
          <w:ilvl w:val="0"/>
          <w:numId w:val="1"/>
        </w:numPr>
        <w:ind w:left="360"/>
      </w:pPr>
      <w:r w:rsidRPr="0047058F">
        <w:t>develop the objective knowledge base of DVA and Defence staff, and other interested parties, in the mental health of serving and transitioned members</w:t>
      </w:r>
    </w:p>
    <w:p w14:paraId="72AA83BE" w14:textId="77777777" w:rsidR="00160459" w:rsidRPr="0047058F" w:rsidRDefault="00160459" w:rsidP="00160459">
      <w:pPr>
        <w:pStyle w:val="Bullet"/>
        <w:numPr>
          <w:ilvl w:val="0"/>
          <w:numId w:val="1"/>
        </w:numPr>
        <w:ind w:left="360"/>
      </w:pPr>
      <w:r w:rsidRPr="0047058F">
        <w:t>improve the mental health (and associated physical health) outcomes for serving and ex-serving members across all age cohorts</w:t>
      </w:r>
    </w:p>
    <w:p w14:paraId="128CF448" w14:textId="77777777" w:rsidR="00160459" w:rsidRPr="0047058F" w:rsidRDefault="00160459" w:rsidP="00160459">
      <w:pPr>
        <w:pStyle w:val="Bullet"/>
        <w:numPr>
          <w:ilvl w:val="0"/>
          <w:numId w:val="1"/>
        </w:numPr>
        <w:ind w:left="360"/>
      </w:pPr>
      <w:r w:rsidRPr="0047058F">
        <w:t>allow a review of the optimal method of conducting scientifically valid and reliable research with the ADF and ex-serving members that is accepted by the participants, the ex-serving community, the ADF and DVA.</w:t>
      </w:r>
    </w:p>
    <w:p w14:paraId="44842321" w14:textId="74B14A2A" w:rsidR="00160459" w:rsidRPr="0047058F" w:rsidRDefault="00160459" w:rsidP="00160459">
      <w:pPr>
        <w:pStyle w:val="Heading2b"/>
      </w:pPr>
      <w:bookmarkStart w:id="562" w:name="_Toc341700579"/>
      <w:bookmarkStart w:id="563" w:name="_Toc482021443"/>
      <w:bookmarkStart w:id="564" w:name="_Toc482024534"/>
      <w:bookmarkStart w:id="565" w:name="_Toc484594356"/>
      <w:bookmarkStart w:id="566" w:name="_Toc487011292"/>
      <w:bookmarkStart w:id="567" w:name="_Toc493663187"/>
      <w:r w:rsidRPr="0047058F">
        <w:t>Sample</w:t>
      </w:r>
      <w:bookmarkEnd w:id="562"/>
      <w:bookmarkEnd w:id="563"/>
      <w:bookmarkEnd w:id="564"/>
      <w:bookmarkEnd w:id="565"/>
      <w:bookmarkEnd w:id="566"/>
      <w:bookmarkEnd w:id="567"/>
      <w:r w:rsidR="00B717B7">
        <w:t>s</w:t>
      </w:r>
    </w:p>
    <w:p w14:paraId="1C4492F0" w14:textId="77777777" w:rsidR="00160459" w:rsidRPr="0047058F" w:rsidRDefault="00160459" w:rsidP="00160459">
      <w:r w:rsidRPr="0047058F">
        <w:t>To achieve the aims of the broader research Programme, the following six overlapping samples were targeted for data collection.</w:t>
      </w:r>
    </w:p>
    <w:p w14:paraId="0DC5D4E3" w14:textId="77777777" w:rsidR="00160459" w:rsidRPr="0047058F" w:rsidRDefault="00160459" w:rsidP="00160459">
      <w:pPr>
        <w:pStyle w:val="Heading3b"/>
        <w:rPr>
          <w:rFonts w:eastAsia="MS ??"/>
        </w:rPr>
      </w:pPr>
      <w:r w:rsidRPr="0047058F">
        <w:rPr>
          <w:rFonts w:eastAsia="MS ??"/>
        </w:rPr>
        <w:t>Sample 1: Transitioned ADF</w:t>
      </w:r>
    </w:p>
    <w:p w14:paraId="7984B7D1" w14:textId="77777777" w:rsidR="00160459" w:rsidRPr="0047058F" w:rsidRDefault="00160459" w:rsidP="00160459">
      <w:r w:rsidRPr="0047058F">
        <w:t>This sample comprised all ADF members who transitioned from the Regular ADF between 2010 and 2014. This included those who transitioned into the Active and Inactive Reserves, as well as those who had discharged completely from the Regular ADF. This sample comprised three groups of Transitioned ADF members: (1) MHPWS Transitioned ADF: ADF members who participated in the 2010 ADF Mental Health Prevalence and Wellbeing Study (MHPWS) as a Regular ADF member, but have since transitioned; (2) Combat Transitioned ADF: ADF members who participated in the MEAO Prospective Health Study between 2010 and 2012 and have since transitioned; and (3) ADF members who have transitioned from the Regular ADF since 2010, who were not part of the 2010 MHPWS or the MEAO Prospective Health Study. Results from these three groups were combined and weighted to represent the Transitioned ADF in 2015.</w:t>
      </w:r>
    </w:p>
    <w:p w14:paraId="738CC555" w14:textId="77777777" w:rsidR="00160459" w:rsidRPr="0047058F" w:rsidRDefault="00160459" w:rsidP="00160459">
      <w:pPr>
        <w:pStyle w:val="Heading3b"/>
      </w:pPr>
      <w:r w:rsidRPr="0047058F">
        <w:t>Sample 2: 2015 Regular ADF</w:t>
      </w:r>
    </w:p>
    <w:p w14:paraId="7A7B4A2F" w14:textId="77777777" w:rsidR="00160459" w:rsidRPr="0047058F" w:rsidRDefault="00160459" w:rsidP="00160459">
      <w:r w:rsidRPr="0047058F">
        <w:t>This sample comprised three groups of Regular ADF members in 2015 who were invited to participate in the study: (1) those who participated in the 2010 MHPWS and were a Regular ADF member in 2015; (2) those who participated in the MEAO Prospective Health Study between 2010 and 2012 and were a Regular ADF member in 2015; and (3) a stratified random sample of Regular ADF members from 2015 who were not part of the 2010 MHPWS or the MEAO Prospective Health Study. Results from these three groups were combined and weighted to represent the 2015 Regular ADF.</w:t>
      </w:r>
    </w:p>
    <w:p w14:paraId="66D9D419" w14:textId="77777777" w:rsidR="00160459" w:rsidRPr="0047058F" w:rsidRDefault="00160459" w:rsidP="00160459">
      <w:pPr>
        <w:pStyle w:val="Heading3b"/>
      </w:pPr>
      <w:r w:rsidRPr="0047058F">
        <w:t>Sample 3: Ab initio Reservists</w:t>
      </w:r>
    </w:p>
    <w:p w14:paraId="4DAAB9FE" w14:textId="77777777" w:rsidR="00160459" w:rsidRPr="0047058F" w:rsidRDefault="00160459" w:rsidP="00160459">
      <w:r w:rsidRPr="0047058F">
        <w:t>All ADF members who joined the ADF Reserves and who continue to serve in a Reserve capacity, and who have never been a serving Regular ADF member.</w:t>
      </w:r>
    </w:p>
    <w:p w14:paraId="29AE293B" w14:textId="77777777" w:rsidR="00160459" w:rsidRPr="0047058F" w:rsidRDefault="00160459" w:rsidP="00160459">
      <w:pPr>
        <w:pStyle w:val="Heading3b"/>
      </w:pPr>
      <w:r w:rsidRPr="0047058F">
        <w:t>Sample 4: ADF families</w:t>
      </w:r>
    </w:p>
    <w:p w14:paraId="19707BC0" w14:textId="77777777" w:rsidR="00160459" w:rsidRPr="0047058F" w:rsidRDefault="00160459" w:rsidP="00160459">
      <w:r w:rsidRPr="0047058F">
        <w:t>A sample of ADF families, nominated by 2015 Regular ADF and Ex-Serving ADF members participating in the Programme.</w:t>
      </w:r>
    </w:p>
    <w:p w14:paraId="0B483AE3" w14:textId="77777777" w:rsidR="00160459" w:rsidRPr="0047058F" w:rsidRDefault="00160459" w:rsidP="00160459">
      <w:r w:rsidRPr="0047058F">
        <w:t>Two MilHOP samples, which were incorporated into samples 1 and 2 above for the purposes of analysis, were also followed up as part of an ongoing program of longitudinal health surveillance. These samples were:</w:t>
      </w:r>
    </w:p>
    <w:p w14:paraId="6D07CA8A" w14:textId="77777777" w:rsidR="00160459" w:rsidRPr="0047058F" w:rsidRDefault="00160459" w:rsidP="00160459">
      <w:pPr>
        <w:pStyle w:val="Heading3b"/>
      </w:pPr>
      <w:r w:rsidRPr="0047058F">
        <w:t>Sample 5: Combat Zone group</w:t>
      </w:r>
    </w:p>
    <w:p w14:paraId="5EF1F330" w14:textId="77777777" w:rsidR="00160459" w:rsidRPr="0047058F" w:rsidRDefault="00160459" w:rsidP="00160459">
      <w:r w:rsidRPr="0047058F">
        <w:t>All ADF members who participated in the MEAO Prospective Health Study, comprising members who were deployed to the MEAO after June 2010 and returned from deployment by June 2012.</w:t>
      </w:r>
    </w:p>
    <w:p w14:paraId="030B5760" w14:textId="77777777" w:rsidR="00160459" w:rsidRPr="0047058F" w:rsidRDefault="00160459" w:rsidP="00160459">
      <w:pPr>
        <w:pStyle w:val="Heading3b"/>
      </w:pPr>
      <w:r w:rsidRPr="0047058F">
        <w:t>Sample 6: MHPWS</w:t>
      </w:r>
    </w:p>
    <w:p w14:paraId="6523B6AB" w14:textId="77777777" w:rsidR="00160459" w:rsidRPr="0047058F" w:rsidRDefault="00160459" w:rsidP="00160459">
      <w:r w:rsidRPr="0047058F">
        <w:t>All individuals who participated in the 2010 MHPWS component of the MilHOP (2010 ADF). This sample comprised two groups: (1) Transitioned ADF: ADF members who participated in the 2010 MHPWS as a Regular ADF member but have since transitioned; and (2) 2015 Regular ADF: Regular ADF members who participated in the 2010 MHPWS and were in the 2015 Regular ADF.</w:t>
      </w:r>
    </w:p>
    <w:p w14:paraId="2623B230" w14:textId="28CEB6AC" w:rsidR="00160459" w:rsidRPr="0047058F" w:rsidRDefault="00160459" w:rsidP="00160459">
      <w:r w:rsidRPr="0047058F">
        <w:t xml:space="preserve">DVA and Defence have commissioned several reports from the research Programme, and Table A.1 presents the samples </w:t>
      </w:r>
      <w:r w:rsidR="004530F1">
        <w:t xml:space="preserve">that </w:t>
      </w:r>
      <w:r w:rsidRPr="0047058F">
        <w:t>each report cover</w:t>
      </w:r>
      <w:r w:rsidR="005D527A">
        <w:t>s</w:t>
      </w:r>
      <w:r w:rsidRPr="0047058F">
        <w:t xml:space="preserve">. All samples were drawn from the Military and Veteran Research Study Roll, which is described </w:t>
      </w:r>
      <w:r w:rsidR="003E2590">
        <w:t>i</w:t>
      </w:r>
      <w:r w:rsidRPr="0047058F">
        <w:t xml:space="preserve">n </w:t>
      </w:r>
      <w:r w:rsidR="003E2590">
        <w:t>subsection A.11.2</w:t>
      </w:r>
      <w:r w:rsidRPr="0047058F">
        <w:t xml:space="preserve"> </w:t>
      </w:r>
      <w:r w:rsidR="00FF720D">
        <w:t>of</w:t>
      </w:r>
      <w:r w:rsidRPr="0047058F">
        <w:t xml:space="preserve"> this annex.</w:t>
      </w:r>
    </w:p>
    <w:p w14:paraId="4277B3C7" w14:textId="77777777" w:rsidR="00160459" w:rsidRPr="0047058F" w:rsidRDefault="00160459" w:rsidP="00160459">
      <w:pPr>
        <w:pStyle w:val="Heading2b"/>
      </w:pPr>
      <w:bookmarkStart w:id="568" w:name="_Toc482021444"/>
      <w:bookmarkStart w:id="569" w:name="_Toc482024535"/>
      <w:bookmarkStart w:id="570" w:name="_Toc484594357"/>
      <w:bookmarkStart w:id="571" w:name="_Toc487011293"/>
      <w:bookmarkStart w:id="572" w:name="_Toc493663188"/>
      <w:bookmarkStart w:id="573" w:name="_Toc494449809"/>
      <w:r w:rsidRPr="0047058F">
        <w:t>Population comparison samples</w:t>
      </w:r>
      <w:bookmarkEnd w:id="568"/>
      <w:bookmarkEnd w:id="569"/>
      <w:bookmarkEnd w:id="570"/>
      <w:bookmarkEnd w:id="571"/>
      <w:bookmarkEnd w:id="572"/>
      <w:bookmarkEnd w:id="573"/>
    </w:p>
    <w:p w14:paraId="0538B90E" w14:textId="77777777" w:rsidR="00160459" w:rsidRPr="0047058F" w:rsidRDefault="00160459" w:rsidP="00160459">
      <w:pPr>
        <w:pStyle w:val="Heading3b"/>
        <w:rPr>
          <w:rFonts w:eastAsia="MS ??"/>
        </w:rPr>
      </w:pPr>
      <w:r w:rsidRPr="0047058F">
        <w:rPr>
          <w:rFonts w:eastAsia="MS ??"/>
        </w:rPr>
        <w:t>Sample 7: 2010 Regular ADF comparison</w:t>
      </w:r>
    </w:p>
    <w:p w14:paraId="6C2006CE" w14:textId="77777777" w:rsidR="00160459" w:rsidRPr="0047058F" w:rsidRDefault="00160459" w:rsidP="00160459">
      <w:r w:rsidRPr="0047058F">
        <w:t>Results drawn from the 2010 MHPWS report were directly imputed into this report to provide an indication of the change in self-reported mental health between the 2010 Regular ADF and the 2015 Regular ADF. These results should be interpreted with caution due to the overlapping nature of these two populations.</w:t>
      </w:r>
    </w:p>
    <w:p w14:paraId="23B1F9EF" w14:textId="77777777" w:rsidR="00160459" w:rsidRPr="0047058F" w:rsidRDefault="00160459" w:rsidP="00160459">
      <w:pPr>
        <w:pStyle w:val="Heading3b"/>
        <w:ind w:left="720" w:hanging="720"/>
        <w:rPr>
          <w:rFonts w:eastAsia="MS ??"/>
        </w:rPr>
      </w:pPr>
      <w:r w:rsidRPr="0047058F">
        <w:rPr>
          <w:rFonts w:eastAsia="MS ??"/>
        </w:rPr>
        <w:t>Sample 8: Comparison of Transitioned ADF with the Australian community (2014–2015)</w:t>
      </w:r>
    </w:p>
    <w:p w14:paraId="7DCE0B48" w14:textId="77777777" w:rsidR="00160459" w:rsidRPr="0047058F" w:rsidRDefault="00160459" w:rsidP="00160459">
      <w:r w:rsidRPr="0047058F">
        <w:t>To enable comparison of estimates in the Transitioned ADF with an Australian community population, direct standardisation was applied to estimates within the 2014–2015 Australian Bureau of Statistics (ABS) National Health Survey (NHS) data. The NHS is the most recent in a series of Australia-wide ABS health surveys, assessing various aspects of the health of Australians, including long-term health conditions, health risk factors, and health service use. The NHS data were restricted to those aged 18 to 71 (consistent with the Transitioned ADF). The NHS data were standardised by sex, employment status (employed or not) and age category (18–27, 28–37, 38–47, 48–57 and 58+), and estimates were generated on the outcomes of interest. Standard errors for the NHS data were estimated using the replication weights provided in the NHS data file.</w:t>
      </w:r>
    </w:p>
    <w:p w14:paraId="6493B19B" w14:textId="77777777" w:rsidR="00160459" w:rsidRPr="0047058F" w:rsidRDefault="00160459" w:rsidP="00160459">
      <w:pPr>
        <w:pStyle w:val="TableName"/>
      </w:pPr>
      <w:bookmarkStart w:id="574" w:name="_Toc486936014"/>
      <w:bookmarkStart w:id="575" w:name="_Toc487014338"/>
      <w:bookmarkStart w:id="576" w:name="_Toc492995641"/>
      <w:bookmarkStart w:id="577" w:name="_Toc497383340"/>
      <w:bookmarkStart w:id="578" w:name="_Toc529117549"/>
      <w:bookmarkStart w:id="579" w:name="_Toc532473619"/>
      <w:r w:rsidRPr="0047058F">
        <w:t>Table A.1</w:t>
      </w:r>
      <w:r w:rsidRPr="0047058F">
        <w:tab/>
        <w:t>Transition and Wellbeing Research Programme – commissioned reports</w:t>
      </w:r>
      <w:bookmarkEnd w:id="574"/>
      <w:bookmarkEnd w:id="575"/>
      <w:bookmarkEnd w:id="576"/>
      <w:bookmarkEnd w:id="577"/>
      <w:bookmarkEnd w:id="578"/>
      <w:bookmarkEnd w:id="579"/>
    </w:p>
    <w:tbl>
      <w:tblPr>
        <w:tblStyle w:val="TWRPTable"/>
        <w:tblW w:w="5000" w:type="pct"/>
        <w:tblLayout w:type="fixed"/>
        <w:tblLook w:val="04A0" w:firstRow="1" w:lastRow="0" w:firstColumn="1" w:lastColumn="0" w:noHBand="0" w:noVBand="1"/>
        <w:tblDescription w:val="Table A.1 Transition and Wellbeing Research Programme – commissioned reports"/>
      </w:tblPr>
      <w:tblGrid>
        <w:gridCol w:w="4249"/>
        <w:gridCol w:w="3066"/>
      </w:tblGrid>
      <w:tr w:rsidR="00160459" w:rsidRPr="0047058F" w14:paraId="50418DE7" w14:textId="77777777" w:rsidTr="00160459">
        <w:trPr>
          <w:cnfStyle w:val="100000000000" w:firstRow="1" w:lastRow="0" w:firstColumn="0" w:lastColumn="0" w:oddVBand="0" w:evenVBand="0" w:oddHBand="0" w:evenHBand="0" w:firstRowFirstColumn="0" w:firstRowLastColumn="0" w:lastRowFirstColumn="0" w:lastRowLastColumn="0"/>
          <w:cantSplit/>
          <w:tblHeader/>
        </w:trPr>
        <w:tc>
          <w:tcPr>
            <w:tcW w:w="2904" w:type="pct"/>
          </w:tcPr>
          <w:p w14:paraId="1111693E" w14:textId="77777777" w:rsidR="00160459" w:rsidRPr="0047058F" w:rsidRDefault="00160459" w:rsidP="00160459">
            <w:pPr>
              <w:pStyle w:val="TableText"/>
            </w:pPr>
            <w:bookmarkStart w:id="580" w:name="_Toc482021445"/>
            <w:bookmarkStart w:id="581" w:name="_Toc482024536"/>
            <w:bookmarkEnd w:id="580"/>
            <w:bookmarkEnd w:id="581"/>
            <w:r w:rsidRPr="0047058F">
              <w:br w:type="page"/>
              <w:t>Programme objectives</w:t>
            </w:r>
          </w:p>
        </w:tc>
        <w:tc>
          <w:tcPr>
            <w:tcW w:w="2096" w:type="pct"/>
          </w:tcPr>
          <w:p w14:paraId="63FF3282" w14:textId="77777777" w:rsidR="00160459" w:rsidRPr="0047058F" w:rsidRDefault="00160459" w:rsidP="00160459">
            <w:pPr>
              <w:pStyle w:val="TableText"/>
            </w:pPr>
            <w:r w:rsidRPr="0047058F">
              <w:t>Corresponding reports and papers</w:t>
            </w:r>
          </w:p>
        </w:tc>
      </w:tr>
      <w:tr w:rsidR="00160459" w:rsidRPr="0047058F" w14:paraId="22F65583" w14:textId="77777777" w:rsidTr="00160459">
        <w:trPr>
          <w:cnfStyle w:val="000000100000" w:firstRow="0" w:lastRow="0" w:firstColumn="0" w:lastColumn="0" w:oddVBand="0" w:evenVBand="0" w:oddHBand="1" w:evenHBand="0" w:firstRowFirstColumn="0" w:firstRowLastColumn="0" w:lastRowFirstColumn="0" w:lastRowLastColumn="0"/>
          <w:cantSplit/>
        </w:trPr>
        <w:tc>
          <w:tcPr>
            <w:tcW w:w="2904" w:type="pct"/>
          </w:tcPr>
          <w:p w14:paraId="7DEDA73D" w14:textId="77777777" w:rsidR="00160459" w:rsidRPr="0047058F" w:rsidRDefault="00160459" w:rsidP="00160459">
            <w:pPr>
              <w:pStyle w:val="TableText"/>
            </w:pPr>
            <w:r w:rsidRPr="0047058F">
              <w:t>1. Determine the prevalence of mental disorders among ADF members who have transitioned from Regular ADF service between 2010 and 2014.</w:t>
            </w:r>
          </w:p>
          <w:p w14:paraId="2135C493" w14:textId="77777777" w:rsidR="00160459" w:rsidRPr="0047058F" w:rsidRDefault="00160459" w:rsidP="00160459">
            <w:pPr>
              <w:pStyle w:val="TableText"/>
            </w:pPr>
            <w:r w:rsidRPr="0047058F">
              <w:t>2. Examine self-reported mental health status of Transitioned ADF and the 2015 Regular ADF.</w:t>
            </w:r>
          </w:p>
        </w:tc>
        <w:tc>
          <w:tcPr>
            <w:tcW w:w="2096" w:type="pct"/>
          </w:tcPr>
          <w:p w14:paraId="26C30728" w14:textId="77777777" w:rsidR="00160459" w:rsidRPr="0047058F" w:rsidRDefault="00160459" w:rsidP="00160459">
            <w:pPr>
              <w:pStyle w:val="TableText"/>
              <w:rPr>
                <w:i/>
              </w:rPr>
            </w:pPr>
            <w:r w:rsidRPr="0047058F">
              <w:rPr>
                <w:i/>
              </w:rPr>
              <w:t>Mental Health Prevalence Report</w:t>
            </w:r>
          </w:p>
        </w:tc>
      </w:tr>
      <w:tr w:rsidR="00160459" w:rsidRPr="0047058F" w14:paraId="7BC66EF1" w14:textId="77777777" w:rsidTr="00160459">
        <w:trPr>
          <w:cantSplit/>
        </w:trPr>
        <w:tc>
          <w:tcPr>
            <w:tcW w:w="2904" w:type="pct"/>
          </w:tcPr>
          <w:p w14:paraId="5F3B3D1B" w14:textId="77777777" w:rsidR="00160459" w:rsidRPr="0047058F" w:rsidRDefault="00160459" w:rsidP="00160459">
            <w:pPr>
              <w:pStyle w:val="TableText"/>
            </w:pPr>
            <w:r w:rsidRPr="0047058F">
              <w:t>3. Assess pathways to care for Transitioned ADF and the 2015 Regular ADF, including those with a probable 30-day mental disorder.</w:t>
            </w:r>
          </w:p>
        </w:tc>
        <w:tc>
          <w:tcPr>
            <w:tcW w:w="2096" w:type="pct"/>
          </w:tcPr>
          <w:p w14:paraId="7EA42FB0" w14:textId="77777777" w:rsidR="00160459" w:rsidRPr="0047058F" w:rsidRDefault="00160459" w:rsidP="00160459">
            <w:pPr>
              <w:pStyle w:val="TableText"/>
              <w:rPr>
                <w:i/>
              </w:rPr>
            </w:pPr>
            <w:r w:rsidRPr="0047058F">
              <w:rPr>
                <w:i/>
              </w:rPr>
              <w:t>Pathways to Care Report</w:t>
            </w:r>
          </w:p>
        </w:tc>
      </w:tr>
      <w:tr w:rsidR="00160459" w:rsidRPr="0047058F" w14:paraId="174559B6" w14:textId="77777777" w:rsidTr="00160459">
        <w:trPr>
          <w:cnfStyle w:val="000000100000" w:firstRow="0" w:lastRow="0" w:firstColumn="0" w:lastColumn="0" w:oddVBand="0" w:evenVBand="0" w:oddHBand="1" w:evenHBand="0" w:firstRowFirstColumn="0" w:firstRowLastColumn="0" w:lastRowFirstColumn="0" w:lastRowLastColumn="0"/>
          <w:cantSplit/>
        </w:trPr>
        <w:tc>
          <w:tcPr>
            <w:tcW w:w="2904" w:type="pct"/>
          </w:tcPr>
          <w:p w14:paraId="069B0512" w14:textId="77777777" w:rsidR="00160459" w:rsidRPr="0047058F" w:rsidRDefault="00160459" w:rsidP="00160459">
            <w:pPr>
              <w:pStyle w:val="TableText"/>
            </w:pPr>
            <w:r w:rsidRPr="0047058F">
              <w:t>4. Examine the physical health status of Transitioned ADF and the 2015 Regular ADF.</w:t>
            </w:r>
          </w:p>
        </w:tc>
        <w:tc>
          <w:tcPr>
            <w:tcW w:w="2096" w:type="pct"/>
          </w:tcPr>
          <w:p w14:paraId="041E3E36" w14:textId="77777777" w:rsidR="00160459" w:rsidRPr="0047058F" w:rsidRDefault="00160459" w:rsidP="00160459">
            <w:pPr>
              <w:pStyle w:val="TableText"/>
              <w:rPr>
                <w:i/>
              </w:rPr>
            </w:pPr>
            <w:r w:rsidRPr="0047058F">
              <w:rPr>
                <w:i/>
              </w:rPr>
              <w:t>Physical Health Status Report</w:t>
            </w:r>
          </w:p>
        </w:tc>
      </w:tr>
      <w:tr w:rsidR="00160459" w:rsidRPr="0047058F" w14:paraId="63F29863" w14:textId="77777777" w:rsidTr="00160459">
        <w:trPr>
          <w:cantSplit/>
        </w:trPr>
        <w:tc>
          <w:tcPr>
            <w:tcW w:w="2904" w:type="pct"/>
          </w:tcPr>
          <w:p w14:paraId="5A8F6884" w14:textId="77777777" w:rsidR="00160459" w:rsidRPr="0047058F" w:rsidRDefault="00160459" w:rsidP="00160459">
            <w:pPr>
              <w:pStyle w:val="TableText"/>
            </w:pPr>
            <w:r w:rsidRPr="0047058F">
              <w:t>5. Investigate technology and its utility for health and mental health programs, including implications for future health service delivery.</w:t>
            </w:r>
          </w:p>
        </w:tc>
        <w:tc>
          <w:tcPr>
            <w:tcW w:w="2096" w:type="pct"/>
          </w:tcPr>
          <w:p w14:paraId="4AA98225" w14:textId="77777777" w:rsidR="00160459" w:rsidRPr="0047058F" w:rsidRDefault="00160459" w:rsidP="00160459">
            <w:pPr>
              <w:pStyle w:val="TableText"/>
              <w:rPr>
                <w:i/>
              </w:rPr>
            </w:pPr>
            <w:r w:rsidRPr="0047058F">
              <w:rPr>
                <w:i/>
              </w:rPr>
              <w:t>Technology Use and Wellbeing Report</w:t>
            </w:r>
          </w:p>
        </w:tc>
      </w:tr>
      <w:tr w:rsidR="00160459" w:rsidRPr="0047058F" w14:paraId="4F45C56D" w14:textId="77777777" w:rsidTr="00160459">
        <w:trPr>
          <w:cnfStyle w:val="000000100000" w:firstRow="0" w:lastRow="0" w:firstColumn="0" w:lastColumn="0" w:oddVBand="0" w:evenVBand="0" w:oddHBand="1" w:evenHBand="0" w:firstRowFirstColumn="0" w:firstRowLastColumn="0" w:lastRowFirstColumn="0" w:lastRowLastColumn="0"/>
          <w:cantSplit/>
        </w:trPr>
        <w:tc>
          <w:tcPr>
            <w:tcW w:w="2904" w:type="pct"/>
          </w:tcPr>
          <w:p w14:paraId="6CCCEAB9" w14:textId="77777777" w:rsidR="00160459" w:rsidRPr="0047058F" w:rsidRDefault="00160459" w:rsidP="00160459">
            <w:pPr>
              <w:pStyle w:val="TableText"/>
            </w:pPr>
            <w:r w:rsidRPr="0047058F">
              <w:t>6. Conduct predictive modelling of the trajectory of mental health symptoms/disorders of Transitioned ADF and the 2015 Regular ADF, removing the need to rely on estimated rates.</w:t>
            </w:r>
          </w:p>
        </w:tc>
        <w:tc>
          <w:tcPr>
            <w:tcW w:w="2096" w:type="pct"/>
          </w:tcPr>
          <w:p w14:paraId="0C55B678" w14:textId="1D42A4ED" w:rsidR="00160459" w:rsidRPr="0047058F" w:rsidRDefault="00160459" w:rsidP="00160459">
            <w:pPr>
              <w:pStyle w:val="TableText"/>
              <w:rPr>
                <w:i/>
              </w:rPr>
            </w:pPr>
            <w:r w:rsidRPr="0047058F">
              <w:rPr>
                <w:i/>
              </w:rPr>
              <w:t xml:space="preserve">Mental Health Changes Over Time: </w:t>
            </w:r>
            <w:r w:rsidR="003F0291">
              <w:rPr>
                <w:i/>
              </w:rPr>
              <w:t>a</w:t>
            </w:r>
            <w:r w:rsidRPr="0047058F">
              <w:rPr>
                <w:i/>
              </w:rPr>
              <w:t xml:space="preserve"> Longitudinal Perspective Report</w:t>
            </w:r>
          </w:p>
        </w:tc>
      </w:tr>
      <w:tr w:rsidR="00160459" w:rsidRPr="0047058F" w14:paraId="782E5844" w14:textId="77777777" w:rsidTr="00160459">
        <w:trPr>
          <w:cantSplit/>
        </w:trPr>
        <w:tc>
          <w:tcPr>
            <w:tcW w:w="2904" w:type="pct"/>
          </w:tcPr>
          <w:p w14:paraId="42B3CA67" w14:textId="77777777" w:rsidR="00160459" w:rsidRPr="0047058F" w:rsidRDefault="00160459" w:rsidP="00160459">
            <w:pPr>
              <w:pStyle w:val="TableText"/>
            </w:pPr>
            <w:r w:rsidRPr="0047058F">
              <w:t>7. Investigate the mental health and wellbeing of currently serving 2015 Ab-initio Reservists.</w:t>
            </w:r>
          </w:p>
        </w:tc>
        <w:tc>
          <w:tcPr>
            <w:tcW w:w="2096" w:type="pct"/>
          </w:tcPr>
          <w:p w14:paraId="0668A92A" w14:textId="77777777" w:rsidR="00160459" w:rsidRPr="0047058F" w:rsidRDefault="00160459" w:rsidP="00160459">
            <w:pPr>
              <w:pStyle w:val="TableText"/>
              <w:rPr>
                <w:i/>
              </w:rPr>
            </w:pPr>
            <w:r w:rsidRPr="0047058F">
              <w:rPr>
                <w:i/>
              </w:rPr>
              <w:t>The Health and Wellbeing of ADF Reservists Paper</w:t>
            </w:r>
          </w:p>
        </w:tc>
      </w:tr>
      <w:tr w:rsidR="00160459" w:rsidRPr="0047058F" w14:paraId="785AFF1E" w14:textId="77777777" w:rsidTr="00160459">
        <w:trPr>
          <w:cnfStyle w:val="000000100000" w:firstRow="0" w:lastRow="0" w:firstColumn="0" w:lastColumn="0" w:oddVBand="0" w:evenVBand="0" w:oddHBand="1" w:evenHBand="0" w:firstRowFirstColumn="0" w:firstRowLastColumn="0" w:lastRowFirstColumn="0" w:lastRowLastColumn="0"/>
          <w:cantSplit/>
        </w:trPr>
        <w:tc>
          <w:tcPr>
            <w:tcW w:w="2904" w:type="pct"/>
          </w:tcPr>
          <w:p w14:paraId="24FD28C2" w14:textId="77777777" w:rsidR="00160459" w:rsidRPr="0047058F" w:rsidRDefault="00160459" w:rsidP="00160459">
            <w:pPr>
              <w:pStyle w:val="TableText"/>
            </w:pPr>
            <w:r w:rsidRPr="0047058F">
              <w:t>8. Examine the factors that contribute to the wellbeing of Transitioned ADF and the 2015 Regular ADF.</w:t>
            </w:r>
          </w:p>
        </w:tc>
        <w:tc>
          <w:tcPr>
            <w:tcW w:w="2096" w:type="pct"/>
          </w:tcPr>
          <w:p w14:paraId="1F115E4A" w14:textId="77777777" w:rsidR="00160459" w:rsidRPr="0047058F" w:rsidRDefault="00160459" w:rsidP="00160459">
            <w:pPr>
              <w:pStyle w:val="TableText"/>
              <w:rPr>
                <w:i/>
              </w:rPr>
            </w:pPr>
            <w:r w:rsidRPr="0047058F">
              <w:rPr>
                <w:i/>
              </w:rPr>
              <w:t>Psychosocial Predictors of Health paper</w:t>
            </w:r>
          </w:p>
        </w:tc>
      </w:tr>
      <w:tr w:rsidR="00160459" w:rsidRPr="0047058F" w14:paraId="314C6537" w14:textId="77777777" w:rsidTr="00160459">
        <w:trPr>
          <w:cantSplit/>
        </w:trPr>
        <w:tc>
          <w:tcPr>
            <w:tcW w:w="2904" w:type="pct"/>
          </w:tcPr>
          <w:p w14:paraId="55FA119E" w14:textId="77777777" w:rsidR="00160459" w:rsidRPr="0047058F" w:rsidRDefault="00160459" w:rsidP="00160459">
            <w:pPr>
              <w:pStyle w:val="TableText"/>
            </w:pPr>
            <w:r w:rsidRPr="0047058F">
              <w:t>9. Follow up on the mental, physical and neurocognitive health and wellbeing of participants who deployed to the Middle East Area of Operations between 2010 and 2012.</w:t>
            </w:r>
          </w:p>
        </w:tc>
        <w:tc>
          <w:tcPr>
            <w:tcW w:w="2096" w:type="pct"/>
          </w:tcPr>
          <w:p w14:paraId="7582ADA4" w14:textId="77777777" w:rsidR="00160459" w:rsidRPr="0047058F" w:rsidRDefault="00160459" w:rsidP="00160459">
            <w:pPr>
              <w:pStyle w:val="TableText"/>
              <w:rPr>
                <w:i/>
              </w:rPr>
            </w:pPr>
            <w:r w:rsidRPr="0047058F">
              <w:rPr>
                <w:i/>
              </w:rPr>
              <w:t>Impact of Combat Report</w:t>
            </w:r>
          </w:p>
        </w:tc>
      </w:tr>
      <w:tr w:rsidR="00160459" w:rsidRPr="0047058F" w14:paraId="19F0CAD0" w14:textId="77777777" w:rsidTr="00160459">
        <w:trPr>
          <w:cnfStyle w:val="000000100000" w:firstRow="0" w:lastRow="0" w:firstColumn="0" w:lastColumn="0" w:oddVBand="0" w:evenVBand="0" w:oddHBand="1" w:evenHBand="0" w:firstRowFirstColumn="0" w:firstRowLastColumn="0" w:lastRowFirstColumn="0" w:lastRowLastColumn="0"/>
          <w:cantSplit/>
        </w:trPr>
        <w:tc>
          <w:tcPr>
            <w:tcW w:w="2904" w:type="pct"/>
          </w:tcPr>
          <w:p w14:paraId="5AD3B38A" w14:textId="77777777" w:rsidR="00160459" w:rsidRPr="0047058F" w:rsidRDefault="00160459" w:rsidP="00160459">
            <w:pPr>
              <w:pStyle w:val="TableText"/>
            </w:pPr>
            <w:r w:rsidRPr="0047058F">
              <w:t>10. Investigate the impact of ADF service on the health and wellbeing of the families of Transitioned ADF and the 2015 Regular ADF.</w:t>
            </w:r>
          </w:p>
        </w:tc>
        <w:tc>
          <w:tcPr>
            <w:tcW w:w="2096" w:type="pct"/>
          </w:tcPr>
          <w:p w14:paraId="069B96B1" w14:textId="18E98F43" w:rsidR="00160459" w:rsidRPr="0047058F" w:rsidRDefault="00160459" w:rsidP="00160459">
            <w:pPr>
              <w:pStyle w:val="TableText"/>
              <w:rPr>
                <w:i/>
              </w:rPr>
            </w:pPr>
            <w:r w:rsidRPr="0047058F">
              <w:rPr>
                <w:i/>
              </w:rPr>
              <w:t>Family Wellbeing Study</w:t>
            </w:r>
          </w:p>
        </w:tc>
      </w:tr>
      <w:tr w:rsidR="00160459" w:rsidRPr="0047058F" w14:paraId="7A30DDFC" w14:textId="77777777" w:rsidTr="00160459">
        <w:trPr>
          <w:cantSplit/>
        </w:trPr>
        <w:tc>
          <w:tcPr>
            <w:tcW w:w="2904" w:type="pct"/>
          </w:tcPr>
          <w:p w14:paraId="45A13E1E" w14:textId="77777777" w:rsidR="00160459" w:rsidRPr="0047058F" w:rsidRDefault="00160459" w:rsidP="00160459">
            <w:pPr>
              <w:pStyle w:val="TableText"/>
            </w:pPr>
            <w:r w:rsidRPr="0047058F">
              <w:t>All objectives</w:t>
            </w:r>
          </w:p>
        </w:tc>
        <w:tc>
          <w:tcPr>
            <w:tcW w:w="2096" w:type="pct"/>
          </w:tcPr>
          <w:p w14:paraId="55D8D359" w14:textId="77777777" w:rsidR="00160459" w:rsidRPr="0047058F" w:rsidRDefault="00160459" w:rsidP="00160459">
            <w:pPr>
              <w:pStyle w:val="TableText"/>
              <w:rPr>
                <w:i/>
              </w:rPr>
            </w:pPr>
            <w:r w:rsidRPr="0047058F">
              <w:rPr>
                <w:i/>
              </w:rPr>
              <w:t>Transition and Wellbeing Research Programme Key Findings Report</w:t>
            </w:r>
          </w:p>
        </w:tc>
      </w:tr>
    </w:tbl>
    <w:p w14:paraId="6DE49E8B" w14:textId="77777777" w:rsidR="00160459" w:rsidRPr="0047058F" w:rsidRDefault="00160459" w:rsidP="00160459">
      <w:pPr>
        <w:pStyle w:val="Heading2b"/>
      </w:pPr>
      <w:bookmarkStart w:id="582" w:name="_Toc482021447"/>
      <w:bookmarkStart w:id="583" w:name="_Toc482024538"/>
      <w:bookmarkStart w:id="584" w:name="_Toc484594358"/>
      <w:bookmarkStart w:id="585" w:name="_Toc487011294"/>
      <w:bookmarkStart w:id="586" w:name="_Toc493663189"/>
      <w:bookmarkStart w:id="587" w:name="_Toc494449810"/>
      <w:r w:rsidRPr="0047058F">
        <w:t>Response rates</w:t>
      </w:r>
      <w:bookmarkEnd w:id="582"/>
      <w:bookmarkEnd w:id="583"/>
      <w:bookmarkEnd w:id="584"/>
      <w:bookmarkEnd w:id="585"/>
      <w:bookmarkEnd w:id="586"/>
      <w:bookmarkEnd w:id="587"/>
    </w:p>
    <w:p w14:paraId="76A331C7" w14:textId="77777777" w:rsidR="00160459" w:rsidRPr="0047058F" w:rsidRDefault="00160459" w:rsidP="00160459">
      <w:pPr>
        <w:pStyle w:val="Heading3b"/>
      </w:pPr>
      <w:bookmarkStart w:id="588" w:name="_Toc487011295"/>
      <w:bookmarkStart w:id="589" w:name="_Toc493663190"/>
      <w:r w:rsidRPr="0047058F">
        <w:t>Survey responders</w:t>
      </w:r>
    </w:p>
    <w:bookmarkEnd w:id="588"/>
    <w:bookmarkEnd w:id="589"/>
    <w:p w14:paraId="6DB9A616" w14:textId="77777777" w:rsidR="00160459" w:rsidRPr="0047058F" w:rsidRDefault="00160459" w:rsidP="00160459">
      <w:r w:rsidRPr="0047058F">
        <w:t xml:space="preserve">Overall, there was a response rate of 29.1% for the entire survey </w:t>
      </w:r>
      <w:r w:rsidRPr="0047058F">
        <w:rPr>
          <w:rFonts w:cs="Calibri"/>
        </w:rPr>
        <w:t>across both the Transitioned ADF and Regular ADF</w:t>
      </w:r>
      <w:r w:rsidRPr="0047058F">
        <w:t xml:space="preserve"> (total responders/total invited). As at 15 December 2015, 18.0% (4,326) of the 23,974 Transitioned ADF members invited to participate had completed a survey. In contrast, response rates in the invited 2015 Regular ADF (20,031) were much higher, with 42.3% of the 2015 Regular ADF who were invited to participate completing a survey. However, it is important to note that not all Regular ADF members were invited to participate in the survey, with invitations restricted to a stratified random sample of 5,040 ADF members and Regular ADF members who previously participated in the MilHOP. Similarly, 958 Transitioned ADF members were not invited to participate in the survey because they had opted out of the Study Roll, had opted out of being contacted further, or there was insufficient address information.</w:t>
      </w:r>
    </w:p>
    <w:p w14:paraId="06259182" w14:textId="77777777" w:rsidR="00160459" w:rsidRPr="0047058F" w:rsidRDefault="00160459" w:rsidP="00160459">
      <w:r w:rsidRPr="0047058F">
        <w:t>Table A.2 and Figure A.1 summarise the breakdown of Transitioned ADF and 2015 Regular ADF members with enough data to be included in the survey. Table A.3 describes the demographic profile of this group.</w:t>
      </w:r>
    </w:p>
    <w:p w14:paraId="6A4BD0E9" w14:textId="77777777" w:rsidR="00160459" w:rsidRPr="0047058F" w:rsidRDefault="00160459" w:rsidP="00160459">
      <w:pPr>
        <w:pStyle w:val="TableName"/>
      </w:pPr>
      <w:bookmarkStart w:id="590" w:name="_Toc486936015"/>
      <w:bookmarkStart w:id="591" w:name="_Toc487014339"/>
      <w:bookmarkStart w:id="592" w:name="_Toc492995642"/>
      <w:bookmarkStart w:id="593" w:name="_Toc497383341"/>
      <w:bookmarkStart w:id="594" w:name="_Toc529117550"/>
      <w:bookmarkStart w:id="595" w:name="_Toc532473620"/>
      <w:r w:rsidRPr="0047058F">
        <w:t>Table A.2</w:t>
      </w:r>
      <w:r w:rsidRPr="0047058F">
        <w:tab/>
        <w:t>Survey response rates by Service, sex, rank and medical fitness for Transitioned ADF and 2015 Regular ADF</w:t>
      </w:r>
      <w:bookmarkEnd w:id="590"/>
      <w:bookmarkEnd w:id="591"/>
      <w:bookmarkEnd w:id="592"/>
      <w:bookmarkEnd w:id="593"/>
      <w:bookmarkEnd w:id="594"/>
      <w:bookmarkEnd w:id="595"/>
    </w:p>
    <w:tbl>
      <w:tblPr>
        <w:tblStyle w:val="TWRPTable"/>
        <w:tblW w:w="5000" w:type="pct"/>
        <w:tblLayout w:type="fixed"/>
        <w:tblLook w:val="04A0" w:firstRow="1" w:lastRow="0" w:firstColumn="1" w:lastColumn="0" w:noHBand="0" w:noVBand="1"/>
        <w:tblDescription w:val="Table A.2 Survey response rates by Service, sex, rank and medical fitness for Transitioned ADF and 2015 Regular ADF"/>
      </w:tblPr>
      <w:tblGrid>
        <w:gridCol w:w="966"/>
        <w:gridCol w:w="847"/>
        <w:gridCol w:w="633"/>
        <w:gridCol w:w="899"/>
        <w:gridCol w:w="795"/>
        <w:gridCol w:w="826"/>
        <w:gridCol w:w="633"/>
        <w:gridCol w:w="921"/>
        <w:gridCol w:w="795"/>
      </w:tblGrid>
      <w:tr w:rsidR="00160459" w:rsidRPr="0047058F" w14:paraId="63B1D362" w14:textId="77777777" w:rsidTr="00CA6D9D">
        <w:trPr>
          <w:cnfStyle w:val="100000000000" w:firstRow="1" w:lastRow="0" w:firstColumn="0" w:lastColumn="0" w:oddVBand="0" w:evenVBand="0" w:oddHBand="0" w:evenHBand="0" w:firstRowFirstColumn="0" w:firstRowLastColumn="0" w:lastRowFirstColumn="0" w:lastRowLastColumn="0"/>
          <w:cantSplit/>
          <w:tblHeader/>
        </w:trPr>
        <w:tc>
          <w:tcPr>
            <w:tcW w:w="937" w:type="dxa"/>
            <w:vMerge w:val="restart"/>
          </w:tcPr>
          <w:p w14:paraId="799A6CAF" w14:textId="77777777" w:rsidR="00160459" w:rsidRPr="0047058F" w:rsidRDefault="00160459" w:rsidP="00160459">
            <w:pPr>
              <w:pStyle w:val="TableText"/>
            </w:pPr>
          </w:p>
        </w:tc>
        <w:tc>
          <w:tcPr>
            <w:tcW w:w="3076" w:type="dxa"/>
            <w:gridSpan w:val="4"/>
            <w:hideMark/>
          </w:tcPr>
          <w:p w14:paraId="344860F3" w14:textId="77777777" w:rsidR="00160459" w:rsidRPr="0047058F" w:rsidRDefault="00160459" w:rsidP="00160459">
            <w:pPr>
              <w:pStyle w:val="TableText"/>
              <w:jc w:val="center"/>
            </w:pPr>
            <w:r w:rsidRPr="0047058F">
              <w:t>Transitioned ADF</w:t>
            </w:r>
            <w:r w:rsidRPr="0047058F">
              <w:br/>
              <w:t>(n = 24,932)</w:t>
            </w:r>
          </w:p>
        </w:tc>
        <w:tc>
          <w:tcPr>
            <w:tcW w:w="3076" w:type="dxa"/>
            <w:gridSpan w:val="4"/>
            <w:hideMark/>
          </w:tcPr>
          <w:p w14:paraId="57BC08FE" w14:textId="77777777" w:rsidR="00160459" w:rsidRPr="0047058F" w:rsidRDefault="00160459" w:rsidP="00160459">
            <w:pPr>
              <w:pStyle w:val="TableText"/>
              <w:jc w:val="center"/>
            </w:pPr>
            <w:r w:rsidRPr="0047058F">
              <w:t>2015 Regular ADF</w:t>
            </w:r>
            <w:r w:rsidRPr="0047058F">
              <w:br/>
              <w:t>(n = 52,500)</w:t>
            </w:r>
          </w:p>
        </w:tc>
      </w:tr>
      <w:tr w:rsidR="00160459" w:rsidRPr="0047058F" w14:paraId="21A4E8D6" w14:textId="77777777" w:rsidTr="00CA6D9D">
        <w:trPr>
          <w:cnfStyle w:val="100000000000" w:firstRow="1" w:lastRow="0" w:firstColumn="0" w:lastColumn="0" w:oddVBand="0" w:evenVBand="0" w:oddHBand="0" w:evenHBand="0" w:firstRowFirstColumn="0" w:firstRowLastColumn="0" w:lastRowFirstColumn="0" w:lastRowLastColumn="0"/>
          <w:cantSplit/>
          <w:tblHeader/>
        </w:trPr>
        <w:tc>
          <w:tcPr>
            <w:tcW w:w="937" w:type="dxa"/>
            <w:vMerge/>
          </w:tcPr>
          <w:p w14:paraId="38075202" w14:textId="77777777" w:rsidR="00160459" w:rsidRPr="0047058F" w:rsidRDefault="00160459" w:rsidP="00160459">
            <w:pPr>
              <w:pStyle w:val="TableText"/>
              <w:rPr>
                <w:rFonts w:cs="Arial"/>
              </w:rPr>
            </w:pPr>
          </w:p>
        </w:tc>
        <w:tc>
          <w:tcPr>
            <w:tcW w:w="822" w:type="dxa"/>
            <w:hideMark/>
          </w:tcPr>
          <w:p w14:paraId="0BE1F6CA" w14:textId="77777777" w:rsidR="00160459" w:rsidRPr="0047058F" w:rsidRDefault="00160459" w:rsidP="00160459">
            <w:pPr>
              <w:pStyle w:val="TableText"/>
              <w:jc w:val="right"/>
              <w:rPr>
                <w:rFonts w:cs="Arial"/>
              </w:rPr>
            </w:pPr>
            <w:r w:rsidRPr="0047058F">
              <w:rPr>
                <w:rFonts w:cs="Arial"/>
              </w:rPr>
              <w:t>Population</w:t>
            </w:r>
          </w:p>
        </w:tc>
        <w:tc>
          <w:tcPr>
            <w:tcW w:w="613" w:type="dxa"/>
            <w:hideMark/>
          </w:tcPr>
          <w:p w14:paraId="76C5519C" w14:textId="77777777" w:rsidR="00160459" w:rsidRPr="0047058F" w:rsidRDefault="00160459" w:rsidP="00160459">
            <w:pPr>
              <w:pStyle w:val="TableText"/>
              <w:jc w:val="right"/>
              <w:rPr>
                <w:rFonts w:cs="Arial"/>
              </w:rPr>
            </w:pPr>
            <w:r w:rsidRPr="0047058F">
              <w:rPr>
                <w:rFonts w:cs="Arial"/>
              </w:rPr>
              <w:t>Invited</w:t>
            </w:r>
          </w:p>
        </w:tc>
        <w:tc>
          <w:tcPr>
            <w:tcW w:w="871" w:type="dxa"/>
            <w:hideMark/>
          </w:tcPr>
          <w:p w14:paraId="0AD8D0A6" w14:textId="1ABEFBD1" w:rsidR="00160459" w:rsidRPr="0047058F" w:rsidRDefault="00160459" w:rsidP="003876A3">
            <w:pPr>
              <w:pStyle w:val="TableText"/>
              <w:jc w:val="right"/>
              <w:rPr>
                <w:rFonts w:cs="Arial"/>
              </w:rPr>
            </w:pPr>
            <w:r w:rsidRPr="0047058F">
              <w:rPr>
                <w:rFonts w:cs="Arial"/>
              </w:rPr>
              <w:t>Responders</w:t>
            </w:r>
          </w:p>
        </w:tc>
        <w:tc>
          <w:tcPr>
            <w:tcW w:w="770" w:type="dxa"/>
            <w:hideMark/>
          </w:tcPr>
          <w:p w14:paraId="3AC93743" w14:textId="77777777" w:rsidR="00160459" w:rsidRPr="0047058F" w:rsidRDefault="00160459" w:rsidP="00160459">
            <w:pPr>
              <w:pStyle w:val="TableText"/>
              <w:jc w:val="right"/>
              <w:rPr>
                <w:rFonts w:cs="Arial"/>
              </w:rPr>
            </w:pPr>
            <w:r w:rsidRPr="0047058F">
              <w:rPr>
                <w:rFonts w:cs="Arial"/>
              </w:rPr>
              <w:t>Response rate %</w:t>
            </w:r>
          </w:p>
        </w:tc>
        <w:tc>
          <w:tcPr>
            <w:tcW w:w="800" w:type="dxa"/>
            <w:hideMark/>
          </w:tcPr>
          <w:p w14:paraId="5459DFB4" w14:textId="2A7A2A90" w:rsidR="00160459" w:rsidRPr="0047058F" w:rsidRDefault="00160459" w:rsidP="003876A3">
            <w:pPr>
              <w:pStyle w:val="TableText"/>
              <w:jc w:val="right"/>
              <w:rPr>
                <w:rFonts w:cs="Arial"/>
              </w:rPr>
            </w:pPr>
            <w:r w:rsidRPr="0047058F">
              <w:rPr>
                <w:rFonts w:cs="Arial"/>
              </w:rPr>
              <w:t>Population</w:t>
            </w:r>
          </w:p>
        </w:tc>
        <w:tc>
          <w:tcPr>
            <w:tcW w:w="613" w:type="dxa"/>
            <w:hideMark/>
          </w:tcPr>
          <w:p w14:paraId="16E7D87B" w14:textId="77777777" w:rsidR="00160459" w:rsidRPr="0047058F" w:rsidRDefault="00160459" w:rsidP="00160459">
            <w:pPr>
              <w:pStyle w:val="TableText"/>
              <w:jc w:val="right"/>
              <w:rPr>
                <w:rFonts w:cs="Arial"/>
              </w:rPr>
            </w:pPr>
            <w:r w:rsidRPr="0047058F">
              <w:rPr>
                <w:rFonts w:cs="Arial"/>
              </w:rPr>
              <w:t>Invited</w:t>
            </w:r>
          </w:p>
        </w:tc>
        <w:tc>
          <w:tcPr>
            <w:tcW w:w="893" w:type="dxa"/>
            <w:hideMark/>
          </w:tcPr>
          <w:p w14:paraId="5768A339" w14:textId="77777777" w:rsidR="00160459" w:rsidRPr="0047058F" w:rsidRDefault="00160459" w:rsidP="00160459">
            <w:pPr>
              <w:pStyle w:val="TableText"/>
              <w:jc w:val="right"/>
              <w:rPr>
                <w:rFonts w:cs="Arial"/>
              </w:rPr>
            </w:pPr>
            <w:r w:rsidRPr="0047058F">
              <w:rPr>
                <w:rFonts w:cs="Arial"/>
              </w:rPr>
              <w:t>Responders</w:t>
            </w:r>
          </w:p>
        </w:tc>
        <w:tc>
          <w:tcPr>
            <w:tcW w:w="770" w:type="dxa"/>
            <w:hideMark/>
          </w:tcPr>
          <w:p w14:paraId="644AB8EB" w14:textId="77777777" w:rsidR="00160459" w:rsidRPr="0047058F" w:rsidRDefault="00160459" w:rsidP="00160459">
            <w:pPr>
              <w:pStyle w:val="TableText"/>
              <w:jc w:val="right"/>
              <w:rPr>
                <w:rFonts w:cs="Arial"/>
              </w:rPr>
            </w:pPr>
            <w:r w:rsidRPr="0047058F">
              <w:rPr>
                <w:rFonts w:cs="Arial"/>
              </w:rPr>
              <w:t>Response rate %</w:t>
            </w:r>
          </w:p>
        </w:tc>
      </w:tr>
      <w:tr w:rsidR="00160459" w:rsidRPr="0047058F" w14:paraId="00B476F5"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4E852EEF" w14:textId="77777777" w:rsidR="00160459" w:rsidRPr="0047058F" w:rsidRDefault="00160459" w:rsidP="00160459">
            <w:pPr>
              <w:pStyle w:val="TableText"/>
              <w:rPr>
                <w:b/>
              </w:rPr>
            </w:pPr>
            <w:r w:rsidRPr="0047058F">
              <w:rPr>
                <w:b/>
              </w:rPr>
              <w:t>Service</w:t>
            </w:r>
          </w:p>
        </w:tc>
        <w:tc>
          <w:tcPr>
            <w:tcW w:w="822" w:type="dxa"/>
          </w:tcPr>
          <w:p w14:paraId="666674D1" w14:textId="77777777" w:rsidR="00160459" w:rsidRPr="0047058F" w:rsidRDefault="00160459" w:rsidP="00160459">
            <w:pPr>
              <w:pStyle w:val="TableText"/>
              <w:jc w:val="right"/>
            </w:pPr>
          </w:p>
        </w:tc>
        <w:tc>
          <w:tcPr>
            <w:tcW w:w="613" w:type="dxa"/>
          </w:tcPr>
          <w:p w14:paraId="039C68A5" w14:textId="77777777" w:rsidR="00160459" w:rsidRPr="0047058F" w:rsidRDefault="00160459" w:rsidP="00160459">
            <w:pPr>
              <w:pStyle w:val="TableText"/>
              <w:jc w:val="right"/>
              <w:rPr>
                <w:rFonts w:cs="Arial"/>
              </w:rPr>
            </w:pPr>
          </w:p>
        </w:tc>
        <w:tc>
          <w:tcPr>
            <w:tcW w:w="871" w:type="dxa"/>
          </w:tcPr>
          <w:p w14:paraId="226738F1" w14:textId="77777777" w:rsidR="00160459" w:rsidRPr="0047058F" w:rsidRDefault="00160459" w:rsidP="00160459">
            <w:pPr>
              <w:pStyle w:val="TableText"/>
              <w:jc w:val="right"/>
            </w:pPr>
          </w:p>
        </w:tc>
        <w:tc>
          <w:tcPr>
            <w:tcW w:w="770" w:type="dxa"/>
          </w:tcPr>
          <w:p w14:paraId="6D003576" w14:textId="77777777" w:rsidR="00160459" w:rsidRPr="0047058F" w:rsidRDefault="00160459" w:rsidP="00160459">
            <w:pPr>
              <w:pStyle w:val="TableText"/>
              <w:jc w:val="right"/>
            </w:pPr>
          </w:p>
        </w:tc>
        <w:tc>
          <w:tcPr>
            <w:tcW w:w="800" w:type="dxa"/>
          </w:tcPr>
          <w:p w14:paraId="3C0FEDBF" w14:textId="77777777" w:rsidR="00160459" w:rsidRPr="0047058F" w:rsidRDefault="00160459" w:rsidP="00160459">
            <w:pPr>
              <w:pStyle w:val="TableText"/>
              <w:jc w:val="right"/>
            </w:pPr>
          </w:p>
        </w:tc>
        <w:tc>
          <w:tcPr>
            <w:tcW w:w="613" w:type="dxa"/>
          </w:tcPr>
          <w:p w14:paraId="4A209838" w14:textId="77777777" w:rsidR="00160459" w:rsidRPr="0047058F" w:rsidRDefault="00160459" w:rsidP="00160459">
            <w:pPr>
              <w:pStyle w:val="TableText"/>
              <w:jc w:val="right"/>
              <w:rPr>
                <w:rFonts w:cs="Arial"/>
              </w:rPr>
            </w:pPr>
          </w:p>
        </w:tc>
        <w:tc>
          <w:tcPr>
            <w:tcW w:w="893" w:type="dxa"/>
          </w:tcPr>
          <w:p w14:paraId="5F7C8265" w14:textId="77777777" w:rsidR="00160459" w:rsidRPr="0047058F" w:rsidRDefault="00160459" w:rsidP="00160459">
            <w:pPr>
              <w:pStyle w:val="TableText"/>
              <w:jc w:val="right"/>
            </w:pPr>
          </w:p>
        </w:tc>
        <w:tc>
          <w:tcPr>
            <w:tcW w:w="770" w:type="dxa"/>
          </w:tcPr>
          <w:p w14:paraId="46A345AA" w14:textId="77777777" w:rsidR="00160459" w:rsidRPr="0047058F" w:rsidRDefault="00160459" w:rsidP="00160459">
            <w:pPr>
              <w:pStyle w:val="TableText"/>
              <w:jc w:val="right"/>
            </w:pPr>
          </w:p>
        </w:tc>
      </w:tr>
      <w:tr w:rsidR="00160459" w:rsidRPr="0047058F" w14:paraId="4550927A" w14:textId="77777777" w:rsidTr="00CA6D9D">
        <w:trPr>
          <w:cantSplit/>
        </w:trPr>
        <w:tc>
          <w:tcPr>
            <w:tcW w:w="937" w:type="dxa"/>
            <w:hideMark/>
          </w:tcPr>
          <w:p w14:paraId="26445392" w14:textId="77777777" w:rsidR="00160459" w:rsidRPr="0047058F" w:rsidRDefault="00160459" w:rsidP="00160459">
            <w:pPr>
              <w:pStyle w:val="TableText"/>
            </w:pPr>
            <w:r w:rsidRPr="0047058F">
              <w:t>Navy</w:t>
            </w:r>
          </w:p>
        </w:tc>
        <w:tc>
          <w:tcPr>
            <w:tcW w:w="822" w:type="dxa"/>
            <w:hideMark/>
          </w:tcPr>
          <w:p w14:paraId="2646D538" w14:textId="77777777" w:rsidR="00160459" w:rsidRPr="0047058F" w:rsidRDefault="00160459" w:rsidP="00160459">
            <w:pPr>
              <w:pStyle w:val="TableText"/>
              <w:jc w:val="right"/>
            </w:pPr>
            <w:r w:rsidRPr="0047058F">
              <w:t>5671</w:t>
            </w:r>
          </w:p>
        </w:tc>
        <w:tc>
          <w:tcPr>
            <w:tcW w:w="613" w:type="dxa"/>
            <w:hideMark/>
          </w:tcPr>
          <w:p w14:paraId="066E87C6" w14:textId="77777777" w:rsidR="00160459" w:rsidRPr="0047058F" w:rsidRDefault="00160459" w:rsidP="00160459">
            <w:pPr>
              <w:pStyle w:val="TableText"/>
              <w:jc w:val="right"/>
              <w:rPr>
                <w:rFonts w:cs="Arial"/>
              </w:rPr>
            </w:pPr>
            <w:r w:rsidRPr="0047058F">
              <w:t>5495</w:t>
            </w:r>
          </w:p>
        </w:tc>
        <w:tc>
          <w:tcPr>
            <w:tcW w:w="871" w:type="dxa"/>
            <w:hideMark/>
          </w:tcPr>
          <w:p w14:paraId="595B5829" w14:textId="77777777" w:rsidR="00160459" w:rsidRPr="0047058F" w:rsidRDefault="00160459" w:rsidP="00160459">
            <w:pPr>
              <w:pStyle w:val="TableText"/>
              <w:jc w:val="right"/>
            </w:pPr>
            <w:r w:rsidRPr="0047058F">
              <w:t>863</w:t>
            </w:r>
          </w:p>
        </w:tc>
        <w:tc>
          <w:tcPr>
            <w:tcW w:w="770" w:type="dxa"/>
            <w:hideMark/>
          </w:tcPr>
          <w:p w14:paraId="2051F8F2" w14:textId="77777777" w:rsidR="00160459" w:rsidRPr="0047058F" w:rsidRDefault="00160459" w:rsidP="00160459">
            <w:pPr>
              <w:pStyle w:val="TableText"/>
              <w:jc w:val="right"/>
            </w:pPr>
            <w:r w:rsidRPr="0047058F">
              <w:t>15.7</w:t>
            </w:r>
          </w:p>
        </w:tc>
        <w:tc>
          <w:tcPr>
            <w:tcW w:w="800" w:type="dxa"/>
            <w:hideMark/>
          </w:tcPr>
          <w:p w14:paraId="03C82832" w14:textId="77777777" w:rsidR="00160459" w:rsidRPr="0047058F" w:rsidRDefault="00160459" w:rsidP="00160459">
            <w:pPr>
              <w:pStyle w:val="TableText"/>
              <w:jc w:val="right"/>
            </w:pPr>
            <w:r w:rsidRPr="0047058F">
              <w:t>13,282</w:t>
            </w:r>
          </w:p>
        </w:tc>
        <w:tc>
          <w:tcPr>
            <w:tcW w:w="613" w:type="dxa"/>
            <w:hideMark/>
          </w:tcPr>
          <w:p w14:paraId="30BAB632" w14:textId="77777777" w:rsidR="00160459" w:rsidRPr="0047058F" w:rsidRDefault="00160459" w:rsidP="00160459">
            <w:pPr>
              <w:pStyle w:val="TableText"/>
              <w:jc w:val="right"/>
              <w:rPr>
                <w:rFonts w:cs="Arial"/>
              </w:rPr>
            </w:pPr>
            <w:r w:rsidRPr="0047058F">
              <w:t>5113</w:t>
            </w:r>
          </w:p>
        </w:tc>
        <w:tc>
          <w:tcPr>
            <w:tcW w:w="893" w:type="dxa"/>
            <w:hideMark/>
          </w:tcPr>
          <w:p w14:paraId="05EC6034" w14:textId="77777777" w:rsidR="00160459" w:rsidRPr="0047058F" w:rsidRDefault="00160459" w:rsidP="00160459">
            <w:pPr>
              <w:pStyle w:val="TableText"/>
              <w:jc w:val="right"/>
            </w:pPr>
            <w:r w:rsidRPr="0047058F">
              <w:t>2040</w:t>
            </w:r>
          </w:p>
        </w:tc>
        <w:tc>
          <w:tcPr>
            <w:tcW w:w="770" w:type="dxa"/>
            <w:hideMark/>
          </w:tcPr>
          <w:p w14:paraId="58335BAB" w14:textId="77777777" w:rsidR="00160459" w:rsidRPr="0047058F" w:rsidRDefault="00160459" w:rsidP="00160459">
            <w:pPr>
              <w:pStyle w:val="TableText"/>
              <w:jc w:val="right"/>
            </w:pPr>
            <w:r w:rsidRPr="0047058F">
              <w:t>39.9</w:t>
            </w:r>
          </w:p>
        </w:tc>
      </w:tr>
      <w:tr w:rsidR="00160459" w:rsidRPr="0047058F" w14:paraId="5B362D21"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3F10269D" w14:textId="77777777" w:rsidR="00160459" w:rsidRPr="0047058F" w:rsidRDefault="00160459" w:rsidP="00160459">
            <w:pPr>
              <w:pStyle w:val="TableText"/>
            </w:pPr>
            <w:r w:rsidRPr="0047058F">
              <w:t>Army</w:t>
            </w:r>
          </w:p>
        </w:tc>
        <w:tc>
          <w:tcPr>
            <w:tcW w:w="822" w:type="dxa"/>
            <w:hideMark/>
          </w:tcPr>
          <w:p w14:paraId="69A63C22" w14:textId="77777777" w:rsidR="00160459" w:rsidRPr="0047058F" w:rsidRDefault="00160459" w:rsidP="00160459">
            <w:pPr>
              <w:pStyle w:val="TableText"/>
              <w:jc w:val="right"/>
            </w:pPr>
            <w:r w:rsidRPr="0047058F">
              <w:t>15,038</w:t>
            </w:r>
          </w:p>
        </w:tc>
        <w:tc>
          <w:tcPr>
            <w:tcW w:w="613" w:type="dxa"/>
            <w:hideMark/>
          </w:tcPr>
          <w:p w14:paraId="295DE228" w14:textId="77777777" w:rsidR="00160459" w:rsidRPr="0047058F" w:rsidRDefault="00160459" w:rsidP="00160459">
            <w:pPr>
              <w:pStyle w:val="TableText"/>
              <w:jc w:val="right"/>
              <w:rPr>
                <w:rFonts w:cs="Arial"/>
              </w:rPr>
            </w:pPr>
            <w:r w:rsidRPr="0047058F">
              <w:t>14,465</w:t>
            </w:r>
          </w:p>
        </w:tc>
        <w:tc>
          <w:tcPr>
            <w:tcW w:w="871" w:type="dxa"/>
            <w:hideMark/>
          </w:tcPr>
          <w:p w14:paraId="11B9F166" w14:textId="77777777" w:rsidR="00160459" w:rsidRPr="0047058F" w:rsidRDefault="00160459" w:rsidP="00160459">
            <w:pPr>
              <w:pStyle w:val="TableText"/>
              <w:jc w:val="right"/>
            </w:pPr>
            <w:r w:rsidRPr="0047058F">
              <w:t>2463</w:t>
            </w:r>
          </w:p>
        </w:tc>
        <w:tc>
          <w:tcPr>
            <w:tcW w:w="770" w:type="dxa"/>
            <w:hideMark/>
          </w:tcPr>
          <w:p w14:paraId="256E99DE" w14:textId="77777777" w:rsidR="00160459" w:rsidRPr="0047058F" w:rsidRDefault="00160459" w:rsidP="00160459">
            <w:pPr>
              <w:pStyle w:val="TableText"/>
              <w:jc w:val="right"/>
            </w:pPr>
            <w:r w:rsidRPr="0047058F">
              <w:t>17.0</w:t>
            </w:r>
          </w:p>
        </w:tc>
        <w:tc>
          <w:tcPr>
            <w:tcW w:w="800" w:type="dxa"/>
            <w:hideMark/>
          </w:tcPr>
          <w:p w14:paraId="1F119BE3" w14:textId="77777777" w:rsidR="00160459" w:rsidRPr="0047058F" w:rsidRDefault="00160459" w:rsidP="00160459">
            <w:pPr>
              <w:pStyle w:val="TableText"/>
              <w:jc w:val="right"/>
            </w:pPr>
            <w:r w:rsidRPr="0047058F">
              <w:t>25,798</w:t>
            </w:r>
          </w:p>
        </w:tc>
        <w:tc>
          <w:tcPr>
            <w:tcW w:w="613" w:type="dxa"/>
            <w:hideMark/>
          </w:tcPr>
          <w:p w14:paraId="01961CD3" w14:textId="77777777" w:rsidR="00160459" w:rsidRPr="0047058F" w:rsidRDefault="00160459" w:rsidP="00160459">
            <w:pPr>
              <w:pStyle w:val="TableText"/>
              <w:jc w:val="right"/>
              <w:rPr>
                <w:rFonts w:cs="Arial"/>
              </w:rPr>
            </w:pPr>
            <w:r w:rsidRPr="0047058F">
              <w:t>8067</w:t>
            </w:r>
          </w:p>
        </w:tc>
        <w:tc>
          <w:tcPr>
            <w:tcW w:w="893" w:type="dxa"/>
            <w:hideMark/>
          </w:tcPr>
          <w:p w14:paraId="76DC7775" w14:textId="77777777" w:rsidR="00160459" w:rsidRPr="0047058F" w:rsidRDefault="00160459" w:rsidP="00160459">
            <w:pPr>
              <w:pStyle w:val="TableText"/>
              <w:jc w:val="right"/>
            </w:pPr>
            <w:r w:rsidRPr="0047058F">
              <w:t>3500</w:t>
            </w:r>
          </w:p>
        </w:tc>
        <w:tc>
          <w:tcPr>
            <w:tcW w:w="770" w:type="dxa"/>
            <w:hideMark/>
          </w:tcPr>
          <w:p w14:paraId="02DFB52D" w14:textId="77777777" w:rsidR="00160459" w:rsidRPr="0047058F" w:rsidRDefault="00160459" w:rsidP="00160459">
            <w:pPr>
              <w:pStyle w:val="TableText"/>
              <w:jc w:val="right"/>
            </w:pPr>
            <w:r w:rsidRPr="0047058F">
              <w:t>43.4</w:t>
            </w:r>
          </w:p>
        </w:tc>
      </w:tr>
      <w:tr w:rsidR="00160459" w:rsidRPr="0047058F" w14:paraId="4E8D93D8" w14:textId="77777777" w:rsidTr="00CA6D9D">
        <w:trPr>
          <w:cantSplit/>
        </w:trPr>
        <w:tc>
          <w:tcPr>
            <w:tcW w:w="937" w:type="dxa"/>
            <w:hideMark/>
          </w:tcPr>
          <w:p w14:paraId="486E2428" w14:textId="77777777" w:rsidR="00160459" w:rsidRPr="0047058F" w:rsidRDefault="00160459" w:rsidP="00160459">
            <w:pPr>
              <w:pStyle w:val="TableText"/>
              <w:rPr>
                <w:rFonts w:cs="Arial"/>
              </w:rPr>
            </w:pPr>
            <w:r w:rsidRPr="0047058F">
              <w:t>Air Force</w:t>
            </w:r>
          </w:p>
        </w:tc>
        <w:tc>
          <w:tcPr>
            <w:tcW w:w="822" w:type="dxa"/>
            <w:hideMark/>
          </w:tcPr>
          <w:p w14:paraId="446DE2DB" w14:textId="77777777" w:rsidR="00160459" w:rsidRPr="0047058F" w:rsidRDefault="00160459" w:rsidP="00160459">
            <w:pPr>
              <w:pStyle w:val="TableText"/>
              <w:jc w:val="right"/>
            </w:pPr>
            <w:r w:rsidRPr="0047058F">
              <w:t>4223</w:t>
            </w:r>
          </w:p>
        </w:tc>
        <w:tc>
          <w:tcPr>
            <w:tcW w:w="613" w:type="dxa"/>
            <w:hideMark/>
          </w:tcPr>
          <w:p w14:paraId="46A4BA9C" w14:textId="77777777" w:rsidR="00160459" w:rsidRPr="0047058F" w:rsidRDefault="00160459" w:rsidP="00160459">
            <w:pPr>
              <w:pStyle w:val="TableText"/>
              <w:jc w:val="right"/>
              <w:rPr>
                <w:rFonts w:cs="Arial"/>
                <w:color w:val="000000" w:themeColor="text1"/>
              </w:rPr>
            </w:pPr>
            <w:r w:rsidRPr="0047058F">
              <w:t>4014</w:t>
            </w:r>
          </w:p>
        </w:tc>
        <w:tc>
          <w:tcPr>
            <w:tcW w:w="871" w:type="dxa"/>
            <w:hideMark/>
          </w:tcPr>
          <w:p w14:paraId="3897BE5A" w14:textId="77777777" w:rsidR="00160459" w:rsidRPr="0047058F" w:rsidRDefault="00160459" w:rsidP="00160459">
            <w:pPr>
              <w:pStyle w:val="TableText"/>
              <w:jc w:val="right"/>
            </w:pPr>
            <w:r w:rsidRPr="0047058F">
              <w:t>1000</w:t>
            </w:r>
          </w:p>
        </w:tc>
        <w:tc>
          <w:tcPr>
            <w:tcW w:w="770" w:type="dxa"/>
            <w:hideMark/>
          </w:tcPr>
          <w:p w14:paraId="306E47B5" w14:textId="77777777" w:rsidR="00160459" w:rsidRPr="0047058F" w:rsidRDefault="00160459" w:rsidP="00160459">
            <w:pPr>
              <w:pStyle w:val="TableText"/>
              <w:jc w:val="right"/>
            </w:pPr>
            <w:r w:rsidRPr="0047058F">
              <w:t>24.9</w:t>
            </w:r>
          </w:p>
        </w:tc>
        <w:tc>
          <w:tcPr>
            <w:tcW w:w="800" w:type="dxa"/>
            <w:hideMark/>
          </w:tcPr>
          <w:p w14:paraId="11C1A966" w14:textId="77777777" w:rsidR="00160459" w:rsidRPr="0047058F" w:rsidRDefault="00160459" w:rsidP="00160459">
            <w:pPr>
              <w:pStyle w:val="TableText"/>
              <w:jc w:val="right"/>
            </w:pPr>
            <w:r w:rsidRPr="0047058F">
              <w:t>13,420</w:t>
            </w:r>
          </w:p>
        </w:tc>
        <w:tc>
          <w:tcPr>
            <w:tcW w:w="613" w:type="dxa"/>
            <w:hideMark/>
          </w:tcPr>
          <w:p w14:paraId="4D8C5BD6" w14:textId="77777777" w:rsidR="00160459" w:rsidRPr="0047058F" w:rsidRDefault="00160459" w:rsidP="00160459">
            <w:pPr>
              <w:pStyle w:val="TableText"/>
              <w:jc w:val="right"/>
              <w:rPr>
                <w:rFonts w:cs="Arial"/>
                <w:color w:val="000000" w:themeColor="text1"/>
              </w:rPr>
            </w:pPr>
            <w:r w:rsidRPr="0047058F">
              <w:t>6851</w:t>
            </w:r>
          </w:p>
        </w:tc>
        <w:tc>
          <w:tcPr>
            <w:tcW w:w="893" w:type="dxa"/>
            <w:hideMark/>
          </w:tcPr>
          <w:p w14:paraId="1CABF9E9" w14:textId="77777777" w:rsidR="00160459" w:rsidRPr="0047058F" w:rsidRDefault="00160459" w:rsidP="00160459">
            <w:pPr>
              <w:pStyle w:val="TableText"/>
              <w:jc w:val="right"/>
              <w:rPr>
                <w:rFonts w:cs="Arial"/>
                <w:color w:val="000000" w:themeColor="text1"/>
              </w:rPr>
            </w:pPr>
            <w:r w:rsidRPr="0047058F">
              <w:rPr>
                <w:rFonts w:eastAsia="Times New Roman"/>
                <w:lang w:eastAsia="en-AU"/>
              </w:rPr>
              <w:t>2940</w:t>
            </w:r>
          </w:p>
        </w:tc>
        <w:tc>
          <w:tcPr>
            <w:tcW w:w="770" w:type="dxa"/>
            <w:hideMark/>
          </w:tcPr>
          <w:p w14:paraId="0C9F18F8" w14:textId="77777777" w:rsidR="00160459" w:rsidRPr="0047058F" w:rsidRDefault="00160459" w:rsidP="00160459">
            <w:pPr>
              <w:pStyle w:val="TableText"/>
              <w:jc w:val="right"/>
            </w:pPr>
            <w:r w:rsidRPr="0047058F">
              <w:t>42.9</w:t>
            </w:r>
          </w:p>
        </w:tc>
      </w:tr>
      <w:tr w:rsidR="00160459" w:rsidRPr="0047058F" w14:paraId="20C23A95"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286DB6B0" w14:textId="77777777" w:rsidR="00160459" w:rsidRPr="0047058F" w:rsidRDefault="00160459" w:rsidP="00160459">
            <w:pPr>
              <w:pStyle w:val="TableText"/>
              <w:rPr>
                <w:b/>
              </w:rPr>
            </w:pPr>
            <w:r w:rsidRPr="0047058F">
              <w:rPr>
                <w:b/>
              </w:rPr>
              <w:t>Sex</w:t>
            </w:r>
          </w:p>
        </w:tc>
        <w:tc>
          <w:tcPr>
            <w:tcW w:w="822" w:type="dxa"/>
          </w:tcPr>
          <w:p w14:paraId="14064306" w14:textId="77777777" w:rsidR="00160459" w:rsidRPr="0047058F" w:rsidRDefault="00160459" w:rsidP="00160459">
            <w:pPr>
              <w:pStyle w:val="TableText"/>
              <w:jc w:val="right"/>
            </w:pPr>
          </w:p>
        </w:tc>
        <w:tc>
          <w:tcPr>
            <w:tcW w:w="613" w:type="dxa"/>
          </w:tcPr>
          <w:p w14:paraId="4F4602CA" w14:textId="77777777" w:rsidR="00160459" w:rsidRPr="0047058F" w:rsidRDefault="00160459" w:rsidP="00160459">
            <w:pPr>
              <w:pStyle w:val="TableText"/>
              <w:jc w:val="right"/>
            </w:pPr>
          </w:p>
        </w:tc>
        <w:tc>
          <w:tcPr>
            <w:tcW w:w="871" w:type="dxa"/>
          </w:tcPr>
          <w:p w14:paraId="4BE5CF68" w14:textId="77777777" w:rsidR="00160459" w:rsidRPr="0047058F" w:rsidRDefault="00160459" w:rsidP="00160459">
            <w:pPr>
              <w:pStyle w:val="TableText"/>
              <w:jc w:val="right"/>
            </w:pPr>
          </w:p>
        </w:tc>
        <w:tc>
          <w:tcPr>
            <w:tcW w:w="770" w:type="dxa"/>
          </w:tcPr>
          <w:p w14:paraId="4A52A252" w14:textId="77777777" w:rsidR="00160459" w:rsidRPr="0047058F" w:rsidRDefault="00160459" w:rsidP="00160459">
            <w:pPr>
              <w:pStyle w:val="TableText"/>
              <w:jc w:val="right"/>
            </w:pPr>
          </w:p>
        </w:tc>
        <w:tc>
          <w:tcPr>
            <w:tcW w:w="800" w:type="dxa"/>
          </w:tcPr>
          <w:p w14:paraId="5F29FFF3" w14:textId="77777777" w:rsidR="00160459" w:rsidRPr="0047058F" w:rsidRDefault="00160459" w:rsidP="00160459">
            <w:pPr>
              <w:pStyle w:val="TableText"/>
              <w:jc w:val="right"/>
            </w:pPr>
          </w:p>
        </w:tc>
        <w:tc>
          <w:tcPr>
            <w:tcW w:w="613" w:type="dxa"/>
          </w:tcPr>
          <w:p w14:paraId="694CF726" w14:textId="77777777" w:rsidR="00160459" w:rsidRPr="0047058F" w:rsidRDefault="00160459" w:rsidP="00160459">
            <w:pPr>
              <w:pStyle w:val="TableText"/>
              <w:jc w:val="right"/>
            </w:pPr>
          </w:p>
        </w:tc>
        <w:tc>
          <w:tcPr>
            <w:tcW w:w="893" w:type="dxa"/>
          </w:tcPr>
          <w:p w14:paraId="48B25FE5" w14:textId="77777777" w:rsidR="00160459" w:rsidRPr="0047058F" w:rsidRDefault="00160459" w:rsidP="00160459">
            <w:pPr>
              <w:pStyle w:val="TableText"/>
              <w:jc w:val="right"/>
              <w:rPr>
                <w:rFonts w:eastAsia="Times New Roman"/>
                <w:lang w:eastAsia="en-AU"/>
              </w:rPr>
            </w:pPr>
          </w:p>
        </w:tc>
        <w:tc>
          <w:tcPr>
            <w:tcW w:w="770" w:type="dxa"/>
          </w:tcPr>
          <w:p w14:paraId="7E15AE07" w14:textId="77777777" w:rsidR="00160459" w:rsidRPr="0047058F" w:rsidRDefault="00160459" w:rsidP="00160459">
            <w:pPr>
              <w:pStyle w:val="TableText"/>
              <w:jc w:val="right"/>
              <w:rPr>
                <w:rFonts w:eastAsia="MS ??"/>
              </w:rPr>
            </w:pPr>
          </w:p>
        </w:tc>
      </w:tr>
      <w:tr w:rsidR="00160459" w:rsidRPr="0047058F" w14:paraId="798D0BAD" w14:textId="77777777" w:rsidTr="00CA6D9D">
        <w:trPr>
          <w:cantSplit/>
        </w:trPr>
        <w:tc>
          <w:tcPr>
            <w:tcW w:w="937" w:type="dxa"/>
            <w:hideMark/>
          </w:tcPr>
          <w:p w14:paraId="564E194E" w14:textId="77777777" w:rsidR="00160459" w:rsidRPr="0047058F" w:rsidRDefault="00160459" w:rsidP="00160459">
            <w:pPr>
              <w:pStyle w:val="TableText"/>
            </w:pPr>
            <w:r w:rsidRPr="0047058F">
              <w:t>Male</w:t>
            </w:r>
          </w:p>
        </w:tc>
        <w:tc>
          <w:tcPr>
            <w:tcW w:w="822" w:type="dxa"/>
            <w:hideMark/>
          </w:tcPr>
          <w:p w14:paraId="0D2DA180" w14:textId="77777777" w:rsidR="00160459" w:rsidRPr="0047058F" w:rsidRDefault="00160459" w:rsidP="00160459">
            <w:pPr>
              <w:pStyle w:val="TableText"/>
              <w:jc w:val="right"/>
            </w:pPr>
            <w:r w:rsidRPr="0047058F">
              <w:t>21,671</w:t>
            </w:r>
          </w:p>
        </w:tc>
        <w:tc>
          <w:tcPr>
            <w:tcW w:w="613" w:type="dxa"/>
            <w:hideMark/>
          </w:tcPr>
          <w:p w14:paraId="2A996F03" w14:textId="77777777" w:rsidR="00160459" w:rsidRPr="0047058F" w:rsidRDefault="00160459" w:rsidP="00160459">
            <w:pPr>
              <w:pStyle w:val="TableText"/>
              <w:jc w:val="right"/>
            </w:pPr>
            <w:r w:rsidRPr="0047058F">
              <w:t>20,713</w:t>
            </w:r>
          </w:p>
        </w:tc>
        <w:tc>
          <w:tcPr>
            <w:tcW w:w="871" w:type="dxa"/>
            <w:hideMark/>
          </w:tcPr>
          <w:p w14:paraId="5B4492D1" w14:textId="77777777" w:rsidR="00160459" w:rsidRPr="0047058F" w:rsidRDefault="00160459" w:rsidP="00160459">
            <w:pPr>
              <w:pStyle w:val="TableText"/>
              <w:jc w:val="right"/>
            </w:pPr>
            <w:r w:rsidRPr="0047058F">
              <w:t>3646</w:t>
            </w:r>
          </w:p>
        </w:tc>
        <w:tc>
          <w:tcPr>
            <w:tcW w:w="770" w:type="dxa"/>
            <w:hideMark/>
          </w:tcPr>
          <w:p w14:paraId="70C135C3" w14:textId="77777777" w:rsidR="00160459" w:rsidRPr="0047058F" w:rsidRDefault="00160459" w:rsidP="00160459">
            <w:pPr>
              <w:pStyle w:val="TableText"/>
              <w:jc w:val="right"/>
            </w:pPr>
            <w:r w:rsidRPr="0047058F">
              <w:t>17.6</w:t>
            </w:r>
          </w:p>
        </w:tc>
        <w:tc>
          <w:tcPr>
            <w:tcW w:w="800" w:type="dxa"/>
            <w:hideMark/>
          </w:tcPr>
          <w:p w14:paraId="3F3871E0" w14:textId="77777777" w:rsidR="00160459" w:rsidRPr="0047058F" w:rsidRDefault="00160459" w:rsidP="00160459">
            <w:pPr>
              <w:pStyle w:val="TableText"/>
              <w:jc w:val="right"/>
            </w:pPr>
            <w:r w:rsidRPr="0047058F">
              <w:t>47,645</w:t>
            </w:r>
          </w:p>
        </w:tc>
        <w:tc>
          <w:tcPr>
            <w:tcW w:w="613" w:type="dxa"/>
            <w:hideMark/>
          </w:tcPr>
          <w:p w14:paraId="737577E9" w14:textId="77777777" w:rsidR="00160459" w:rsidRPr="0047058F" w:rsidRDefault="00160459" w:rsidP="00160459">
            <w:pPr>
              <w:pStyle w:val="TableText"/>
              <w:jc w:val="right"/>
            </w:pPr>
            <w:r w:rsidRPr="0047058F">
              <w:t>15,176</w:t>
            </w:r>
          </w:p>
        </w:tc>
        <w:tc>
          <w:tcPr>
            <w:tcW w:w="893" w:type="dxa"/>
            <w:hideMark/>
          </w:tcPr>
          <w:p w14:paraId="7C86282B"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6693</w:t>
            </w:r>
          </w:p>
        </w:tc>
        <w:tc>
          <w:tcPr>
            <w:tcW w:w="770" w:type="dxa"/>
            <w:hideMark/>
          </w:tcPr>
          <w:p w14:paraId="41BFE3A5" w14:textId="77777777" w:rsidR="00160459" w:rsidRPr="0047058F" w:rsidRDefault="00160459" w:rsidP="00160459">
            <w:pPr>
              <w:pStyle w:val="TableText"/>
              <w:jc w:val="right"/>
              <w:rPr>
                <w:rFonts w:eastAsia="MS ??"/>
              </w:rPr>
            </w:pPr>
            <w:r w:rsidRPr="0047058F">
              <w:t>44.1</w:t>
            </w:r>
          </w:p>
        </w:tc>
      </w:tr>
      <w:tr w:rsidR="00160459" w:rsidRPr="0047058F" w14:paraId="3369F18C"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3305EAC7" w14:textId="77777777" w:rsidR="00160459" w:rsidRPr="0047058F" w:rsidRDefault="00160459" w:rsidP="00160459">
            <w:pPr>
              <w:pStyle w:val="TableText"/>
            </w:pPr>
            <w:r w:rsidRPr="0047058F">
              <w:t>Female</w:t>
            </w:r>
          </w:p>
        </w:tc>
        <w:tc>
          <w:tcPr>
            <w:tcW w:w="822" w:type="dxa"/>
            <w:hideMark/>
          </w:tcPr>
          <w:p w14:paraId="050CA2BF" w14:textId="77777777" w:rsidR="00160459" w:rsidRPr="0047058F" w:rsidRDefault="00160459" w:rsidP="00160459">
            <w:pPr>
              <w:pStyle w:val="TableText"/>
              <w:jc w:val="right"/>
            </w:pPr>
            <w:r w:rsidRPr="0047058F">
              <w:t>3261</w:t>
            </w:r>
          </w:p>
        </w:tc>
        <w:tc>
          <w:tcPr>
            <w:tcW w:w="613" w:type="dxa"/>
            <w:hideMark/>
          </w:tcPr>
          <w:p w14:paraId="50CC33AE" w14:textId="77777777" w:rsidR="00160459" w:rsidRPr="0047058F" w:rsidRDefault="00160459" w:rsidP="00160459">
            <w:pPr>
              <w:pStyle w:val="TableText"/>
              <w:jc w:val="right"/>
            </w:pPr>
            <w:r w:rsidRPr="0047058F">
              <w:t>3261</w:t>
            </w:r>
          </w:p>
        </w:tc>
        <w:tc>
          <w:tcPr>
            <w:tcW w:w="871" w:type="dxa"/>
            <w:hideMark/>
          </w:tcPr>
          <w:p w14:paraId="44E78030" w14:textId="77777777" w:rsidR="00160459" w:rsidRPr="0047058F" w:rsidRDefault="00160459" w:rsidP="00160459">
            <w:pPr>
              <w:pStyle w:val="TableText"/>
              <w:jc w:val="right"/>
            </w:pPr>
            <w:r w:rsidRPr="0047058F">
              <w:t>380</w:t>
            </w:r>
          </w:p>
        </w:tc>
        <w:tc>
          <w:tcPr>
            <w:tcW w:w="770" w:type="dxa"/>
            <w:hideMark/>
          </w:tcPr>
          <w:p w14:paraId="002D9373" w14:textId="77777777" w:rsidR="00160459" w:rsidRPr="0047058F" w:rsidRDefault="00160459" w:rsidP="00160459">
            <w:pPr>
              <w:pStyle w:val="TableText"/>
              <w:jc w:val="right"/>
            </w:pPr>
            <w:r w:rsidRPr="0047058F">
              <w:t>20.9</w:t>
            </w:r>
          </w:p>
        </w:tc>
        <w:tc>
          <w:tcPr>
            <w:tcW w:w="800" w:type="dxa"/>
            <w:hideMark/>
          </w:tcPr>
          <w:p w14:paraId="6F7E465E" w14:textId="77777777" w:rsidR="00160459" w:rsidRPr="0047058F" w:rsidRDefault="00160459" w:rsidP="00160459">
            <w:pPr>
              <w:pStyle w:val="TableText"/>
              <w:jc w:val="right"/>
            </w:pPr>
            <w:r w:rsidRPr="0047058F">
              <w:t>4855</w:t>
            </w:r>
          </w:p>
        </w:tc>
        <w:tc>
          <w:tcPr>
            <w:tcW w:w="613" w:type="dxa"/>
            <w:hideMark/>
          </w:tcPr>
          <w:p w14:paraId="5A5E68B4" w14:textId="77777777" w:rsidR="00160459" w:rsidRPr="0047058F" w:rsidRDefault="00160459" w:rsidP="00160459">
            <w:pPr>
              <w:pStyle w:val="TableText"/>
              <w:jc w:val="right"/>
            </w:pPr>
            <w:r w:rsidRPr="0047058F">
              <w:t>4855</w:t>
            </w:r>
          </w:p>
        </w:tc>
        <w:tc>
          <w:tcPr>
            <w:tcW w:w="893" w:type="dxa"/>
            <w:hideMark/>
          </w:tcPr>
          <w:p w14:paraId="72E3A079"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1787</w:t>
            </w:r>
          </w:p>
        </w:tc>
        <w:tc>
          <w:tcPr>
            <w:tcW w:w="770" w:type="dxa"/>
            <w:hideMark/>
          </w:tcPr>
          <w:p w14:paraId="21902F0E" w14:textId="77777777" w:rsidR="00160459" w:rsidRPr="0047058F" w:rsidRDefault="00160459" w:rsidP="00160459">
            <w:pPr>
              <w:pStyle w:val="TableText"/>
              <w:jc w:val="right"/>
              <w:rPr>
                <w:rFonts w:eastAsia="MS ??"/>
              </w:rPr>
            </w:pPr>
            <w:r w:rsidRPr="0047058F">
              <w:t>36.8</w:t>
            </w:r>
          </w:p>
        </w:tc>
      </w:tr>
      <w:tr w:rsidR="00160459" w:rsidRPr="0047058F" w14:paraId="79CB8DCA" w14:textId="77777777" w:rsidTr="00CA6D9D">
        <w:trPr>
          <w:cantSplit/>
        </w:trPr>
        <w:tc>
          <w:tcPr>
            <w:tcW w:w="937" w:type="dxa"/>
            <w:hideMark/>
          </w:tcPr>
          <w:p w14:paraId="026449F3" w14:textId="77777777" w:rsidR="00160459" w:rsidRPr="0047058F" w:rsidRDefault="00160459" w:rsidP="00160459">
            <w:pPr>
              <w:pStyle w:val="TableText"/>
              <w:rPr>
                <w:b/>
              </w:rPr>
            </w:pPr>
            <w:r w:rsidRPr="0047058F">
              <w:rPr>
                <w:b/>
              </w:rPr>
              <w:t>Rank</w:t>
            </w:r>
          </w:p>
        </w:tc>
        <w:tc>
          <w:tcPr>
            <w:tcW w:w="822" w:type="dxa"/>
          </w:tcPr>
          <w:p w14:paraId="5C75AAB2" w14:textId="77777777" w:rsidR="00160459" w:rsidRPr="0047058F" w:rsidRDefault="00160459" w:rsidP="00160459">
            <w:pPr>
              <w:pStyle w:val="TableText"/>
              <w:jc w:val="right"/>
            </w:pPr>
          </w:p>
        </w:tc>
        <w:tc>
          <w:tcPr>
            <w:tcW w:w="613" w:type="dxa"/>
          </w:tcPr>
          <w:p w14:paraId="29224A15" w14:textId="77777777" w:rsidR="00160459" w:rsidRPr="0047058F" w:rsidRDefault="00160459" w:rsidP="00160459">
            <w:pPr>
              <w:pStyle w:val="TableText"/>
              <w:jc w:val="right"/>
            </w:pPr>
          </w:p>
        </w:tc>
        <w:tc>
          <w:tcPr>
            <w:tcW w:w="871" w:type="dxa"/>
          </w:tcPr>
          <w:p w14:paraId="2380C2D3" w14:textId="77777777" w:rsidR="00160459" w:rsidRPr="0047058F" w:rsidRDefault="00160459" w:rsidP="00160459">
            <w:pPr>
              <w:pStyle w:val="TableText"/>
              <w:jc w:val="right"/>
            </w:pPr>
          </w:p>
        </w:tc>
        <w:tc>
          <w:tcPr>
            <w:tcW w:w="770" w:type="dxa"/>
          </w:tcPr>
          <w:p w14:paraId="1DBEDF2A" w14:textId="77777777" w:rsidR="00160459" w:rsidRPr="0047058F" w:rsidRDefault="00160459" w:rsidP="00160459">
            <w:pPr>
              <w:pStyle w:val="TableText"/>
              <w:jc w:val="right"/>
            </w:pPr>
          </w:p>
        </w:tc>
        <w:tc>
          <w:tcPr>
            <w:tcW w:w="800" w:type="dxa"/>
          </w:tcPr>
          <w:p w14:paraId="3E83FED0" w14:textId="77777777" w:rsidR="00160459" w:rsidRPr="0047058F" w:rsidRDefault="00160459" w:rsidP="00160459">
            <w:pPr>
              <w:pStyle w:val="TableText"/>
              <w:jc w:val="right"/>
            </w:pPr>
          </w:p>
        </w:tc>
        <w:tc>
          <w:tcPr>
            <w:tcW w:w="613" w:type="dxa"/>
          </w:tcPr>
          <w:p w14:paraId="68D34003" w14:textId="77777777" w:rsidR="00160459" w:rsidRPr="0047058F" w:rsidRDefault="00160459" w:rsidP="00160459">
            <w:pPr>
              <w:pStyle w:val="TableText"/>
              <w:jc w:val="right"/>
            </w:pPr>
          </w:p>
        </w:tc>
        <w:tc>
          <w:tcPr>
            <w:tcW w:w="893" w:type="dxa"/>
          </w:tcPr>
          <w:p w14:paraId="0B4B93C0" w14:textId="77777777" w:rsidR="00160459" w:rsidRPr="0047058F" w:rsidRDefault="00160459" w:rsidP="00160459">
            <w:pPr>
              <w:pStyle w:val="TableText"/>
              <w:jc w:val="right"/>
              <w:rPr>
                <w:rFonts w:eastAsia="Times New Roman"/>
                <w:lang w:eastAsia="en-AU"/>
              </w:rPr>
            </w:pPr>
          </w:p>
        </w:tc>
        <w:tc>
          <w:tcPr>
            <w:tcW w:w="770" w:type="dxa"/>
          </w:tcPr>
          <w:p w14:paraId="6D6FEC5D" w14:textId="77777777" w:rsidR="00160459" w:rsidRPr="0047058F" w:rsidRDefault="00160459" w:rsidP="00160459">
            <w:pPr>
              <w:pStyle w:val="TableText"/>
              <w:jc w:val="right"/>
              <w:rPr>
                <w:rFonts w:eastAsia="MS ??"/>
              </w:rPr>
            </w:pPr>
          </w:p>
        </w:tc>
      </w:tr>
      <w:tr w:rsidR="00160459" w:rsidRPr="0047058F" w14:paraId="77574562"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110B6EB4" w14:textId="20BDD3AB" w:rsidR="00160459" w:rsidRPr="0047058F" w:rsidRDefault="00160459" w:rsidP="00160459">
            <w:pPr>
              <w:pStyle w:val="TableText"/>
            </w:pPr>
            <w:r w:rsidRPr="0047058F">
              <w:t>O</w:t>
            </w:r>
            <w:r w:rsidR="00E319E4">
              <w:t>fficer</w:t>
            </w:r>
          </w:p>
        </w:tc>
        <w:tc>
          <w:tcPr>
            <w:tcW w:w="822" w:type="dxa"/>
            <w:hideMark/>
          </w:tcPr>
          <w:p w14:paraId="7EA2ADA7" w14:textId="77777777" w:rsidR="00160459" w:rsidRPr="0047058F" w:rsidRDefault="00160459" w:rsidP="00160459">
            <w:pPr>
              <w:pStyle w:val="TableText"/>
              <w:jc w:val="right"/>
            </w:pPr>
            <w:r w:rsidRPr="0047058F">
              <w:t>4063</w:t>
            </w:r>
          </w:p>
        </w:tc>
        <w:tc>
          <w:tcPr>
            <w:tcW w:w="613" w:type="dxa"/>
            <w:hideMark/>
          </w:tcPr>
          <w:p w14:paraId="41ECDDB3" w14:textId="77777777" w:rsidR="00160459" w:rsidRPr="0047058F" w:rsidRDefault="00160459" w:rsidP="00160459">
            <w:pPr>
              <w:pStyle w:val="TableText"/>
              <w:jc w:val="right"/>
            </w:pPr>
            <w:r w:rsidRPr="0047058F">
              <w:t>3939</w:t>
            </w:r>
          </w:p>
        </w:tc>
        <w:tc>
          <w:tcPr>
            <w:tcW w:w="871" w:type="dxa"/>
            <w:hideMark/>
          </w:tcPr>
          <w:p w14:paraId="3701E396" w14:textId="77777777" w:rsidR="00160459" w:rsidRPr="0047058F" w:rsidRDefault="00160459" w:rsidP="00160459">
            <w:pPr>
              <w:pStyle w:val="TableText"/>
              <w:jc w:val="right"/>
            </w:pPr>
            <w:r w:rsidRPr="0047058F">
              <w:t>1259</w:t>
            </w:r>
          </w:p>
        </w:tc>
        <w:tc>
          <w:tcPr>
            <w:tcW w:w="770" w:type="dxa"/>
            <w:hideMark/>
          </w:tcPr>
          <w:p w14:paraId="5E84B6E0" w14:textId="77777777" w:rsidR="00160459" w:rsidRPr="0047058F" w:rsidRDefault="00160459" w:rsidP="00160459">
            <w:pPr>
              <w:pStyle w:val="TableText"/>
              <w:jc w:val="right"/>
            </w:pPr>
            <w:r w:rsidRPr="0047058F">
              <w:t>32.0</w:t>
            </w:r>
          </w:p>
        </w:tc>
        <w:tc>
          <w:tcPr>
            <w:tcW w:w="800" w:type="dxa"/>
            <w:hideMark/>
          </w:tcPr>
          <w:p w14:paraId="246890DC" w14:textId="77777777" w:rsidR="00160459" w:rsidRPr="0047058F" w:rsidRDefault="00160459" w:rsidP="00160459">
            <w:pPr>
              <w:pStyle w:val="TableText"/>
              <w:jc w:val="right"/>
            </w:pPr>
            <w:r w:rsidRPr="0047058F">
              <w:t>13,444</w:t>
            </w:r>
          </w:p>
        </w:tc>
        <w:tc>
          <w:tcPr>
            <w:tcW w:w="613" w:type="dxa"/>
            <w:hideMark/>
          </w:tcPr>
          <w:p w14:paraId="5A8A0776" w14:textId="77777777" w:rsidR="00160459" w:rsidRPr="0047058F" w:rsidRDefault="00160459" w:rsidP="00160459">
            <w:pPr>
              <w:pStyle w:val="TableText"/>
              <w:jc w:val="right"/>
            </w:pPr>
            <w:r w:rsidRPr="0047058F">
              <w:t>7847</w:t>
            </w:r>
          </w:p>
        </w:tc>
        <w:tc>
          <w:tcPr>
            <w:tcW w:w="893" w:type="dxa"/>
            <w:hideMark/>
          </w:tcPr>
          <w:p w14:paraId="7C4D14E7"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3538</w:t>
            </w:r>
          </w:p>
        </w:tc>
        <w:tc>
          <w:tcPr>
            <w:tcW w:w="770" w:type="dxa"/>
            <w:hideMark/>
          </w:tcPr>
          <w:p w14:paraId="3427D65C" w14:textId="77777777" w:rsidR="00160459" w:rsidRPr="0047058F" w:rsidRDefault="00160459" w:rsidP="00160459">
            <w:pPr>
              <w:pStyle w:val="TableText"/>
              <w:jc w:val="right"/>
              <w:rPr>
                <w:rFonts w:eastAsia="MS ??"/>
              </w:rPr>
            </w:pPr>
            <w:r w:rsidRPr="0047058F">
              <w:t>45.1</w:t>
            </w:r>
          </w:p>
        </w:tc>
      </w:tr>
      <w:tr w:rsidR="00160459" w:rsidRPr="0047058F" w14:paraId="565DEA6D" w14:textId="77777777" w:rsidTr="00CA6D9D">
        <w:trPr>
          <w:cantSplit/>
        </w:trPr>
        <w:tc>
          <w:tcPr>
            <w:tcW w:w="937" w:type="dxa"/>
            <w:hideMark/>
          </w:tcPr>
          <w:p w14:paraId="6A0DC91E" w14:textId="77777777" w:rsidR="00160459" w:rsidRPr="0047058F" w:rsidRDefault="00160459" w:rsidP="00160459">
            <w:pPr>
              <w:pStyle w:val="TableText"/>
            </w:pPr>
            <w:r w:rsidRPr="0047058F">
              <w:t>NCO</w:t>
            </w:r>
          </w:p>
        </w:tc>
        <w:tc>
          <w:tcPr>
            <w:tcW w:w="822" w:type="dxa"/>
            <w:hideMark/>
          </w:tcPr>
          <w:p w14:paraId="2DE9824E" w14:textId="77777777" w:rsidR="00160459" w:rsidRPr="0047058F" w:rsidRDefault="00160459" w:rsidP="00160459">
            <w:pPr>
              <w:pStyle w:val="TableText"/>
              <w:jc w:val="right"/>
            </w:pPr>
            <w:r w:rsidRPr="0047058F">
              <w:t>7866</w:t>
            </w:r>
          </w:p>
        </w:tc>
        <w:tc>
          <w:tcPr>
            <w:tcW w:w="613" w:type="dxa"/>
            <w:hideMark/>
          </w:tcPr>
          <w:p w14:paraId="7238AE38" w14:textId="77777777" w:rsidR="00160459" w:rsidRPr="0047058F" w:rsidRDefault="00160459" w:rsidP="00160459">
            <w:pPr>
              <w:pStyle w:val="TableText"/>
              <w:jc w:val="right"/>
            </w:pPr>
            <w:r w:rsidRPr="0047058F">
              <w:t>7393</w:t>
            </w:r>
          </w:p>
        </w:tc>
        <w:tc>
          <w:tcPr>
            <w:tcW w:w="871" w:type="dxa"/>
            <w:hideMark/>
          </w:tcPr>
          <w:p w14:paraId="038089EA" w14:textId="77777777" w:rsidR="00160459" w:rsidRPr="0047058F" w:rsidRDefault="00160459" w:rsidP="00160459">
            <w:pPr>
              <w:pStyle w:val="TableText"/>
              <w:jc w:val="right"/>
            </w:pPr>
            <w:r w:rsidRPr="0047058F">
              <w:t>2097</w:t>
            </w:r>
          </w:p>
        </w:tc>
        <w:tc>
          <w:tcPr>
            <w:tcW w:w="770" w:type="dxa"/>
            <w:hideMark/>
          </w:tcPr>
          <w:p w14:paraId="75379B50" w14:textId="77777777" w:rsidR="00160459" w:rsidRPr="0047058F" w:rsidRDefault="00160459" w:rsidP="00160459">
            <w:pPr>
              <w:pStyle w:val="TableText"/>
              <w:jc w:val="right"/>
            </w:pPr>
            <w:r w:rsidRPr="0047058F">
              <w:t>28.4</w:t>
            </w:r>
          </w:p>
        </w:tc>
        <w:tc>
          <w:tcPr>
            <w:tcW w:w="800" w:type="dxa"/>
            <w:hideMark/>
          </w:tcPr>
          <w:p w14:paraId="714E4CF0" w14:textId="77777777" w:rsidR="00160459" w:rsidRPr="0047058F" w:rsidRDefault="00160459" w:rsidP="00160459">
            <w:pPr>
              <w:pStyle w:val="TableText"/>
              <w:jc w:val="right"/>
            </w:pPr>
            <w:r w:rsidRPr="0047058F">
              <w:t>17,491</w:t>
            </w:r>
          </w:p>
        </w:tc>
        <w:tc>
          <w:tcPr>
            <w:tcW w:w="613" w:type="dxa"/>
            <w:hideMark/>
          </w:tcPr>
          <w:p w14:paraId="63EA7D36" w14:textId="77777777" w:rsidR="00160459" w:rsidRPr="0047058F" w:rsidRDefault="00160459" w:rsidP="00160459">
            <w:pPr>
              <w:pStyle w:val="TableText"/>
              <w:jc w:val="right"/>
            </w:pPr>
            <w:r w:rsidRPr="0047058F">
              <w:t>9117</w:t>
            </w:r>
          </w:p>
        </w:tc>
        <w:tc>
          <w:tcPr>
            <w:tcW w:w="893" w:type="dxa"/>
            <w:hideMark/>
          </w:tcPr>
          <w:p w14:paraId="35D25B5B"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4336</w:t>
            </w:r>
          </w:p>
        </w:tc>
        <w:tc>
          <w:tcPr>
            <w:tcW w:w="770" w:type="dxa"/>
            <w:hideMark/>
          </w:tcPr>
          <w:p w14:paraId="62078A9F" w14:textId="77777777" w:rsidR="00160459" w:rsidRPr="0047058F" w:rsidRDefault="00160459" w:rsidP="00160459">
            <w:pPr>
              <w:pStyle w:val="TableText"/>
              <w:jc w:val="right"/>
              <w:rPr>
                <w:rFonts w:eastAsia="MS ??"/>
              </w:rPr>
            </w:pPr>
            <w:r w:rsidRPr="0047058F">
              <w:t>47.6</w:t>
            </w:r>
          </w:p>
        </w:tc>
      </w:tr>
      <w:tr w:rsidR="00160459" w:rsidRPr="0047058F" w14:paraId="4B7AC41F"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6BF72A51" w14:textId="77777777" w:rsidR="00160459" w:rsidRPr="0047058F" w:rsidRDefault="00160459" w:rsidP="00160459">
            <w:pPr>
              <w:pStyle w:val="TableText"/>
            </w:pPr>
            <w:r w:rsidRPr="0047058F">
              <w:t>Other Ranks</w:t>
            </w:r>
          </w:p>
        </w:tc>
        <w:tc>
          <w:tcPr>
            <w:tcW w:w="822" w:type="dxa"/>
            <w:hideMark/>
          </w:tcPr>
          <w:p w14:paraId="041F53A6" w14:textId="77777777" w:rsidR="00160459" w:rsidRPr="0047058F" w:rsidRDefault="00160459" w:rsidP="00160459">
            <w:pPr>
              <w:pStyle w:val="TableText"/>
              <w:jc w:val="right"/>
            </w:pPr>
            <w:r w:rsidRPr="0047058F">
              <w:t>13,003</w:t>
            </w:r>
          </w:p>
        </w:tc>
        <w:tc>
          <w:tcPr>
            <w:tcW w:w="613" w:type="dxa"/>
            <w:hideMark/>
          </w:tcPr>
          <w:p w14:paraId="40D8C246" w14:textId="77777777" w:rsidR="00160459" w:rsidRPr="0047058F" w:rsidRDefault="00160459" w:rsidP="00160459">
            <w:pPr>
              <w:pStyle w:val="TableText"/>
              <w:jc w:val="right"/>
            </w:pPr>
            <w:r w:rsidRPr="0047058F">
              <w:t>12,642</w:t>
            </w:r>
          </w:p>
        </w:tc>
        <w:tc>
          <w:tcPr>
            <w:tcW w:w="871" w:type="dxa"/>
            <w:hideMark/>
          </w:tcPr>
          <w:p w14:paraId="56A1CF65" w14:textId="77777777" w:rsidR="00160459" w:rsidRPr="0047058F" w:rsidRDefault="00160459" w:rsidP="00160459">
            <w:pPr>
              <w:pStyle w:val="TableText"/>
              <w:jc w:val="right"/>
            </w:pPr>
            <w:r w:rsidRPr="0047058F">
              <w:t>970</w:t>
            </w:r>
          </w:p>
        </w:tc>
        <w:tc>
          <w:tcPr>
            <w:tcW w:w="770" w:type="dxa"/>
            <w:hideMark/>
          </w:tcPr>
          <w:p w14:paraId="189E38F9" w14:textId="77777777" w:rsidR="00160459" w:rsidRPr="0047058F" w:rsidRDefault="00160459" w:rsidP="00160459">
            <w:pPr>
              <w:pStyle w:val="TableText"/>
              <w:jc w:val="right"/>
            </w:pPr>
            <w:r w:rsidRPr="0047058F">
              <w:t>7.7</w:t>
            </w:r>
          </w:p>
        </w:tc>
        <w:tc>
          <w:tcPr>
            <w:tcW w:w="800" w:type="dxa"/>
            <w:hideMark/>
          </w:tcPr>
          <w:p w14:paraId="08FC75C9" w14:textId="77777777" w:rsidR="00160459" w:rsidRPr="0047058F" w:rsidRDefault="00160459" w:rsidP="00160459">
            <w:pPr>
              <w:pStyle w:val="TableText"/>
              <w:jc w:val="right"/>
            </w:pPr>
            <w:r w:rsidRPr="0047058F">
              <w:t>21,565</w:t>
            </w:r>
          </w:p>
        </w:tc>
        <w:tc>
          <w:tcPr>
            <w:tcW w:w="613" w:type="dxa"/>
            <w:hideMark/>
          </w:tcPr>
          <w:p w14:paraId="583F64E1" w14:textId="77777777" w:rsidR="00160459" w:rsidRPr="0047058F" w:rsidRDefault="00160459" w:rsidP="00160459">
            <w:pPr>
              <w:pStyle w:val="TableText"/>
              <w:jc w:val="right"/>
            </w:pPr>
            <w:r w:rsidRPr="0047058F">
              <w:t>3067</w:t>
            </w:r>
          </w:p>
        </w:tc>
        <w:tc>
          <w:tcPr>
            <w:tcW w:w="893" w:type="dxa"/>
            <w:hideMark/>
          </w:tcPr>
          <w:p w14:paraId="130DE2CF"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606</w:t>
            </w:r>
          </w:p>
        </w:tc>
        <w:tc>
          <w:tcPr>
            <w:tcW w:w="770" w:type="dxa"/>
            <w:hideMark/>
          </w:tcPr>
          <w:p w14:paraId="16C2D53A" w14:textId="77777777" w:rsidR="00160459" w:rsidRPr="0047058F" w:rsidRDefault="00160459" w:rsidP="00160459">
            <w:pPr>
              <w:pStyle w:val="TableText"/>
              <w:jc w:val="right"/>
              <w:rPr>
                <w:rFonts w:eastAsia="MS ??"/>
              </w:rPr>
            </w:pPr>
            <w:r w:rsidRPr="0047058F">
              <w:t>19.7</w:t>
            </w:r>
          </w:p>
        </w:tc>
      </w:tr>
      <w:tr w:rsidR="00160459" w:rsidRPr="0047058F" w14:paraId="51D29A24" w14:textId="77777777" w:rsidTr="00CA6D9D">
        <w:trPr>
          <w:cantSplit/>
        </w:trPr>
        <w:tc>
          <w:tcPr>
            <w:tcW w:w="937" w:type="dxa"/>
            <w:hideMark/>
          </w:tcPr>
          <w:p w14:paraId="3FC2BFFD" w14:textId="77777777" w:rsidR="00160459" w:rsidRPr="0047058F" w:rsidRDefault="00160459" w:rsidP="00160459">
            <w:pPr>
              <w:pStyle w:val="TableText"/>
              <w:rPr>
                <w:b/>
              </w:rPr>
            </w:pPr>
            <w:r w:rsidRPr="0047058F">
              <w:rPr>
                <w:b/>
              </w:rPr>
              <w:t>Medical fitness</w:t>
            </w:r>
          </w:p>
        </w:tc>
        <w:tc>
          <w:tcPr>
            <w:tcW w:w="822" w:type="dxa"/>
          </w:tcPr>
          <w:p w14:paraId="2D4C27E0" w14:textId="77777777" w:rsidR="00160459" w:rsidRPr="0047058F" w:rsidRDefault="00160459" w:rsidP="00160459">
            <w:pPr>
              <w:pStyle w:val="TableText"/>
              <w:jc w:val="right"/>
            </w:pPr>
          </w:p>
        </w:tc>
        <w:tc>
          <w:tcPr>
            <w:tcW w:w="613" w:type="dxa"/>
          </w:tcPr>
          <w:p w14:paraId="5DA2837B" w14:textId="77777777" w:rsidR="00160459" w:rsidRPr="0047058F" w:rsidRDefault="00160459" w:rsidP="00160459">
            <w:pPr>
              <w:pStyle w:val="TableText"/>
              <w:jc w:val="right"/>
            </w:pPr>
          </w:p>
        </w:tc>
        <w:tc>
          <w:tcPr>
            <w:tcW w:w="871" w:type="dxa"/>
          </w:tcPr>
          <w:p w14:paraId="3E9AEDFC" w14:textId="77777777" w:rsidR="00160459" w:rsidRPr="0047058F" w:rsidRDefault="00160459" w:rsidP="00160459">
            <w:pPr>
              <w:pStyle w:val="TableText"/>
              <w:jc w:val="right"/>
            </w:pPr>
          </w:p>
        </w:tc>
        <w:tc>
          <w:tcPr>
            <w:tcW w:w="770" w:type="dxa"/>
          </w:tcPr>
          <w:p w14:paraId="58A8B064" w14:textId="77777777" w:rsidR="00160459" w:rsidRPr="0047058F" w:rsidRDefault="00160459" w:rsidP="00160459">
            <w:pPr>
              <w:pStyle w:val="TableText"/>
              <w:jc w:val="right"/>
            </w:pPr>
          </w:p>
        </w:tc>
        <w:tc>
          <w:tcPr>
            <w:tcW w:w="800" w:type="dxa"/>
          </w:tcPr>
          <w:p w14:paraId="5A83CFFB" w14:textId="77777777" w:rsidR="00160459" w:rsidRPr="0047058F" w:rsidRDefault="00160459" w:rsidP="00160459">
            <w:pPr>
              <w:pStyle w:val="TableText"/>
              <w:jc w:val="right"/>
            </w:pPr>
          </w:p>
        </w:tc>
        <w:tc>
          <w:tcPr>
            <w:tcW w:w="613" w:type="dxa"/>
          </w:tcPr>
          <w:p w14:paraId="0DCEC05B" w14:textId="77777777" w:rsidR="00160459" w:rsidRPr="0047058F" w:rsidRDefault="00160459" w:rsidP="00160459">
            <w:pPr>
              <w:pStyle w:val="TableText"/>
              <w:jc w:val="right"/>
            </w:pPr>
          </w:p>
        </w:tc>
        <w:tc>
          <w:tcPr>
            <w:tcW w:w="893" w:type="dxa"/>
          </w:tcPr>
          <w:p w14:paraId="4FB61350" w14:textId="77777777" w:rsidR="00160459" w:rsidRPr="0047058F" w:rsidRDefault="00160459" w:rsidP="00160459">
            <w:pPr>
              <w:pStyle w:val="TableText"/>
              <w:jc w:val="right"/>
              <w:rPr>
                <w:rFonts w:eastAsia="Times New Roman"/>
                <w:lang w:eastAsia="en-AU"/>
              </w:rPr>
            </w:pPr>
          </w:p>
        </w:tc>
        <w:tc>
          <w:tcPr>
            <w:tcW w:w="770" w:type="dxa"/>
          </w:tcPr>
          <w:p w14:paraId="170FBD01" w14:textId="77777777" w:rsidR="00160459" w:rsidRPr="0047058F" w:rsidRDefault="00160459" w:rsidP="00160459">
            <w:pPr>
              <w:pStyle w:val="TableText"/>
              <w:jc w:val="right"/>
              <w:rPr>
                <w:rFonts w:eastAsia="MS ??"/>
              </w:rPr>
            </w:pPr>
          </w:p>
        </w:tc>
      </w:tr>
      <w:tr w:rsidR="00160459" w:rsidRPr="0047058F" w14:paraId="3E362AEE"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17703B8F" w14:textId="77777777" w:rsidR="00160459" w:rsidRPr="0047058F" w:rsidRDefault="00160459" w:rsidP="00160459">
            <w:pPr>
              <w:pStyle w:val="TableText"/>
            </w:pPr>
            <w:r w:rsidRPr="0047058F">
              <w:t>Fit</w:t>
            </w:r>
          </w:p>
        </w:tc>
        <w:tc>
          <w:tcPr>
            <w:tcW w:w="822" w:type="dxa"/>
            <w:hideMark/>
          </w:tcPr>
          <w:p w14:paraId="47A9A6AE" w14:textId="77777777" w:rsidR="00160459" w:rsidRPr="0047058F" w:rsidRDefault="00160459" w:rsidP="00160459">
            <w:pPr>
              <w:pStyle w:val="TableText"/>
              <w:jc w:val="right"/>
            </w:pPr>
            <w:r w:rsidRPr="0047058F">
              <w:t>18,273</w:t>
            </w:r>
          </w:p>
        </w:tc>
        <w:tc>
          <w:tcPr>
            <w:tcW w:w="613" w:type="dxa"/>
            <w:hideMark/>
          </w:tcPr>
          <w:p w14:paraId="526C30DC" w14:textId="77777777" w:rsidR="00160459" w:rsidRPr="0047058F" w:rsidRDefault="00160459" w:rsidP="00160459">
            <w:pPr>
              <w:pStyle w:val="TableText"/>
              <w:jc w:val="right"/>
            </w:pPr>
            <w:r w:rsidRPr="0047058F">
              <w:t>17,525</w:t>
            </w:r>
          </w:p>
        </w:tc>
        <w:tc>
          <w:tcPr>
            <w:tcW w:w="871" w:type="dxa"/>
            <w:hideMark/>
          </w:tcPr>
          <w:p w14:paraId="1B9B44FC" w14:textId="77777777" w:rsidR="00160459" w:rsidRPr="0047058F" w:rsidRDefault="00160459" w:rsidP="00160459">
            <w:pPr>
              <w:pStyle w:val="TableText"/>
              <w:jc w:val="right"/>
            </w:pPr>
            <w:r w:rsidRPr="0047058F">
              <w:t>2981</w:t>
            </w:r>
          </w:p>
        </w:tc>
        <w:tc>
          <w:tcPr>
            <w:tcW w:w="770" w:type="dxa"/>
            <w:hideMark/>
          </w:tcPr>
          <w:p w14:paraId="2EB241F4" w14:textId="77777777" w:rsidR="00160459" w:rsidRPr="0047058F" w:rsidRDefault="00160459" w:rsidP="00160459">
            <w:pPr>
              <w:pStyle w:val="TableText"/>
              <w:jc w:val="right"/>
            </w:pPr>
            <w:r w:rsidRPr="0047058F">
              <w:t>17.0</w:t>
            </w:r>
          </w:p>
        </w:tc>
        <w:tc>
          <w:tcPr>
            <w:tcW w:w="800" w:type="dxa"/>
            <w:hideMark/>
          </w:tcPr>
          <w:p w14:paraId="0798EF48" w14:textId="77777777" w:rsidR="00160459" w:rsidRPr="0047058F" w:rsidRDefault="00160459" w:rsidP="00160459">
            <w:pPr>
              <w:pStyle w:val="TableText"/>
              <w:jc w:val="right"/>
            </w:pPr>
            <w:r w:rsidRPr="0047058F">
              <w:t>46,022</w:t>
            </w:r>
          </w:p>
        </w:tc>
        <w:tc>
          <w:tcPr>
            <w:tcW w:w="613" w:type="dxa"/>
            <w:hideMark/>
          </w:tcPr>
          <w:p w14:paraId="11205522" w14:textId="77777777" w:rsidR="00160459" w:rsidRPr="0047058F" w:rsidRDefault="00160459" w:rsidP="00160459">
            <w:pPr>
              <w:pStyle w:val="TableText"/>
              <w:jc w:val="right"/>
            </w:pPr>
            <w:r w:rsidRPr="0047058F">
              <w:t>17,097</w:t>
            </w:r>
          </w:p>
        </w:tc>
        <w:tc>
          <w:tcPr>
            <w:tcW w:w="893" w:type="dxa"/>
            <w:hideMark/>
          </w:tcPr>
          <w:p w14:paraId="206EA0C4" w14:textId="77777777" w:rsidR="00160459" w:rsidRPr="0047058F" w:rsidRDefault="00160459" w:rsidP="00160459">
            <w:pPr>
              <w:pStyle w:val="TableText"/>
              <w:jc w:val="right"/>
              <w:rPr>
                <w:rFonts w:eastAsia="Times New Roman"/>
                <w:lang w:eastAsia="en-AU"/>
              </w:rPr>
            </w:pPr>
            <w:r w:rsidRPr="0047058F">
              <w:rPr>
                <w:rFonts w:eastAsia="Times New Roman"/>
                <w:lang w:eastAsia="en-AU"/>
              </w:rPr>
              <w:t>7116</w:t>
            </w:r>
          </w:p>
        </w:tc>
        <w:tc>
          <w:tcPr>
            <w:tcW w:w="770" w:type="dxa"/>
            <w:hideMark/>
          </w:tcPr>
          <w:p w14:paraId="4F1A4782" w14:textId="77777777" w:rsidR="00160459" w:rsidRPr="0047058F" w:rsidRDefault="00160459" w:rsidP="00160459">
            <w:pPr>
              <w:pStyle w:val="TableText"/>
              <w:jc w:val="right"/>
              <w:rPr>
                <w:rFonts w:eastAsia="MS ??"/>
              </w:rPr>
            </w:pPr>
            <w:r w:rsidRPr="0047058F">
              <w:t>41.6</w:t>
            </w:r>
          </w:p>
        </w:tc>
      </w:tr>
      <w:tr w:rsidR="00160459" w:rsidRPr="0047058F" w14:paraId="2673FEB4" w14:textId="77777777" w:rsidTr="00CA6D9D">
        <w:trPr>
          <w:cantSplit/>
        </w:trPr>
        <w:tc>
          <w:tcPr>
            <w:tcW w:w="937" w:type="dxa"/>
            <w:hideMark/>
          </w:tcPr>
          <w:p w14:paraId="3F19CB19" w14:textId="77777777" w:rsidR="00160459" w:rsidRPr="0047058F" w:rsidRDefault="00160459" w:rsidP="00160459">
            <w:pPr>
              <w:pStyle w:val="TableText"/>
            </w:pPr>
            <w:r w:rsidRPr="0047058F">
              <w:t>Unfit</w:t>
            </w:r>
          </w:p>
        </w:tc>
        <w:tc>
          <w:tcPr>
            <w:tcW w:w="822" w:type="dxa"/>
            <w:hideMark/>
          </w:tcPr>
          <w:p w14:paraId="5B91415E" w14:textId="77777777" w:rsidR="00160459" w:rsidRPr="0047058F" w:rsidRDefault="00160459" w:rsidP="00160459">
            <w:pPr>
              <w:pStyle w:val="TableText"/>
              <w:jc w:val="right"/>
            </w:pPr>
            <w:r w:rsidRPr="0047058F">
              <w:t>6659</w:t>
            </w:r>
          </w:p>
        </w:tc>
        <w:tc>
          <w:tcPr>
            <w:tcW w:w="613" w:type="dxa"/>
            <w:hideMark/>
          </w:tcPr>
          <w:p w14:paraId="6E859155" w14:textId="77777777" w:rsidR="00160459" w:rsidRPr="0047058F" w:rsidRDefault="00160459" w:rsidP="00160459">
            <w:pPr>
              <w:pStyle w:val="TableText"/>
              <w:jc w:val="right"/>
            </w:pPr>
            <w:r w:rsidRPr="0047058F">
              <w:t>6449</w:t>
            </w:r>
          </w:p>
        </w:tc>
        <w:tc>
          <w:tcPr>
            <w:tcW w:w="871" w:type="dxa"/>
            <w:hideMark/>
          </w:tcPr>
          <w:p w14:paraId="15255016" w14:textId="77777777" w:rsidR="00160459" w:rsidRPr="0047058F" w:rsidRDefault="00160459" w:rsidP="00160459">
            <w:pPr>
              <w:pStyle w:val="TableText"/>
              <w:jc w:val="right"/>
            </w:pPr>
            <w:r w:rsidRPr="0047058F">
              <w:t>1345</w:t>
            </w:r>
          </w:p>
        </w:tc>
        <w:tc>
          <w:tcPr>
            <w:tcW w:w="770" w:type="dxa"/>
            <w:hideMark/>
          </w:tcPr>
          <w:p w14:paraId="537E062D" w14:textId="77777777" w:rsidR="00160459" w:rsidRPr="0047058F" w:rsidRDefault="00160459" w:rsidP="00160459">
            <w:pPr>
              <w:pStyle w:val="TableText"/>
              <w:jc w:val="right"/>
            </w:pPr>
            <w:r w:rsidRPr="0047058F">
              <w:t>20.9</w:t>
            </w:r>
          </w:p>
        </w:tc>
        <w:tc>
          <w:tcPr>
            <w:tcW w:w="800" w:type="dxa"/>
            <w:hideMark/>
          </w:tcPr>
          <w:p w14:paraId="24BFD04E" w14:textId="77777777" w:rsidR="00160459" w:rsidRPr="0047058F" w:rsidRDefault="00160459" w:rsidP="00160459">
            <w:pPr>
              <w:pStyle w:val="TableText"/>
              <w:jc w:val="right"/>
            </w:pPr>
            <w:r w:rsidRPr="0047058F">
              <w:t>6478</w:t>
            </w:r>
          </w:p>
        </w:tc>
        <w:tc>
          <w:tcPr>
            <w:tcW w:w="613" w:type="dxa"/>
            <w:hideMark/>
          </w:tcPr>
          <w:p w14:paraId="6DA6FFA6" w14:textId="77777777" w:rsidR="00160459" w:rsidRPr="0047058F" w:rsidRDefault="00160459" w:rsidP="00160459">
            <w:pPr>
              <w:pStyle w:val="TableText"/>
              <w:jc w:val="right"/>
            </w:pPr>
            <w:r w:rsidRPr="0047058F">
              <w:t>2934</w:t>
            </w:r>
          </w:p>
        </w:tc>
        <w:tc>
          <w:tcPr>
            <w:tcW w:w="893" w:type="dxa"/>
            <w:hideMark/>
          </w:tcPr>
          <w:p w14:paraId="3AAA6FCD" w14:textId="77777777" w:rsidR="00160459" w:rsidRPr="0047058F" w:rsidRDefault="00160459" w:rsidP="00160459">
            <w:pPr>
              <w:pStyle w:val="TableText"/>
              <w:jc w:val="right"/>
            </w:pPr>
            <w:r w:rsidRPr="0047058F">
              <w:t>1364</w:t>
            </w:r>
          </w:p>
        </w:tc>
        <w:tc>
          <w:tcPr>
            <w:tcW w:w="770" w:type="dxa"/>
            <w:hideMark/>
          </w:tcPr>
          <w:p w14:paraId="378FE5E9" w14:textId="77777777" w:rsidR="00160459" w:rsidRPr="0047058F" w:rsidRDefault="00160459" w:rsidP="00160459">
            <w:pPr>
              <w:pStyle w:val="TableText"/>
              <w:jc w:val="right"/>
            </w:pPr>
            <w:r w:rsidRPr="0047058F">
              <w:t>46.5</w:t>
            </w:r>
          </w:p>
        </w:tc>
      </w:tr>
      <w:tr w:rsidR="00160459" w:rsidRPr="0047058F" w14:paraId="6F893231" w14:textId="77777777" w:rsidTr="00CA6D9D">
        <w:trPr>
          <w:cnfStyle w:val="000000100000" w:firstRow="0" w:lastRow="0" w:firstColumn="0" w:lastColumn="0" w:oddVBand="0" w:evenVBand="0" w:oddHBand="1" w:evenHBand="0" w:firstRowFirstColumn="0" w:firstRowLastColumn="0" w:lastRowFirstColumn="0" w:lastRowLastColumn="0"/>
          <w:cantSplit/>
        </w:trPr>
        <w:tc>
          <w:tcPr>
            <w:tcW w:w="937" w:type="dxa"/>
            <w:hideMark/>
          </w:tcPr>
          <w:p w14:paraId="4AFEF7D0" w14:textId="77777777" w:rsidR="00160459" w:rsidRPr="0047058F" w:rsidRDefault="00160459" w:rsidP="00160459">
            <w:pPr>
              <w:pStyle w:val="TableText"/>
              <w:rPr>
                <w:b/>
              </w:rPr>
            </w:pPr>
            <w:r w:rsidRPr="0047058F">
              <w:rPr>
                <w:b/>
              </w:rPr>
              <w:t>Total</w:t>
            </w:r>
          </w:p>
        </w:tc>
        <w:tc>
          <w:tcPr>
            <w:tcW w:w="822" w:type="dxa"/>
            <w:hideMark/>
          </w:tcPr>
          <w:p w14:paraId="3275B7C9" w14:textId="77777777" w:rsidR="00160459" w:rsidRPr="0047058F" w:rsidRDefault="00160459" w:rsidP="00160459">
            <w:pPr>
              <w:pStyle w:val="TableText"/>
              <w:jc w:val="right"/>
              <w:rPr>
                <w:b/>
              </w:rPr>
            </w:pPr>
            <w:r w:rsidRPr="0047058F">
              <w:rPr>
                <w:b/>
              </w:rPr>
              <w:t>24,932</w:t>
            </w:r>
          </w:p>
        </w:tc>
        <w:tc>
          <w:tcPr>
            <w:tcW w:w="613" w:type="dxa"/>
            <w:hideMark/>
          </w:tcPr>
          <w:p w14:paraId="69186FF6" w14:textId="77777777" w:rsidR="00160459" w:rsidRPr="0047058F" w:rsidRDefault="00160459" w:rsidP="00160459">
            <w:pPr>
              <w:pStyle w:val="TableText"/>
              <w:jc w:val="right"/>
              <w:rPr>
                <w:b/>
              </w:rPr>
            </w:pPr>
            <w:r w:rsidRPr="0047058F">
              <w:rPr>
                <w:b/>
              </w:rPr>
              <w:t>23,974</w:t>
            </w:r>
          </w:p>
        </w:tc>
        <w:tc>
          <w:tcPr>
            <w:tcW w:w="871" w:type="dxa"/>
            <w:hideMark/>
          </w:tcPr>
          <w:p w14:paraId="698C1751" w14:textId="77777777" w:rsidR="00160459" w:rsidRPr="0047058F" w:rsidRDefault="00160459" w:rsidP="00160459">
            <w:pPr>
              <w:pStyle w:val="TableText"/>
              <w:jc w:val="right"/>
              <w:rPr>
                <w:b/>
              </w:rPr>
            </w:pPr>
            <w:r w:rsidRPr="0047058F">
              <w:rPr>
                <w:b/>
              </w:rPr>
              <w:t>4326</w:t>
            </w:r>
          </w:p>
        </w:tc>
        <w:tc>
          <w:tcPr>
            <w:tcW w:w="770" w:type="dxa"/>
            <w:hideMark/>
          </w:tcPr>
          <w:p w14:paraId="3E676E4B" w14:textId="77777777" w:rsidR="00160459" w:rsidRPr="0047058F" w:rsidRDefault="00160459" w:rsidP="00160459">
            <w:pPr>
              <w:pStyle w:val="TableText"/>
              <w:jc w:val="right"/>
              <w:rPr>
                <w:b/>
              </w:rPr>
            </w:pPr>
            <w:r w:rsidRPr="0047058F">
              <w:rPr>
                <w:b/>
              </w:rPr>
              <w:t>18.0</w:t>
            </w:r>
          </w:p>
        </w:tc>
        <w:tc>
          <w:tcPr>
            <w:tcW w:w="800" w:type="dxa"/>
            <w:hideMark/>
          </w:tcPr>
          <w:p w14:paraId="20FF145B" w14:textId="77777777" w:rsidR="00160459" w:rsidRPr="0047058F" w:rsidRDefault="00160459" w:rsidP="00160459">
            <w:pPr>
              <w:pStyle w:val="TableText"/>
              <w:jc w:val="right"/>
              <w:rPr>
                <w:b/>
              </w:rPr>
            </w:pPr>
            <w:r w:rsidRPr="0047058F">
              <w:rPr>
                <w:b/>
              </w:rPr>
              <w:t>52,500</w:t>
            </w:r>
          </w:p>
        </w:tc>
        <w:tc>
          <w:tcPr>
            <w:tcW w:w="613" w:type="dxa"/>
            <w:hideMark/>
          </w:tcPr>
          <w:p w14:paraId="74BCAA1E" w14:textId="77777777" w:rsidR="00160459" w:rsidRPr="0047058F" w:rsidRDefault="00160459" w:rsidP="00160459">
            <w:pPr>
              <w:pStyle w:val="TableText"/>
              <w:jc w:val="right"/>
              <w:rPr>
                <w:b/>
              </w:rPr>
            </w:pPr>
            <w:r w:rsidRPr="0047058F">
              <w:rPr>
                <w:b/>
              </w:rPr>
              <w:t>20,031</w:t>
            </w:r>
          </w:p>
        </w:tc>
        <w:tc>
          <w:tcPr>
            <w:tcW w:w="893" w:type="dxa"/>
            <w:hideMark/>
          </w:tcPr>
          <w:p w14:paraId="04D7308C" w14:textId="77777777" w:rsidR="00160459" w:rsidRPr="0047058F" w:rsidRDefault="00160459" w:rsidP="00160459">
            <w:pPr>
              <w:pStyle w:val="TableText"/>
              <w:jc w:val="right"/>
              <w:rPr>
                <w:b/>
              </w:rPr>
            </w:pPr>
            <w:r w:rsidRPr="0047058F">
              <w:rPr>
                <w:b/>
              </w:rPr>
              <w:t>8480</w:t>
            </w:r>
          </w:p>
        </w:tc>
        <w:tc>
          <w:tcPr>
            <w:tcW w:w="770" w:type="dxa"/>
            <w:hideMark/>
          </w:tcPr>
          <w:p w14:paraId="4E6E10D9" w14:textId="77777777" w:rsidR="00160459" w:rsidRPr="0047058F" w:rsidRDefault="00160459" w:rsidP="00160459">
            <w:pPr>
              <w:pStyle w:val="TableText"/>
              <w:jc w:val="right"/>
              <w:rPr>
                <w:b/>
              </w:rPr>
            </w:pPr>
            <w:r w:rsidRPr="0047058F">
              <w:rPr>
                <w:b/>
              </w:rPr>
              <w:t>42.3</w:t>
            </w:r>
          </w:p>
        </w:tc>
      </w:tr>
    </w:tbl>
    <w:p w14:paraId="2B547609" w14:textId="77777777" w:rsidR="00CA6D9D" w:rsidRDefault="00CA6D9D" w:rsidP="00160459">
      <w:pPr>
        <w:pStyle w:val="TableNotes"/>
      </w:pPr>
      <w:r>
        <w:t>NCO = Non-Commissioned Officer</w:t>
      </w:r>
    </w:p>
    <w:p w14:paraId="7D576813" w14:textId="0D2DA660" w:rsidR="00160459" w:rsidRPr="0047058F" w:rsidRDefault="00160459" w:rsidP="00160459">
      <w:pPr>
        <w:pStyle w:val="TableNotes"/>
      </w:pPr>
      <w:r w:rsidRPr="0047058F">
        <w:t>Note: Unweighted data.</w:t>
      </w:r>
    </w:p>
    <w:p w14:paraId="531B1E6F" w14:textId="77777777" w:rsidR="00160459" w:rsidRPr="0047058F" w:rsidRDefault="00160459" w:rsidP="00160459">
      <w:pPr>
        <w:keepNext/>
      </w:pPr>
      <w:r w:rsidRPr="0047058F">
        <w:t>The characteristics of survey respondents were as follows:</w:t>
      </w:r>
    </w:p>
    <w:p w14:paraId="526B7139" w14:textId="77777777" w:rsidR="00160459" w:rsidRPr="0047058F" w:rsidRDefault="00160459" w:rsidP="00160459">
      <w:r w:rsidRPr="0047058F">
        <w:rPr>
          <w:b/>
          <w:bCs/>
        </w:rPr>
        <w:t>Sex</w:t>
      </w:r>
      <w:r w:rsidRPr="0047058F">
        <w:t xml:space="preserve"> – Consistent with the Transitioned ADF population, the sample was predominantly male, with transitioned females being significantly more likely to respond than transitioned males. In the 2015 Regular ADF population, females were less likely to respond than males.</w:t>
      </w:r>
    </w:p>
    <w:p w14:paraId="7EE37CEE" w14:textId="77777777" w:rsidR="00160459" w:rsidRPr="0047058F" w:rsidRDefault="00160459" w:rsidP="00160459">
      <w:r w:rsidRPr="0047058F">
        <w:rPr>
          <w:b/>
          <w:bCs/>
        </w:rPr>
        <w:t>Age</w:t>
      </w:r>
      <w:r w:rsidRPr="0047058F">
        <w:t xml:space="preserve"> – Transitioned ADF survey responders (mean age 41.9 (SE 0.2)) were similar in age to the 2015 Regular ADF responders (mean age 41.1 (SE 0.1)).</w:t>
      </w:r>
    </w:p>
    <w:p w14:paraId="783CC5DF" w14:textId="77777777" w:rsidR="00160459" w:rsidRPr="0047058F" w:rsidRDefault="00160459" w:rsidP="00160459">
      <w:r w:rsidRPr="0047058F">
        <w:rPr>
          <w:b/>
          <w:bCs/>
        </w:rPr>
        <w:t>Rank</w:t>
      </w:r>
      <w:r w:rsidRPr="0047058F">
        <w:t xml:space="preserve"> – Survey responders from the Transitioned ADF comprised 29.1% Officers, 48.5% Non-Commissioned Officers and 22.4% Other Ranks. In the 2015 Regular ADF, there was a similar distribution, with 41.7% Officers, 51.1% Non-Commissioned Officers and 7.2% Other Ranks. The Transitioned ADF population had significantly lower response rates for Officers and Non-Commissioned Officers, but significantly higher response rates in the Other Ranks compared to the 2015 Regular ADF. In both the Transitioned and 2015 Regular ADF survey groups, the lower ranks were the poorest responders.</w:t>
      </w:r>
    </w:p>
    <w:p w14:paraId="4E7FEF53" w14:textId="77777777" w:rsidR="00160459" w:rsidRPr="0047058F" w:rsidRDefault="00160459" w:rsidP="00160459">
      <w:pPr>
        <w:sectPr w:rsidR="00160459" w:rsidRPr="0047058F" w:rsidSect="00147BFC">
          <w:type w:val="oddPage"/>
          <w:pgSz w:w="9979" w:h="14170" w:code="243"/>
          <w:pgMar w:top="1440" w:right="1152" w:bottom="1440" w:left="1728" w:header="576" w:footer="576" w:gutter="0"/>
          <w:cols w:space="708"/>
          <w:docGrid w:linePitch="360"/>
        </w:sectPr>
      </w:pPr>
      <w:bookmarkStart w:id="596" w:name="_Toc511900596"/>
      <w:bookmarkStart w:id="597" w:name="_Toc497383446"/>
      <w:bookmarkStart w:id="598" w:name="_Toc529117598"/>
      <w:bookmarkStart w:id="599" w:name="_Toc479243369"/>
      <w:bookmarkStart w:id="600" w:name="_Toc486936016"/>
      <w:bookmarkStart w:id="601" w:name="_Toc487014340"/>
      <w:bookmarkStart w:id="602" w:name="_Toc492995643"/>
      <w:bookmarkStart w:id="603" w:name="_Toc497383342"/>
    </w:p>
    <w:p w14:paraId="1D0D31F9" w14:textId="61A5D7F5" w:rsidR="00160459" w:rsidRPr="0047058F" w:rsidRDefault="00160459" w:rsidP="00160459">
      <w:pPr>
        <w:pStyle w:val="FigureName"/>
      </w:pPr>
      <w:bookmarkStart w:id="604" w:name="_Toc532473671"/>
      <w:r w:rsidRPr="0047058F">
        <w:t>Figure A.1</w:t>
      </w:r>
      <w:r w:rsidRPr="0047058F">
        <w:tab/>
        <w:t>Survey response rates for Transitioned ADF and 2015 Regular ADF</w:t>
      </w:r>
      <w:bookmarkEnd w:id="596"/>
      <w:bookmarkEnd w:id="604"/>
    </w:p>
    <w:tbl>
      <w:tblPr>
        <w:tblStyle w:val="TableGrid"/>
        <w:tblW w:w="5000" w:type="pct"/>
        <w:tblLayout w:type="fixed"/>
        <w:tblCellMar>
          <w:left w:w="115" w:type="dxa"/>
          <w:right w:w="115" w:type="dxa"/>
        </w:tblCellMar>
        <w:tblLook w:val="04A0" w:firstRow="1" w:lastRow="0" w:firstColumn="1" w:lastColumn="0" w:noHBand="0" w:noVBand="1"/>
        <w:tblDescription w:val="Figure A.1 Survey response rates for Transitioned ADF and 2015 Regular ADF"/>
      </w:tblPr>
      <w:tblGrid>
        <w:gridCol w:w="2005"/>
        <w:gridCol w:w="1530"/>
        <w:gridCol w:w="1890"/>
        <w:gridCol w:w="1620"/>
        <w:gridCol w:w="1890"/>
        <w:gridCol w:w="2585"/>
      </w:tblGrid>
      <w:tr w:rsidR="003876A3" w14:paraId="0079F5B1" w14:textId="77777777" w:rsidTr="003876A3">
        <w:trPr>
          <w:cantSplit/>
        </w:trPr>
        <w:tc>
          <w:tcPr>
            <w:tcW w:w="11520" w:type="dxa"/>
            <w:gridSpan w:val="6"/>
            <w:tcBorders>
              <w:bottom w:val="nil"/>
            </w:tcBorders>
          </w:tcPr>
          <w:p w14:paraId="0CA137FE" w14:textId="77777777" w:rsidR="003876A3" w:rsidRDefault="003876A3" w:rsidP="003876A3"/>
          <w:p w14:paraId="1FEDC173" w14:textId="53BB571C" w:rsidR="003876A3" w:rsidRDefault="003876A3" w:rsidP="003876A3">
            <w:pPr>
              <w:jc w:val="right"/>
            </w:pPr>
            <w:r>
              <w:rPr>
                <w:noProof/>
                <w:lang w:eastAsia="en-AU"/>
              </w:rPr>
              <mc:AlternateContent>
                <mc:Choice Requires="wpg">
                  <w:drawing>
                    <wp:anchor distT="0" distB="0" distL="114300" distR="114300" simplePos="0" relativeHeight="251675648" behindDoc="0" locked="0" layoutInCell="1" allowOverlap="1" wp14:anchorId="5509C249" wp14:editId="7ED34FF6">
                      <wp:simplePos x="0" y="0"/>
                      <wp:positionH relativeFrom="column">
                        <wp:posOffset>1117600</wp:posOffset>
                      </wp:positionH>
                      <wp:positionV relativeFrom="paragraph">
                        <wp:posOffset>1679666</wp:posOffset>
                      </wp:positionV>
                      <wp:extent cx="4566194" cy="1931851"/>
                      <wp:effectExtent l="0" t="0" r="25400" b="11430"/>
                      <wp:wrapNone/>
                      <wp:docPr id="94" name="Group 94"/>
                      <wp:cNvGraphicFramePr/>
                      <a:graphic xmlns:a="http://schemas.openxmlformats.org/drawingml/2006/main">
                        <a:graphicData uri="http://schemas.microsoft.com/office/word/2010/wordprocessingGroup">
                          <wpg:wgp>
                            <wpg:cNvGrpSpPr/>
                            <wpg:grpSpPr>
                              <a:xfrm>
                                <a:off x="0" y="0"/>
                                <a:ext cx="4566194" cy="1931851"/>
                                <a:chOff x="0" y="0"/>
                                <a:chExt cx="4566194" cy="1931851"/>
                              </a:xfrm>
                            </wpg:grpSpPr>
                            <wps:wsp>
                              <wps:cNvPr id="358" name="Straight Connector 358"/>
                              <wps:cNvCnPr/>
                              <wps:spPr>
                                <a:xfrm>
                                  <a:off x="79829" y="0"/>
                                  <a:ext cx="0" cy="1929384"/>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2256971" y="21771"/>
                                  <a:ext cx="0" cy="191008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4463143" y="21771"/>
                                  <a:ext cx="0" cy="1906905"/>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cNvPr id="408" name="Group 408"/>
                              <wpg:cNvGrpSpPr/>
                              <wpg:grpSpPr>
                                <a:xfrm>
                                  <a:off x="4383314" y="602343"/>
                                  <a:ext cx="182880" cy="1325880"/>
                                  <a:chOff x="0" y="0"/>
                                  <a:chExt cx="182880" cy="1327868"/>
                                </a:xfrm>
                              </wpg:grpSpPr>
                              <wps:wsp>
                                <wps:cNvPr id="361" name="Straight Connector 361"/>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grpSp>
                              <wpg:cNvPr id="407" name="Group 407"/>
                              <wpg:cNvGrpSpPr/>
                              <wpg:grpSpPr>
                                <a:xfrm>
                                  <a:off x="2155371" y="595085"/>
                                  <a:ext cx="182880" cy="1325880"/>
                                  <a:chOff x="0" y="0"/>
                                  <a:chExt cx="182880" cy="1327868"/>
                                </a:xfrm>
                              </wpg:grpSpPr>
                              <wps:wsp>
                                <wps:cNvPr id="379" name="Straight Connector 379"/>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grpSp>
                              <wpg:cNvPr id="409" name="Group 409"/>
                              <wpg:cNvGrpSpPr/>
                              <wpg:grpSpPr>
                                <a:xfrm>
                                  <a:off x="0" y="595085"/>
                                  <a:ext cx="182880" cy="1325880"/>
                                  <a:chOff x="0" y="0"/>
                                  <a:chExt cx="182880" cy="1327868"/>
                                </a:xfrm>
                              </wpg:grpSpPr>
                              <wps:wsp>
                                <wps:cNvPr id="393" name="Straight Connector 393"/>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511E712" id="Group 94" o:spid="_x0000_s1026" style="position:absolute;margin-left:88pt;margin-top:132.25pt;width:359.55pt;height:152.1pt;z-index:251675648" coordsize="45661,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">
                      <v:line id="Straight Connector 358" o:spid="_x0000_s1027" style="position:absolute;visibility:visible;mso-wrap-style:square" from="798,0" to="798,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gn8IAAADcAAAADwAAAGRycy9kb3ducmV2LnhtbERPy2rCQBTdC/2H4Ra600mVSkmdSCmo&#10;xV2jBLq7ZG4eTeZOOjPR+PedRcHl4bw328n04kLOt5YVPC8SEMSl1S3XCs6n3fwVhA/IGnvLpOBG&#10;HrbZw2yDqbZX/qJLHmoRQ9inqKAJYUil9GVDBv3CDsSRq6wzGCJ0tdQOrzHc9HKZJGtpsOXY0OBA&#10;Hw2VXT4aBcWY8/dPt3M9jvvDoSp+O786KvX0OL2/gQg0hbv43/2pFaxe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Cgn8IAAADcAAAADwAAAAAAAAAAAAAA&#10;AAChAgAAZHJzL2Rvd25yZXYueG1sUEsFBgAAAAAEAAQA+QAAAJADAAAAAA==&#10;" strokeweight="1.5pt"/>
                      <v:line id="Straight Connector 359" o:spid="_x0000_s1028" style="position:absolute;visibility:visible;mso-wrap-style:square" from="22569,217" to="22569,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v:line id="Straight Connector 360" o:spid="_x0000_s1029" style="position:absolute;visibility:visible;mso-wrap-style:square" from="44631,217" to="44631,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mJMAAAADcAAAADwAAAGRycy9kb3ducmV2LnhtbERPTYvCMBC9C/sfwizsTdNVEKlGEUFd&#10;9mYVwdvQjG1tM+kmqXb/vTkIHh/ve7HqTSPu5HxlWcH3KAFBnFtdcaHgdNwOZyB8QNbYWCYF/+Rh&#10;tfwYLDDV9sEHumehEDGEfYoKyhDaVEqfl2TQj2xLHLmrdQZDhK6Q2uEjhptGjpNkKg1WHBtKbGlT&#10;Ul5nnVFw7jK+3Oqta7Db7ffX81/tJ79KfX326zmIQH14i1/uH61gMo3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6ZiTAAAAA3AAAAA8AAAAAAAAAAAAAAAAA&#10;oQIAAGRycy9kb3ducmV2LnhtbFBLBQYAAAAABAAEAPkAAACOAwAAAAA=&#10;" strokeweight="1.5pt"/>
                      <v:group id="Group 408" o:spid="_x0000_s1030" style="position:absolute;left:43833;top:6023;width:1828;height:13259" coordsize="1828,1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line id="Straight Connector 361" o:spid="_x0000_s1031"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line id="Straight Connector 362" o:spid="_x0000_s1032"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dyMQAAADcAAAADwAAAGRycy9kb3ducmV2LnhtbESPQWvCQBSE74L/YXkFb7qpgkjqKiJY&#10;i7dGCXh7ZJ9JmuzbuLvR9N93C4Ueh5n5hllvB9OKBzlfW1bwOktAEBdW11wquJwP0xUIH5A1tpZJ&#10;wTd52G7GozWm2j75kx5ZKEWEsE9RQRVCl0rpi4oM+pntiKN3s85giNKVUjt8Rrhp5TxJltJgzXGh&#10;wo72FRVN1hsFeZ/x9as5uBb79+Pxlt8bvzgpNXkZdm8gAg3hP/zX/tAKFs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3IxAAAANwAAAAPAAAAAAAAAAAA&#10;AAAAAKECAABkcnMvZG93bnJldi54bWxQSwUGAAAAAAQABAD5AAAAkgMAAAAA&#10;" strokeweight="1.5pt"/>
                        <v:line id="Straight Connector 363" o:spid="_x0000_s1033"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Straight Connector 364" o:spid="_x0000_s1034"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line id="Straight Connector 365" o:spid="_x0000_s1035"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FvMQAAADcAAAADwAAAGRycy9kb3ducmV2LnhtbESPQWvCQBSE7wX/w/KE3urGi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cW8xAAAANwAAAAPAAAAAAAAAAAA&#10;AAAAAKECAABkcnMvZG93bnJldi54bWxQSwUGAAAAAAQABAD5AAAAkgMAAAAA&#10;" strokeweight="1.5pt"/>
                        <v:line id="Straight Connector 366" o:spid="_x0000_s1036"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by8QAAADcAAAADwAAAGRycy9kb3ducmV2LnhtbESPT2vCQBTE7wW/w/IEb3VThVCiq5SC&#10;f/DWVARvj+wzSZN9G3c3Gr+9Wyj0OMzMb5jlejCtuJHztWUFb9MEBHFhdc2lguP35vUdhA/IGlvL&#10;pOBBHtar0csSM23v/EW3PJQiQthnqKAKocuk9EVFBv3UdsTRu1hnMETpSqkd3iPctHKWJKk0WHNc&#10;qLCjz4qKJu+NglOf8/mn2bgW++1udzldGz8/KDUZDx8LEIGG8B/+a++1gnma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1vLxAAAANwAAAAPAAAAAAAAAAAA&#10;AAAAAKECAABkcnMvZG93bnJldi54bWxQSwUGAAAAAAQABAD5AAAAkgMAAAAA&#10;" strokeweight="1.5pt"/>
                        <v:line id="Straight Connector 368" o:spid="_x0000_s1037"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line id="Straight Connector 369" o:spid="_x0000_s1038"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PucQAAADcAAAADwAAAGRycy9kb3ducmV2LnhtbESPQWvCQBSE7wX/w/IEb3VjBanRVUSw&#10;Sm9Ni+DtkX0mMdm3cXej6b/vCkKPw8x8wyzXvWnEjZyvLCuYjBMQxLnVFRcKfr53r+8gfEDW2Fgm&#10;Bb/kYb0avCwx1fbOX3TLQiEihH2KCsoQ2lRKn5dk0I9tSxy9s3UGQ5SukNrhPcJNI9+SZCYNVhwX&#10;SmxpW1JeZ51RcOwyPl3qnWuw+9jvz8dr7aefSo2G/WYBIlAf/sPP9kErmM7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M+5xAAAANwAAAAPAAAAAAAAAAAA&#10;AAAAAKECAABkcnMvZG93bnJldi54bWxQSwUGAAAAAAQABAD5AAAAkgMAAAAA&#10;" strokeweight="1.5pt"/>
                        <v:line id="Straight Connector 371" o:spid="_x0000_s1039"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line id="Straight Connector 372" o:spid="_x0000_s1040"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v:line id="Straight Connector 374" o:spid="_x0000_s1041"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2+sUAAADcAAAADwAAAGRycy9kb3ducmV2LnhtbESPT2vCQBTE7wW/w/IEb3VjL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j2+sUAAADcAAAADwAAAAAAAAAA&#10;AAAAAAChAgAAZHJzL2Rvd25yZXYueG1sUEsFBgAAAAAEAAQA+QAAAJMDAAAAAA==&#10;" strokeweight="1.5pt"/>
                        <v:line id="Straight Connector 375" o:spid="_x0000_s1042"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TYcUAAADcAAAADwAAAGRycy9kb3ducmV2LnhtbESPT2vCQBTE7wW/w/IEb3Vjp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RTYcUAAADcAAAADwAAAAAAAAAA&#10;AAAAAAChAgAAZHJzL2Rvd25yZXYueG1sUEsFBgAAAAAEAAQA+QAAAJMDAAAAAA==&#10;" strokeweight="1.5pt"/>
                        <v:line id="Straight Connector 377" o:spid="_x0000_s1043"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ojcQAAADcAAAADwAAAGRycy9kb3ducmV2LnhtbESPQWvCQBSE7wX/w/KE3urGClpSVxHB&#10;WrwZRejtkX0mabJv4+5G4793hUKPw8x8w8yXvWnElZyvLCsYjxIQxLnVFRcKjofN2wcIH5A1NpZJ&#10;wZ08LBeDlzmm2t54T9csFCJC2KeooAyhTaX0eUkG/ci2xNE7W2cwROkKqR3eItw08j1JptJgxXGh&#10;xJbWJeV11hkFpy7jn9964xrsvrbb8+lS+8lOqddhv/oEEagP/+G/9rdWMJn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miNxAAAANwAAAAPAAAAAAAAAAAA&#10;AAAAAKECAABkcnMvZG93bnJldi54bWxQSwUGAAAAAAQABAD5AAAAkgMAAAAA&#10;" strokeweight="1.5pt"/>
                        <v:line id="Straight Connector 378" o:spid="_x0000_s1044"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v:group>
                      <v:group id="Group 407" o:spid="_x0000_s1045" style="position:absolute;left:21553;top:5950;width:1829;height:13259" coordsize="1828,1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Straight Connector 379" o:spid="_x0000_s1046"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Straight Connector 380" o:spid="_x0000_s1047"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A3sAAAADcAAAADwAAAGRycy9kb3ducmV2LnhtbERPTYvCMBC9C/sfwizsTdNVEKlGEUFd&#10;9mYVwdvQjG1tM+kmqXb/vTkIHh/ve7HqTSPu5HxlWcH3KAFBnFtdcaHgdNwOZyB8QNbYWCYF/+Rh&#10;tfwYLDDV9sEHumehEDGEfYoKyhDaVEqfl2TQj2xLHLmrdQZDhK6Q2uEjhptGjpNkKg1WHBtKbGlT&#10;Ul5nnVFw7jK+3Oqta7Db7ffX81/tJ79KfX326zmIQH14i1/uH61gMov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2gN7AAAAA3AAAAA8AAAAAAAAAAAAAAAAA&#10;oQIAAGRycy9kb3ducmV2LnhtbFBLBQYAAAAABAAEAPkAAACOAwAAAAA=&#10;" strokeweight="1.5pt"/>
                        <v:line id="Straight Connector 381" o:spid="_x0000_s1048"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RcQAAADcAAAADwAAAGRycy9kb3ducmV2LnhtbESPQWvCQBSE74X+h+UVeqsbK4ikriKC&#10;WnozlYC3R/aZpMm+jbsbjf/eFYQeh5n5hpkvB9OKCzlfW1YwHiUgiAuray4VHH43HzMQPiBrbC2T&#10;ght5WC5eX+aYanvlPV2yUIoIYZ+igiqELpXSFxUZ9CPbEUfvZJ3BEKUrpXZ4jXDTys8kmUqDNceF&#10;CjtaV1Q0WW8U5H3Gx79m41rst7vdKT83fvKj1PvbsPoCEWgI/+Fn+1srmMz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xAAAANwAAAAPAAAAAAAAAAAA&#10;AAAAAKECAABkcnMvZG93bnJldi54bWxQSwUGAAAAAAQABAD5AAAAkgMAAAAA&#10;" strokeweight="1.5pt"/>
                        <v:line id="Straight Connector 382" o:spid="_x0000_s1049"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line id="Straight Connector 383" o:spid="_x0000_s1050"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eqcQAAADcAAAADwAAAGRycy9kb3ducmV2LnhtbESPQWvCQBSE7wX/w/IEb3VjA0Wiq4ig&#10;Fm9NRfD2yD6TmOzbuLvR9N93C4Ueh5n5hlmuB9OKBzlfW1YwmyYgiAuray4VnL52r3MQPiBrbC2T&#10;gm/ysF6NXpaYafvkT3rkoRQRwj5DBVUIXSalLyoy6Ke2I47e1TqDIUpXSu3wGeGmlW9J8i4N1hwX&#10;KuxoW1HR5L1RcO5zvtyanWux3x8O1/O98el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B6pxAAAANwAAAAPAAAAAAAAAAAA&#10;AAAAAKECAABkcnMvZG93bnJldi54bWxQSwUGAAAAAAQABAD5AAAAkgMAAAAA&#10;" strokeweight="1.5pt"/>
                        <v:line id="Straight Connector 384" o:spid="_x0000_s1051"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Straight Connector 385" o:spid="_x0000_s1052"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line id="Straight Connector 386" o:spid="_x0000_s1053"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9McQAAADcAAAADwAAAGRycy9kb3ducmV2LnhtbESPQWvCQBSE7wX/w/IKvdVNFURSVxFB&#10;Lb0ZS6C3R/aZpMm+jbsbTf+9Kwgeh5n5hlmsBtOKCzlfW1bwMU5AEBdW11wq+Dlu3+cgfEDW2Fom&#10;Bf/kYbUcvSww1fbKB7pkoRQRwj5FBVUIXSqlLyoy6Me2I47eyTqDIUpXSu3wGuGmlZMkmUmDNceF&#10;CjvaVFQ0WW8U5H3Gv3/N1rXY7/b7U35u/PRbqbfXYf0JItAQnuFH+0srmM5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70xxAAAANwAAAAPAAAAAAAAAAAA&#10;AAAAAKECAABkcnMvZG93bnJldi54bWxQSwUGAAAAAAQABAD5AAAAkgMAAAAA&#10;" strokeweight="1.5pt"/>
                        <v:line id="Straight Connector 387" o:spid="_x0000_s1054"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Straight Connector 388" o:spid="_x0000_s1055"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M2MAAAADcAAAADwAAAGRycy9kb3ducmV2LnhtbERPTYvCMBC9C/sfwizsTdNVEKlGEUFd&#10;9mYVwdvQjG1tM+kmqXb/vTkIHh/ve7HqTSPu5HxlWcH3KAFBnFtdcaHgdNwOZyB8QNbYWCYF/+Rh&#10;tfwYLDDV9sEHumehEDGEfYoKyhDaVEqfl2TQj2xLHLmrdQZDhK6Q2uEjhptGjpNkKg1WHBtKbGlT&#10;Ul5nnVFw7jK+3Oqta7Db7ffX81/tJ79KfX326zmIQH14i1/uH61gMot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jNjAAAAA3AAAAA8AAAAAAAAAAAAAAAAA&#10;oQIAAGRycy9kb3ducmV2LnhtbFBLBQYAAAAABAAEAPkAAACOAwAAAAA=&#10;" strokeweight="1.5pt"/>
                        <v:line id="Straight Connector 389" o:spid="_x0000_s1056"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pQ8QAAADcAAAADwAAAGRycy9kb3ducmV2LnhtbESPQWvCQBSE7wX/w/KE3urGCmJTVxHB&#10;WrwZRejtkX0mabJv4+5G4793hUKPw8x8w8yXvWnElZyvLCsYjxIQxLnVFRcKjofN2wyED8gaG8uk&#10;4E4elovByxxTbW+8p2sWChEh7FNUUIbQplL6vCSDfmRb4uidrTMYonSF1A5vEW4a+Z4kU2mw4rhQ&#10;YkvrkvI664yCU5fxz2+9cQ12X9vt+XSp/WSn1OuwX32CCNSH//Bf+1srmMw+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ClDxAAAANwAAAAPAAAAAAAAAAAA&#10;AAAAAKECAABkcnMvZG93bnJldi54bWxQSwUGAAAAAAQABAD5AAAAkgMAAAAA&#10;" strokeweight="1.5pt"/>
                        <v:line id="Straight Connector 390" o:spid="_x0000_s1057"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WA8IAAADcAAAADwAAAGRycy9kb3ducmV2LnhtbERPy2rCQBTdC/2H4Ra600kVik2dSCmo&#10;xV2jBLq7ZG4eTeZOOjPR+PedRcHl4bw328n04kLOt5YVPC8SEMSl1S3XCs6n3XwNwgdkjb1lUnAj&#10;D9vsYbbBVNsrf9ElD7WIIexTVNCEMKRS+rIhg35hB+LIVdYZDBG6WmqH1xhuerlMkhdpsOXY0OBA&#10;Hw2VXT4aBcWY8/dPt3M9jvvDoSp+O786KvX0OL2/gQg0hbv43/2pFaxe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WA8IAAADcAAAADwAAAAAAAAAAAAAA&#10;AAChAgAAZHJzL2Rvd25yZXYueG1sUEsFBgAAAAAEAAQA+QAAAJADAAAAAA==&#10;" strokeweight="1.5pt"/>
                        <v:line id="Straight Connector 391" o:spid="_x0000_s1058"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Straight Connector 392" o:spid="_x0000_s1059"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78UAAADcAAAADwAAAGRycy9kb3ducmV2LnhtbESPT2vCQBTE7wW/w/IEb3WjQqnRVUTw&#10;D701LYK3R/aZxGTfxt2Nxm/fLRR6HGbmN8xy3ZtG3Mn5yrKCyTgBQZxbXXGh4Ptr9/oOwgdkjY1l&#10;UvAkD+vV4GWJqbYP/qR7FgoRIexTVFCG0KZS+rwkg35sW+LoXawzGKJ0hdQOHxFuGjlNkjdpsOK4&#10;UGJL25LyOuuMglOX8fla71yD3f5wuJxutZ99KDUa9psFiEB9+A//tY9awWw+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t78UAAADcAAAADwAAAAAAAAAA&#10;AAAAAAChAgAAZHJzL2Rvd25yZXYueG1sUEsFBgAAAAAEAAQA+QAAAJMDAAAAAA==&#10;" strokeweight="1.5pt"/>
                      </v:group>
                      <v:group id="Group 409" o:spid="_x0000_s1060" style="position:absolute;top:5950;width:1828;height:13259" coordsize="1828,1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Straight Connector 393" o:spid="_x0000_s1061"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dMQAAADcAAAADwAAAGRycy9kb3ducmV2LnhtbESPQWvCQBSE7wX/w/IEb3WjgVJTVymC&#10;WnprFKG3R/aZpMm+jbsbTf99VxB6HGbmG2a5HkwrruR8bVnBbJqAIC6srrlUcDxsn19B+ICssbVM&#10;Cn7Jw3o1elpipu2Nv+iah1JECPsMFVQhdJmUvqjIoJ/ajjh6Z+sMhihdKbXDW4SbVs6T5EUarDku&#10;VNjRpqKiyXuj4NTn/P3TbF2L/W6/P58ujU8/lZqMh/c3EIGG8B9+tD+0gnSR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Yh0xAAAANwAAAAPAAAAAAAAAAAA&#10;AAAAAKECAABkcnMvZG93bnJldi54bWxQSwUGAAAAAAQABAD5AAAAkgMAAAAA&#10;" strokeweight="1.5pt"/>
                        <v:line id="Straight Connector 394" o:spid="_x0000_s1062"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QAMUAAADcAAAADwAAAGRycy9kb3ducmV2LnhtbESPT2vCQBTE7wW/w/IEb3VjL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QAMUAAADcAAAADwAAAAAAAAAA&#10;AAAAAAChAgAAZHJzL2Rvd25yZXYueG1sUEsFBgAAAAAEAAQA+QAAAJMDAAAAAA==&#10;" strokeweight="1.5pt"/>
                        <v:line id="Straight Connector 395" o:spid="_x0000_s1063"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1m8UAAADcAAAADwAAAGRycy9kb3ducmV2LnhtbESPT2vCQBTE7wW/w/IEb3Vjp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1m8UAAADcAAAADwAAAAAAAAAA&#10;AAAAAAChAgAAZHJzL2Rvd25yZXYueG1sUEsFBgAAAAAEAAQA+QAAAJMDAAAAAA==&#10;" strokeweight="1.5pt"/>
                        <v:line id="Straight Connector 396" o:spid="_x0000_s1064"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r7MQAAADcAAAADwAAAGRycy9kb3ducmV2LnhtbESPQWvCQBSE7wX/w/IEb3VjBanRVUSw&#10;Sm9Ni+DtkX0mMdm3cXej6b/vCkKPw8x8wyzXvWnEjZyvLCuYjBMQxLnVFRcKfr53r+8gfEDW2Fgm&#10;Bb/kYb0avCwx1fbOX3TLQiEihH2KCsoQ2lRKn5dk0I9tSxy9s3UGQ5SukNrhPcJNI9+SZCYNVhwX&#10;SmxpW1JeZ51RcOwyPl3qnWuw+9jvz8dr7aefSo2G/WYBIlAf/sPP9kErmM5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ivsxAAAANwAAAAPAAAAAAAAAAAA&#10;AAAAAKECAABkcnMvZG93bnJldi54bWxQSwUGAAAAAAQABAD5AAAAkgMAAAAA&#10;" strokeweight="1.5pt"/>
                        <v:line id="Straight Connector 397" o:spid="_x0000_s1065"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Od8UAAADcAAAADwAAAGRycy9kb3ducmV2LnhtbESPT2vCQBTE7wW/w/IEb3VjhVajq0jB&#10;P/TWVARvj+wzicm+jbsbTb99t1DocZiZ3zDLdW8acSfnK8sKJuMEBHFudcWFguPX9nkGwgdkjY1l&#10;UvBNHtarwdMSU20f/En3LBQiQtinqKAMoU2l9HlJBv3YtsTRu1hnMETpCqkdPiLcNPIlSV6lwYrj&#10;QoktvZeU11lnFJy6jM/Xeusa7Hb7/eV0q/30Q6nRsN8sQATqw3/4r33QCqbz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Od8UAAADcAAAADwAAAAAAAAAA&#10;AAAAAAChAgAAZHJzL2Rvd25yZXYueG1sUEsFBgAAAAAEAAQA+QAAAJMDAAAAAA==&#10;" strokeweight="1.5pt"/>
                        <v:line id="Straight Connector 398" o:spid="_x0000_s1066"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aBcIAAADcAAAADwAAAGRycy9kb3ducmV2LnhtbERPy2rCQBTdC/2H4Ra600kVik2dSCmo&#10;xV2jBLq7ZG4eTeZOOjPR+PedRcHl4bw328n04kLOt5YVPC8SEMSl1S3XCs6n3XwNwgdkjb1lUnAj&#10;D9vsYbbBVNsrf9ElD7WIIexTVNCEMKRS+rIhg35hB+LIVdYZDBG6WmqH1xhuerlMkhdpsOXY0OBA&#10;Hw2VXT4aBcWY8/dPt3M9jvvDoSp+O786KvX0OL2/gQg0hbv43/2pFaxe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aBcIAAADcAAAADwAAAAAAAAAAAAAA&#10;AAChAgAAZHJzL2Rvd25yZXYueG1sUEsFBgAAAAAEAAQA+QAAAJADAAAAAA==&#10;" strokeweight="1.5pt"/>
                        <v:line id="Straight Connector 399" o:spid="_x0000_s1067"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line id="Straight Connector 400" o:spid="_x0000_s1068"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Straight Connector 401" o:spid="_x0000_s1069"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Straight Connector 402" o:spid="_x0000_s1070"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line id="Straight Connector 403" o:spid="_x0000_s1071"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QlsQAAADcAAAADwAAAGRycy9kb3ducmV2LnhtbESPQWvCQBSE7wX/w/IEb3VjL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CWxAAAANwAAAAPAAAAAAAAAAAA&#10;AAAAAKECAABkcnMvZG93bnJldi54bWxQSwUGAAAAAAQABAD5AAAAkgMAAAAA&#10;" strokeweight="1.5pt"/>
                        <v:line id="Straight Connector 404" o:spid="_x0000_s1072"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v:line id="Straight Connector 405" o:spid="_x0000_s1073"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Straight Connector 406" o:spid="_x0000_s1074"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v:group>
                    </v:group>
                  </w:pict>
                </mc:Fallback>
              </mc:AlternateContent>
            </w:r>
            <w:r w:rsidRPr="005B0796">
              <w:rPr>
                <w:noProof/>
                <w:lang w:eastAsia="en-AU"/>
              </w:rPr>
              <mc:AlternateContent>
                <mc:Choice Requires="wpg">
                  <w:drawing>
                    <wp:inline distT="0" distB="0" distL="0" distR="0" wp14:anchorId="57B43F8E" wp14:editId="05D2E08B">
                      <wp:extent cx="6400800" cy="1695450"/>
                      <wp:effectExtent l="0" t="0" r="19050" b="19050"/>
                      <wp:docPr id="26" name="Group 26"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6400800" cy="1695450"/>
                                <a:chOff x="0" y="0"/>
                                <a:chExt cx="8684895" cy="1695450"/>
                              </a:xfrm>
                            </wpg:grpSpPr>
                            <wps:wsp>
                              <wps:cNvPr id="29"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14:paraId="63C49764" w14:textId="77777777" w:rsidR="001A1792" w:rsidRPr="00FE278F" w:rsidRDefault="001A1792" w:rsidP="003876A3">
                                    <w:pPr>
                                      <w:pStyle w:val="FigureTextwhite"/>
                                      <w:rPr>
                                        <w:sz w:val="15"/>
                                        <w:szCs w:val="15"/>
                                      </w:rPr>
                                    </w:pPr>
                                    <w:r w:rsidRPr="00FE278F">
                                      <w:rPr>
                                        <w:sz w:val="15"/>
                                        <w:szCs w:val="15"/>
                                      </w:rPr>
                                      <w:t xml:space="preserve">Total ADF cohort </w:t>
                                    </w:r>
                                    <w:r w:rsidRPr="00FE278F">
                                      <w:rPr>
                                        <w:sz w:val="15"/>
                                        <w:szCs w:val="15"/>
                                      </w:rPr>
                                      <w:br/>
                                      <w:t>n = 77,432</w:t>
                                    </w:r>
                                  </w:p>
                                </w:txbxContent>
                              </wps:txbx>
                              <wps:bodyPr rot="0" vert="horz" wrap="square" lIns="91440" tIns="45720" rIns="91440" bIns="45720" anchor="t" anchorCtr="0">
                                <a:noAutofit/>
                              </wps:bodyPr>
                            </wps:wsp>
                            <wps:wsp>
                              <wps:cNvPr id="30" name="Text Box 30"/>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14:paraId="07F0B6A4"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31,119 (70.9%)</w:t>
                                    </w:r>
                                  </w:p>
                                </w:txbxContent>
                              </wps:txbx>
                              <wps:bodyPr rot="0" vert="horz" wrap="square" lIns="91440" tIns="45720" rIns="91440" bIns="45720" anchor="t" anchorCtr="0">
                                <a:noAutofit/>
                              </wps:bodyPr>
                            </wps:wsp>
                            <wps:wsp>
                              <wps:cNvPr id="448"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14:paraId="389B66DA"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44,005 (56.8%)</w:t>
                                    </w:r>
                                  </w:p>
                                </w:txbxContent>
                              </wps:txbx>
                              <wps:bodyPr rot="0" vert="horz" wrap="square" lIns="91440" tIns="45720" rIns="91440" bIns="45720" anchor="t" anchorCtr="0">
                                <a:noAutofit/>
                              </wps:bodyPr>
                            </wps:wsp>
                            <wps:wsp>
                              <wps:cNvPr id="507"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14:paraId="037E283F" w14:textId="77777777" w:rsidR="001A1792" w:rsidRPr="00FE278F" w:rsidRDefault="001A1792" w:rsidP="003876A3">
                                    <w:pPr>
                                      <w:pStyle w:val="FigureTextwhite"/>
                                      <w:rPr>
                                        <w:b w:val="0"/>
                                        <w:sz w:val="15"/>
                                        <w:szCs w:val="15"/>
                                      </w:rPr>
                                    </w:pPr>
                                    <w:r w:rsidRPr="00FE278F">
                                      <w:rPr>
                                        <w:sz w:val="15"/>
                                        <w:szCs w:val="15"/>
                                      </w:rPr>
                                      <w:t>Transitioned ADF</w:t>
                                    </w:r>
                                    <w:r w:rsidRPr="00FE278F">
                                      <w:rPr>
                                        <w:sz w:val="15"/>
                                        <w:szCs w:val="15"/>
                                      </w:rPr>
                                      <w:br/>
                                    </w:r>
                                    <w:r w:rsidRPr="00FE278F">
                                      <w:rPr>
                                        <w:b w:val="0"/>
                                        <w:sz w:val="15"/>
                                        <w:szCs w:val="15"/>
                                      </w:rPr>
                                      <w:t>n = 24,932</w:t>
                                    </w:r>
                                  </w:p>
                                </w:txbxContent>
                              </wps:txbx>
                              <wps:bodyPr rot="0" vert="horz" wrap="square" lIns="91440" tIns="45720" rIns="91440" bIns="45720" anchor="t" anchorCtr="0">
                                <a:noAutofit/>
                              </wps:bodyPr>
                            </wps:wsp>
                            <wps:wsp>
                              <wps:cNvPr id="509" name="Text Box 509"/>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14:paraId="19DAA9BE"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19,648 (82.0%)</w:t>
                                    </w:r>
                                  </w:p>
                                </w:txbxContent>
                              </wps:txbx>
                              <wps:bodyPr rot="0" vert="horz" wrap="square" lIns="91440" tIns="45720" rIns="91440" bIns="45720" anchor="t" anchorCtr="0">
                                <a:noAutofit/>
                              </wps:bodyPr>
                            </wps:wsp>
                            <wps:wsp>
                              <wps:cNvPr id="511"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14:paraId="74AEA1FB"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23,974 (96.2%)</w:t>
                                    </w:r>
                                  </w:p>
                                  <w:p w14:paraId="6A8910B8" w14:textId="77777777" w:rsidR="001A1792" w:rsidRPr="00FE278F" w:rsidRDefault="001A1792" w:rsidP="003876A3">
                                    <w:pPr>
                                      <w:jc w:val="center"/>
                                      <w:rPr>
                                        <w:b/>
                                        <w:sz w:val="15"/>
                                        <w:szCs w:val="15"/>
                                      </w:rPr>
                                    </w:pPr>
                                  </w:p>
                                </w:txbxContent>
                              </wps:txbx>
                              <wps:bodyPr rot="0" vert="horz" wrap="square" lIns="91440" tIns="45720" rIns="91440" bIns="45720" anchor="t" anchorCtr="0">
                                <a:noAutofit/>
                              </wps:bodyPr>
                            </wps:wsp>
                            <wps:wsp>
                              <wps:cNvPr id="65"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14:paraId="4156FFB6" w14:textId="77777777" w:rsidR="001A1792" w:rsidRPr="00FE278F" w:rsidRDefault="001A1792" w:rsidP="003876A3">
                                    <w:pPr>
                                      <w:pStyle w:val="FigureTextwhite"/>
                                      <w:rPr>
                                        <w:b w:val="0"/>
                                        <w:sz w:val="15"/>
                                        <w:szCs w:val="15"/>
                                      </w:rPr>
                                    </w:pPr>
                                    <w:r w:rsidRPr="00FE278F">
                                      <w:rPr>
                                        <w:sz w:val="15"/>
                                        <w:szCs w:val="15"/>
                                      </w:rPr>
                                      <w:t>2015 Regular ADF</w:t>
                                    </w:r>
                                    <w:r w:rsidRPr="00FE278F">
                                      <w:rPr>
                                        <w:sz w:val="15"/>
                                        <w:szCs w:val="15"/>
                                      </w:rPr>
                                      <w:br/>
                                    </w:r>
                                    <w:r w:rsidRPr="00FE278F">
                                      <w:rPr>
                                        <w:b w:val="0"/>
                                        <w:sz w:val="15"/>
                                        <w:szCs w:val="15"/>
                                      </w:rPr>
                                      <w:t>n = 52,500</w:t>
                                    </w:r>
                                  </w:p>
                                </w:txbxContent>
                              </wps:txbx>
                              <wps:bodyPr rot="0" vert="horz" wrap="square" lIns="91440" tIns="45720" rIns="91440" bIns="45720" anchor="t" anchorCtr="0">
                                <a:noAutofit/>
                              </wps:bodyPr>
                            </wps:wsp>
                            <wps:wsp>
                              <wps:cNvPr id="66" name="Text Box 66"/>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14:paraId="419CAD61"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11,551 (57.7%)</w:t>
                                    </w:r>
                                  </w:p>
                                </w:txbxContent>
                              </wps:txbx>
                              <wps:bodyPr rot="0" vert="horz" wrap="square" lIns="91440" tIns="45720" rIns="91440" bIns="45720" anchor="t" anchorCtr="0">
                                <a:noAutofit/>
                              </wps:bodyPr>
                            </wps:wsp>
                            <wps:wsp>
                              <wps:cNvPr id="67"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14:paraId="32B427EC"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20,031 (38.2%)</w:t>
                                    </w:r>
                                  </w:p>
                                </w:txbxContent>
                              </wps:txbx>
                              <wps:bodyPr rot="0" vert="horz" wrap="square" lIns="91440" tIns="45720" rIns="91440" bIns="45720" anchor="t" anchorCtr="0">
                                <a:noAutofit/>
                              </wps:bodyPr>
                            </wps:wsp>
                            <wps:wsp>
                              <wps:cNvPr id="85" name="Straight Connector 85"/>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87" name="Straight Connector 87"/>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88" name="Straight Connector 88"/>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89" name="Straight Arrow Connector 89"/>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91" name="Straight Arrow Connector 91"/>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92" name="Straight Connector 92"/>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14:paraId="27534A52"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4326 (18.0%)</w:t>
                                    </w:r>
                                  </w:p>
                                </w:txbxContent>
                              </wps:txbx>
                              <wps:bodyPr rot="0" vert="horz" wrap="square" lIns="91440" tIns="45720" rIns="91440" bIns="45720" anchor="t" anchorCtr="0">
                                <a:noAutofit/>
                              </wps:bodyPr>
                            </wps:wsp>
                            <wps:wsp>
                              <wps:cNvPr id="72" name="Text Box 2"/>
                              <wps:cNvSpPr txBox="1">
                                <a:spLocks noChangeArrowheads="1"/>
                              </wps:cNvSpPr>
                              <wps:spPr bwMode="auto">
                                <a:xfrm>
                                  <a:off x="5934075" y="1285875"/>
                                  <a:ext cx="1188719" cy="409575"/>
                                </a:xfrm>
                                <a:prstGeom prst="rect">
                                  <a:avLst/>
                                </a:prstGeom>
                                <a:solidFill>
                                  <a:srgbClr val="FFFFFF"/>
                                </a:solidFill>
                                <a:ln w="12700">
                                  <a:solidFill>
                                    <a:srgbClr val="000000"/>
                                  </a:solidFill>
                                  <a:miter lim="800000"/>
                                  <a:headEnd/>
                                  <a:tailEnd/>
                                </a:ln>
                              </wps:spPr>
                              <wps:txbx>
                                <w:txbxContent>
                                  <w:p w14:paraId="446C5FBA"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8480 (42.3%)</w:t>
                                    </w:r>
                                  </w:p>
                                </w:txbxContent>
                              </wps:txbx>
                              <wps:bodyPr rot="0" vert="horz" wrap="square" lIns="91440" tIns="45720" rIns="91440" bIns="45720" anchor="t" anchorCtr="0">
                                <a:noAutofit/>
                              </wps:bodyPr>
                            </wps:wsp>
                            <wps:wsp>
                              <wps:cNvPr id="449"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14:paraId="3CC598A8"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12,806 (29.1%)</w:t>
                                    </w:r>
                                  </w:p>
                                </w:txbxContent>
                              </wps:txbx>
                              <wps:bodyPr rot="0" vert="horz" wrap="square" lIns="91440" tIns="45720" rIns="91440" bIns="45720" anchor="t" anchorCtr="0">
                                <a:noAutofit/>
                              </wps:bodyPr>
                            </wps:wsp>
                          </wpg:wgp>
                        </a:graphicData>
                      </a:graphic>
                    </wp:inline>
                  </w:drawing>
                </mc:Choice>
                <mc:Fallback>
                  <w:pict>
                    <v:group w14:anchorId="57B43F8E" id="Group 26" o:spid="_x0000_s1075" alt="Figure 2.1 Survey response rates for the Transitioned ADF and the 2015 Regular ADF" style="width:7in;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">
                      <v:shape id="_x0000_s1076"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L8QA&#10;AADbAAAADwAAAGRycy9kb3ducmV2LnhtbESPQWsCMRSE7wX/Q3hCbzWroLVbo6hQ9GTZbUF6e2xe&#10;N9tuXpYk6vrvTaHgcZiZb5jFqretOJMPjWMF41EGgrhyuuFawefH29McRIjIGlvHpOBKAVbLwcMC&#10;c+0uXNC5jLVIEA45KjAxdrmUoTJkMYxcR5y8b+ctxiR9LbXHS4LbVk6ybCYtNpwWDHa0NVT9lier&#10;YPclfwpTjE/H5+n7tjxsvD1OvVKPw379CiJSH+/h//ZeK5i8wN+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yy/EAAAA2wAAAA8AAAAAAAAAAAAAAAAAmAIAAGRycy9k&#10;b3ducmV2LnhtbFBLBQYAAAAABAAEAPUAAACJAwAAAAA=&#10;" fillcolor="#002561 [3204]" strokeweight="1pt">
                        <v:textbox>
                          <w:txbxContent>
                            <w:p w14:paraId="63C49764" w14:textId="77777777" w:rsidR="001A1792" w:rsidRPr="00FE278F" w:rsidRDefault="001A1792" w:rsidP="003876A3">
                              <w:pPr>
                                <w:pStyle w:val="FigureTextwhite"/>
                                <w:rPr>
                                  <w:sz w:val="15"/>
                                  <w:szCs w:val="15"/>
                                </w:rPr>
                              </w:pPr>
                              <w:r w:rsidRPr="00FE278F">
                                <w:rPr>
                                  <w:sz w:val="15"/>
                                  <w:szCs w:val="15"/>
                                </w:rPr>
                                <w:t xml:space="preserve">Total ADF cohort </w:t>
                              </w:r>
                              <w:r w:rsidRPr="00FE278F">
                                <w:rPr>
                                  <w:sz w:val="15"/>
                                  <w:szCs w:val="15"/>
                                </w:rPr>
                                <w:br/>
                                <w:t>n = 77,432</w:t>
                              </w:r>
                            </w:p>
                          </w:txbxContent>
                        </v:textbox>
                      </v:shape>
                      <v:shape id="Text Box 30" o:spid="_x0000_s1077"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cicAA&#10;AADbAAAADwAAAGRycy9kb3ducmV2LnhtbERPy4rCMBTdD/gP4QpuRFMdEKlGKYIiwuAbdHdprm2x&#10;uSlN1Pr3ZiHM8nDe03ljSvGk2hWWFQz6EQji1OqCMwWn47I3BuE8ssbSMil4k4P5rPUzxVjbF+/p&#10;efCZCCHsYlSQe1/FUro0J4OubyviwN1sbdAHWGdS1/gK4aaUwygaSYMFh4YcK1rklN4PD6MgcWa1&#10;i1yyXGXnzV+3eK+38npRqtNukgkIT43/F3/da63gN6wP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ccicAAAADbAAAADwAAAAAAAAAAAAAAAACYAgAAZHJzL2Rvd25y&#10;ZXYueG1sUEsFBgAAAAAEAAQA9QAAAIUDAAAAAA==&#10;" strokeweight="1pt">
                        <v:stroke dashstyle="dash"/>
                        <v:textbox>
                          <w:txbxContent>
                            <w:p w14:paraId="07F0B6A4"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31,119 (70.9%)</w:t>
                              </w:r>
                            </w:p>
                          </w:txbxContent>
                        </v:textbox>
                      </v:shape>
                      <v:shape id="_x0000_s1078"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PzsIA&#10;AADcAAAADwAAAGRycy9kb3ducmV2LnhtbERPy4rCMBTdC/5DuIIb0VQRkY5RBh+oG8EHDLO7NNe2&#10;2NzUJtb692YhuDyc92zRmELUVLncsoLhIAJBnFidc6rgct70pyCcR9ZYWCYFL3KwmLdbM4y1ffKR&#10;6pNPRQhhF6OCzPsyltIlGRl0A1sSB+5qK4M+wCqVusJnCDeFHEXRRBrMOTRkWNIyo+R2ehgFh9cf&#10;37eP6Frvy+n/5XZYrza9tVLdTvP7A8JT47/ij3unFYzH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OwgAAANwAAAAPAAAAAAAAAAAAAAAAAJgCAABkcnMvZG93&#10;bnJldi54bWxQSwUGAAAAAAQABAD1AAAAhwMAAAAA&#10;" strokeweight="1pt">
                        <v:textbox>
                          <w:txbxContent>
                            <w:p w14:paraId="389B66DA"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44,005 (56.8%)</w:t>
                              </w:r>
                            </w:p>
                          </w:txbxContent>
                        </v:textbox>
                      </v:shape>
                      <v:shape id="_x0000_s1079"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oGMIA&#10;AADcAAAADwAAAGRycy9kb3ducmV2LnhtbESPT4vCMBTE7wt+h/CEva2pgt2lGkUEpVf/7P3RPNNq&#10;81KTaOu33yws7HGYmd8wy/VgW/EkHxrHCqaTDARx5XTDRsH5tPv4AhEissbWMSl4UYD1avS2xEK7&#10;ng/0PEYjEoRDgQrqGLtCylDVZDFMXEecvIvzFmOS3kjtsU9w28pZluXSYsNpocaOtjVVt+PDKijD&#10;IQ+7a2/uumsupsxf/nu/Vep9PGwWICIN8T/81y61gnn2Cb9n0h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CgYwgAAANwAAAAPAAAAAAAAAAAAAAAAAJgCAABkcnMvZG93&#10;bnJldi54bWxQSwUGAAAAAAQABAD1AAAAhwMAAAAA&#10;" fillcolor="#720829 [3205]" strokeweight="1pt">
                        <v:textbox>
                          <w:txbxContent>
                            <w:p w14:paraId="037E283F" w14:textId="77777777" w:rsidR="001A1792" w:rsidRPr="00FE278F" w:rsidRDefault="001A1792" w:rsidP="003876A3">
                              <w:pPr>
                                <w:pStyle w:val="FigureTextwhite"/>
                                <w:rPr>
                                  <w:b w:val="0"/>
                                  <w:sz w:val="15"/>
                                  <w:szCs w:val="15"/>
                                </w:rPr>
                              </w:pPr>
                              <w:r w:rsidRPr="00FE278F">
                                <w:rPr>
                                  <w:sz w:val="15"/>
                                  <w:szCs w:val="15"/>
                                </w:rPr>
                                <w:t>Transitioned ADF</w:t>
                              </w:r>
                              <w:r w:rsidRPr="00FE278F">
                                <w:rPr>
                                  <w:sz w:val="15"/>
                                  <w:szCs w:val="15"/>
                                </w:rPr>
                                <w:br/>
                              </w:r>
                              <w:r w:rsidRPr="00FE278F">
                                <w:rPr>
                                  <w:b w:val="0"/>
                                  <w:sz w:val="15"/>
                                  <w:szCs w:val="15"/>
                                </w:rPr>
                                <w:t>n = 24,932</w:t>
                              </w:r>
                            </w:p>
                          </w:txbxContent>
                        </v:textbox>
                      </v:shape>
                      <v:shape id="Text Box 509" o:spid="_x0000_s1080"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FlMUA&#10;AADcAAAADwAAAGRycy9kb3ducmV2LnhtbESP3WoCMRSE7wt9h3AK3ogmChXdGmURFBFK/QV7d9ic&#10;7i7dnCybqOvbN4LQy2FmvmGm89ZW4kqNLx1rGPQVCOLMmZJzDcfDsjcG4QOywcoxabiTh/ns9WWK&#10;iXE33tF1H3IRIewT1FCEUCdS+qwgi77vauLo/bjGYoiyyaVp8BbhtpJDpUbSYslxocCaFgVlv/uL&#10;1ZB6u9oqny5X+Wnz2S3v6y/5fda689amHyACteE//GyvjYZ3NYH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wWUxQAAANwAAAAPAAAAAAAAAAAAAAAAAJgCAABkcnMv&#10;ZG93bnJldi54bWxQSwUGAAAAAAQABAD1AAAAigMAAAAA&#10;" strokeweight="1pt">
                        <v:stroke dashstyle="dash"/>
                        <v:textbox>
                          <w:txbxContent>
                            <w:p w14:paraId="19DAA9BE"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19,648 (82.0%)</w:t>
                              </w:r>
                            </w:p>
                          </w:txbxContent>
                        </v:textbox>
                      </v:shape>
                      <v:shape id="_x0000_s1081"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G08cA&#10;AADcAAAADwAAAGRycy9kb3ducmV2LnhtbESPT2vCQBTE70K/w/IKvUjdpNAi0VVKm6BehFqheHtk&#10;n0kw+zbNbv747btCweMwM79hluvR1KKn1lWWFcSzCARxbnXFhYLjd/Y8B+E8ssbaMim4koP16mGy&#10;xETbgb+oP/hCBAi7BBWU3jeJlC4vyaCb2YY4eGfbGvRBtoXULQ4Bbmr5EkVv0mDFYaHEhj5Kyi+H&#10;zijYX3/4d9NF537XzE/Hyz79zKapUk+P4/sChKfR38P/7a1W8BrHcDs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RtPHAAAA3AAAAA8AAAAAAAAAAAAAAAAAmAIAAGRy&#10;cy9kb3ducmV2LnhtbFBLBQYAAAAABAAEAPUAAACMAwAAAAA=&#10;" strokeweight="1pt">
                        <v:textbox>
                          <w:txbxContent>
                            <w:p w14:paraId="74AEA1FB"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23,974 (96.2%)</w:t>
                              </w:r>
                            </w:p>
                            <w:p w14:paraId="6A8910B8" w14:textId="77777777" w:rsidR="001A1792" w:rsidRPr="00FE278F" w:rsidRDefault="001A1792" w:rsidP="003876A3">
                              <w:pPr>
                                <w:jc w:val="center"/>
                                <w:rPr>
                                  <w:b/>
                                  <w:sz w:val="15"/>
                                  <w:szCs w:val="15"/>
                                </w:rPr>
                              </w:pPr>
                            </w:p>
                          </w:txbxContent>
                        </v:textbox>
                      </v:shape>
                      <v:shape id="_x0000_s1082"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mXsMA&#10;AADbAAAADwAAAGRycy9kb3ducmV2LnhtbESPQWsCMRSE70L/Q3iF3jRbqVpWo1ihUI+re2hvr5tn&#10;srh5WZJUt//eCIUeh5n5hlltBteJC4XYelbwPClAEDdet2wU1Mf38SuImJA1dp5JwS9F2KwfRiss&#10;tb9yRZdDMiJDOJaowKbUl1LGxpLDOPE9cfZOPjhMWQYjdcBrhrtOTotiLh22nBcs9rSz1JwPP07B&#10;vj5/vVXbTwqmfhkCVt8LaxZKPT0O2yWIREP6D/+1P7SC+Qz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mXsMAAADbAAAADwAAAAAAAAAAAAAAAACYAgAAZHJzL2Rv&#10;d25yZXYueG1sUEsFBgAAAAAEAAQA9QAAAIgDAAAAAA==&#10;" fillcolor="#0194df [3206]" strokeweight="1pt">
                        <v:textbox>
                          <w:txbxContent>
                            <w:p w14:paraId="4156FFB6" w14:textId="77777777" w:rsidR="001A1792" w:rsidRPr="00FE278F" w:rsidRDefault="001A1792" w:rsidP="003876A3">
                              <w:pPr>
                                <w:pStyle w:val="FigureTextwhite"/>
                                <w:rPr>
                                  <w:b w:val="0"/>
                                  <w:sz w:val="15"/>
                                  <w:szCs w:val="15"/>
                                </w:rPr>
                              </w:pPr>
                              <w:r w:rsidRPr="00FE278F">
                                <w:rPr>
                                  <w:sz w:val="15"/>
                                  <w:szCs w:val="15"/>
                                </w:rPr>
                                <w:t>2015 Regular ADF</w:t>
                              </w:r>
                              <w:r w:rsidRPr="00FE278F">
                                <w:rPr>
                                  <w:sz w:val="15"/>
                                  <w:szCs w:val="15"/>
                                </w:rPr>
                                <w:br/>
                              </w:r>
                              <w:r w:rsidRPr="00FE278F">
                                <w:rPr>
                                  <w:b w:val="0"/>
                                  <w:sz w:val="15"/>
                                  <w:szCs w:val="15"/>
                                </w:rPr>
                                <w:t>n = 52,500</w:t>
                              </w:r>
                            </w:p>
                          </w:txbxContent>
                        </v:textbox>
                      </v:shape>
                      <v:shape id="Text Box 66" o:spid="_x0000_s1083"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Oe8MA&#10;AADbAAAADwAAAGRycy9kb3ducmV2LnhtbESPQYvCMBSE74L/ITzBi2iqhyLVKEVQRFh2dRX09mie&#10;bbF5KU3U+u83grDHYWa+YebL1lTiQY0rLSsYjyIQxJnVJecKjr/r4RSE88gaK8uk4EUOlotuZ46J&#10;tk/e0+PgcxEg7BJUUHhfJ1K6rCCDbmRr4uBdbWPQB9nkUjf4DHBTyUkUxdJgyWGhwJpWBWW3w90o&#10;SJ3Z/EQuXW/y0+5rUL623/JyVqrfa9MZCE+t/w9/2lutII7h/S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Oe8MAAADbAAAADwAAAAAAAAAAAAAAAACYAgAAZHJzL2Rv&#10;d25yZXYueG1sUEsFBgAAAAAEAAQA9QAAAIgDAAAAAA==&#10;" strokeweight="1pt">
                        <v:stroke dashstyle="dash"/>
                        <v:textbox>
                          <w:txbxContent>
                            <w:p w14:paraId="419CAD61" w14:textId="77777777" w:rsidR="001A1792" w:rsidRPr="00FE278F" w:rsidRDefault="001A1792" w:rsidP="003876A3">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11,551 (57.7%)</w:t>
                              </w:r>
                            </w:p>
                          </w:txbxContent>
                        </v:textbox>
                      </v:shape>
                      <v:shape id="_x0000_s1084"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sMMYA&#10;AADbAAAADwAAAGRycy9kb3ducmV2LnhtbESPzWvCQBTE7wX/h+UVvJS6aQ9piK5SrGK9CH5A8fbI&#10;PpNg9m2aXfPx33eFgsdhZn7DzBa9qURLjSstK3ibRCCIM6tLzhWcjuvXBITzyBory6RgIAeL+ehp&#10;hqm2He+pPfhcBAi7FBUU3teplC4ryKCb2Jo4eBfbGPRBNrnUDXYBbir5HkWxNFhyWCiwpmVB2fVw&#10;Mwp2ww//bm7Rpd3Wyfl03a2+1i8rpcbP/ecUhKfeP8L/7W+tIP6A+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QsMMYAAADbAAAADwAAAAAAAAAAAAAAAACYAgAAZHJz&#10;L2Rvd25yZXYueG1sUEsFBgAAAAAEAAQA9QAAAIsDAAAAAA==&#10;" strokeweight="1pt">
                        <v:textbox>
                          <w:txbxContent>
                            <w:p w14:paraId="32B427EC" w14:textId="77777777" w:rsidR="001A1792" w:rsidRPr="00FE278F" w:rsidRDefault="001A1792" w:rsidP="003876A3">
                              <w:pPr>
                                <w:pStyle w:val="FigureText"/>
                                <w:rPr>
                                  <w:b w:val="0"/>
                                  <w:sz w:val="15"/>
                                  <w:szCs w:val="15"/>
                                </w:rPr>
                              </w:pPr>
                              <w:r w:rsidRPr="00FE278F">
                                <w:rPr>
                                  <w:sz w:val="15"/>
                                  <w:szCs w:val="15"/>
                                </w:rPr>
                                <w:t>Invited</w:t>
                              </w:r>
                              <w:r w:rsidRPr="00FE278F">
                                <w:rPr>
                                  <w:sz w:val="15"/>
                                  <w:szCs w:val="15"/>
                                </w:rPr>
                                <w:br/>
                              </w:r>
                              <w:r w:rsidRPr="00FE278F">
                                <w:rPr>
                                  <w:b w:val="0"/>
                                  <w:sz w:val="15"/>
                                  <w:szCs w:val="15"/>
                                </w:rPr>
                                <w:t>n = 20,031 (38.2%)</w:t>
                              </w:r>
                            </w:p>
                          </w:txbxContent>
                        </v:textbox>
                      </v:shape>
                      <v:line id="Straight Connector 85" o:spid="_x0000_s1085"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9JScAAAADbAAAADwAAAGRycy9kb3ducmV2LnhtbESPQWvCQBSE7wX/w/IEb3WjYAnRVUQR&#10;vRoL7fGRfWaD2bch+9T477uFQo/DzHzDrDaDb9WD+tgENjCbZqCIq2Abrg18Xg7vOagoyBbbwGTg&#10;RRE269HbCgsbnnymRym1ShCOBRpwIl2hdawceYzT0BEn7xp6j5JkX2vb4zPBfavnWfahPTacFhx2&#10;tHNU3cq7N+C/mraakVz2wt/1IS/dLj+ejZmMh+0SlNAg/+G/9skayBfw+yX9AL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fSUnAAAAA2wAAAA8AAAAAAAAAAAAAAAAA&#10;oQIAAGRycy9kb3ducmV2LnhtbFBLBQYAAAAABAAEAPkAAACOAwAAAAA=&#10;" strokecolor="black [3040]" strokeweight="1.5pt"/>
                      <v:line id="Straight Connector 86" o:spid="_x0000_s1086"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RyMQAAADbAAAADwAAAGRycy9kb3ducmV2LnhtbESPQWvCQBSE7wX/w/KE3urGHoKkriKC&#10;koOgTe3B2yP7TBZ334bs1qT++m6h0OMwM98wy/XorLhTH4xnBfNZBoK49tpwo+D8sXtZgAgRWaP1&#10;TAq+KcB6NXlaYqH9wO90r2IjEoRDgQraGLtCylC35DDMfEecvKvvHcYk+0bqHocEd1a+ZlkuHRpO&#10;Cy12tG2pvlVfTkFVXgZzNrqM+bE5PQ7B6r39VOp5Om7eQEQa43/4r11qBYs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NHIxAAAANsAAAAPAAAAAAAAAAAA&#10;AAAAAKECAABkcnMvZG93bnJldi54bWxQSwUGAAAAAAQABAD5AAAAkgMAAAAA&#10;" strokecolor="windowText" strokeweight="1.5pt">
                        <v:stroke joinstyle="miter"/>
                      </v:line>
                      <v:line id="Straight Connector 87" o:spid="_x0000_s1087"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0U8QAAADbAAAADwAAAGRycy9kb3ducmV2LnhtbESPQWsCMRSE7wX/Q3hCbzVrD1ZWo4ig&#10;7KFgu+rB22Pz3A0mL8smddf++qZQ6HGYmW+Y5XpwVtypC8azgukkA0FceW24VnA67l7mIEJE1mg9&#10;k4IHBVivRk9LzLXv+ZPuZaxFgnDIUUETY5tLGaqGHIaJb4mTd/Wdw5hkV0vdYZ/gzsrXLJtJh4bT&#10;QoMtbRuqbuWXU1AWl96cjC7i7FB/fL8Hq/f2rNTzeNgsQEQa4n/4r11oBfM3+P2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HRTxAAAANsAAAAPAAAAAAAAAAAA&#10;AAAAAKECAABkcnMvZG93bnJldi54bWxQSwUGAAAAAAQABAD5AAAAkgMAAAAA&#10;" strokecolor="windowText" strokeweight="1.5pt">
                        <v:stroke joinstyle="miter"/>
                      </v:line>
                      <v:line id="Straight Connector 88" o:spid="_x0000_s1088"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bub8AAADbAAAADwAAAGRycy9kb3ducmV2LnhtbERPTWvCQBC9C/6HZQredJMioqmrFKXU&#10;WzWK5yE7JqHZ2Zidavz33YPg8fG+l+veNepGXag9G0gnCSjiwtuaSwOn49d4DioIssXGMxl4UID1&#10;ajhYYmb9nQ90y6VUMYRDhgYqkTbTOhQVOQwT3xJH7uI7hxJhV2rb4T2Gu0a/J8lMO6w5NlTY0qai&#10;4jf/cwb6NJ1dy4LSKf18L857OV5y2Rozeus/P0AJ9fISP907a2Aex8Yv8Qfo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hbub8AAADbAAAADwAAAAAAAAAAAAAAAACh&#10;AgAAZHJzL2Rvd25yZXYueG1sUEsFBgAAAAAEAAQA+QAAAI0DAAAAAA==&#10;" strokecolor="windowText" strokeweight="1.5pt">
                        <v:stroke joinstyle="miter"/>
                      </v:line>
                      <v:shapetype id="_x0000_t32" coordsize="21600,21600" o:spt="32" o:oned="t" path="m,l21600,21600e" filled="f">
                        <v:path arrowok="t" fillok="f" o:connecttype="none"/>
                        <o:lock v:ext="edit" shapetype="t"/>
                      </v:shapetype>
                      <v:shape id="Straight Arrow Connector 89" o:spid="_x0000_s1089"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ifMUAAADbAAAADwAAAGRycy9kb3ducmV2LnhtbESP0WrCQBRE34X+w3KFvunGUqzGbKQU&#10;hEKxaOoHXLPXbDR7N81uNfr1XaHQx2FmzjDZsreNOFPna8cKJuMEBHHpdM2Vgt3XajQD4QOyxsYx&#10;KbiSh2X+MMgw1e7CWzoXoRIRwj5FBSaENpXSl4Ys+rFriaN3cJ3FEGVXSd3hJcJtI5+SZCot1hwX&#10;DLb0Zqg8FT9WwUqH7+eXav1pDsemmG/8x+RW75V6HPavCxCB+vAf/mu/awWzOdy/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ifMUAAADbAAAADwAAAAAAAAAA&#10;AAAAAAChAgAAZHJzL2Rvd25yZXYueG1sUEsFBgAAAAAEAAQA+QAAAJMDAAAAAA==&#10;" strokecolor="black [3040]">
                        <v:stroke dashstyle="dash" endarrow="block"/>
                      </v:shape>
                      <v:shape id="Straight Arrow Connector 90" o:spid="_x0000_s1090"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26cEAAADbAAAADwAAAGRycy9kb3ducmV2LnhtbERPTU/CQBC9m/gfNmPiTbYaQ7SwECSY&#10;SMJF6sXb2B26TbuzpbvS8u+ZAwnHl/c9X46+VSfqYx3YwPMkA0VcBltzZeCn+Hx6AxUTssU2MBk4&#10;U4Tl4v5ujrkNA3/TaZ8qJSEcczTgUupyrWPpyGOchI5YuEPoPSaBfaVtj4OE+1a/ZNlUe6xZGhx2&#10;tHZUNvt/b+D9b3PcNb8uO3w07eA3qdi+ngtjHh/G1QxUojHdxFf3lxWfrJcv8gP04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rbpwQAAANsAAAAPAAAAAAAAAAAAAAAA&#10;AKECAABkcnMvZG93bnJldi54bWxQSwUGAAAAAAQABAD5AAAAjwMAAAAA&#10;" strokecolor="windowText" strokeweight=".5pt">
                        <v:stroke dashstyle="dash" endarrow="block" joinstyle="miter"/>
                      </v:shape>
                      <v:shape id="Straight Arrow Connector 91" o:spid="_x0000_s1091"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TcsMAAADbAAAADwAAAGRycy9kb3ducmV2LnhtbESPQWvCQBSE7wX/w/IK3upGEWlTV6mi&#10;oNBLjRdvr9lnNiT7NmZXE/99VxB6HGa+GWa+7G0tbtT60rGC8SgBQZw7XXKh4Jht395B+ICssXZM&#10;Cu7kYbkYvMwx1a7jH7odQiFiCfsUFZgQmlRKnxuy6EeuIY7e2bUWQ5RtIXWLXSy3tZwkyUxaLDku&#10;GGxobSivDler4ON3c/muTiY5r6q6s5uQ7af3TKnha//1CSJQH/7DT3qnIzeG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GE3LDAAAA2wAAAA8AAAAAAAAAAAAA&#10;AAAAoQIAAGRycy9kb3ducmV2LnhtbFBLBQYAAAAABAAEAPkAAACRAwAAAAA=&#10;" strokecolor="windowText" strokeweight=".5pt">
                        <v:stroke dashstyle="dash" endarrow="block" joinstyle="miter"/>
                      </v:shape>
                      <v:line id="Straight Connector 92" o:spid="_x0000_s1092"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H4MEAAADbAAAADwAAAGRycy9kb3ducmV2LnhtbESPQWvCQBSE74X+h+UVvNVNPEiMrqFY&#10;pL0aBT0+sq/Z0OzbkH3V9N+7QqHHYWa+YTbV5Ht1pTF2gQ3k8wwUcRNsx62B03H/WoCKgmyxD0wG&#10;filCtX1+2mBpw40PdK2lVQnCsUQDTmQotY6NI49xHgbi5H2F0aMkObbajnhLcN/rRZYttceO04LD&#10;gXaOmu/6xxvw565vcpLju/Cl3Re12xUfB2NmL9PbGpTQJP/hv/anNbBawONL+gF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0fgwQAAANsAAAAPAAAAAAAAAAAAAAAA&#10;AKECAABkcnMvZG93bnJldi54bWxQSwUGAAAAAAQABAD5AAAAjwMAAAAA&#10;" strokecolor="black [3040]" strokeweight="1.5pt"/>
                      <v:line id="Straight Connector 93" o:spid="_x0000_s1093"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ie8EAAADbAAAADwAAAGRycy9kb3ducmV2LnhtbESPQWvCQBSE7wX/w/KE3urGCiWmriKK&#10;6NUo2OMj+5oNzb4N2VdN/71bEDwOM/MNs1gNvlVX6mMT2MB0koEiroJtuDZwPu3eclBRkC22gcnA&#10;H0VYLUcvCyxsuPGRrqXUKkE4FmjAiXSF1rFy5DFOQkecvO/Qe5Qk+1rbHm8J7lv9nmUf2mPDacFh&#10;RxtH1U/56w34S9NWU5LTVvir3uWl2+T7ozGv42H9CUpokGf40T5YA/MZ/H9JP0Av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J7wQAAANsAAAAPAAAAAAAAAAAAAAAA&#10;AKECAABkcnMvZG93bnJldi54bWxQSwUGAAAAAAQABAD5AAAAjwMAAAAA&#10;" strokecolor="black [3040]" strokeweight="1.5pt"/>
                      <v:shape id="_x0000_s109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yR8YA&#10;AADbAAAADwAAAGRycy9kb3ducmV2LnhtbESPT2vCQBTE7wW/w/KEXkrdbSki0U0Qq7S9CP6B4u2R&#10;fSbB7Ns0u8b47buC4HGYmd8ws6y3teio9ZVjDW8jBYI4d6biQsN+t3qdgPAB2WDtmDRcyUOWDp5m&#10;mBh34Q1121CICGGfoIYyhCaR0uclWfQj1xBH7+haiyHKtpCmxUuE21q+KzWWFiuOCyU2tCgpP23P&#10;VsP6+st/X2d17H6ayWF/Wi8/Vy9LrZ+H/XwKIlAfHuF7+9toGH/A7Uv8A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yR8YAAADbAAAADwAAAAAAAAAAAAAAAACYAgAAZHJz&#10;L2Rvd25yZXYueG1sUEsFBgAAAAAEAAQA9QAAAIsDAAAAAA==&#10;" strokeweight="1pt">
                        <v:textbox>
                          <w:txbxContent>
                            <w:p w14:paraId="27534A52"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4326 (18.0%)</w:t>
                              </w:r>
                            </w:p>
                          </w:txbxContent>
                        </v:textbox>
                      </v:shape>
                      <v:shape id="_x0000_s1095"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ZdcUA&#10;AADbAAAADwAAAGRycy9kb3ducmV2LnhtbESPQYvCMBSE78L+h/AWvIimelilGmVZFfUibFcQb4/m&#10;2Rabl9rEWv/9RhA8DjPzDTNbtKYUDdWusKxgOIhAEKdWF5wpOPyt+xMQziNrLC2Tggc5WMw/OjOM&#10;tb3zLzWJz0SAsItRQe59FUvp0pwMuoGtiIN3trVBH2SdSV3jPcBNKUdR9CUNFhwWcqzoJ6f0ktyM&#10;gv3jyNfNLTo3u2pyOlz2q+W6t1Kq+9l+T0F4av07/GpvtYLxCJ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hl1xQAAANsAAAAPAAAAAAAAAAAAAAAAAJgCAABkcnMv&#10;ZG93bnJldi54bWxQSwUGAAAAAAQABAD1AAAAigMAAAAA&#10;" strokeweight="1pt">
                        <v:textbox>
                          <w:txbxContent>
                            <w:p w14:paraId="446C5FBA"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8480 (42.3%)</w:t>
                              </w:r>
                            </w:p>
                          </w:txbxContent>
                        </v:textbox>
                      </v:shape>
                      <v:shape id="_x0000_s1096"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qVccA&#10;AADcAAAADwAAAGRycy9kb3ducmV2LnhtbESPQWvCQBSE70L/w/KEXkQ3LSIxukppDa2XQK0g3h7Z&#10;ZxLMvk2zaxL/fbdQ6HGYmW+Y9XYwteiodZVlBU+zCARxbnXFhYLjVzqNQTiPrLG2TAru5GC7eRit&#10;MdG250/qDr4QAcIuQQWl900ipctLMuhmtiEO3sW2Bn2QbSF1i32Am1o+R9FCGqw4LJTY0GtJ+fVw&#10;Mwqy+4m/32/Rpds38fl4zXZv6WSn1ON4eFmB8DT4//Bf+0MrmM+X8HsmH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alXHAAAA3AAAAA8AAAAAAAAAAAAAAAAAmAIAAGRy&#10;cy9kb3ducmV2LnhtbFBLBQYAAAAABAAEAPUAAACMAwAAAAA=&#10;" strokeweight="1pt">
                        <v:textbox>
                          <w:txbxContent>
                            <w:p w14:paraId="3CC598A8" w14:textId="77777777" w:rsidR="001A1792" w:rsidRPr="00FE278F" w:rsidRDefault="001A1792" w:rsidP="003876A3">
                              <w:pPr>
                                <w:pStyle w:val="FigureText"/>
                                <w:rPr>
                                  <w:b w:val="0"/>
                                  <w:sz w:val="15"/>
                                  <w:szCs w:val="15"/>
                                </w:rPr>
                              </w:pPr>
                              <w:r w:rsidRPr="00FE278F">
                                <w:rPr>
                                  <w:sz w:val="15"/>
                                  <w:szCs w:val="15"/>
                                </w:rPr>
                                <w:t>Responder</w:t>
                              </w:r>
                              <w:r w:rsidRPr="00FE278F">
                                <w:rPr>
                                  <w:sz w:val="15"/>
                                  <w:szCs w:val="15"/>
                                </w:rPr>
                                <w:br/>
                              </w:r>
                              <w:r w:rsidRPr="00FE278F">
                                <w:rPr>
                                  <w:b w:val="0"/>
                                  <w:sz w:val="15"/>
                                  <w:szCs w:val="15"/>
                                </w:rPr>
                                <w:t>n = 12,806 (29.1%)</w:t>
                              </w:r>
                            </w:p>
                          </w:txbxContent>
                        </v:textbox>
                      </v:shape>
                      <w10:anchorlock/>
                    </v:group>
                  </w:pict>
                </mc:Fallback>
              </mc:AlternateContent>
            </w:r>
          </w:p>
          <w:p w14:paraId="7F2318C3" w14:textId="77777777" w:rsidR="003876A3" w:rsidRDefault="003876A3" w:rsidP="003876A3"/>
        </w:tc>
      </w:tr>
      <w:tr w:rsidR="003876A3" w:rsidRPr="00FE278F" w14:paraId="6CD4B139" w14:textId="77777777" w:rsidTr="003876A3">
        <w:trPr>
          <w:cantSplit/>
        </w:trPr>
        <w:tc>
          <w:tcPr>
            <w:tcW w:w="2005" w:type="dxa"/>
            <w:tcBorders>
              <w:top w:val="nil"/>
              <w:bottom w:val="nil"/>
              <w:right w:val="nil"/>
            </w:tcBorders>
            <w:tcMar>
              <w:left w:w="72" w:type="dxa"/>
              <w:right w:w="216" w:type="dxa"/>
            </w:tcMar>
          </w:tcPr>
          <w:p w14:paraId="61D33CB9" w14:textId="77777777" w:rsidR="003876A3" w:rsidRPr="005926ED" w:rsidRDefault="003876A3" w:rsidP="003876A3">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12806 (100.</w:t>
            </w:r>
            <w:r>
              <w:rPr>
                <w:rFonts w:ascii="Arial Narrow" w:hAnsi="Arial Narrow"/>
                <w:sz w:val="13"/>
                <w:szCs w:val="13"/>
              </w:rPr>
              <w:t>0</w:t>
            </w:r>
            <w:r w:rsidRPr="005926ED">
              <w:rPr>
                <w:rFonts w:ascii="Arial Narrow" w:hAnsi="Arial Narrow"/>
                <w:sz w:val="13"/>
                <w:szCs w:val="13"/>
              </w:rPr>
              <w:t>0%)</w:t>
            </w:r>
          </w:p>
        </w:tc>
        <w:tc>
          <w:tcPr>
            <w:tcW w:w="1530" w:type="dxa"/>
            <w:tcBorders>
              <w:top w:val="nil"/>
              <w:left w:val="nil"/>
              <w:bottom w:val="nil"/>
              <w:right w:val="nil"/>
            </w:tcBorders>
            <w:tcMar>
              <w:left w:w="202" w:type="dxa"/>
              <w:right w:w="187" w:type="dxa"/>
            </w:tcMar>
          </w:tcPr>
          <w:p w14:paraId="7FCD729A" w14:textId="77777777" w:rsidR="003876A3" w:rsidRPr="005926ED" w:rsidRDefault="003876A3" w:rsidP="003876A3">
            <w:pPr>
              <w:spacing w:before="10" w:after="0" w:line="240" w:lineRule="auto"/>
              <w:rPr>
                <w:rFonts w:ascii="Arial Narrow" w:hAnsi="Arial Narrow"/>
                <w:sz w:val="13"/>
                <w:szCs w:val="13"/>
              </w:rPr>
            </w:pPr>
          </w:p>
        </w:tc>
        <w:tc>
          <w:tcPr>
            <w:tcW w:w="1890" w:type="dxa"/>
            <w:tcBorders>
              <w:top w:val="nil"/>
              <w:left w:val="nil"/>
              <w:bottom w:val="nil"/>
              <w:right w:val="nil"/>
            </w:tcBorders>
            <w:tcMar>
              <w:left w:w="72" w:type="dxa"/>
              <w:right w:w="216" w:type="dxa"/>
            </w:tcMar>
          </w:tcPr>
          <w:p w14:paraId="07B26ABF" w14:textId="77777777" w:rsidR="003876A3" w:rsidRPr="005926ED" w:rsidRDefault="003876A3" w:rsidP="003876A3">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4326 (100.0</w:t>
            </w:r>
            <w:r>
              <w:rPr>
                <w:rFonts w:ascii="Arial Narrow" w:hAnsi="Arial Narrow"/>
                <w:sz w:val="13"/>
                <w:szCs w:val="13"/>
              </w:rPr>
              <w:t>0</w:t>
            </w:r>
            <w:r w:rsidRPr="005926ED">
              <w:rPr>
                <w:rFonts w:ascii="Arial Narrow" w:hAnsi="Arial Narrow"/>
                <w:sz w:val="13"/>
                <w:szCs w:val="13"/>
              </w:rPr>
              <w:t>%)</w:t>
            </w:r>
          </w:p>
        </w:tc>
        <w:tc>
          <w:tcPr>
            <w:tcW w:w="1620" w:type="dxa"/>
            <w:tcBorders>
              <w:top w:val="nil"/>
              <w:left w:val="nil"/>
              <w:bottom w:val="nil"/>
              <w:right w:val="nil"/>
            </w:tcBorders>
            <w:tcMar>
              <w:left w:w="202" w:type="dxa"/>
              <w:right w:w="216" w:type="dxa"/>
            </w:tcMar>
          </w:tcPr>
          <w:p w14:paraId="62B5CAF8" w14:textId="77777777" w:rsidR="003876A3" w:rsidRPr="005926ED" w:rsidRDefault="003876A3" w:rsidP="003876A3">
            <w:pPr>
              <w:spacing w:before="10" w:after="0" w:line="240" w:lineRule="auto"/>
              <w:rPr>
                <w:rFonts w:ascii="Arial Narrow" w:hAnsi="Arial Narrow"/>
                <w:sz w:val="13"/>
                <w:szCs w:val="13"/>
              </w:rPr>
            </w:pPr>
          </w:p>
        </w:tc>
        <w:tc>
          <w:tcPr>
            <w:tcW w:w="1890" w:type="dxa"/>
            <w:tcBorders>
              <w:top w:val="nil"/>
              <w:left w:val="nil"/>
              <w:bottom w:val="nil"/>
              <w:right w:val="nil"/>
            </w:tcBorders>
            <w:tcMar>
              <w:left w:w="72" w:type="dxa"/>
              <w:right w:w="216" w:type="dxa"/>
            </w:tcMar>
          </w:tcPr>
          <w:p w14:paraId="73388506" w14:textId="77777777" w:rsidR="003876A3" w:rsidRPr="005926ED" w:rsidRDefault="003876A3" w:rsidP="003876A3">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8480 (100.00%)</w:t>
            </w:r>
          </w:p>
        </w:tc>
        <w:tc>
          <w:tcPr>
            <w:tcW w:w="2585" w:type="dxa"/>
            <w:tcBorders>
              <w:top w:val="nil"/>
              <w:left w:val="nil"/>
              <w:bottom w:val="nil"/>
            </w:tcBorders>
            <w:tcMar>
              <w:left w:w="202" w:type="dxa"/>
              <w:right w:w="216" w:type="dxa"/>
            </w:tcMar>
          </w:tcPr>
          <w:p w14:paraId="5A543DD3" w14:textId="77777777" w:rsidR="003876A3" w:rsidRPr="005926ED" w:rsidRDefault="003876A3" w:rsidP="003876A3">
            <w:pPr>
              <w:spacing w:before="10" w:after="0" w:line="240" w:lineRule="auto"/>
              <w:rPr>
                <w:rFonts w:ascii="Arial Narrow" w:hAnsi="Arial Narrow"/>
                <w:sz w:val="13"/>
                <w:szCs w:val="13"/>
              </w:rPr>
            </w:pPr>
          </w:p>
        </w:tc>
      </w:tr>
      <w:tr w:rsidR="003876A3" w:rsidRPr="00FE278F" w14:paraId="65132897" w14:textId="77777777" w:rsidTr="003876A3">
        <w:trPr>
          <w:cantSplit/>
        </w:trPr>
        <w:tc>
          <w:tcPr>
            <w:tcW w:w="2005" w:type="dxa"/>
            <w:tcBorders>
              <w:top w:val="nil"/>
              <w:bottom w:val="nil"/>
              <w:right w:val="nil"/>
            </w:tcBorders>
            <w:tcMar>
              <w:left w:w="216" w:type="dxa"/>
              <w:right w:w="216" w:type="dxa"/>
            </w:tcMar>
          </w:tcPr>
          <w:p w14:paraId="369FD54A"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Section 1:</w:t>
            </w:r>
            <w:r w:rsidRPr="005926ED">
              <w:rPr>
                <w:rFonts w:ascii="Arial Narrow" w:hAnsi="Arial Narrow"/>
                <w:sz w:val="13"/>
                <w:szCs w:val="13"/>
              </w:rPr>
              <w:t xml:space="preserve"> 10175 (79.45%)</w:t>
            </w:r>
          </w:p>
        </w:tc>
        <w:tc>
          <w:tcPr>
            <w:tcW w:w="1530" w:type="dxa"/>
            <w:tcBorders>
              <w:top w:val="nil"/>
              <w:left w:val="nil"/>
              <w:bottom w:val="nil"/>
              <w:right w:val="nil"/>
            </w:tcBorders>
            <w:tcMar>
              <w:left w:w="202" w:type="dxa"/>
              <w:right w:w="187" w:type="dxa"/>
            </w:tcMar>
          </w:tcPr>
          <w:p w14:paraId="2CC63BD8"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15: 10884 (84.99%)</w:t>
            </w:r>
          </w:p>
        </w:tc>
        <w:tc>
          <w:tcPr>
            <w:tcW w:w="1890" w:type="dxa"/>
            <w:tcBorders>
              <w:top w:val="nil"/>
              <w:left w:val="nil"/>
              <w:bottom w:val="nil"/>
              <w:right w:val="nil"/>
            </w:tcBorders>
            <w:tcMar>
              <w:left w:w="216" w:type="dxa"/>
              <w:right w:w="216" w:type="dxa"/>
            </w:tcMar>
          </w:tcPr>
          <w:p w14:paraId="4BF29DA4" w14:textId="377BA7EF"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Section 1:</w:t>
            </w:r>
            <w:r>
              <w:rPr>
                <w:rFonts w:ascii="Arial Narrow" w:hAnsi="Arial Narrow"/>
                <w:sz w:val="13"/>
                <w:szCs w:val="13"/>
              </w:rPr>
              <w:t xml:space="preserve"> 3207 (74.13%)</w:t>
            </w:r>
          </w:p>
        </w:tc>
        <w:tc>
          <w:tcPr>
            <w:tcW w:w="1620" w:type="dxa"/>
            <w:tcBorders>
              <w:top w:val="nil"/>
              <w:left w:val="nil"/>
              <w:bottom w:val="nil"/>
              <w:right w:val="nil"/>
            </w:tcBorders>
            <w:tcMar>
              <w:left w:w="202" w:type="dxa"/>
              <w:right w:w="216" w:type="dxa"/>
            </w:tcMar>
          </w:tcPr>
          <w:p w14:paraId="3596840E"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15:</w:t>
            </w:r>
            <w:r>
              <w:rPr>
                <w:rFonts w:ascii="Arial Narrow" w:hAnsi="Arial Narrow"/>
                <w:sz w:val="13"/>
                <w:szCs w:val="13"/>
              </w:rPr>
              <w:t xml:space="preserve"> 3546 (81.97%)</w:t>
            </w:r>
          </w:p>
        </w:tc>
        <w:tc>
          <w:tcPr>
            <w:tcW w:w="1890" w:type="dxa"/>
            <w:tcBorders>
              <w:top w:val="nil"/>
              <w:left w:val="nil"/>
              <w:bottom w:val="nil"/>
              <w:right w:val="nil"/>
            </w:tcBorders>
            <w:tcMar>
              <w:left w:w="216" w:type="dxa"/>
              <w:right w:w="216" w:type="dxa"/>
            </w:tcMar>
          </w:tcPr>
          <w:p w14:paraId="6A54E101" w14:textId="681B02EC"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Section 1:</w:t>
            </w:r>
            <w:r>
              <w:rPr>
                <w:rFonts w:ascii="Arial Narrow" w:hAnsi="Arial Narrow"/>
                <w:sz w:val="13"/>
                <w:szCs w:val="13"/>
              </w:rPr>
              <w:t xml:space="preserve"> 6968 (82.17%)</w:t>
            </w:r>
          </w:p>
        </w:tc>
        <w:tc>
          <w:tcPr>
            <w:tcW w:w="2585" w:type="dxa"/>
            <w:tcBorders>
              <w:top w:val="nil"/>
              <w:left w:val="nil"/>
              <w:bottom w:val="nil"/>
            </w:tcBorders>
            <w:tcMar>
              <w:left w:w="202" w:type="dxa"/>
              <w:right w:w="216" w:type="dxa"/>
            </w:tcMar>
          </w:tcPr>
          <w:p w14:paraId="5548CDFC"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15:</w:t>
            </w:r>
            <w:r>
              <w:rPr>
                <w:rFonts w:ascii="Arial Narrow" w:hAnsi="Arial Narrow"/>
                <w:sz w:val="13"/>
                <w:szCs w:val="13"/>
              </w:rPr>
              <w:t xml:space="preserve"> 7338 (86.53%)</w:t>
            </w:r>
          </w:p>
        </w:tc>
      </w:tr>
      <w:tr w:rsidR="003876A3" w:rsidRPr="00FE278F" w14:paraId="54CAB4D7" w14:textId="77777777" w:rsidTr="003876A3">
        <w:trPr>
          <w:cantSplit/>
        </w:trPr>
        <w:tc>
          <w:tcPr>
            <w:tcW w:w="2005" w:type="dxa"/>
            <w:tcBorders>
              <w:top w:val="nil"/>
              <w:bottom w:val="nil"/>
              <w:right w:val="nil"/>
            </w:tcBorders>
            <w:tcMar>
              <w:left w:w="216" w:type="dxa"/>
              <w:right w:w="216" w:type="dxa"/>
            </w:tcMar>
          </w:tcPr>
          <w:p w14:paraId="2B092636"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2:</w:t>
            </w:r>
            <w:r w:rsidRPr="005926ED">
              <w:rPr>
                <w:rFonts w:ascii="Arial Narrow" w:hAnsi="Arial Narrow"/>
                <w:sz w:val="13"/>
                <w:szCs w:val="13"/>
              </w:rPr>
              <w:t xml:space="preserve"> 10954 (85.54%)</w:t>
            </w:r>
          </w:p>
        </w:tc>
        <w:tc>
          <w:tcPr>
            <w:tcW w:w="1530" w:type="dxa"/>
            <w:tcBorders>
              <w:top w:val="nil"/>
              <w:left w:val="nil"/>
              <w:bottom w:val="nil"/>
              <w:right w:val="nil"/>
            </w:tcBorders>
            <w:tcMar>
              <w:left w:w="202" w:type="dxa"/>
              <w:right w:w="187" w:type="dxa"/>
            </w:tcMar>
          </w:tcPr>
          <w:p w14:paraId="190BBB0A"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16: 10902 (85.13%)</w:t>
            </w:r>
          </w:p>
        </w:tc>
        <w:tc>
          <w:tcPr>
            <w:tcW w:w="1890" w:type="dxa"/>
            <w:tcBorders>
              <w:top w:val="nil"/>
              <w:left w:val="nil"/>
              <w:bottom w:val="nil"/>
              <w:right w:val="nil"/>
            </w:tcBorders>
            <w:tcMar>
              <w:left w:w="216" w:type="dxa"/>
              <w:right w:w="216" w:type="dxa"/>
            </w:tcMar>
          </w:tcPr>
          <w:p w14:paraId="721324CE"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2:</w:t>
            </w:r>
            <w:r>
              <w:rPr>
                <w:rFonts w:ascii="Arial Narrow" w:hAnsi="Arial Narrow"/>
                <w:sz w:val="13"/>
                <w:szCs w:val="13"/>
              </w:rPr>
              <w:t xml:space="preserve"> 3546 (81.97%)</w:t>
            </w:r>
          </w:p>
        </w:tc>
        <w:tc>
          <w:tcPr>
            <w:tcW w:w="1620" w:type="dxa"/>
            <w:tcBorders>
              <w:top w:val="nil"/>
              <w:left w:val="nil"/>
              <w:bottom w:val="nil"/>
              <w:right w:val="nil"/>
            </w:tcBorders>
            <w:tcMar>
              <w:left w:w="202" w:type="dxa"/>
              <w:right w:w="216" w:type="dxa"/>
            </w:tcMar>
          </w:tcPr>
          <w:p w14:paraId="6377D930"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16:</w:t>
            </w:r>
            <w:r>
              <w:rPr>
                <w:rFonts w:ascii="Arial Narrow" w:hAnsi="Arial Narrow"/>
                <w:sz w:val="13"/>
                <w:szCs w:val="13"/>
              </w:rPr>
              <w:t xml:space="preserve"> 3549 (82.04%)</w:t>
            </w:r>
          </w:p>
        </w:tc>
        <w:tc>
          <w:tcPr>
            <w:tcW w:w="1890" w:type="dxa"/>
            <w:tcBorders>
              <w:top w:val="nil"/>
              <w:left w:val="nil"/>
              <w:bottom w:val="nil"/>
              <w:right w:val="nil"/>
            </w:tcBorders>
            <w:tcMar>
              <w:left w:w="216" w:type="dxa"/>
              <w:right w:w="216" w:type="dxa"/>
            </w:tcMar>
          </w:tcPr>
          <w:p w14:paraId="07D3E4ED"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2:</w:t>
            </w:r>
            <w:r>
              <w:rPr>
                <w:rFonts w:ascii="Arial Narrow" w:hAnsi="Arial Narrow"/>
                <w:sz w:val="13"/>
                <w:szCs w:val="13"/>
              </w:rPr>
              <w:t xml:space="preserve"> 7408 (87.38%)</w:t>
            </w:r>
          </w:p>
        </w:tc>
        <w:tc>
          <w:tcPr>
            <w:tcW w:w="2585" w:type="dxa"/>
            <w:tcBorders>
              <w:top w:val="nil"/>
              <w:left w:val="nil"/>
              <w:bottom w:val="nil"/>
            </w:tcBorders>
            <w:tcMar>
              <w:left w:w="202" w:type="dxa"/>
              <w:right w:w="216" w:type="dxa"/>
            </w:tcMar>
          </w:tcPr>
          <w:p w14:paraId="67020D72"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16:</w:t>
            </w:r>
            <w:r>
              <w:rPr>
                <w:rFonts w:ascii="Arial Narrow" w:hAnsi="Arial Narrow"/>
                <w:sz w:val="13"/>
                <w:szCs w:val="13"/>
              </w:rPr>
              <w:t xml:space="preserve"> 7353 (86.71%)</w:t>
            </w:r>
          </w:p>
        </w:tc>
      </w:tr>
      <w:tr w:rsidR="003876A3" w:rsidRPr="00FE278F" w14:paraId="2AE93C23" w14:textId="77777777" w:rsidTr="003876A3">
        <w:trPr>
          <w:cantSplit/>
        </w:trPr>
        <w:tc>
          <w:tcPr>
            <w:tcW w:w="2005" w:type="dxa"/>
            <w:tcBorders>
              <w:top w:val="nil"/>
              <w:bottom w:val="nil"/>
              <w:right w:val="nil"/>
            </w:tcBorders>
            <w:tcMar>
              <w:left w:w="216" w:type="dxa"/>
              <w:right w:w="216" w:type="dxa"/>
            </w:tcMar>
          </w:tcPr>
          <w:p w14:paraId="7F88818E"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3:</w:t>
            </w:r>
            <w:r w:rsidRPr="005926ED">
              <w:rPr>
                <w:rFonts w:ascii="Arial Narrow" w:hAnsi="Arial Narrow"/>
                <w:sz w:val="13"/>
                <w:szCs w:val="13"/>
              </w:rPr>
              <w:t xml:space="preserve"> 12387 (96.73%)</w:t>
            </w:r>
          </w:p>
        </w:tc>
        <w:tc>
          <w:tcPr>
            <w:tcW w:w="1530" w:type="dxa"/>
            <w:tcBorders>
              <w:top w:val="nil"/>
              <w:left w:val="nil"/>
              <w:bottom w:val="nil"/>
              <w:right w:val="nil"/>
            </w:tcBorders>
            <w:tcMar>
              <w:left w:w="202" w:type="dxa"/>
              <w:right w:w="187" w:type="dxa"/>
            </w:tcMar>
          </w:tcPr>
          <w:p w14:paraId="32DF228B"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17: 10889 (85.03%)</w:t>
            </w:r>
          </w:p>
        </w:tc>
        <w:tc>
          <w:tcPr>
            <w:tcW w:w="1890" w:type="dxa"/>
            <w:tcBorders>
              <w:top w:val="nil"/>
              <w:left w:val="nil"/>
              <w:bottom w:val="nil"/>
              <w:right w:val="nil"/>
            </w:tcBorders>
            <w:tcMar>
              <w:left w:w="216" w:type="dxa"/>
              <w:right w:w="216" w:type="dxa"/>
            </w:tcMar>
          </w:tcPr>
          <w:p w14:paraId="353CEF03"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3:</w:t>
            </w:r>
            <w:r>
              <w:rPr>
                <w:rFonts w:ascii="Arial Narrow" w:hAnsi="Arial Narrow"/>
                <w:sz w:val="13"/>
                <w:szCs w:val="13"/>
              </w:rPr>
              <w:t xml:space="preserve"> 4155 (96.05%)</w:t>
            </w:r>
          </w:p>
        </w:tc>
        <w:tc>
          <w:tcPr>
            <w:tcW w:w="1620" w:type="dxa"/>
            <w:tcBorders>
              <w:top w:val="nil"/>
              <w:left w:val="nil"/>
              <w:bottom w:val="nil"/>
              <w:right w:val="nil"/>
            </w:tcBorders>
            <w:tcMar>
              <w:left w:w="202" w:type="dxa"/>
              <w:right w:w="216" w:type="dxa"/>
            </w:tcMar>
          </w:tcPr>
          <w:p w14:paraId="7DAA089F"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17:</w:t>
            </w:r>
            <w:r>
              <w:rPr>
                <w:rFonts w:ascii="Arial Narrow" w:hAnsi="Arial Narrow"/>
                <w:sz w:val="13"/>
                <w:szCs w:val="13"/>
              </w:rPr>
              <w:t xml:space="preserve"> 3543 (81.90%)</w:t>
            </w:r>
          </w:p>
        </w:tc>
        <w:tc>
          <w:tcPr>
            <w:tcW w:w="1890" w:type="dxa"/>
            <w:tcBorders>
              <w:top w:val="nil"/>
              <w:left w:val="nil"/>
              <w:bottom w:val="nil"/>
              <w:right w:val="nil"/>
            </w:tcBorders>
            <w:tcMar>
              <w:left w:w="216" w:type="dxa"/>
              <w:right w:w="216" w:type="dxa"/>
            </w:tcMar>
          </w:tcPr>
          <w:p w14:paraId="7F19C759"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3:</w:t>
            </w:r>
            <w:r>
              <w:rPr>
                <w:rFonts w:ascii="Arial Narrow" w:hAnsi="Arial Narrow"/>
                <w:sz w:val="13"/>
                <w:szCs w:val="13"/>
              </w:rPr>
              <w:t xml:space="preserve"> 8232 (97.08%)</w:t>
            </w:r>
          </w:p>
        </w:tc>
        <w:tc>
          <w:tcPr>
            <w:tcW w:w="2585" w:type="dxa"/>
            <w:tcBorders>
              <w:top w:val="nil"/>
              <w:left w:val="nil"/>
              <w:bottom w:val="nil"/>
            </w:tcBorders>
            <w:tcMar>
              <w:left w:w="202" w:type="dxa"/>
              <w:right w:w="216" w:type="dxa"/>
            </w:tcMar>
          </w:tcPr>
          <w:p w14:paraId="1B01B0D3"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17:</w:t>
            </w:r>
            <w:r>
              <w:rPr>
                <w:rFonts w:ascii="Arial Narrow" w:hAnsi="Arial Narrow"/>
                <w:sz w:val="13"/>
                <w:szCs w:val="13"/>
              </w:rPr>
              <w:t xml:space="preserve"> 7346 (86.63%)</w:t>
            </w:r>
          </w:p>
        </w:tc>
      </w:tr>
      <w:tr w:rsidR="003876A3" w:rsidRPr="00FE278F" w14:paraId="2D5B2928" w14:textId="77777777" w:rsidTr="003876A3">
        <w:trPr>
          <w:cantSplit/>
        </w:trPr>
        <w:tc>
          <w:tcPr>
            <w:tcW w:w="2005" w:type="dxa"/>
            <w:tcBorders>
              <w:top w:val="nil"/>
              <w:bottom w:val="nil"/>
              <w:right w:val="nil"/>
            </w:tcBorders>
            <w:tcMar>
              <w:left w:w="216" w:type="dxa"/>
              <w:right w:w="216" w:type="dxa"/>
            </w:tcMar>
          </w:tcPr>
          <w:p w14:paraId="50B4C801"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4:</w:t>
            </w:r>
            <w:r w:rsidRPr="005926ED">
              <w:rPr>
                <w:rFonts w:ascii="Arial Narrow" w:hAnsi="Arial Narrow"/>
                <w:sz w:val="13"/>
                <w:szCs w:val="13"/>
              </w:rPr>
              <w:t xml:space="preserve"> 12016 (93.83%)</w:t>
            </w:r>
          </w:p>
        </w:tc>
        <w:tc>
          <w:tcPr>
            <w:tcW w:w="1530" w:type="dxa"/>
            <w:tcBorders>
              <w:top w:val="nil"/>
              <w:left w:val="nil"/>
              <w:bottom w:val="nil"/>
              <w:right w:val="nil"/>
            </w:tcBorders>
            <w:tcMar>
              <w:left w:w="202" w:type="dxa"/>
              <w:right w:w="187" w:type="dxa"/>
            </w:tcMar>
          </w:tcPr>
          <w:p w14:paraId="4269BE88"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18: 10839 (84.64%)</w:t>
            </w:r>
          </w:p>
        </w:tc>
        <w:tc>
          <w:tcPr>
            <w:tcW w:w="1890" w:type="dxa"/>
            <w:tcBorders>
              <w:top w:val="nil"/>
              <w:left w:val="nil"/>
              <w:bottom w:val="nil"/>
              <w:right w:val="nil"/>
            </w:tcBorders>
            <w:tcMar>
              <w:left w:w="216" w:type="dxa"/>
              <w:right w:w="216" w:type="dxa"/>
            </w:tcMar>
          </w:tcPr>
          <w:p w14:paraId="6DBF3E05"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4:</w:t>
            </w:r>
            <w:r>
              <w:rPr>
                <w:rFonts w:ascii="Arial Narrow" w:hAnsi="Arial Narrow"/>
                <w:sz w:val="13"/>
                <w:szCs w:val="13"/>
              </w:rPr>
              <w:t xml:space="preserve"> 4004 (92.56%)</w:t>
            </w:r>
          </w:p>
        </w:tc>
        <w:tc>
          <w:tcPr>
            <w:tcW w:w="1620" w:type="dxa"/>
            <w:tcBorders>
              <w:top w:val="nil"/>
              <w:left w:val="nil"/>
              <w:bottom w:val="nil"/>
              <w:right w:val="nil"/>
            </w:tcBorders>
            <w:tcMar>
              <w:left w:w="202" w:type="dxa"/>
              <w:right w:w="216" w:type="dxa"/>
            </w:tcMar>
          </w:tcPr>
          <w:p w14:paraId="5CBB451E"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18:</w:t>
            </w:r>
            <w:r>
              <w:rPr>
                <w:rFonts w:ascii="Arial Narrow" w:hAnsi="Arial Narrow"/>
                <w:sz w:val="13"/>
                <w:szCs w:val="13"/>
              </w:rPr>
              <w:t xml:space="preserve"> 3522 (81.41%)</w:t>
            </w:r>
          </w:p>
        </w:tc>
        <w:tc>
          <w:tcPr>
            <w:tcW w:w="1890" w:type="dxa"/>
            <w:tcBorders>
              <w:top w:val="nil"/>
              <w:left w:val="nil"/>
              <w:bottom w:val="nil"/>
              <w:right w:val="nil"/>
            </w:tcBorders>
            <w:tcMar>
              <w:left w:w="216" w:type="dxa"/>
              <w:right w:w="216" w:type="dxa"/>
            </w:tcMar>
          </w:tcPr>
          <w:p w14:paraId="1757811E"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4:</w:t>
            </w:r>
            <w:r>
              <w:rPr>
                <w:rFonts w:ascii="Arial Narrow" w:hAnsi="Arial Narrow"/>
                <w:sz w:val="13"/>
                <w:szCs w:val="13"/>
              </w:rPr>
              <w:t xml:space="preserve"> 8012 (94.48%)</w:t>
            </w:r>
          </w:p>
        </w:tc>
        <w:tc>
          <w:tcPr>
            <w:tcW w:w="2585" w:type="dxa"/>
            <w:tcBorders>
              <w:top w:val="nil"/>
              <w:left w:val="nil"/>
              <w:bottom w:val="nil"/>
            </w:tcBorders>
            <w:tcMar>
              <w:left w:w="202" w:type="dxa"/>
              <w:right w:w="216" w:type="dxa"/>
            </w:tcMar>
          </w:tcPr>
          <w:p w14:paraId="130120FC"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18:</w:t>
            </w:r>
            <w:r>
              <w:rPr>
                <w:rFonts w:ascii="Arial Narrow" w:hAnsi="Arial Narrow"/>
                <w:sz w:val="13"/>
                <w:szCs w:val="13"/>
              </w:rPr>
              <w:t xml:space="preserve"> 7317 (86.29%)</w:t>
            </w:r>
          </w:p>
        </w:tc>
      </w:tr>
      <w:tr w:rsidR="003876A3" w:rsidRPr="00FE278F" w14:paraId="1C55624B" w14:textId="77777777" w:rsidTr="003876A3">
        <w:trPr>
          <w:cantSplit/>
        </w:trPr>
        <w:tc>
          <w:tcPr>
            <w:tcW w:w="2005" w:type="dxa"/>
            <w:tcBorders>
              <w:top w:val="nil"/>
              <w:bottom w:val="nil"/>
              <w:right w:val="nil"/>
            </w:tcBorders>
            <w:tcMar>
              <w:left w:w="216" w:type="dxa"/>
              <w:right w:w="216" w:type="dxa"/>
            </w:tcMar>
          </w:tcPr>
          <w:p w14:paraId="1D46B38F"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5:</w:t>
            </w:r>
            <w:r w:rsidRPr="005926ED">
              <w:rPr>
                <w:rFonts w:ascii="Arial Narrow" w:hAnsi="Arial Narrow"/>
                <w:sz w:val="13"/>
                <w:szCs w:val="13"/>
              </w:rPr>
              <w:t xml:space="preserve"> 11804 (92.18%)</w:t>
            </w:r>
          </w:p>
        </w:tc>
        <w:tc>
          <w:tcPr>
            <w:tcW w:w="1530" w:type="dxa"/>
            <w:tcBorders>
              <w:top w:val="nil"/>
              <w:left w:val="nil"/>
              <w:bottom w:val="nil"/>
              <w:right w:val="nil"/>
            </w:tcBorders>
            <w:tcMar>
              <w:left w:w="202" w:type="dxa"/>
              <w:right w:w="187" w:type="dxa"/>
            </w:tcMar>
          </w:tcPr>
          <w:p w14:paraId="3C632820"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19: 10828 (84.55%)</w:t>
            </w:r>
          </w:p>
        </w:tc>
        <w:tc>
          <w:tcPr>
            <w:tcW w:w="1890" w:type="dxa"/>
            <w:tcBorders>
              <w:top w:val="nil"/>
              <w:left w:val="nil"/>
              <w:bottom w:val="nil"/>
              <w:right w:val="nil"/>
            </w:tcBorders>
            <w:tcMar>
              <w:left w:w="216" w:type="dxa"/>
              <w:right w:w="216" w:type="dxa"/>
            </w:tcMar>
          </w:tcPr>
          <w:p w14:paraId="43072FC9"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5:</w:t>
            </w:r>
            <w:r>
              <w:rPr>
                <w:rFonts w:ascii="Arial Narrow" w:hAnsi="Arial Narrow"/>
                <w:sz w:val="13"/>
                <w:szCs w:val="13"/>
              </w:rPr>
              <w:t xml:space="preserve"> 3901 (90.18%)</w:t>
            </w:r>
          </w:p>
        </w:tc>
        <w:tc>
          <w:tcPr>
            <w:tcW w:w="1620" w:type="dxa"/>
            <w:tcBorders>
              <w:top w:val="nil"/>
              <w:left w:val="nil"/>
              <w:bottom w:val="nil"/>
              <w:right w:val="nil"/>
            </w:tcBorders>
            <w:tcMar>
              <w:left w:w="202" w:type="dxa"/>
              <w:right w:w="216" w:type="dxa"/>
            </w:tcMar>
          </w:tcPr>
          <w:p w14:paraId="05C11BE6"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19:</w:t>
            </w:r>
            <w:r>
              <w:rPr>
                <w:rFonts w:ascii="Arial Narrow" w:hAnsi="Arial Narrow"/>
                <w:sz w:val="13"/>
                <w:szCs w:val="13"/>
              </w:rPr>
              <w:t xml:space="preserve"> 3514 (81.23%)</w:t>
            </w:r>
          </w:p>
        </w:tc>
        <w:tc>
          <w:tcPr>
            <w:tcW w:w="1890" w:type="dxa"/>
            <w:tcBorders>
              <w:top w:val="nil"/>
              <w:left w:val="nil"/>
              <w:bottom w:val="nil"/>
              <w:right w:val="nil"/>
            </w:tcBorders>
            <w:tcMar>
              <w:left w:w="216" w:type="dxa"/>
              <w:right w:w="216" w:type="dxa"/>
            </w:tcMar>
          </w:tcPr>
          <w:p w14:paraId="5C57ECEB"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5:</w:t>
            </w:r>
            <w:r>
              <w:rPr>
                <w:rFonts w:ascii="Arial Narrow" w:hAnsi="Arial Narrow"/>
                <w:sz w:val="13"/>
                <w:szCs w:val="13"/>
              </w:rPr>
              <w:t xml:space="preserve"> 7903 (93.20%)</w:t>
            </w:r>
          </w:p>
        </w:tc>
        <w:tc>
          <w:tcPr>
            <w:tcW w:w="2585" w:type="dxa"/>
            <w:tcBorders>
              <w:top w:val="nil"/>
              <w:left w:val="nil"/>
              <w:bottom w:val="nil"/>
            </w:tcBorders>
            <w:tcMar>
              <w:left w:w="202" w:type="dxa"/>
              <w:right w:w="216" w:type="dxa"/>
            </w:tcMar>
          </w:tcPr>
          <w:p w14:paraId="3428CD36"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19:</w:t>
            </w:r>
            <w:r>
              <w:rPr>
                <w:rFonts w:ascii="Arial Narrow" w:hAnsi="Arial Narrow"/>
                <w:sz w:val="13"/>
                <w:szCs w:val="13"/>
              </w:rPr>
              <w:t xml:space="preserve"> 7314 (86.25%)</w:t>
            </w:r>
          </w:p>
        </w:tc>
      </w:tr>
      <w:tr w:rsidR="003876A3" w:rsidRPr="00FE278F" w14:paraId="0A9F6364" w14:textId="77777777" w:rsidTr="003876A3">
        <w:trPr>
          <w:cantSplit/>
        </w:trPr>
        <w:tc>
          <w:tcPr>
            <w:tcW w:w="2005" w:type="dxa"/>
            <w:tcBorders>
              <w:top w:val="nil"/>
              <w:bottom w:val="nil"/>
              <w:right w:val="nil"/>
            </w:tcBorders>
            <w:tcMar>
              <w:left w:w="216" w:type="dxa"/>
              <w:right w:w="216" w:type="dxa"/>
            </w:tcMar>
          </w:tcPr>
          <w:p w14:paraId="12A88A46"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6:</w:t>
            </w:r>
            <w:r w:rsidRPr="005926ED">
              <w:rPr>
                <w:rFonts w:ascii="Arial Narrow" w:hAnsi="Arial Narrow"/>
                <w:sz w:val="13"/>
                <w:szCs w:val="13"/>
              </w:rPr>
              <w:t xml:space="preserve"> 11783 (92.01%)</w:t>
            </w:r>
          </w:p>
        </w:tc>
        <w:tc>
          <w:tcPr>
            <w:tcW w:w="1530" w:type="dxa"/>
            <w:tcBorders>
              <w:top w:val="nil"/>
              <w:left w:val="nil"/>
              <w:bottom w:val="nil"/>
              <w:right w:val="nil"/>
            </w:tcBorders>
            <w:tcMar>
              <w:left w:w="202" w:type="dxa"/>
              <w:right w:w="187" w:type="dxa"/>
            </w:tcMar>
          </w:tcPr>
          <w:p w14:paraId="66CD6DA7"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20: 10811 (84.42%)</w:t>
            </w:r>
          </w:p>
        </w:tc>
        <w:tc>
          <w:tcPr>
            <w:tcW w:w="1890" w:type="dxa"/>
            <w:tcBorders>
              <w:top w:val="nil"/>
              <w:left w:val="nil"/>
              <w:bottom w:val="nil"/>
              <w:right w:val="nil"/>
            </w:tcBorders>
            <w:tcMar>
              <w:left w:w="216" w:type="dxa"/>
              <w:right w:w="216" w:type="dxa"/>
            </w:tcMar>
          </w:tcPr>
          <w:p w14:paraId="71F491C8"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6:</w:t>
            </w:r>
            <w:r>
              <w:rPr>
                <w:rFonts w:ascii="Arial Narrow" w:hAnsi="Arial Narrow"/>
                <w:sz w:val="13"/>
                <w:szCs w:val="13"/>
              </w:rPr>
              <w:t xml:space="preserve"> 3899 (90.13%)</w:t>
            </w:r>
          </w:p>
        </w:tc>
        <w:tc>
          <w:tcPr>
            <w:tcW w:w="1620" w:type="dxa"/>
            <w:tcBorders>
              <w:top w:val="nil"/>
              <w:left w:val="nil"/>
              <w:bottom w:val="nil"/>
              <w:right w:val="nil"/>
            </w:tcBorders>
            <w:tcMar>
              <w:left w:w="202" w:type="dxa"/>
              <w:right w:w="216" w:type="dxa"/>
            </w:tcMar>
          </w:tcPr>
          <w:p w14:paraId="4E8997FF"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20:</w:t>
            </w:r>
            <w:r>
              <w:rPr>
                <w:rFonts w:ascii="Arial Narrow" w:hAnsi="Arial Narrow"/>
                <w:sz w:val="13"/>
                <w:szCs w:val="13"/>
              </w:rPr>
              <w:t xml:space="preserve"> 3501 (80.93%)</w:t>
            </w:r>
          </w:p>
        </w:tc>
        <w:tc>
          <w:tcPr>
            <w:tcW w:w="1890" w:type="dxa"/>
            <w:tcBorders>
              <w:top w:val="nil"/>
              <w:left w:val="nil"/>
              <w:bottom w:val="nil"/>
              <w:right w:val="nil"/>
            </w:tcBorders>
            <w:tcMar>
              <w:left w:w="216" w:type="dxa"/>
              <w:right w:w="216" w:type="dxa"/>
            </w:tcMar>
          </w:tcPr>
          <w:p w14:paraId="0F98F286"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6:</w:t>
            </w:r>
            <w:r>
              <w:rPr>
                <w:rFonts w:ascii="Arial Narrow" w:hAnsi="Arial Narrow"/>
                <w:sz w:val="13"/>
                <w:szCs w:val="13"/>
              </w:rPr>
              <w:t xml:space="preserve"> 7884 (92.97%)</w:t>
            </w:r>
          </w:p>
        </w:tc>
        <w:tc>
          <w:tcPr>
            <w:tcW w:w="2585" w:type="dxa"/>
            <w:tcBorders>
              <w:top w:val="nil"/>
              <w:left w:val="nil"/>
              <w:bottom w:val="nil"/>
            </w:tcBorders>
            <w:tcMar>
              <w:left w:w="202" w:type="dxa"/>
              <w:right w:w="216" w:type="dxa"/>
            </w:tcMar>
          </w:tcPr>
          <w:p w14:paraId="799CACD5"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20:</w:t>
            </w:r>
            <w:r>
              <w:rPr>
                <w:rFonts w:ascii="Arial Narrow" w:hAnsi="Arial Narrow"/>
                <w:sz w:val="13"/>
                <w:szCs w:val="13"/>
              </w:rPr>
              <w:t xml:space="preserve"> 7310 (86.20%)</w:t>
            </w:r>
          </w:p>
        </w:tc>
      </w:tr>
      <w:tr w:rsidR="003876A3" w:rsidRPr="00FE278F" w14:paraId="246DE44B" w14:textId="77777777" w:rsidTr="003876A3">
        <w:trPr>
          <w:cantSplit/>
        </w:trPr>
        <w:tc>
          <w:tcPr>
            <w:tcW w:w="2005" w:type="dxa"/>
            <w:tcBorders>
              <w:top w:val="nil"/>
              <w:bottom w:val="nil"/>
              <w:right w:val="nil"/>
            </w:tcBorders>
            <w:tcMar>
              <w:left w:w="216" w:type="dxa"/>
              <w:right w:w="216" w:type="dxa"/>
            </w:tcMar>
          </w:tcPr>
          <w:p w14:paraId="1FB4981F"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7:</w:t>
            </w:r>
            <w:r w:rsidRPr="005926ED">
              <w:rPr>
                <w:rFonts w:ascii="Arial Narrow" w:hAnsi="Arial Narrow"/>
                <w:sz w:val="13"/>
                <w:szCs w:val="13"/>
              </w:rPr>
              <w:t xml:space="preserve"> 11681 (91.22%)</w:t>
            </w:r>
          </w:p>
        </w:tc>
        <w:tc>
          <w:tcPr>
            <w:tcW w:w="1530" w:type="dxa"/>
            <w:tcBorders>
              <w:top w:val="nil"/>
              <w:left w:val="nil"/>
              <w:bottom w:val="nil"/>
              <w:right w:val="nil"/>
            </w:tcBorders>
            <w:tcMar>
              <w:left w:w="202" w:type="dxa"/>
              <w:right w:w="187" w:type="dxa"/>
            </w:tcMar>
          </w:tcPr>
          <w:p w14:paraId="6E3C97DA"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21: 10743 (83.89%)</w:t>
            </w:r>
          </w:p>
        </w:tc>
        <w:tc>
          <w:tcPr>
            <w:tcW w:w="1890" w:type="dxa"/>
            <w:tcBorders>
              <w:top w:val="nil"/>
              <w:left w:val="nil"/>
              <w:bottom w:val="nil"/>
              <w:right w:val="nil"/>
            </w:tcBorders>
            <w:tcMar>
              <w:left w:w="216" w:type="dxa"/>
              <w:right w:w="216" w:type="dxa"/>
            </w:tcMar>
          </w:tcPr>
          <w:p w14:paraId="259A880C"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7:</w:t>
            </w:r>
            <w:r>
              <w:rPr>
                <w:rFonts w:ascii="Arial Narrow" w:hAnsi="Arial Narrow"/>
                <w:sz w:val="13"/>
                <w:szCs w:val="13"/>
              </w:rPr>
              <w:t xml:space="preserve"> 3846 (88.90%)</w:t>
            </w:r>
          </w:p>
        </w:tc>
        <w:tc>
          <w:tcPr>
            <w:tcW w:w="1620" w:type="dxa"/>
            <w:tcBorders>
              <w:top w:val="nil"/>
              <w:left w:val="nil"/>
              <w:bottom w:val="nil"/>
              <w:right w:val="nil"/>
            </w:tcBorders>
            <w:tcMar>
              <w:left w:w="202" w:type="dxa"/>
              <w:right w:w="216" w:type="dxa"/>
            </w:tcMar>
          </w:tcPr>
          <w:p w14:paraId="346205F5"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21:</w:t>
            </w:r>
            <w:r>
              <w:rPr>
                <w:rFonts w:ascii="Arial Narrow" w:hAnsi="Arial Narrow"/>
                <w:sz w:val="13"/>
                <w:szCs w:val="13"/>
              </w:rPr>
              <w:t xml:space="preserve"> 3478 (80.40%)</w:t>
            </w:r>
          </w:p>
        </w:tc>
        <w:tc>
          <w:tcPr>
            <w:tcW w:w="1890" w:type="dxa"/>
            <w:tcBorders>
              <w:top w:val="nil"/>
              <w:left w:val="nil"/>
              <w:bottom w:val="nil"/>
              <w:right w:val="nil"/>
            </w:tcBorders>
            <w:tcMar>
              <w:left w:w="216" w:type="dxa"/>
              <w:right w:w="216" w:type="dxa"/>
            </w:tcMar>
          </w:tcPr>
          <w:p w14:paraId="2F8B5A6D"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7:</w:t>
            </w:r>
            <w:r>
              <w:rPr>
                <w:rFonts w:ascii="Arial Narrow" w:hAnsi="Arial Narrow"/>
                <w:sz w:val="13"/>
                <w:szCs w:val="13"/>
              </w:rPr>
              <w:t xml:space="preserve"> 7835 (92.39%)</w:t>
            </w:r>
          </w:p>
        </w:tc>
        <w:tc>
          <w:tcPr>
            <w:tcW w:w="2585" w:type="dxa"/>
            <w:tcBorders>
              <w:top w:val="nil"/>
              <w:left w:val="nil"/>
              <w:bottom w:val="nil"/>
            </w:tcBorders>
            <w:tcMar>
              <w:left w:w="202" w:type="dxa"/>
              <w:right w:w="216" w:type="dxa"/>
            </w:tcMar>
          </w:tcPr>
          <w:p w14:paraId="1018D9F2"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21:</w:t>
            </w:r>
            <w:r>
              <w:rPr>
                <w:rFonts w:ascii="Arial Narrow" w:hAnsi="Arial Narrow"/>
                <w:sz w:val="13"/>
                <w:szCs w:val="13"/>
              </w:rPr>
              <w:t xml:space="preserve"> 7265 (85.67%)</w:t>
            </w:r>
          </w:p>
        </w:tc>
      </w:tr>
      <w:tr w:rsidR="003876A3" w:rsidRPr="00FE278F" w14:paraId="779027F2" w14:textId="77777777" w:rsidTr="003876A3">
        <w:trPr>
          <w:cantSplit/>
        </w:trPr>
        <w:tc>
          <w:tcPr>
            <w:tcW w:w="2005" w:type="dxa"/>
            <w:tcBorders>
              <w:top w:val="nil"/>
              <w:bottom w:val="nil"/>
              <w:right w:val="nil"/>
            </w:tcBorders>
            <w:tcMar>
              <w:left w:w="216" w:type="dxa"/>
              <w:right w:w="216" w:type="dxa"/>
            </w:tcMar>
          </w:tcPr>
          <w:p w14:paraId="26DBE0BF"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8:</w:t>
            </w:r>
            <w:r w:rsidRPr="005926ED">
              <w:rPr>
                <w:rFonts w:ascii="Arial Narrow" w:hAnsi="Arial Narrow"/>
                <w:sz w:val="13"/>
                <w:szCs w:val="13"/>
              </w:rPr>
              <w:t xml:space="preserve"> 11480 (89.65%)</w:t>
            </w:r>
          </w:p>
        </w:tc>
        <w:tc>
          <w:tcPr>
            <w:tcW w:w="1530" w:type="dxa"/>
            <w:tcBorders>
              <w:top w:val="nil"/>
              <w:left w:val="nil"/>
              <w:bottom w:val="nil"/>
              <w:right w:val="nil"/>
            </w:tcBorders>
            <w:tcMar>
              <w:left w:w="202" w:type="dxa"/>
              <w:right w:w="187" w:type="dxa"/>
            </w:tcMar>
          </w:tcPr>
          <w:p w14:paraId="5C49CE82"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22: 10766 (84.07%)</w:t>
            </w:r>
          </w:p>
        </w:tc>
        <w:tc>
          <w:tcPr>
            <w:tcW w:w="1890" w:type="dxa"/>
            <w:tcBorders>
              <w:top w:val="nil"/>
              <w:left w:val="nil"/>
              <w:bottom w:val="nil"/>
              <w:right w:val="nil"/>
            </w:tcBorders>
            <w:tcMar>
              <w:left w:w="216" w:type="dxa"/>
              <w:right w:w="216" w:type="dxa"/>
            </w:tcMar>
          </w:tcPr>
          <w:p w14:paraId="16844A3D"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8:</w:t>
            </w:r>
            <w:r>
              <w:rPr>
                <w:rFonts w:ascii="Arial Narrow" w:hAnsi="Arial Narrow"/>
                <w:sz w:val="13"/>
                <w:szCs w:val="13"/>
              </w:rPr>
              <w:t xml:space="preserve"> 3779 (87.36%)</w:t>
            </w:r>
          </w:p>
        </w:tc>
        <w:tc>
          <w:tcPr>
            <w:tcW w:w="1620" w:type="dxa"/>
            <w:tcBorders>
              <w:top w:val="nil"/>
              <w:left w:val="nil"/>
              <w:bottom w:val="nil"/>
              <w:right w:val="nil"/>
            </w:tcBorders>
            <w:tcMar>
              <w:left w:w="202" w:type="dxa"/>
              <w:right w:w="216" w:type="dxa"/>
            </w:tcMar>
          </w:tcPr>
          <w:p w14:paraId="6C20C70C"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22:</w:t>
            </w:r>
            <w:r>
              <w:rPr>
                <w:rFonts w:ascii="Arial Narrow" w:hAnsi="Arial Narrow"/>
                <w:sz w:val="13"/>
                <w:szCs w:val="13"/>
              </w:rPr>
              <w:t xml:space="preserve"> 3482 (80.49%)</w:t>
            </w:r>
          </w:p>
        </w:tc>
        <w:tc>
          <w:tcPr>
            <w:tcW w:w="1890" w:type="dxa"/>
            <w:tcBorders>
              <w:top w:val="nil"/>
              <w:left w:val="nil"/>
              <w:bottom w:val="nil"/>
              <w:right w:val="nil"/>
            </w:tcBorders>
            <w:tcMar>
              <w:left w:w="216" w:type="dxa"/>
              <w:right w:w="216" w:type="dxa"/>
            </w:tcMar>
          </w:tcPr>
          <w:p w14:paraId="4080FCBD"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8:</w:t>
            </w:r>
            <w:r>
              <w:rPr>
                <w:rFonts w:ascii="Arial Narrow" w:hAnsi="Arial Narrow"/>
                <w:sz w:val="13"/>
                <w:szCs w:val="13"/>
              </w:rPr>
              <w:t xml:space="preserve"> 7701 (90.81%)</w:t>
            </w:r>
          </w:p>
        </w:tc>
        <w:tc>
          <w:tcPr>
            <w:tcW w:w="2585" w:type="dxa"/>
            <w:tcBorders>
              <w:top w:val="nil"/>
              <w:left w:val="nil"/>
              <w:bottom w:val="nil"/>
            </w:tcBorders>
            <w:tcMar>
              <w:left w:w="202" w:type="dxa"/>
              <w:right w:w="216" w:type="dxa"/>
            </w:tcMar>
          </w:tcPr>
          <w:p w14:paraId="2F6CAF5C"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22:</w:t>
            </w:r>
            <w:r>
              <w:rPr>
                <w:rFonts w:ascii="Arial Narrow" w:hAnsi="Arial Narrow"/>
                <w:sz w:val="13"/>
                <w:szCs w:val="13"/>
              </w:rPr>
              <w:t xml:space="preserve"> 7284 (85.90%)</w:t>
            </w:r>
          </w:p>
        </w:tc>
      </w:tr>
      <w:tr w:rsidR="003876A3" w:rsidRPr="00FE278F" w14:paraId="545B43BC" w14:textId="77777777" w:rsidTr="003876A3">
        <w:trPr>
          <w:cantSplit/>
        </w:trPr>
        <w:tc>
          <w:tcPr>
            <w:tcW w:w="2005" w:type="dxa"/>
            <w:tcBorders>
              <w:top w:val="nil"/>
              <w:bottom w:val="nil"/>
              <w:right w:val="nil"/>
            </w:tcBorders>
            <w:tcMar>
              <w:left w:w="216" w:type="dxa"/>
              <w:right w:w="216" w:type="dxa"/>
            </w:tcMar>
          </w:tcPr>
          <w:p w14:paraId="705972B6"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9:</w:t>
            </w:r>
            <w:r w:rsidRPr="005926ED">
              <w:rPr>
                <w:rFonts w:ascii="Arial Narrow" w:hAnsi="Arial Narrow"/>
                <w:sz w:val="13"/>
                <w:szCs w:val="13"/>
              </w:rPr>
              <w:t xml:space="preserve"> 11361 (88.72%)</w:t>
            </w:r>
          </w:p>
        </w:tc>
        <w:tc>
          <w:tcPr>
            <w:tcW w:w="1530" w:type="dxa"/>
            <w:tcBorders>
              <w:top w:val="nil"/>
              <w:left w:val="nil"/>
              <w:bottom w:val="nil"/>
              <w:right w:val="nil"/>
            </w:tcBorders>
            <w:tcMar>
              <w:left w:w="202" w:type="dxa"/>
              <w:right w:w="187" w:type="dxa"/>
            </w:tcMar>
          </w:tcPr>
          <w:p w14:paraId="32929D70"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23: 10739 (83.86%)</w:t>
            </w:r>
          </w:p>
        </w:tc>
        <w:tc>
          <w:tcPr>
            <w:tcW w:w="1890" w:type="dxa"/>
            <w:tcBorders>
              <w:top w:val="nil"/>
              <w:left w:val="nil"/>
              <w:bottom w:val="nil"/>
              <w:right w:val="nil"/>
            </w:tcBorders>
            <w:tcMar>
              <w:left w:w="216" w:type="dxa"/>
              <w:right w:w="216" w:type="dxa"/>
            </w:tcMar>
          </w:tcPr>
          <w:p w14:paraId="3DAEAC20"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9:</w:t>
            </w:r>
            <w:r>
              <w:rPr>
                <w:rFonts w:ascii="Arial Narrow" w:hAnsi="Arial Narrow"/>
                <w:sz w:val="13"/>
                <w:szCs w:val="13"/>
              </w:rPr>
              <w:t xml:space="preserve"> 3727 (86.15%)</w:t>
            </w:r>
          </w:p>
        </w:tc>
        <w:tc>
          <w:tcPr>
            <w:tcW w:w="1620" w:type="dxa"/>
            <w:tcBorders>
              <w:top w:val="nil"/>
              <w:left w:val="nil"/>
              <w:bottom w:val="nil"/>
              <w:right w:val="nil"/>
            </w:tcBorders>
            <w:tcMar>
              <w:left w:w="202" w:type="dxa"/>
              <w:right w:w="216" w:type="dxa"/>
            </w:tcMar>
          </w:tcPr>
          <w:p w14:paraId="710E2AAD"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23:</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14:paraId="478833FF"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9:</w:t>
            </w:r>
            <w:r>
              <w:rPr>
                <w:rFonts w:ascii="Arial Narrow" w:hAnsi="Arial Narrow"/>
                <w:sz w:val="13"/>
                <w:szCs w:val="13"/>
              </w:rPr>
              <w:t xml:space="preserve"> 7634 (90.02%)</w:t>
            </w:r>
          </w:p>
        </w:tc>
        <w:tc>
          <w:tcPr>
            <w:tcW w:w="2585" w:type="dxa"/>
            <w:tcBorders>
              <w:top w:val="nil"/>
              <w:left w:val="nil"/>
              <w:bottom w:val="nil"/>
            </w:tcBorders>
            <w:tcMar>
              <w:left w:w="202" w:type="dxa"/>
              <w:right w:w="216" w:type="dxa"/>
            </w:tcMar>
          </w:tcPr>
          <w:p w14:paraId="4F3F8EEF"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23:</w:t>
            </w:r>
            <w:r>
              <w:rPr>
                <w:rFonts w:ascii="Arial Narrow" w:hAnsi="Arial Narrow"/>
                <w:sz w:val="13"/>
                <w:szCs w:val="13"/>
              </w:rPr>
              <w:t xml:space="preserve"> 7266 (85.68%)</w:t>
            </w:r>
          </w:p>
        </w:tc>
      </w:tr>
      <w:tr w:rsidR="003876A3" w:rsidRPr="00FE278F" w14:paraId="02E3A334" w14:textId="77777777" w:rsidTr="003876A3">
        <w:trPr>
          <w:cantSplit/>
        </w:trPr>
        <w:tc>
          <w:tcPr>
            <w:tcW w:w="2005" w:type="dxa"/>
            <w:tcBorders>
              <w:top w:val="nil"/>
              <w:bottom w:val="nil"/>
              <w:right w:val="nil"/>
            </w:tcBorders>
            <w:tcMar>
              <w:left w:w="216" w:type="dxa"/>
              <w:right w:w="216" w:type="dxa"/>
            </w:tcMar>
          </w:tcPr>
          <w:p w14:paraId="4C426620"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10:</w:t>
            </w:r>
            <w:r w:rsidRPr="005926ED">
              <w:rPr>
                <w:rFonts w:ascii="Arial Narrow" w:hAnsi="Arial Narrow"/>
                <w:sz w:val="13"/>
                <w:szCs w:val="13"/>
              </w:rPr>
              <w:t xml:space="preserve"> 11333 (88.50%)</w:t>
            </w:r>
          </w:p>
        </w:tc>
        <w:tc>
          <w:tcPr>
            <w:tcW w:w="1530" w:type="dxa"/>
            <w:tcBorders>
              <w:top w:val="nil"/>
              <w:left w:val="nil"/>
              <w:bottom w:val="nil"/>
              <w:right w:val="nil"/>
            </w:tcBorders>
            <w:tcMar>
              <w:left w:w="202" w:type="dxa"/>
              <w:right w:w="187" w:type="dxa"/>
            </w:tcMar>
          </w:tcPr>
          <w:p w14:paraId="2A54C9DF"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24: 10735 (83.83%)</w:t>
            </w:r>
          </w:p>
        </w:tc>
        <w:tc>
          <w:tcPr>
            <w:tcW w:w="1890" w:type="dxa"/>
            <w:tcBorders>
              <w:top w:val="nil"/>
              <w:left w:val="nil"/>
              <w:bottom w:val="nil"/>
              <w:right w:val="nil"/>
            </w:tcBorders>
            <w:tcMar>
              <w:left w:w="216" w:type="dxa"/>
              <w:right w:w="216" w:type="dxa"/>
            </w:tcMar>
          </w:tcPr>
          <w:p w14:paraId="11D1273D"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10:</w:t>
            </w:r>
            <w:r>
              <w:rPr>
                <w:rFonts w:ascii="Arial Narrow" w:hAnsi="Arial Narrow"/>
                <w:sz w:val="13"/>
                <w:szCs w:val="13"/>
              </w:rPr>
              <w:t xml:space="preserve"> 3719 (85.97%)</w:t>
            </w:r>
          </w:p>
        </w:tc>
        <w:tc>
          <w:tcPr>
            <w:tcW w:w="1620" w:type="dxa"/>
            <w:tcBorders>
              <w:top w:val="nil"/>
              <w:left w:val="nil"/>
              <w:bottom w:val="nil"/>
              <w:right w:val="nil"/>
            </w:tcBorders>
            <w:tcMar>
              <w:left w:w="202" w:type="dxa"/>
              <w:right w:w="216" w:type="dxa"/>
            </w:tcMar>
          </w:tcPr>
          <w:p w14:paraId="1FDAFD9E"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24:</w:t>
            </w:r>
            <w:r>
              <w:rPr>
                <w:rFonts w:ascii="Arial Narrow" w:hAnsi="Arial Narrow"/>
                <w:sz w:val="13"/>
                <w:szCs w:val="13"/>
              </w:rPr>
              <w:t xml:space="preserve"> 3471 (80.24%)</w:t>
            </w:r>
          </w:p>
        </w:tc>
        <w:tc>
          <w:tcPr>
            <w:tcW w:w="1890" w:type="dxa"/>
            <w:tcBorders>
              <w:top w:val="nil"/>
              <w:left w:val="nil"/>
              <w:bottom w:val="nil"/>
              <w:right w:val="nil"/>
            </w:tcBorders>
            <w:tcMar>
              <w:left w:w="216" w:type="dxa"/>
              <w:right w:w="216" w:type="dxa"/>
            </w:tcMar>
          </w:tcPr>
          <w:p w14:paraId="2F40618E"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10:</w:t>
            </w:r>
            <w:r>
              <w:rPr>
                <w:rFonts w:ascii="Arial Narrow" w:hAnsi="Arial Narrow"/>
                <w:sz w:val="13"/>
                <w:szCs w:val="13"/>
              </w:rPr>
              <w:t xml:space="preserve"> 7614 (89.79%)</w:t>
            </w:r>
          </w:p>
        </w:tc>
        <w:tc>
          <w:tcPr>
            <w:tcW w:w="2585" w:type="dxa"/>
            <w:tcBorders>
              <w:top w:val="nil"/>
              <w:left w:val="nil"/>
              <w:bottom w:val="nil"/>
            </w:tcBorders>
            <w:tcMar>
              <w:left w:w="202" w:type="dxa"/>
              <w:right w:w="216" w:type="dxa"/>
            </w:tcMar>
          </w:tcPr>
          <w:p w14:paraId="53EB3F2E"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24:</w:t>
            </w:r>
            <w:r>
              <w:rPr>
                <w:rFonts w:ascii="Arial Narrow" w:hAnsi="Arial Narrow"/>
                <w:sz w:val="13"/>
                <w:szCs w:val="13"/>
              </w:rPr>
              <w:t xml:space="preserve"> 7264 (85.66%)</w:t>
            </w:r>
          </w:p>
        </w:tc>
      </w:tr>
      <w:tr w:rsidR="003876A3" w:rsidRPr="00FE278F" w14:paraId="1A7E63C4" w14:textId="77777777" w:rsidTr="003876A3">
        <w:trPr>
          <w:cantSplit/>
        </w:trPr>
        <w:tc>
          <w:tcPr>
            <w:tcW w:w="2005" w:type="dxa"/>
            <w:tcBorders>
              <w:top w:val="nil"/>
              <w:bottom w:val="nil"/>
              <w:right w:val="nil"/>
            </w:tcBorders>
            <w:tcMar>
              <w:left w:w="216" w:type="dxa"/>
              <w:right w:w="216" w:type="dxa"/>
            </w:tcMar>
          </w:tcPr>
          <w:p w14:paraId="71F8AD0C"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11:</w:t>
            </w:r>
            <w:r w:rsidRPr="005926ED">
              <w:rPr>
                <w:rFonts w:ascii="Arial Narrow" w:hAnsi="Arial Narrow"/>
                <w:sz w:val="13"/>
                <w:szCs w:val="13"/>
              </w:rPr>
              <w:t xml:space="preserve"> 11342 (88.57%)</w:t>
            </w:r>
          </w:p>
        </w:tc>
        <w:tc>
          <w:tcPr>
            <w:tcW w:w="1530" w:type="dxa"/>
            <w:tcBorders>
              <w:top w:val="nil"/>
              <w:left w:val="nil"/>
              <w:bottom w:val="nil"/>
              <w:right w:val="nil"/>
            </w:tcBorders>
            <w:tcMar>
              <w:left w:w="202" w:type="dxa"/>
              <w:right w:w="187" w:type="dxa"/>
            </w:tcMar>
          </w:tcPr>
          <w:p w14:paraId="6C13972D"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25:10722 (83.73%)</w:t>
            </w:r>
          </w:p>
        </w:tc>
        <w:tc>
          <w:tcPr>
            <w:tcW w:w="1890" w:type="dxa"/>
            <w:tcBorders>
              <w:top w:val="nil"/>
              <w:left w:val="nil"/>
              <w:bottom w:val="nil"/>
              <w:right w:val="nil"/>
            </w:tcBorders>
            <w:tcMar>
              <w:left w:w="216" w:type="dxa"/>
              <w:right w:w="216" w:type="dxa"/>
            </w:tcMar>
          </w:tcPr>
          <w:p w14:paraId="469B86D1"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11:</w:t>
            </w:r>
            <w:r>
              <w:rPr>
                <w:rFonts w:ascii="Arial Narrow" w:hAnsi="Arial Narrow"/>
                <w:sz w:val="13"/>
                <w:szCs w:val="13"/>
              </w:rPr>
              <w:t xml:space="preserve"> 3724 (86.08%)</w:t>
            </w:r>
          </w:p>
        </w:tc>
        <w:tc>
          <w:tcPr>
            <w:tcW w:w="1620" w:type="dxa"/>
            <w:tcBorders>
              <w:top w:val="nil"/>
              <w:left w:val="nil"/>
              <w:bottom w:val="nil"/>
              <w:right w:val="nil"/>
            </w:tcBorders>
            <w:tcMar>
              <w:left w:w="202" w:type="dxa"/>
              <w:right w:w="216" w:type="dxa"/>
            </w:tcMar>
          </w:tcPr>
          <w:p w14:paraId="578FE84D"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25:</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14:paraId="46CFACC9"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11:</w:t>
            </w:r>
            <w:r>
              <w:rPr>
                <w:rFonts w:ascii="Arial Narrow" w:hAnsi="Arial Narrow"/>
                <w:sz w:val="13"/>
                <w:szCs w:val="13"/>
              </w:rPr>
              <w:t xml:space="preserve"> 7618 (89.83%)</w:t>
            </w:r>
          </w:p>
        </w:tc>
        <w:tc>
          <w:tcPr>
            <w:tcW w:w="2585" w:type="dxa"/>
            <w:tcBorders>
              <w:top w:val="nil"/>
              <w:left w:val="nil"/>
              <w:bottom w:val="nil"/>
            </w:tcBorders>
            <w:tcMar>
              <w:left w:w="202" w:type="dxa"/>
              <w:right w:w="216" w:type="dxa"/>
            </w:tcMar>
          </w:tcPr>
          <w:p w14:paraId="28247A8E"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25:</w:t>
            </w:r>
            <w:r>
              <w:rPr>
                <w:rFonts w:ascii="Arial Narrow" w:hAnsi="Arial Narrow"/>
                <w:sz w:val="13"/>
                <w:szCs w:val="13"/>
              </w:rPr>
              <w:t xml:space="preserve"> 7249 (85.48%)</w:t>
            </w:r>
          </w:p>
        </w:tc>
      </w:tr>
      <w:tr w:rsidR="003876A3" w:rsidRPr="00FE278F" w14:paraId="6FA21B6B" w14:textId="77777777" w:rsidTr="003876A3">
        <w:trPr>
          <w:cantSplit/>
        </w:trPr>
        <w:tc>
          <w:tcPr>
            <w:tcW w:w="2005" w:type="dxa"/>
            <w:tcBorders>
              <w:top w:val="nil"/>
              <w:bottom w:val="nil"/>
              <w:right w:val="nil"/>
            </w:tcBorders>
            <w:tcMar>
              <w:left w:w="216" w:type="dxa"/>
              <w:right w:w="216" w:type="dxa"/>
            </w:tcMar>
          </w:tcPr>
          <w:p w14:paraId="7DC6294C"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12:</w:t>
            </w:r>
            <w:r w:rsidRPr="005926ED">
              <w:rPr>
                <w:rFonts w:ascii="Arial Narrow" w:hAnsi="Arial Narrow"/>
                <w:sz w:val="13"/>
                <w:szCs w:val="13"/>
              </w:rPr>
              <w:t xml:space="preserve"> 10979 (85.73%)</w:t>
            </w:r>
          </w:p>
        </w:tc>
        <w:tc>
          <w:tcPr>
            <w:tcW w:w="1530" w:type="dxa"/>
            <w:tcBorders>
              <w:top w:val="nil"/>
              <w:left w:val="nil"/>
              <w:bottom w:val="nil"/>
              <w:right w:val="nil"/>
            </w:tcBorders>
            <w:tcMar>
              <w:left w:w="202" w:type="dxa"/>
              <w:right w:w="187" w:type="dxa"/>
            </w:tcMar>
          </w:tcPr>
          <w:p w14:paraId="362B334F"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26: 10495 (81.95%)</w:t>
            </w:r>
          </w:p>
        </w:tc>
        <w:tc>
          <w:tcPr>
            <w:tcW w:w="1890" w:type="dxa"/>
            <w:tcBorders>
              <w:top w:val="nil"/>
              <w:left w:val="nil"/>
              <w:bottom w:val="nil"/>
              <w:right w:val="nil"/>
            </w:tcBorders>
            <w:tcMar>
              <w:left w:w="216" w:type="dxa"/>
              <w:right w:w="216" w:type="dxa"/>
            </w:tcMar>
          </w:tcPr>
          <w:p w14:paraId="325C2A5A"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12:</w:t>
            </w:r>
            <w:r>
              <w:rPr>
                <w:rFonts w:ascii="Arial Narrow" w:hAnsi="Arial Narrow"/>
                <w:sz w:val="13"/>
                <w:szCs w:val="13"/>
              </w:rPr>
              <w:t xml:space="preserve"> 3571 (82.55%)</w:t>
            </w:r>
          </w:p>
        </w:tc>
        <w:tc>
          <w:tcPr>
            <w:tcW w:w="1620" w:type="dxa"/>
            <w:tcBorders>
              <w:top w:val="nil"/>
              <w:left w:val="nil"/>
              <w:bottom w:val="nil"/>
              <w:right w:val="nil"/>
            </w:tcBorders>
            <w:tcMar>
              <w:left w:w="202" w:type="dxa"/>
              <w:right w:w="216" w:type="dxa"/>
            </w:tcMar>
          </w:tcPr>
          <w:p w14:paraId="14D19192"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26:</w:t>
            </w:r>
            <w:r>
              <w:rPr>
                <w:rFonts w:ascii="Arial Narrow" w:hAnsi="Arial Narrow"/>
                <w:sz w:val="13"/>
                <w:szCs w:val="13"/>
              </w:rPr>
              <w:t xml:space="preserve"> 3387 (78.29%)</w:t>
            </w:r>
          </w:p>
        </w:tc>
        <w:tc>
          <w:tcPr>
            <w:tcW w:w="1890" w:type="dxa"/>
            <w:tcBorders>
              <w:top w:val="nil"/>
              <w:left w:val="nil"/>
              <w:bottom w:val="nil"/>
              <w:right w:val="nil"/>
            </w:tcBorders>
            <w:tcMar>
              <w:left w:w="216" w:type="dxa"/>
              <w:right w:w="216" w:type="dxa"/>
            </w:tcMar>
          </w:tcPr>
          <w:p w14:paraId="46CA3D78"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12:</w:t>
            </w:r>
            <w:r>
              <w:rPr>
                <w:rFonts w:ascii="Arial Narrow" w:hAnsi="Arial Narrow"/>
                <w:sz w:val="13"/>
                <w:szCs w:val="13"/>
              </w:rPr>
              <w:t xml:space="preserve"> 7408 (87.36%)</w:t>
            </w:r>
          </w:p>
        </w:tc>
        <w:tc>
          <w:tcPr>
            <w:tcW w:w="2585" w:type="dxa"/>
            <w:tcBorders>
              <w:top w:val="nil"/>
              <w:left w:val="nil"/>
              <w:bottom w:val="nil"/>
            </w:tcBorders>
            <w:tcMar>
              <w:left w:w="202" w:type="dxa"/>
              <w:right w:w="216" w:type="dxa"/>
            </w:tcMar>
          </w:tcPr>
          <w:p w14:paraId="57A4FD9C"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26:</w:t>
            </w:r>
            <w:r>
              <w:rPr>
                <w:rFonts w:ascii="Arial Narrow" w:hAnsi="Arial Narrow"/>
                <w:sz w:val="13"/>
                <w:szCs w:val="13"/>
              </w:rPr>
              <w:t xml:space="preserve"> 7108 (83.82%)</w:t>
            </w:r>
          </w:p>
        </w:tc>
      </w:tr>
      <w:tr w:rsidR="003876A3" w:rsidRPr="00FE278F" w14:paraId="1D159076" w14:textId="77777777" w:rsidTr="003876A3">
        <w:trPr>
          <w:cantSplit/>
        </w:trPr>
        <w:tc>
          <w:tcPr>
            <w:tcW w:w="2005" w:type="dxa"/>
            <w:tcBorders>
              <w:top w:val="nil"/>
              <w:bottom w:val="nil"/>
              <w:right w:val="nil"/>
            </w:tcBorders>
            <w:tcMar>
              <w:left w:w="216" w:type="dxa"/>
              <w:right w:w="216" w:type="dxa"/>
            </w:tcMar>
          </w:tcPr>
          <w:p w14:paraId="3902B83B"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13:</w:t>
            </w:r>
            <w:r w:rsidRPr="005926ED">
              <w:rPr>
                <w:rFonts w:ascii="Arial Narrow" w:hAnsi="Arial Narrow"/>
                <w:sz w:val="13"/>
                <w:szCs w:val="13"/>
              </w:rPr>
              <w:t xml:space="preserve"> 10898 (85.10%)</w:t>
            </w:r>
          </w:p>
        </w:tc>
        <w:tc>
          <w:tcPr>
            <w:tcW w:w="1530" w:type="dxa"/>
            <w:tcBorders>
              <w:top w:val="nil"/>
              <w:left w:val="nil"/>
              <w:bottom w:val="nil"/>
              <w:right w:val="nil"/>
            </w:tcBorders>
            <w:tcMar>
              <w:left w:w="202" w:type="dxa"/>
              <w:right w:w="187" w:type="dxa"/>
            </w:tcMar>
          </w:tcPr>
          <w:p w14:paraId="3862798A"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27: 10360 (80.90%)</w:t>
            </w:r>
          </w:p>
        </w:tc>
        <w:tc>
          <w:tcPr>
            <w:tcW w:w="1890" w:type="dxa"/>
            <w:tcBorders>
              <w:top w:val="nil"/>
              <w:left w:val="nil"/>
              <w:bottom w:val="nil"/>
              <w:right w:val="nil"/>
            </w:tcBorders>
            <w:tcMar>
              <w:left w:w="216" w:type="dxa"/>
              <w:right w:w="216" w:type="dxa"/>
            </w:tcMar>
          </w:tcPr>
          <w:p w14:paraId="34DD6F43"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13:</w:t>
            </w:r>
            <w:r>
              <w:rPr>
                <w:rFonts w:ascii="Arial Narrow" w:hAnsi="Arial Narrow"/>
                <w:sz w:val="13"/>
                <w:szCs w:val="13"/>
              </w:rPr>
              <w:t xml:space="preserve"> 3545 (81.95%)</w:t>
            </w:r>
          </w:p>
        </w:tc>
        <w:tc>
          <w:tcPr>
            <w:tcW w:w="1620" w:type="dxa"/>
            <w:tcBorders>
              <w:top w:val="nil"/>
              <w:left w:val="nil"/>
              <w:bottom w:val="nil"/>
              <w:right w:val="nil"/>
            </w:tcBorders>
            <w:tcMar>
              <w:left w:w="202" w:type="dxa"/>
              <w:right w:w="216" w:type="dxa"/>
            </w:tcMar>
          </w:tcPr>
          <w:p w14:paraId="2E0225CC"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27:</w:t>
            </w:r>
            <w:r>
              <w:rPr>
                <w:rFonts w:ascii="Arial Narrow" w:hAnsi="Arial Narrow"/>
                <w:sz w:val="13"/>
                <w:szCs w:val="13"/>
              </w:rPr>
              <w:t xml:space="preserve"> 3386 (78.27%)</w:t>
            </w:r>
          </w:p>
        </w:tc>
        <w:tc>
          <w:tcPr>
            <w:tcW w:w="1890" w:type="dxa"/>
            <w:tcBorders>
              <w:top w:val="nil"/>
              <w:left w:val="nil"/>
              <w:bottom w:val="nil"/>
              <w:right w:val="nil"/>
            </w:tcBorders>
            <w:tcMar>
              <w:left w:w="216" w:type="dxa"/>
              <w:right w:w="216" w:type="dxa"/>
            </w:tcMar>
          </w:tcPr>
          <w:p w14:paraId="2370CF63"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13:</w:t>
            </w:r>
            <w:r>
              <w:rPr>
                <w:rFonts w:ascii="Arial Narrow" w:hAnsi="Arial Narrow"/>
                <w:sz w:val="13"/>
                <w:szCs w:val="13"/>
              </w:rPr>
              <w:t xml:space="preserve"> 7353 (86.71%)</w:t>
            </w:r>
          </w:p>
        </w:tc>
        <w:tc>
          <w:tcPr>
            <w:tcW w:w="2585" w:type="dxa"/>
            <w:tcBorders>
              <w:top w:val="nil"/>
              <w:left w:val="nil"/>
              <w:bottom w:val="nil"/>
            </w:tcBorders>
            <w:tcMar>
              <w:left w:w="202" w:type="dxa"/>
              <w:right w:w="216" w:type="dxa"/>
            </w:tcMar>
          </w:tcPr>
          <w:p w14:paraId="39D0DF5C"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27:</w:t>
            </w:r>
            <w:r>
              <w:rPr>
                <w:rFonts w:ascii="Arial Narrow" w:hAnsi="Arial Narrow"/>
                <w:sz w:val="13"/>
                <w:szCs w:val="13"/>
              </w:rPr>
              <w:t xml:space="preserve"> 6974 (82.24%)</w:t>
            </w:r>
          </w:p>
        </w:tc>
      </w:tr>
      <w:tr w:rsidR="003876A3" w:rsidRPr="00FE278F" w14:paraId="74B3ED47" w14:textId="77777777" w:rsidTr="003876A3">
        <w:trPr>
          <w:cantSplit/>
        </w:trPr>
        <w:tc>
          <w:tcPr>
            <w:tcW w:w="2005" w:type="dxa"/>
            <w:tcBorders>
              <w:top w:val="nil"/>
              <w:bottom w:val="single" w:sz="4" w:space="0" w:color="auto"/>
              <w:right w:val="nil"/>
            </w:tcBorders>
            <w:tcMar>
              <w:left w:w="216" w:type="dxa"/>
              <w:right w:w="216" w:type="dxa"/>
            </w:tcMar>
          </w:tcPr>
          <w:p w14:paraId="5F53AFA5" w14:textId="77777777" w:rsidR="003876A3" w:rsidRPr="005926ED" w:rsidRDefault="003876A3" w:rsidP="003876A3">
            <w:pPr>
              <w:spacing w:before="10" w:after="0" w:line="240" w:lineRule="auto"/>
              <w:jc w:val="right"/>
              <w:rPr>
                <w:rFonts w:ascii="Arial Narrow" w:hAnsi="Arial Narrow"/>
                <w:sz w:val="13"/>
                <w:szCs w:val="13"/>
              </w:rPr>
            </w:pPr>
          </w:p>
        </w:tc>
        <w:tc>
          <w:tcPr>
            <w:tcW w:w="1530" w:type="dxa"/>
            <w:tcBorders>
              <w:top w:val="nil"/>
              <w:left w:val="nil"/>
              <w:bottom w:val="single" w:sz="4" w:space="0" w:color="auto"/>
              <w:right w:val="nil"/>
            </w:tcBorders>
            <w:tcMar>
              <w:left w:w="202" w:type="dxa"/>
              <w:right w:w="187" w:type="dxa"/>
            </w:tcMar>
          </w:tcPr>
          <w:p w14:paraId="2886304C" w14:textId="77777777" w:rsidR="003876A3" w:rsidRPr="005926ED" w:rsidRDefault="003876A3" w:rsidP="003876A3">
            <w:pPr>
              <w:spacing w:before="10" w:after="0" w:line="240" w:lineRule="auto"/>
              <w:rPr>
                <w:rFonts w:ascii="Arial Narrow" w:hAnsi="Arial Narrow"/>
                <w:sz w:val="13"/>
                <w:szCs w:val="13"/>
              </w:rPr>
            </w:pPr>
            <w:r w:rsidRPr="005926ED">
              <w:rPr>
                <w:rFonts w:ascii="Arial Narrow" w:hAnsi="Arial Narrow"/>
                <w:sz w:val="13"/>
                <w:szCs w:val="13"/>
              </w:rPr>
              <w:t>28: 10624 (82.96%)</w:t>
            </w:r>
          </w:p>
        </w:tc>
        <w:tc>
          <w:tcPr>
            <w:tcW w:w="1890" w:type="dxa"/>
            <w:tcBorders>
              <w:top w:val="nil"/>
              <w:left w:val="nil"/>
              <w:bottom w:val="single" w:sz="4" w:space="0" w:color="auto"/>
              <w:right w:val="nil"/>
            </w:tcBorders>
            <w:tcMar>
              <w:left w:w="216" w:type="dxa"/>
              <w:right w:w="216" w:type="dxa"/>
            </w:tcMar>
          </w:tcPr>
          <w:p w14:paraId="3EF7A7E7" w14:textId="77777777" w:rsidR="003876A3" w:rsidRPr="005926ED" w:rsidRDefault="003876A3" w:rsidP="003876A3">
            <w:pPr>
              <w:spacing w:before="10" w:after="0" w:line="240" w:lineRule="auto"/>
              <w:jc w:val="right"/>
              <w:rPr>
                <w:rFonts w:ascii="Arial Narrow" w:hAnsi="Arial Narrow"/>
                <w:sz w:val="13"/>
                <w:szCs w:val="13"/>
              </w:rPr>
            </w:pPr>
            <w:r w:rsidRPr="00A31946">
              <w:rPr>
                <w:rFonts w:ascii="Arial Narrow" w:hAnsi="Arial Narrow"/>
                <w:b/>
                <w:sz w:val="13"/>
                <w:szCs w:val="13"/>
              </w:rPr>
              <w:t>14:</w:t>
            </w:r>
            <w:r>
              <w:rPr>
                <w:rFonts w:ascii="Arial Narrow" w:hAnsi="Arial Narrow"/>
                <w:sz w:val="13"/>
                <w:szCs w:val="13"/>
              </w:rPr>
              <w:t xml:space="preserve"> 3524 (81.46%)</w:t>
            </w:r>
          </w:p>
        </w:tc>
        <w:tc>
          <w:tcPr>
            <w:tcW w:w="1620" w:type="dxa"/>
            <w:tcBorders>
              <w:top w:val="nil"/>
              <w:left w:val="nil"/>
              <w:bottom w:val="single" w:sz="4" w:space="0" w:color="auto"/>
              <w:right w:val="nil"/>
            </w:tcBorders>
            <w:tcMar>
              <w:left w:w="202" w:type="dxa"/>
              <w:right w:w="216" w:type="dxa"/>
            </w:tcMar>
          </w:tcPr>
          <w:p w14:paraId="3DF13005" w14:textId="77777777" w:rsidR="003876A3" w:rsidRPr="005926ED" w:rsidRDefault="003876A3" w:rsidP="003876A3">
            <w:pPr>
              <w:spacing w:before="10" w:after="0" w:line="240" w:lineRule="auto"/>
              <w:rPr>
                <w:rFonts w:ascii="Arial Narrow" w:hAnsi="Arial Narrow"/>
                <w:sz w:val="13"/>
                <w:szCs w:val="13"/>
              </w:rPr>
            </w:pPr>
            <w:r w:rsidRPr="00A31946">
              <w:rPr>
                <w:rFonts w:ascii="Arial Narrow" w:hAnsi="Arial Narrow"/>
                <w:b/>
                <w:sz w:val="13"/>
                <w:szCs w:val="13"/>
              </w:rPr>
              <w:t>28:</w:t>
            </w:r>
            <w:r>
              <w:rPr>
                <w:rFonts w:ascii="Arial Narrow" w:hAnsi="Arial Narrow"/>
                <w:sz w:val="13"/>
                <w:szCs w:val="13"/>
              </w:rPr>
              <w:t xml:space="preserve"> 3457 (79.91%)</w:t>
            </w:r>
          </w:p>
        </w:tc>
        <w:tc>
          <w:tcPr>
            <w:tcW w:w="1890" w:type="dxa"/>
            <w:tcBorders>
              <w:top w:val="nil"/>
              <w:left w:val="nil"/>
              <w:bottom w:val="single" w:sz="4" w:space="0" w:color="auto"/>
              <w:right w:val="nil"/>
            </w:tcBorders>
            <w:tcMar>
              <w:left w:w="216" w:type="dxa"/>
              <w:right w:w="216" w:type="dxa"/>
            </w:tcMar>
          </w:tcPr>
          <w:p w14:paraId="68CC0741" w14:textId="77777777" w:rsidR="003876A3" w:rsidRPr="005926ED" w:rsidRDefault="003876A3" w:rsidP="003876A3">
            <w:pPr>
              <w:spacing w:before="10" w:after="0" w:line="240" w:lineRule="auto"/>
              <w:jc w:val="right"/>
              <w:rPr>
                <w:rFonts w:ascii="Arial Narrow" w:hAnsi="Arial Narrow"/>
                <w:sz w:val="13"/>
                <w:szCs w:val="13"/>
              </w:rPr>
            </w:pPr>
            <w:r w:rsidRPr="00D15A1E">
              <w:rPr>
                <w:rFonts w:ascii="Arial Narrow" w:hAnsi="Arial Narrow"/>
                <w:b/>
                <w:sz w:val="13"/>
                <w:szCs w:val="13"/>
              </w:rPr>
              <w:t>14:</w:t>
            </w:r>
            <w:r>
              <w:rPr>
                <w:rFonts w:ascii="Arial Narrow" w:hAnsi="Arial Narrow"/>
                <w:sz w:val="13"/>
                <w:szCs w:val="13"/>
              </w:rPr>
              <w:t xml:space="preserve"> 7332 (86.46%)</w:t>
            </w:r>
          </w:p>
        </w:tc>
        <w:tc>
          <w:tcPr>
            <w:tcW w:w="2585" w:type="dxa"/>
            <w:tcBorders>
              <w:top w:val="nil"/>
              <w:left w:val="nil"/>
              <w:bottom w:val="single" w:sz="4" w:space="0" w:color="auto"/>
            </w:tcBorders>
            <w:tcMar>
              <w:left w:w="202" w:type="dxa"/>
              <w:right w:w="216" w:type="dxa"/>
            </w:tcMar>
          </w:tcPr>
          <w:p w14:paraId="763F47D7" w14:textId="77777777" w:rsidR="003876A3" w:rsidRPr="005926ED" w:rsidRDefault="003876A3" w:rsidP="003876A3">
            <w:pPr>
              <w:spacing w:before="10" w:after="0" w:line="240" w:lineRule="auto"/>
              <w:rPr>
                <w:rFonts w:ascii="Arial Narrow" w:hAnsi="Arial Narrow"/>
                <w:sz w:val="13"/>
                <w:szCs w:val="13"/>
              </w:rPr>
            </w:pPr>
            <w:r w:rsidRPr="00D15A1E">
              <w:rPr>
                <w:rFonts w:ascii="Arial Narrow" w:hAnsi="Arial Narrow"/>
                <w:b/>
                <w:sz w:val="13"/>
                <w:szCs w:val="13"/>
              </w:rPr>
              <w:t>28:</w:t>
            </w:r>
            <w:r>
              <w:rPr>
                <w:rFonts w:ascii="Arial Narrow" w:hAnsi="Arial Narrow"/>
                <w:sz w:val="13"/>
                <w:szCs w:val="13"/>
              </w:rPr>
              <w:t xml:space="preserve"> 7167 (84.52%)</w:t>
            </w:r>
          </w:p>
        </w:tc>
      </w:tr>
    </w:tbl>
    <w:p w14:paraId="7C83A4D3" w14:textId="77777777" w:rsidR="00FC4733" w:rsidRPr="0047058F" w:rsidRDefault="00FC4733" w:rsidP="00FC4733"/>
    <w:p w14:paraId="61571A5A" w14:textId="77777777" w:rsidR="00160459" w:rsidRPr="0047058F" w:rsidRDefault="00160459" w:rsidP="00160459">
      <w:pPr>
        <w:sectPr w:rsidR="00160459" w:rsidRPr="0047058F" w:rsidSect="00160459">
          <w:footerReference w:type="even" r:id="rId89"/>
          <w:footerReference w:type="default" r:id="rId90"/>
          <w:pgSz w:w="14170" w:h="9979" w:orient="landscape" w:code="243"/>
          <w:pgMar w:top="1872" w:right="1440" w:bottom="1152" w:left="1440" w:header="576" w:footer="576" w:gutter="0"/>
          <w:cols w:space="708"/>
          <w:docGrid w:linePitch="360"/>
        </w:sectPr>
      </w:pPr>
      <w:bookmarkStart w:id="605" w:name="_Toc529117551"/>
      <w:bookmarkEnd w:id="597"/>
      <w:bookmarkEnd w:id="598"/>
    </w:p>
    <w:p w14:paraId="659AD785" w14:textId="77777777" w:rsidR="00160459" w:rsidRPr="0047058F" w:rsidRDefault="00160459" w:rsidP="00160459">
      <w:r w:rsidRPr="0047058F">
        <w:rPr>
          <w:b/>
        </w:rPr>
        <w:t>Service</w:t>
      </w:r>
      <w:r w:rsidRPr="0047058F">
        <w:t xml:space="preserve"> – In the Transitioned ADF survey group, 19.9% of survey responders were Navy, 56.9% were Army and 23.1% were Air Force. However, for the Regular 2015 ADF, 34.7% of survey responders were Navy, 41.3% were Army and 24.1% were Air Force. When response rates in the different Services were compared, Transitioned Air Force members were most likely to respond, whereas Transitioned Army and Transitioned Navy members were least likely to respond. In the 2015 Regular ADF, the Army had the highest response rate at 41.3%.</w:t>
      </w:r>
    </w:p>
    <w:p w14:paraId="004AE795" w14:textId="77777777" w:rsidR="00160459" w:rsidRPr="0047058F" w:rsidRDefault="00160459" w:rsidP="00160459">
      <w:r w:rsidRPr="0047058F">
        <w:rPr>
          <w:b/>
          <w:bCs/>
        </w:rPr>
        <w:t>Medical fitness</w:t>
      </w:r>
      <w:r w:rsidRPr="0047058F">
        <w:rPr>
          <w:bCs/>
        </w:rPr>
        <w:t xml:space="preserve"> – </w:t>
      </w:r>
      <w:r w:rsidRPr="0047058F">
        <w:t>Transitioned ADF who were medically unfit on transition from the 2015 Regular ADF were slightly overrepresented in the responder group (31.1%) compared to the 2015 Regular ADF population (16.1%). Transitioned ADF who were medically unfit had a response rate of 21.0% compared to 46.5% in the 2015 Regular ADF population.</w:t>
      </w:r>
    </w:p>
    <w:p w14:paraId="54A2DF92" w14:textId="77777777" w:rsidR="00160459" w:rsidRPr="0047058F" w:rsidRDefault="00160459" w:rsidP="00160459">
      <w:pPr>
        <w:pStyle w:val="TableName"/>
      </w:pPr>
      <w:bookmarkStart w:id="606" w:name="_Toc532473621"/>
      <w:r w:rsidRPr="0047058F">
        <w:t>Table A.3</w:t>
      </w:r>
      <w:r w:rsidRPr="0047058F">
        <w:tab/>
        <w:t>Unweighted demographic characteristics of responders by Transitioned ADF and 2015 Regular ADF</w:t>
      </w:r>
      <w:bookmarkEnd w:id="599"/>
      <w:bookmarkEnd w:id="600"/>
      <w:bookmarkEnd w:id="601"/>
      <w:bookmarkEnd w:id="602"/>
      <w:bookmarkEnd w:id="603"/>
      <w:bookmarkEnd w:id="605"/>
      <w:bookmarkEnd w:id="606"/>
    </w:p>
    <w:tbl>
      <w:tblPr>
        <w:tblStyle w:val="TWRPTable"/>
        <w:tblW w:w="5000" w:type="pct"/>
        <w:tblLayout w:type="fixed"/>
        <w:tblLook w:val="04A0" w:firstRow="1" w:lastRow="0" w:firstColumn="1" w:lastColumn="0" w:noHBand="0" w:noVBand="1"/>
        <w:tblDescription w:val="Table A.3 Unweighted demographic characteristics of responders by Transitioned ADF and 2015 Regular ADF"/>
      </w:tblPr>
      <w:tblGrid>
        <w:gridCol w:w="1773"/>
        <w:gridCol w:w="856"/>
        <w:gridCol w:w="900"/>
        <w:gridCol w:w="1017"/>
        <w:gridCol w:w="873"/>
        <w:gridCol w:w="898"/>
        <w:gridCol w:w="998"/>
      </w:tblGrid>
      <w:tr w:rsidR="00160459" w:rsidRPr="0047058F" w14:paraId="13127787"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212" w:type="pct"/>
            <w:vMerge w:val="restart"/>
          </w:tcPr>
          <w:p w14:paraId="0767D6D6" w14:textId="77777777" w:rsidR="00160459" w:rsidRPr="0047058F" w:rsidRDefault="00160459" w:rsidP="0047058F">
            <w:pPr>
              <w:pStyle w:val="TableText"/>
            </w:pPr>
          </w:p>
        </w:tc>
        <w:tc>
          <w:tcPr>
            <w:tcW w:w="1895" w:type="pct"/>
            <w:gridSpan w:val="3"/>
            <w:hideMark/>
          </w:tcPr>
          <w:p w14:paraId="35A975BB" w14:textId="77777777" w:rsidR="00160459" w:rsidRPr="0047058F" w:rsidRDefault="00160459" w:rsidP="0047058F">
            <w:pPr>
              <w:pStyle w:val="TableText"/>
              <w:jc w:val="center"/>
            </w:pPr>
            <w:r w:rsidRPr="0047058F">
              <w:t>Transitioned ADF</w:t>
            </w:r>
            <w:r w:rsidRPr="0047058F">
              <w:br/>
              <w:t xml:space="preserve">(n = </w:t>
            </w:r>
            <w:r w:rsidRPr="0047058F">
              <w:rPr>
                <w:color w:val="000000" w:themeColor="text1"/>
              </w:rPr>
              <w:t>4326)</w:t>
            </w:r>
          </w:p>
        </w:tc>
        <w:tc>
          <w:tcPr>
            <w:tcW w:w="1893" w:type="pct"/>
            <w:gridSpan w:val="3"/>
            <w:hideMark/>
          </w:tcPr>
          <w:p w14:paraId="4116644B" w14:textId="77777777" w:rsidR="00160459" w:rsidRPr="0047058F" w:rsidRDefault="00160459" w:rsidP="0047058F">
            <w:pPr>
              <w:pStyle w:val="TableText"/>
              <w:jc w:val="center"/>
            </w:pPr>
            <w:r w:rsidRPr="0047058F">
              <w:t>2015 Regular ADF</w:t>
            </w:r>
            <w:r w:rsidRPr="0047058F">
              <w:br/>
              <w:t>(n = 8480)</w:t>
            </w:r>
          </w:p>
        </w:tc>
      </w:tr>
      <w:tr w:rsidR="0047058F" w:rsidRPr="0047058F" w14:paraId="27DDAFDA"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212" w:type="pct"/>
            <w:vMerge/>
          </w:tcPr>
          <w:p w14:paraId="46802732" w14:textId="77777777" w:rsidR="00160459" w:rsidRPr="0047058F" w:rsidRDefault="00160459" w:rsidP="0047058F">
            <w:pPr>
              <w:pStyle w:val="TableText"/>
              <w:rPr>
                <w:rFonts w:cs="Arial"/>
              </w:rPr>
            </w:pPr>
          </w:p>
        </w:tc>
        <w:tc>
          <w:tcPr>
            <w:tcW w:w="585" w:type="pct"/>
            <w:hideMark/>
          </w:tcPr>
          <w:p w14:paraId="3D6C88FF" w14:textId="77777777" w:rsidR="00160459" w:rsidRPr="0047058F" w:rsidRDefault="00160459" w:rsidP="0047058F">
            <w:pPr>
              <w:pStyle w:val="TableText"/>
              <w:jc w:val="right"/>
              <w:rPr>
                <w:rFonts w:cs="Arial"/>
              </w:rPr>
            </w:pPr>
            <w:r w:rsidRPr="0047058F">
              <w:rPr>
                <w:rFonts w:cs="Arial"/>
              </w:rPr>
              <w:t>n</w:t>
            </w:r>
          </w:p>
        </w:tc>
        <w:tc>
          <w:tcPr>
            <w:tcW w:w="615" w:type="pct"/>
            <w:hideMark/>
          </w:tcPr>
          <w:p w14:paraId="07D084B1" w14:textId="77777777" w:rsidR="00160459" w:rsidRPr="0047058F" w:rsidRDefault="00160459" w:rsidP="0047058F">
            <w:pPr>
              <w:pStyle w:val="TableText"/>
              <w:jc w:val="right"/>
              <w:rPr>
                <w:rFonts w:cs="Arial"/>
              </w:rPr>
            </w:pPr>
            <w:r w:rsidRPr="0047058F">
              <w:rPr>
                <w:rFonts w:cs="Arial"/>
              </w:rPr>
              <w:t>%</w:t>
            </w:r>
          </w:p>
        </w:tc>
        <w:tc>
          <w:tcPr>
            <w:tcW w:w="695" w:type="pct"/>
            <w:hideMark/>
          </w:tcPr>
          <w:p w14:paraId="657F3CE9" w14:textId="77777777" w:rsidR="00160459" w:rsidRPr="0047058F" w:rsidRDefault="00160459" w:rsidP="0047058F">
            <w:pPr>
              <w:pStyle w:val="TableText"/>
              <w:jc w:val="right"/>
              <w:rPr>
                <w:rFonts w:cs="Arial"/>
              </w:rPr>
            </w:pPr>
            <w:r w:rsidRPr="0047058F">
              <w:rPr>
                <w:rFonts w:cs="Arial"/>
              </w:rPr>
              <w:t>95% CI</w:t>
            </w:r>
          </w:p>
        </w:tc>
        <w:tc>
          <w:tcPr>
            <w:tcW w:w="597" w:type="pct"/>
            <w:hideMark/>
          </w:tcPr>
          <w:p w14:paraId="5D50A2D7" w14:textId="77777777" w:rsidR="00160459" w:rsidRPr="0047058F" w:rsidRDefault="00160459" w:rsidP="0047058F">
            <w:pPr>
              <w:pStyle w:val="TableText"/>
              <w:jc w:val="right"/>
              <w:rPr>
                <w:rFonts w:cs="Arial"/>
              </w:rPr>
            </w:pPr>
            <w:r w:rsidRPr="0047058F">
              <w:rPr>
                <w:rFonts w:cs="Arial"/>
              </w:rPr>
              <w:t>n</w:t>
            </w:r>
          </w:p>
        </w:tc>
        <w:tc>
          <w:tcPr>
            <w:tcW w:w="614" w:type="pct"/>
            <w:hideMark/>
          </w:tcPr>
          <w:p w14:paraId="7983F708" w14:textId="77777777" w:rsidR="00160459" w:rsidRPr="0047058F" w:rsidRDefault="00160459" w:rsidP="0047058F">
            <w:pPr>
              <w:pStyle w:val="TableText"/>
              <w:jc w:val="right"/>
              <w:rPr>
                <w:rFonts w:cs="Arial"/>
              </w:rPr>
            </w:pPr>
            <w:r w:rsidRPr="0047058F">
              <w:rPr>
                <w:rFonts w:cs="Arial"/>
              </w:rPr>
              <w:t>%</w:t>
            </w:r>
          </w:p>
        </w:tc>
        <w:tc>
          <w:tcPr>
            <w:tcW w:w="681" w:type="pct"/>
            <w:hideMark/>
          </w:tcPr>
          <w:p w14:paraId="56A8E172" w14:textId="77777777" w:rsidR="00160459" w:rsidRPr="0047058F" w:rsidRDefault="00160459" w:rsidP="0047058F">
            <w:pPr>
              <w:pStyle w:val="TableText"/>
              <w:jc w:val="right"/>
              <w:rPr>
                <w:rFonts w:cs="Arial"/>
              </w:rPr>
            </w:pPr>
            <w:r w:rsidRPr="0047058F">
              <w:rPr>
                <w:rFonts w:cs="Arial"/>
              </w:rPr>
              <w:t>95% CI</w:t>
            </w:r>
          </w:p>
        </w:tc>
      </w:tr>
      <w:tr w:rsidR="0047058F" w:rsidRPr="0047058F" w14:paraId="25354A82"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7EB00513" w14:textId="77777777" w:rsidR="00160459" w:rsidRPr="0047058F" w:rsidRDefault="00160459" w:rsidP="0047058F">
            <w:pPr>
              <w:pStyle w:val="TableText"/>
              <w:rPr>
                <w:rFonts w:cs="Arial"/>
                <w:b/>
              </w:rPr>
            </w:pPr>
            <w:r w:rsidRPr="0047058F">
              <w:rPr>
                <w:b/>
              </w:rPr>
              <w:t>Age (mean, SE)</w:t>
            </w:r>
          </w:p>
        </w:tc>
        <w:tc>
          <w:tcPr>
            <w:tcW w:w="585" w:type="pct"/>
            <w:hideMark/>
          </w:tcPr>
          <w:p w14:paraId="41BFA3A9" w14:textId="77777777" w:rsidR="00160459" w:rsidRPr="0047058F" w:rsidRDefault="00160459" w:rsidP="0047058F">
            <w:pPr>
              <w:pStyle w:val="TableText"/>
              <w:jc w:val="right"/>
            </w:pPr>
            <w:r w:rsidRPr="0047058F">
              <w:t>41.9</w:t>
            </w:r>
          </w:p>
        </w:tc>
        <w:tc>
          <w:tcPr>
            <w:tcW w:w="615" w:type="pct"/>
            <w:hideMark/>
          </w:tcPr>
          <w:p w14:paraId="6FF66AAD" w14:textId="77777777" w:rsidR="00160459" w:rsidRPr="0047058F" w:rsidRDefault="00160459" w:rsidP="0047058F">
            <w:pPr>
              <w:pStyle w:val="TableText"/>
              <w:jc w:val="right"/>
            </w:pPr>
            <w:r w:rsidRPr="0047058F">
              <w:t>0.2</w:t>
            </w:r>
          </w:p>
        </w:tc>
        <w:tc>
          <w:tcPr>
            <w:tcW w:w="695" w:type="pct"/>
          </w:tcPr>
          <w:p w14:paraId="5B675858" w14:textId="77777777" w:rsidR="00160459" w:rsidRPr="0047058F" w:rsidRDefault="00160459" w:rsidP="0047058F">
            <w:pPr>
              <w:pStyle w:val="TableText"/>
              <w:jc w:val="right"/>
            </w:pPr>
          </w:p>
        </w:tc>
        <w:tc>
          <w:tcPr>
            <w:tcW w:w="597" w:type="pct"/>
            <w:hideMark/>
          </w:tcPr>
          <w:p w14:paraId="26B51E95" w14:textId="77777777" w:rsidR="00160459" w:rsidRPr="0047058F" w:rsidRDefault="00160459" w:rsidP="0047058F">
            <w:pPr>
              <w:pStyle w:val="TableText"/>
              <w:jc w:val="right"/>
            </w:pPr>
            <w:r w:rsidRPr="0047058F">
              <w:t>41.1</w:t>
            </w:r>
          </w:p>
        </w:tc>
        <w:tc>
          <w:tcPr>
            <w:tcW w:w="614" w:type="pct"/>
            <w:hideMark/>
          </w:tcPr>
          <w:p w14:paraId="0D630237" w14:textId="77777777" w:rsidR="00160459" w:rsidRPr="0047058F" w:rsidRDefault="00160459" w:rsidP="0047058F">
            <w:pPr>
              <w:pStyle w:val="TableText"/>
              <w:jc w:val="right"/>
            </w:pPr>
            <w:r w:rsidRPr="0047058F">
              <w:t>0.1</w:t>
            </w:r>
          </w:p>
        </w:tc>
        <w:tc>
          <w:tcPr>
            <w:tcW w:w="681" w:type="pct"/>
          </w:tcPr>
          <w:p w14:paraId="2A58A16B" w14:textId="77777777" w:rsidR="00160459" w:rsidRPr="0047058F" w:rsidRDefault="00160459" w:rsidP="0047058F">
            <w:pPr>
              <w:pStyle w:val="TableText"/>
              <w:jc w:val="right"/>
            </w:pPr>
          </w:p>
        </w:tc>
      </w:tr>
      <w:tr w:rsidR="0047058F" w:rsidRPr="0047058F" w14:paraId="3EF17D1A" w14:textId="77777777" w:rsidTr="0047058F">
        <w:trPr>
          <w:cantSplit/>
        </w:trPr>
        <w:tc>
          <w:tcPr>
            <w:tcW w:w="1212" w:type="pct"/>
            <w:hideMark/>
          </w:tcPr>
          <w:p w14:paraId="08781F64" w14:textId="77777777" w:rsidR="00160459" w:rsidRPr="0047058F" w:rsidRDefault="00160459" w:rsidP="0047058F">
            <w:pPr>
              <w:pStyle w:val="TableText"/>
              <w:rPr>
                <w:b/>
              </w:rPr>
            </w:pPr>
            <w:r w:rsidRPr="0047058F">
              <w:rPr>
                <w:b/>
              </w:rPr>
              <w:t>Age group</w:t>
            </w:r>
          </w:p>
        </w:tc>
        <w:tc>
          <w:tcPr>
            <w:tcW w:w="585" w:type="pct"/>
          </w:tcPr>
          <w:p w14:paraId="035901B8" w14:textId="77777777" w:rsidR="00160459" w:rsidRPr="0047058F" w:rsidRDefault="00160459" w:rsidP="0047058F">
            <w:pPr>
              <w:pStyle w:val="TableText"/>
              <w:jc w:val="right"/>
              <w:rPr>
                <w:rFonts w:cs="Arial"/>
              </w:rPr>
            </w:pPr>
          </w:p>
        </w:tc>
        <w:tc>
          <w:tcPr>
            <w:tcW w:w="615" w:type="pct"/>
          </w:tcPr>
          <w:p w14:paraId="08A3A0C7" w14:textId="77777777" w:rsidR="00160459" w:rsidRPr="0047058F" w:rsidRDefault="00160459" w:rsidP="0047058F">
            <w:pPr>
              <w:pStyle w:val="TableText"/>
              <w:jc w:val="right"/>
              <w:rPr>
                <w:rFonts w:cs="Arial"/>
              </w:rPr>
            </w:pPr>
          </w:p>
        </w:tc>
        <w:tc>
          <w:tcPr>
            <w:tcW w:w="695" w:type="pct"/>
          </w:tcPr>
          <w:p w14:paraId="085B96DD" w14:textId="77777777" w:rsidR="00160459" w:rsidRPr="0047058F" w:rsidRDefault="00160459" w:rsidP="0047058F">
            <w:pPr>
              <w:pStyle w:val="TableText"/>
              <w:jc w:val="right"/>
              <w:rPr>
                <w:rFonts w:cs="Arial"/>
              </w:rPr>
            </w:pPr>
          </w:p>
        </w:tc>
        <w:tc>
          <w:tcPr>
            <w:tcW w:w="597" w:type="pct"/>
          </w:tcPr>
          <w:p w14:paraId="3CB741FA" w14:textId="77777777" w:rsidR="00160459" w:rsidRPr="0047058F" w:rsidRDefault="00160459" w:rsidP="0047058F">
            <w:pPr>
              <w:pStyle w:val="TableText"/>
              <w:jc w:val="right"/>
              <w:rPr>
                <w:rFonts w:cs="Arial"/>
              </w:rPr>
            </w:pPr>
          </w:p>
        </w:tc>
        <w:tc>
          <w:tcPr>
            <w:tcW w:w="614" w:type="pct"/>
          </w:tcPr>
          <w:p w14:paraId="5D6AD54E" w14:textId="77777777" w:rsidR="00160459" w:rsidRPr="0047058F" w:rsidRDefault="00160459" w:rsidP="0047058F">
            <w:pPr>
              <w:pStyle w:val="TableText"/>
              <w:jc w:val="right"/>
              <w:rPr>
                <w:rFonts w:cs="Arial"/>
              </w:rPr>
            </w:pPr>
          </w:p>
        </w:tc>
        <w:tc>
          <w:tcPr>
            <w:tcW w:w="681" w:type="pct"/>
          </w:tcPr>
          <w:p w14:paraId="66860818" w14:textId="77777777" w:rsidR="00160459" w:rsidRPr="0047058F" w:rsidRDefault="00160459" w:rsidP="0047058F">
            <w:pPr>
              <w:pStyle w:val="TableText"/>
              <w:jc w:val="right"/>
              <w:rPr>
                <w:rFonts w:cs="Arial"/>
              </w:rPr>
            </w:pPr>
          </w:p>
        </w:tc>
      </w:tr>
      <w:tr w:rsidR="0047058F" w:rsidRPr="0047058F" w14:paraId="543E3128"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51591600" w14:textId="77777777" w:rsidR="00160459" w:rsidRPr="0047058F" w:rsidRDefault="00160459" w:rsidP="0047058F">
            <w:pPr>
              <w:pStyle w:val="TableText"/>
            </w:pPr>
            <w:r w:rsidRPr="0047058F">
              <w:t>18–27</w:t>
            </w:r>
          </w:p>
        </w:tc>
        <w:tc>
          <w:tcPr>
            <w:tcW w:w="585" w:type="pct"/>
            <w:hideMark/>
          </w:tcPr>
          <w:p w14:paraId="61ADE9BF" w14:textId="77777777" w:rsidR="00160459" w:rsidRPr="0047058F" w:rsidRDefault="00160459" w:rsidP="0047058F">
            <w:pPr>
              <w:pStyle w:val="TableText"/>
              <w:jc w:val="right"/>
            </w:pPr>
            <w:r w:rsidRPr="0047058F">
              <w:t>471</w:t>
            </w:r>
          </w:p>
        </w:tc>
        <w:tc>
          <w:tcPr>
            <w:tcW w:w="615" w:type="pct"/>
            <w:hideMark/>
          </w:tcPr>
          <w:p w14:paraId="67ED25DE" w14:textId="77777777" w:rsidR="00160459" w:rsidRPr="0047058F" w:rsidRDefault="00160459" w:rsidP="0047058F">
            <w:pPr>
              <w:pStyle w:val="TableText"/>
              <w:jc w:val="right"/>
            </w:pPr>
            <w:r w:rsidRPr="0047058F">
              <w:t>10.9</w:t>
            </w:r>
          </w:p>
        </w:tc>
        <w:tc>
          <w:tcPr>
            <w:tcW w:w="695" w:type="pct"/>
            <w:hideMark/>
          </w:tcPr>
          <w:p w14:paraId="0FD29B8E" w14:textId="23016BBD" w:rsidR="00160459" w:rsidRPr="0047058F" w:rsidRDefault="00160459" w:rsidP="0047058F">
            <w:pPr>
              <w:pStyle w:val="TableText"/>
              <w:jc w:val="right"/>
            </w:pPr>
            <w:r w:rsidRPr="0047058F">
              <w:t>(10.0</w:t>
            </w:r>
            <w:r w:rsidR="002549BB">
              <w:t>–</w:t>
            </w:r>
            <w:r w:rsidRPr="0047058F">
              <w:t>11.9)</w:t>
            </w:r>
          </w:p>
        </w:tc>
        <w:tc>
          <w:tcPr>
            <w:tcW w:w="597" w:type="pct"/>
            <w:hideMark/>
          </w:tcPr>
          <w:p w14:paraId="1DA64B43" w14:textId="77777777" w:rsidR="00160459" w:rsidRPr="0047058F" w:rsidRDefault="00160459" w:rsidP="0047058F">
            <w:pPr>
              <w:pStyle w:val="TableText"/>
              <w:jc w:val="right"/>
            </w:pPr>
            <w:r w:rsidRPr="0047058F">
              <w:t>602</w:t>
            </w:r>
          </w:p>
        </w:tc>
        <w:tc>
          <w:tcPr>
            <w:tcW w:w="614" w:type="pct"/>
            <w:hideMark/>
          </w:tcPr>
          <w:p w14:paraId="0FA2176B" w14:textId="77777777" w:rsidR="00160459" w:rsidRPr="0047058F" w:rsidRDefault="00160459" w:rsidP="0047058F">
            <w:pPr>
              <w:pStyle w:val="TableText"/>
              <w:jc w:val="right"/>
            </w:pPr>
            <w:r w:rsidRPr="0047058F">
              <w:t>7.1</w:t>
            </w:r>
          </w:p>
        </w:tc>
        <w:tc>
          <w:tcPr>
            <w:tcW w:w="681" w:type="pct"/>
            <w:hideMark/>
          </w:tcPr>
          <w:p w14:paraId="586921B0" w14:textId="6F2CA809" w:rsidR="00160459" w:rsidRPr="0047058F" w:rsidRDefault="00160459" w:rsidP="0047058F">
            <w:pPr>
              <w:pStyle w:val="TableText"/>
              <w:jc w:val="right"/>
            </w:pPr>
            <w:r w:rsidRPr="0047058F">
              <w:t>(6.6</w:t>
            </w:r>
            <w:r w:rsidR="002549BB">
              <w:t>–</w:t>
            </w:r>
            <w:r w:rsidRPr="0047058F">
              <w:t>7.7)</w:t>
            </w:r>
          </w:p>
        </w:tc>
      </w:tr>
      <w:tr w:rsidR="0047058F" w:rsidRPr="0047058F" w14:paraId="792752A0" w14:textId="77777777" w:rsidTr="0047058F">
        <w:trPr>
          <w:cantSplit/>
        </w:trPr>
        <w:tc>
          <w:tcPr>
            <w:tcW w:w="1212" w:type="pct"/>
            <w:hideMark/>
          </w:tcPr>
          <w:p w14:paraId="70F0ABA9" w14:textId="77777777" w:rsidR="00160459" w:rsidRPr="0047058F" w:rsidRDefault="00160459" w:rsidP="0047058F">
            <w:pPr>
              <w:pStyle w:val="TableText"/>
            </w:pPr>
            <w:r w:rsidRPr="0047058F">
              <w:t>28–37</w:t>
            </w:r>
          </w:p>
        </w:tc>
        <w:tc>
          <w:tcPr>
            <w:tcW w:w="585" w:type="pct"/>
            <w:hideMark/>
          </w:tcPr>
          <w:p w14:paraId="5BF67452" w14:textId="77777777" w:rsidR="00160459" w:rsidRPr="0047058F" w:rsidRDefault="00160459" w:rsidP="0047058F">
            <w:pPr>
              <w:pStyle w:val="TableText"/>
              <w:jc w:val="right"/>
            </w:pPr>
            <w:r w:rsidRPr="0047058F">
              <w:t>1262</w:t>
            </w:r>
          </w:p>
        </w:tc>
        <w:tc>
          <w:tcPr>
            <w:tcW w:w="615" w:type="pct"/>
            <w:hideMark/>
          </w:tcPr>
          <w:p w14:paraId="18D9466F" w14:textId="77777777" w:rsidR="00160459" w:rsidRPr="0047058F" w:rsidRDefault="00160459" w:rsidP="0047058F">
            <w:pPr>
              <w:pStyle w:val="TableText"/>
              <w:jc w:val="right"/>
            </w:pPr>
            <w:r w:rsidRPr="0047058F">
              <w:t>29.2</w:t>
            </w:r>
          </w:p>
        </w:tc>
        <w:tc>
          <w:tcPr>
            <w:tcW w:w="695" w:type="pct"/>
            <w:hideMark/>
          </w:tcPr>
          <w:p w14:paraId="626FBF3A" w14:textId="51800293" w:rsidR="00160459" w:rsidRPr="0047058F" w:rsidRDefault="00160459" w:rsidP="0047058F">
            <w:pPr>
              <w:pStyle w:val="TableText"/>
              <w:jc w:val="right"/>
            </w:pPr>
            <w:r w:rsidRPr="0047058F">
              <w:t>(27.8</w:t>
            </w:r>
            <w:r w:rsidR="00612655">
              <w:t>–</w:t>
            </w:r>
            <w:r w:rsidRPr="0047058F">
              <w:t>30.5)</w:t>
            </w:r>
          </w:p>
        </w:tc>
        <w:tc>
          <w:tcPr>
            <w:tcW w:w="597" w:type="pct"/>
            <w:hideMark/>
          </w:tcPr>
          <w:p w14:paraId="74080908" w14:textId="77777777" w:rsidR="00160459" w:rsidRPr="0047058F" w:rsidRDefault="00160459" w:rsidP="0047058F">
            <w:pPr>
              <w:pStyle w:val="TableText"/>
              <w:jc w:val="right"/>
            </w:pPr>
            <w:r w:rsidRPr="0047058F">
              <w:t>2484</w:t>
            </w:r>
          </w:p>
        </w:tc>
        <w:tc>
          <w:tcPr>
            <w:tcW w:w="614" w:type="pct"/>
            <w:hideMark/>
          </w:tcPr>
          <w:p w14:paraId="734F667F" w14:textId="77777777" w:rsidR="00160459" w:rsidRPr="0047058F" w:rsidRDefault="00160459" w:rsidP="0047058F">
            <w:pPr>
              <w:pStyle w:val="TableText"/>
              <w:jc w:val="right"/>
            </w:pPr>
            <w:r w:rsidRPr="0047058F">
              <w:t>29.3</w:t>
            </w:r>
          </w:p>
        </w:tc>
        <w:tc>
          <w:tcPr>
            <w:tcW w:w="681" w:type="pct"/>
            <w:hideMark/>
          </w:tcPr>
          <w:p w14:paraId="481C1A3C" w14:textId="2A41751A" w:rsidR="00160459" w:rsidRPr="0047058F" w:rsidRDefault="00160459" w:rsidP="0047058F">
            <w:pPr>
              <w:pStyle w:val="TableText"/>
              <w:jc w:val="right"/>
            </w:pPr>
            <w:r w:rsidRPr="0047058F">
              <w:t>(28.3</w:t>
            </w:r>
            <w:r w:rsidR="002549BB">
              <w:t>–</w:t>
            </w:r>
            <w:r w:rsidRPr="0047058F">
              <w:t>30.3)</w:t>
            </w:r>
          </w:p>
        </w:tc>
      </w:tr>
      <w:tr w:rsidR="0047058F" w:rsidRPr="0047058F" w14:paraId="46A816E4"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7499B45D" w14:textId="77777777" w:rsidR="00160459" w:rsidRPr="0047058F" w:rsidRDefault="00160459" w:rsidP="0047058F">
            <w:pPr>
              <w:pStyle w:val="TableText"/>
            </w:pPr>
            <w:r w:rsidRPr="0047058F">
              <w:t>38–47</w:t>
            </w:r>
          </w:p>
        </w:tc>
        <w:tc>
          <w:tcPr>
            <w:tcW w:w="585" w:type="pct"/>
            <w:hideMark/>
          </w:tcPr>
          <w:p w14:paraId="47A957E2" w14:textId="77777777" w:rsidR="00160459" w:rsidRPr="0047058F" w:rsidRDefault="00160459" w:rsidP="0047058F">
            <w:pPr>
              <w:pStyle w:val="TableText"/>
              <w:jc w:val="right"/>
            </w:pPr>
            <w:r w:rsidRPr="0047058F">
              <w:t>1119</w:t>
            </w:r>
          </w:p>
        </w:tc>
        <w:tc>
          <w:tcPr>
            <w:tcW w:w="615" w:type="pct"/>
            <w:hideMark/>
          </w:tcPr>
          <w:p w14:paraId="469D5BEF" w14:textId="77777777" w:rsidR="00160459" w:rsidRPr="0047058F" w:rsidRDefault="00160459" w:rsidP="0047058F">
            <w:pPr>
              <w:pStyle w:val="TableText"/>
              <w:jc w:val="right"/>
            </w:pPr>
            <w:r w:rsidRPr="0047058F">
              <w:t>25.9</w:t>
            </w:r>
          </w:p>
        </w:tc>
        <w:tc>
          <w:tcPr>
            <w:tcW w:w="695" w:type="pct"/>
            <w:hideMark/>
          </w:tcPr>
          <w:p w14:paraId="1DDCA9B5" w14:textId="37476DF6" w:rsidR="00160459" w:rsidRPr="0047058F" w:rsidRDefault="00160459" w:rsidP="0047058F">
            <w:pPr>
              <w:pStyle w:val="TableText"/>
              <w:jc w:val="right"/>
            </w:pPr>
            <w:r w:rsidRPr="0047058F">
              <w:t>(24.6</w:t>
            </w:r>
            <w:r w:rsidR="002549BB">
              <w:t>–</w:t>
            </w:r>
            <w:r w:rsidRPr="0047058F">
              <w:t>27.2)</w:t>
            </w:r>
          </w:p>
        </w:tc>
        <w:tc>
          <w:tcPr>
            <w:tcW w:w="597" w:type="pct"/>
            <w:hideMark/>
          </w:tcPr>
          <w:p w14:paraId="35673BFA" w14:textId="77777777" w:rsidR="00160459" w:rsidRPr="0047058F" w:rsidRDefault="00160459" w:rsidP="0047058F">
            <w:pPr>
              <w:pStyle w:val="TableText"/>
              <w:jc w:val="right"/>
            </w:pPr>
            <w:r w:rsidRPr="0047058F">
              <w:t>2976</w:t>
            </w:r>
          </w:p>
        </w:tc>
        <w:tc>
          <w:tcPr>
            <w:tcW w:w="614" w:type="pct"/>
            <w:hideMark/>
          </w:tcPr>
          <w:p w14:paraId="5474BAA3" w14:textId="77777777" w:rsidR="00160459" w:rsidRPr="0047058F" w:rsidRDefault="00160459" w:rsidP="0047058F">
            <w:pPr>
              <w:pStyle w:val="TableText"/>
              <w:jc w:val="right"/>
            </w:pPr>
            <w:r w:rsidRPr="0047058F">
              <w:t>35.1</w:t>
            </w:r>
          </w:p>
        </w:tc>
        <w:tc>
          <w:tcPr>
            <w:tcW w:w="681" w:type="pct"/>
            <w:hideMark/>
          </w:tcPr>
          <w:p w14:paraId="1D28F0BC" w14:textId="210F4C1A" w:rsidR="00160459" w:rsidRPr="0047058F" w:rsidRDefault="00160459" w:rsidP="0047058F">
            <w:pPr>
              <w:pStyle w:val="TableText"/>
              <w:jc w:val="right"/>
            </w:pPr>
            <w:r w:rsidRPr="0047058F">
              <w:t>(34.1</w:t>
            </w:r>
            <w:r w:rsidR="002549BB">
              <w:t>–</w:t>
            </w:r>
            <w:r w:rsidRPr="0047058F">
              <w:t>36.1)</w:t>
            </w:r>
          </w:p>
        </w:tc>
      </w:tr>
      <w:tr w:rsidR="0047058F" w:rsidRPr="0047058F" w14:paraId="31FBDE1D" w14:textId="77777777" w:rsidTr="0047058F">
        <w:trPr>
          <w:cantSplit/>
        </w:trPr>
        <w:tc>
          <w:tcPr>
            <w:tcW w:w="1212" w:type="pct"/>
            <w:hideMark/>
          </w:tcPr>
          <w:p w14:paraId="39830451" w14:textId="77777777" w:rsidR="00160459" w:rsidRPr="0047058F" w:rsidRDefault="00160459" w:rsidP="0047058F">
            <w:pPr>
              <w:pStyle w:val="TableText"/>
            </w:pPr>
            <w:r w:rsidRPr="0047058F">
              <w:t>48–57</w:t>
            </w:r>
          </w:p>
        </w:tc>
        <w:tc>
          <w:tcPr>
            <w:tcW w:w="585" w:type="pct"/>
            <w:hideMark/>
          </w:tcPr>
          <w:p w14:paraId="724968F2" w14:textId="77777777" w:rsidR="00160459" w:rsidRPr="0047058F" w:rsidRDefault="00160459" w:rsidP="0047058F">
            <w:pPr>
              <w:pStyle w:val="TableText"/>
              <w:jc w:val="right"/>
            </w:pPr>
            <w:r w:rsidRPr="0047058F">
              <w:t>871</w:t>
            </w:r>
          </w:p>
        </w:tc>
        <w:tc>
          <w:tcPr>
            <w:tcW w:w="615" w:type="pct"/>
            <w:hideMark/>
          </w:tcPr>
          <w:p w14:paraId="054BFDBC" w14:textId="77777777" w:rsidR="00160459" w:rsidRPr="0047058F" w:rsidRDefault="00160459" w:rsidP="0047058F">
            <w:pPr>
              <w:pStyle w:val="TableText"/>
              <w:jc w:val="right"/>
            </w:pPr>
            <w:r w:rsidRPr="0047058F">
              <w:t>20.1</w:t>
            </w:r>
          </w:p>
        </w:tc>
        <w:tc>
          <w:tcPr>
            <w:tcW w:w="695" w:type="pct"/>
            <w:hideMark/>
          </w:tcPr>
          <w:p w14:paraId="4F51C57A" w14:textId="5F278264" w:rsidR="00160459" w:rsidRPr="0047058F" w:rsidRDefault="00160459" w:rsidP="0047058F">
            <w:pPr>
              <w:pStyle w:val="TableText"/>
              <w:jc w:val="right"/>
            </w:pPr>
            <w:r w:rsidRPr="0047058F">
              <w:t>(19.0</w:t>
            </w:r>
            <w:r w:rsidR="002549BB">
              <w:t>–</w:t>
            </w:r>
            <w:r w:rsidRPr="0047058F">
              <w:t>21.4)</w:t>
            </w:r>
          </w:p>
        </w:tc>
        <w:tc>
          <w:tcPr>
            <w:tcW w:w="597" w:type="pct"/>
            <w:hideMark/>
          </w:tcPr>
          <w:p w14:paraId="0F11AB4C" w14:textId="77777777" w:rsidR="00160459" w:rsidRPr="0047058F" w:rsidRDefault="00160459" w:rsidP="0047058F">
            <w:pPr>
              <w:pStyle w:val="TableText"/>
              <w:jc w:val="right"/>
            </w:pPr>
            <w:r w:rsidRPr="0047058F">
              <w:t>2069</w:t>
            </w:r>
          </w:p>
        </w:tc>
        <w:tc>
          <w:tcPr>
            <w:tcW w:w="614" w:type="pct"/>
            <w:hideMark/>
          </w:tcPr>
          <w:p w14:paraId="33E52B26" w14:textId="77777777" w:rsidR="00160459" w:rsidRPr="0047058F" w:rsidRDefault="00160459" w:rsidP="0047058F">
            <w:pPr>
              <w:pStyle w:val="TableText"/>
              <w:jc w:val="right"/>
            </w:pPr>
            <w:r w:rsidRPr="0047058F">
              <w:t>24.4</w:t>
            </w:r>
          </w:p>
        </w:tc>
        <w:tc>
          <w:tcPr>
            <w:tcW w:w="681" w:type="pct"/>
            <w:hideMark/>
          </w:tcPr>
          <w:p w14:paraId="79B50E8B" w14:textId="7688610E" w:rsidR="00160459" w:rsidRPr="0047058F" w:rsidRDefault="00160459" w:rsidP="0047058F">
            <w:pPr>
              <w:pStyle w:val="TableText"/>
              <w:jc w:val="right"/>
            </w:pPr>
            <w:r w:rsidRPr="0047058F">
              <w:t>(23.5</w:t>
            </w:r>
            <w:r w:rsidR="002549BB">
              <w:t>–</w:t>
            </w:r>
            <w:r w:rsidRPr="0047058F">
              <w:t>25.3)</w:t>
            </w:r>
          </w:p>
        </w:tc>
      </w:tr>
      <w:tr w:rsidR="0047058F" w:rsidRPr="0047058F" w14:paraId="6D1AAFC6"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2684BC81" w14:textId="77777777" w:rsidR="00160459" w:rsidRPr="0047058F" w:rsidRDefault="00160459" w:rsidP="0047058F">
            <w:pPr>
              <w:pStyle w:val="TableText"/>
            </w:pPr>
            <w:r w:rsidRPr="0047058F">
              <w:t>58+</w:t>
            </w:r>
          </w:p>
        </w:tc>
        <w:tc>
          <w:tcPr>
            <w:tcW w:w="585" w:type="pct"/>
            <w:hideMark/>
          </w:tcPr>
          <w:p w14:paraId="4D405CA8" w14:textId="77777777" w:rsidR="00160459" w:rsidRPr="0047058F" w:rsidRDefault="00160459" w:rsidP="0047058F">
            <w:pPr>
              <w:pStyle w:val="TableText"/>
              <w:jc w:val="right"/>
            </w:pPr>
            <w:r w:rsidRPr="0047058F">
              <w:t>548</w:t>
            </w:r>
          </w:p>
        </w:tc>
        <w:tc>
          <w:tcPr>
            <w:tcW w:w="615" w:type="pct"/>
            <w:hideMark/>
          </w:tcPr>
          <w:p w14:paraId="392F70EC" w14:textId="77777777" w:rsidR="00160459" w:rsidRPr="0047058F" w:rsidRDefault="00160459" w:rsidP="0047058F">
            <w:pPr>
              <w:pStyle w:val="TableText"/>
              <w:jc w:val="right"/>
            </w:pPr>
            <w:r w:rsidRPr="0047058F">
              <w:t>12.7</w:t>
            </w:r>
          </w:p>
        </w:tc>
        <w:tc>
          <w:tcPr>
            <w:tcW w:w="695" w:type="pct"/>
            <w:hideMark/>
          </w:tcPr>
          <w:p w14:paraId="6C0BEA0B" w14:textId="4C12512E" w:rsidR="00160459" w:rsidRPr="0047058F" w:rsidRDefault="00160459" w:rsidP="0047058F">
            <w:pPr>
              <w:pStyle w:val="TableText"/>
              <w:jc w:val="right"/>
            </w:pPr>
            <w:r w:rsidRPr="0047058F">
              <w:t>(11.7</w:t>
            </w:r>
            <w:r w:rsidR="002549BB">
              <w:t>–</w:t>
            </w:r>
            <w:r w:rsidRPr="0047058F">
              <w:t>13.7)</w:t>
            </w:r>
          </w:p>
        </w:tc>
        <w:tc>
          <w:tcPr>
            <w:tcW w:w="597" w:type="pct"/>
            <w:hideMark/>
          </w:tcPr>
          <w:p w14:paraId="201E9FCF" w14:textId="77777777" w:rsidR="00160459" w:rsidRPr="0047058F" w:rsidRDefault="00160459" w:rsidP="0047058F">
            <w:pPr>
              <w:pStyle w:val="TableText"/>
              <w:jc w:val="right"/>
            </w:pPr>
            <w:r w:rsidRPr="0047058F">
              <w:t>201</w:t>
            </w:r>
          </w:p>
        </w:tc>
        <w:tc>
          <w:tcPr>
            <w:tcW w:w="614" w:type="pct"/>
            <w:hideMark/>
          </w:tcPr>
          <w:p w14:paraId="51E58CC2" w14:textId="77777777" w:rsidR="00160459" w:rsidRPr="0047058F" w:rsidRDefault="00160459" w:rsidP="0047058F">
            <w:pPr>
              <w:pStyle w:val="TableText"/>
              <w:jc w:val="right"/>
            </w:pPr>
            <w:r w:rsidRPr="0047058F">
              <w:t>2.4</w:t>
            </w:r>
          </w:p>
        </w:tc>
        <w:tc>
          <w:tcPr>
            <w:tcW w:w="681" w:type="pct"/>
            <w:hideMark/>
          </w:tcPr>
          <w:p w14:paraId="6E55D008" w14:textId="0EFE2E68" w:rsidR="00160459" w:rsidRPr="0047058F" w:rsidRDefault="00160459" w:rsidP="0047058F">
            <w:pPr>
              <w:pStyle w:val="TableText"/>
              <w:jc w:val="right"/>
            </w:pPr>
            <w:r w:rsidRPr="0047058F">
              <w:t>(2.1</w:t>
            </w:r>
            <w:r w:rsidR="002549BB">
              <w:t>–</w:t>
            </w:r>
            <w:r w:rsidRPr="0047058F">
              <w:t>2.7)</w:t>
            </w:r>
          </w:p>
        </w:tc>
      </w:tr>
      <w:tr w:rsidR="0047058F" w:rsidRPr="0047058F" w14:paraId="11BFEE46" w14:textId="77777777" w:rsidTr="0047058F">
        <w:trPr>
          <w:cantSplit/>
        </w:trPr>
        <w:tc>
          <w:tcPr>
            <w:tcW w:w="1212" w:type="pct"/>
            <w:hideMark/>
          </w:tcPr>
          <w:p w14:paraId="33D63C49" w14:textId="77777777" w:rsidR="00160459" w:rsidRPr="0047058F" w:rsidRDefault="00160459" w:rsidP="0047058F">
            <w:pPr>
              <w:pStyle w:val="TableText"/>
              <w:rPr>
                <w:b/>
              </w:rPr>
            </w:pPr>
            <w:r w:rsidRPr="0047058F">
              <w:rPr>
                <w:b/>
              </w:rPr>
              <w:t>Sex</w:t>
            </w:r>
          </w:p>
        </w:tc>
        <w:tc>
          <w:tcPr>
            <w:tcW w:w="585" w:type="pct"/>
          </w:tcPr>
          <w:p w14:paraId="3CD39203" w14:textId="77777777" w:rsidR="00160459" w:rsidRPr="0047058F" w:rsidRDefault="00160459" w:rsidP="0047058F">
            <w:pPr>
              <w:pStyle w:val="TableText"/>
              <w:jc w:val="right"/>
            </w:pPr>
          </w:p>
        </w:tc>
        <w:tc>
          <w:tcPr>
            <w:tcW w:w="615" w:type="pct"/>
          </w:tcPr>
          <w:p w14:paraId="1B956099" w14:textId="77777777" w:rsidR="00160459" w:rsidRPr="0047058F" w:rsidRDefault="00160459" w:rsidP="0047058F">
            <w:pPr>
              <w:pStyle w:val="TableText"/>
              <w:jc w:val="right"/>
            </w:pPr>
          </w:p>
        </w:tc>
        <w:tc>
          <w:tcPr>
            <w:tcW w:w="695" w:type="pct"/>
          </w:tcPr>
          <w:p w14:paraId="4CA78973" w14:textId="77777777" w:rsidR="00160459" w:rsidRPr="0047058F" w:rsidRDefault="00160459" w:rsidP="0047058F">
            <w:pPr>
              <w:pStyle w:val="TableText"/>
              <w:jc w:val="right"/>
            </w:pPr>
          </w:p>
        </w:tc>
        <w:tc>
          <w:tcPr>
            <w:tcW w:w="597" w:type="pct"/>
          </w:tcPr>
          <w:p w14:paraId="5250DFA3" w14:textId="77777777" w:rsidR="00160459" w:rsidRPr="0047058F" w:rsidRDefault="00160459" w:rsidP="0047058F">
            <w:pPr>
              <w:pStyle w:val="TableText"/>
              <w:jc w:val="right"/>
            </w:pPr>
          </w:p>
        </w:tc>
        <w:tc>
          <w:tcPr>
            <w:tcW w:w="614" w:type="pct"/>
          </w:tcPr>
          <w:p w14:paraId="03A04869" w14:textId="77777777" w:rsidR="00160459" w:rsidRPr="0047058F" w:rsidRDefault="00160459" w:rsidP="0047058F">
            <w:pPr>
              <w:pStyle w:val="TableText"/>
              <w:jc w:val="right"/>
            </w:pPr>
          </w:p>
        </w:tc>
        <w:tc>
          <w:tcPr>
            <w:tcW w:w="681" w:type="pct"/>
          </w:tcPr>
          <w:p w14:paraId="37068F9B" w14:textId="77777777" w:rsidR="00160459" w:rsidRPr="0047058F" w:rsidRDefault="00160459" w:rsidP="0047058F">
            <w:pPr>
              <w:pStyle w:val="TableText"/>
              <w:jc w:val="right"/>
            </w:pPr>
          </w:p>
        </w:tc>
      </w:tr>
      <w:tr w:rsidR="0047058F" w:rsidRPr="0047058F" w14:paraId="1B962E51"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0B24B96B" w14:textId="77777777" w:rsidR="00160459" w:rsidRPr="0047058F" w:rsidRDefault="00160459" w:rsidP="0047058F">
            <w:pPr>
              <w:pStyle w:val="TableText"/>
            </w:pPr>
            <w:r w:rsidRPr="0047058F">
              <w:t>Male</w:t>
            </w:r>
          </w:p>
        </w:tc>
        <w:tc>
          <w:tcPr>
            <w:tcW w:w="585" w:type="pct"/>
            <w:hideMark/>
          </w:tcPr>
          <w:p w14:paraId="1AE9E403" w14:textId="77777777" w:rsidR="00160459" w:rsidRPr="0047058F" w:rsidRDefault="00160459" w:rsidP="0047058F">
            <w:pPr>
              <w:pStyle w:val="TableText"/>
              <w:jc w:val="right"/>
            </w:pPr>
            <w:r w:rsidRPr="0047058F">
              <w:t>3646</w:t>
            </w:r>
          </w:p>
        </w:tc>
        <w:tc>
          <w:tcPr>
            <w:tcW w:w="615" w:type="pct"/>
            <w:hideMark/>
          </w:tcPr>
          <w:p w14:paraId="19DD0C07" w14:textId="77777777" w:rsidR="00160459" w:rsidRPr="0047058F" w:rsidRDefault="00160459" w:rsidP="0047058F">
            <w:pPr>
              <w:pStyle w:val="TableText"/>
              <w:jc w:val="right"/>
            </w:pPr>
            <w:r w:rsidRPr="0047058F">
              <w:t>84.3</w:t>
            </w:r>
          </w:p>
        </w:tc>
        <w:tc>
          <w:tcPr>
            <w:tcW w:w="695" w:type="pct"/>
            <w:hideMark/>
          </w:tcPr>
          <w:p w14:paraId="50232037" w14:textId="673F92B3" w:rsidR="00160459" w:rsidRPr="0047058F" w:rsidRDefault="00160459" w:rsidP="0047058F">
            <w:pPr>
              <w:pStyle w:val="TableText"/>
              <w:jc w:val="right"/>
            </w:pPr>
            <w:r w:rsidRPr="0047058F">
              <w:t>(83.2</w:t>
            </w:r>
            <w:r w:rsidR="002549BB">
              <w:t>–</w:t>
            </w:r>
            <w:r w:rsidRPr="0047058F">
              <w:t>85.3)</w:t>
            </w:r>
          </w:p>
        </w:tc>
        <w:tc>
          <w:tcPr>
            <w:tcW w:w="597" w:type="pct"/>
            <w:hideMark/>
          </w:tcPr>
          <w:p w14:paraId="6E97B63E" w14:textId="77777777" w:rsidR="00160459" w:rsidRPr="0047058F" w:rsidRDefault="00160459" w:rsidP="0047058F">
            <w:pPr>
              <w:pStyle w:val="TableText"/>
              <w:jc w:val="right"/>
            </w:pPr>
            <w:r w:rsidRPr="0047058F">
              <w:t>6693</w:t>
            </w:r>
          </w:p>
        </w:tc>
        <w:tc>
          <w:tcPr>
            <w:tcW w:w="614" w:type="pct"/>
            <w:hideMark/>
          </w:tcPr>
          <w:p w14:paraId="4D3767AD" w14:textId="77777777" w:rsidR="00160459" w:rsidRPr="0047058F" w:rsidRDefault="00160459" w:rsidP="0047058F">
            <w:pPr>
              <w:pStyle w:val="TableText"/>
              <w:jc w:val="right"/>
            </w:pPr>
            <w:r w:rsidRPr="0047058F">
              <w:t>78.9</w:t>
            </w:r>
          </w:p>
        </w:tc>
        <w:tc>
          <w:tcPr>
            <w:tcW w:w="681" w:type="pct"/>
            <w:hideMark/>
          </w:tcPr>
          <w:p w14:paraId="61913B20" w14:textId="4A183137" w:rsidR="00160459" w:rsidRPr="0047058F" w:rsidRDefault="00160459" w:rsidP="0047058F">
            <w:pPr>
              <w:pStyle w:val="TableText"/>
              <w:jc w:val="right"/>
            </w:pPr>
            <w:r w:rsidRPr="0047058F">
              <w:t>(78.0</w:t>
            </w:r>
            <w:r w:rsidR="002549BB">
              <w:t>–</w:t>
            </w:r>
            <w:r w:rsidRPr="0047058F">
              <w:t>79.8)</w:t>
            </w:r>
          </w:p>
        </w:tc>
      </w:tr>
      <w:tr w:rsidR="0047058F" w:rsidRPr="0047058F" w14:paraId="49929488" w14:textId="77777777" w:rsidTr="0047058F">
        <w:trPr>
          <w:cantSplit/>
        </w:trPr>
        <w:tc>
          <w:tcPr>
            <w:tcW w:w="1212" w:type="pct"/>
            <w:hideMark/>
          </w:tcPr>
          <w:p w14:paraId="6B7B9E48" w14:textId="77777777" w:rsidR="00160459" w:rsidRPr="0047058F" w:rsidRDefault="00160459" w:rsidP="0047058F">
            <w:pPr>
              <w:pStyle w:val="TableText"/>
            </w:pPr>
            <w:r w:rsidRPr="0047058F">
              <w:t>Female</w:t>
            </w:r>
          </w:p>
        </w:tc>
        <w:tc>
          <w:tcPr>
            <w:tcW w:w="585" w:type="pct"/>
            <w:hideMark/>
          </w:tcPr>
          <w:p w14:paraId="00742D97" w14:textId="77777777" w:rsidR="00160459" w:rsidRPr="0047058F" w:rsidRDefault="00160459" w:rsidP="0047058F">
            <w:pPr>
              <w:pStyle w:val="TableText"/>
              <w:jc w:val="right"/>
            </w:pPr>
            <w:r w:rsidRPr="0047058F">
              <w:t>680</w:t>
            </w:r>
          </w:p>
        </w:tc>
        <w:tc>
          <w:tcPr>
            <w:tcW w:w="615" w:type="pct"/>
            <w:hideMark/>
          </w:tcPr>
          <w:p w14:paraId="0405B008" w14:textId="77777777" w:rsidR="00160459" w:rsidRPr="0047058F" w:rsidRDefault="00160459" w:rsidP="0047058F">
            <w:pPr>
              <w:pStyle w:val="TableText"/>
              <w:jc w:val="right"/>
            </w:pPr>
            <w:r w:rsidRPr="0047058F">
              <w:t>15.7</w:t>
            </w:r>
          </w:p>
        </w:tc>
        <w:tc>
          <w:tcPr>
            <w:tcW w:w="695" w:type="pct"/>
            <w:hideMark/>
          </w:tcPr>
          <w:p w14:paraId="693EE2E5" w14:textId="2DC6C2CE" w:rsidR="00160459" w:rsidRPr="0047058F" w:rsidRDefault="00160459" w:rsidP="0047058F">
            <w:pPr>
              <w:pStyle w:val="TableText"/>
              <w:jc w:val="right"/>
            </w:pPr>
            <w:r w:rsidRPr="0047058F">
              <w:t>(14.7</w:t>
            </w:r>
            <w:r w:rsidR="002549BB">
              <w:t>–</w:t>
            </w:r>
            <w:r w:rsidRPr="0047058F">
              <w:t>16.8)</w:t>
            </w:r>
          </w:p>
        </w:tc>
        <w:tc>
          <w:tcPr>
            <w:tcW w:w="597" w:type="pct"/>
            <w:hideMark/>
          </w:tcPr>
          <w:p w14:paraId="2C93552D" w14:textId="77777777" w:rsidR="00160459" w:rsidRPr="0047058F" w:rsidRDefault="00160459" w:rsidP="0047058F">
            <w:pPr>
              <w:pStyle w:val="TableText"/>
              <w:jc w:val="right"/>
            </w:pPr>
            <w:r w:rsidRPr="0047058F">
              <w:t>1787</w:t>
            </w:r>
          </w:p>
        </w:tc>
        <w:tc>
          <w:tcPr>
            <w:tcW w:w="614" w:type="pct"/>
            <w:hideMark/>
          </w:tcPr>
          <w:p w14:paraId="2B375BBE" w14:textId="77777777" w:rsidR="00160459" w:rsidRPr="0047058F" w:rsidRDefault="00160459" w:rsidP="0047058F">
            <w:pPr>
              <w:pStyle w:val="TableText"/>
              <w:jc w:val="right"/>
            </w:pPr>
            <w:r w:rsidRPr="0047058F">
              <w:t>21.1</w:t>
            </w:r>
          </w:p>
        </w:tc>
        <w:tc>
          <w:tcPr>
            <w:tcW w:w="681" w:type="pct"/>
            <w:hideMark/>
          </w:tcPr>
          <w:p w14:paraId="05C74AF0" w14:textId="60598E48" w:rsidR="00160459" w:rsidRPr="0047058F" w:rsidRDefault="00160459" w:rsidP="0047058F">
            <w:pPr>
              <w:pStyle w:val="TableText"/>
              <w:jc w:val="right"/>
            </w:pPr>
            <w:r w:rsidRPr="0047058F">
              <w:t>(20.2</w:t>
            </w:r>
            <w:r w:rsidR="002549BB">
              <w:t>–</w:t>
            </w:r>
            <w:r w:rsidRPr="0047058F">
              <w:t>22.0)</w:t>
            </w:r>
          </w:p>
        </w:tc>
      </w:tr>
      <w:tr w:rsidR="0047058F" w:rsidRPr="0047058F" w14:paraId="5518EC2F"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1758F9DA" w14:textId="77777777" w:rsidR="00160459" w:rsidRPr="0047058F" w:rsidRDefault="00160459" w:rsidP="0047058F">
            <w:pPr>
              <w:pStyle w:val="TableText"/>
              <w:rPr>
                <w:b/>
              </w:rPr>
            </w:pPr>
            <w:r w:rsidRPr="0047058F">
              <w:rPr>
                <w:b/>
              </w:rPr>
              <w:t>Rank</w:t>
            </w:r>
          </w:p>
        </w:tc>
        <w:tc>
          <w:tcPr>
            <w:tcW w:w="585" w:type="pct"/>
          </w:tcPr>
          <w:p w14:paraId="4B75EEDF" w14:textId="77777777" w:rsidR="00160459" w:rsidRPr="0047058F" w:rsidRDefault="00160459" w:rsidP="0047058F">
            <w:pPr>
              <w:pStyle w:val="TableText"/>
              <w:jc w:val="right"/>
              <w:rPr>
                <w:rFonts w:cs="Arial"/>
              </w:rPr>
            </w:pPr>
          </w:p>
        </w:tc>
        <w:tc>
          <w:tcPr>
            <w:tcW w:w="615" w:type="pct"/>
          </w:tcPr>
          <w:p w14:paraId="0659B037" w14:textId="77777777" w:rsidR="00160459" w:rsidRPr="0047058F" w:rsidRDefault="00160459" w:rsidP="0047058F">
            <w:pPr>
              <w:pStyle w:val="TableText"/>
              <w:jc w:val="right"/>
              <w:rPr>
                <w:rFonts w:cs="Arial"/>
                <w:color w:val="000000" w:themeColor="text1"/>
              </w:rPr>
            </w:pPr>
          </w:p>
        </w:tc>
        <w:tc>
          <w:tcPr>
            <w:tcW w:w="695" w:type="pct"/>
          </w:tcPr>
          <w:p w14:paraId="39C9E13B" w14:textId="77777777" w:rsidR="00160459" w:rsidRPr="0047058F" w:rsidRDefault="00160459" w:rsidP="0047058F">
            <w:pPr>
              <w:pStyle w:val="TableText"/>
              <w:jc w:val="right"/>
              <w:rPr>
                <w:rFonts w:cs="Arial"/>
              </w:rPr>
            </w:pPr>
          </w:p>
        </w:tc>
        <w:tc>
          <w:tcPr>
            <w:tcW w:w="597" w:type="pct"/>
          </w:tcPr>
          <w:p w14:paraId="10D27791" w14:textId="77777777" w:rsidR="00160459" w:rsidRPr="0047058F" w:rsidRDefault="00160459" w:rsidP="0047058F">
            <w:pPr>
              <w:pStyle w:val="TableText"/>
              <w:jc w:val="right"/>
              <w:rPr>
                <w:rFonts w:cs="Arial"/>
                <w:color w:val="000000" w:themeColor="text1"/>
              </w:rPr>
            </w:pPr>
          </w:p>
        </w:tc>
        <w:tc>
          <w:tcPr>
            <w:tcW w:w="614" w:type="pct"/>
          </w:tcPr>
          <w:p w14:paraId="7541B510" w14:textId="77777777" w:rsidR="00160459" w:rsidRPr="0047058F" w:rsidRDefault="00160459" w:rsidP="0047058F">
            <w:pPr>
              <w:pStyle w:val="TableText"/>
              <w:jc w:val="right"/>
              <w:rPr>
                <w:rFonts w:cs="Arial"/>
                <w:color w:val="000000" w:themeColor="text1"/>
              </w:rPr>
            </w:pPr>
          </w:p>
        </w:tc>
        <w:tc>
          <w:tcPr>
            <w:tcW w:w="681" w:type="pct"/>
          </w:tcPr>
          <w:p w14:paraId="74CC1A46" w14:textId="77777777" w:rsidR="00160459" w:rsidRPr="0047058F" w:rsidRDefault="00160459" w:rsidP="0047058F">
            <w:pPr>
              <w:pStyle w:val="TableText"/>
              <w:jc w:val="right"/>
              <w:rPr>
                <w:rFonts w:cs="Arial"/>
                <w:color w:val="000000" w:themeColor="text1"/>
              </w:rPr>
            </w:pPr>
          </w:p>
        </w:tc>
      </w:tr>
      <w:tr w:rsidR="0047058F" w:rsidRPr="0047058F" w14:paraId="5B38EBC0" w14:textId="77777777" w:rsidTr="0047058F">
        <w:trPr>
          <w:cantSplit/>
        </w:trPr>
        <w:tc>
          <w:tcPr>
            <w:tcW w:w="1212" w:type="pct"/>
            <w:hideMark/>
          </w:tcPr>
          <w:p w14:paraId="3829B18C" w14:textId="2D6E0A1C" w:rsidR="00160459" w:rsidRPr="0047058F" w:rsidRDefault="00160459" w:rsidP="0047058F">
            <w:pPr>
              <w:pStyle w:val="TableText"/>
            </w:pPr>
            <w:r w:rsidRPr="0047058F">
              <w:t>O</w:t>
            </w:r>
            <w:r w:rsidR="00612655">
              <w:t>fficer</w:t>
            </w:r>
          </w:p>
        </w:tc>
        <w:tc>
          <w:tcPr>
            <w:tcW w:w="585" w:type="pct"/>
            <w:hideMark/>
          </w:tcPr>
          <w:p w14:paraId="328D25F8" w14:textId="77777777" w:rsidR="00160459" w:rsidRPr="0047058F" w:rsidRDefault="00160459" w:rsidP="0047058F">
            <w:pPr>
              <w:pStyle w:val="TableText"/>
              <w:jc w:val="right"/>
            </w:pPr>
            <w:r w:rsidRPr="0047058F">
              <w:t>1259</w:t>
            </w:r>
          </w:p>
        </w:tc>
        <w:tc>
          <w:tcPr>
            <w:tcW w:w="615" w:type="pct"/>
            <w:hideMark/>
          </w:tcPr>
          <w:p w14:paraId="6BF67A53" w14:textId="77777777" w:rsidR="00160459" w:rsidRPr="0047058F" w:rsidRDefault="00160459" w:rsidP="0047058F">
            <w:pPr>
              <w:pStyle w:val="TableText"/>
              <w:jc w:val="right"/>
            </w:pPr>
            <w:r w:rsidRPr="0047058F">
              <w:t>29.1</w:t>
            </w:r>
          </w:p>
        </w:tc>
        <w:tc>
          <w:tcPr>
            <w:tcW w:w="695" w:type="pct"/>
            <w:hideMark/>
          </w:tcPr>
          <w:p w14:paraId="69BFBD2F" w14:textId="2D2CE5C6" w:rsidR="00160459" w:rsidRPr="0047058F" w:rsidRDefault="00160459" w:rsidP="0047058F">
            <w:pPr>
              <w:pStyle w:val="TableText"/>
              <w:jc w:val="right"/>
            </w:pPr>
            <w:r w:rsidRPr="0047058F">
              <w:t>(27.8</w:t>
            </w:r>
            <w:r w:rsidR="002549BB">
              <w:t>–</w:t>
            </w:r>
            <w:r w:rsidRPr="0047058F">
              <w:t>30.5)</w:t>
            </w:r>
          </w:p>
        </w:tc>
        <w:tc>
          <w:tcPr>
            <w:tcW w:w="597" w:type="pct"/>
            <w:hideMark/>
          </w:tcPr>
          <w:p w14:paraId="7BC997CD" w14:textId="77777777" w:rsidR="00160459" w:rsidRPr="0047058F" w:rsidRDefault="00160459" w:rsidP="0047058F">
            <w:pPr>
              <w:pStyle w:val="TableText"/>
              <w:jc w:val="right"/>
            </w:pPr>
            <w:r w:rsidRPr="0047058F">
              <w:t>3538</w:t>
            </w:r>
          </w:p>
        </w:tc>
        <w:tc>
          <w:tcPr>
            <w:tcW w:w="614" w:type="pct"/>
            <w:hideMark/>
          </w:tcPr>
          <w:p w14:paraId="7FD18A9B" w14:textId="77777777" w:rsidR="00160459" w:rsidRPr="0047058F" w:rsidRDefault="00160459" w:rsidP="0047058F">
            <w:pPr>
              <w:pStyle w:val="TableText"/>
              <w:jc w:val="right"/>
            </w:pPr>
            <w:r w:rsidRPr="0047058F">
              <w:t>41.7</w:t>
            </w:r>
          </w:p>
        </w:tc>
        <w:tc>
          <w:tcPr>
            <w:tcW w:w="681" w:type="pct"/>
            <w:hideMark/>
          </w:tcPr>
          <w:p w14:paraId="24BF5552" w14:textId="3E6F9A7C" w:rsidR="00160459" w:rsidRPr="0047058F" w:rsidRDefault="00160459" w:rsidP="0047058F">
            <w:pPr>
              <w:pStyle w:val="TableText"/>
              <w:jc w:val="right"/>
            </w:pPr>
            <w:r w:rsidRPr="0047058F">
              <w:t>(40.7</w:t>
            </w:r>
            <w:r w:rsidR="002549BB">
              <w:t>–</w:t>
            </w:r>
            <w:r w:rsidRPr="0047058F">
              <w:t>42.8)</w:t>
            </w:r>
          </w:p>
        </w:tc>
      </w:tr>
      <w:tr w:rsidR="0047058F" w:rsidRPr="0047058F" w14:paraId="47DA54B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31B91119" w14:textId="14AE7F39" w:rsidR="00160459" w:rsidRPr="0047058F" w:rsidRDefault="00160459" w:rsidP="0047058F">
            <w:pPr>
              <w:pStyle w:val="TableText"/>
            </w:pPr>
            <w:r w:rsidRPr="0047058F">
              <w:t>N</w:t>
            </w:r>
            <w:r w:rsidR="00612655">
              <w:t>on-</w:t>
            </w:r>
            <w:r w:rsidRPr="0047058F">
              <w:t>C</w:t>
            </w:r>
            <w:r w:rsidR="00612655">
              <w:t xml:space="preserve">ommissioned </w:t>
            </w:r>
            <w:r w:rsidRPr="0047058F">
              <w:t>O</w:t>
            </w:r>
            <w:r w:rsidR="00612655">
              <w:t>fficer</w:t>
            </w:r>
          </w:p>
        </w:tc>
        <w:tc>
          <w:tcPr>
            <w:tcW w:w="585" w:type="pct"/>
            <w:hideMark/>
          </w:tcPr>
          <w:p w14:paraId="23D1B896" w14:textId="77777777" w:rsidR="00160459" w:rsidRPr="0047058F" w:rsidRDefault="00160459" w:rsidP="0047058F">
            <w:pPr>
              <w:pStyle w:val="TableText"/>
              <w:jc w:val="right"/>
            </w:pPr>
            <w:r w:rsidRPr="0047058F">
              <w:t>2097</w:t>
            </w:r>
          </w:p>
        </w:tc>
        <w:tc>
          <w:tcPr>
            <w:tcW w:w="615" w:type="pct"/>
            <w:hideMark/>
          </w:tcPr>
          <w:p w14:paraId="3FA3176D" w14:textId="77777777" w:rsidR="00160459" w:rsidRPr="0047058F" w:rsidRDefault="00160459" w:rsidP="0047058F">
            <w:pPr>
              <w:pStyle w:val="TableText"/>
              <w:jc w:val="right"/>
            </w:pPr>
            <w:r w:rsidRPr="0047058F">
              <w:t>48.5</w:t>
            </w:r>
          </w:p>
        </w:tc>
        <w:tc>
          <w:tcPr>
            <w:tcW w:w="695" w:type="pct"/>
            <w:hideMark/>
          </w:tcPr>
          <w:p w14:paraId="6EC68EA1" w14:textId="6FD27B0C" w:rsidR="00160459" w:rsidRPr="0047058F" w:rsidRDefault="00160459" w:rsidP="0047058F">
            <w:pPr>
              <w:pStyle w:val="TableText"/>
              <w:jc w:val="right"/>
            </w:pPr>
            <w:r w:rsidRPr="0047058F">
              <w:t>(47.0</w:t>
            </w:r>
            <w:r w:rsidR="002549BB">
              <w:t>–</w:t>
            </w:r>
            <w:r w:rsidRPr="0047058F">
              <w:t>50.0)</w:t>
            </w:r>
          </w:p>
        </w:tc>
        <w:tc>
          <w:tcPr>
            <w:tcW w:w="597" w:type="pct"/>
            <w:hideMark/>
          </w:tcPr>
          <w:p w14:paraId="525AB51E" w14:textId="77777777" w:rsidR="00160459" w:rsidRPr="0047058F" w:rsidRDefault="00160459" w:rsidP="0047058F">
            <w:pPr>
              <w:pStyle w:val="TableText"/>
              <w:jc w:val="right"/>
            </w:pPr>
            <w:r w:rsidRPr="0047058F">
              <w:t>4336</w:t>
            </w:r>
          </w:p>
        </w:tc>
        <w:tc>
          <w:tcPr>
            <w:tcW w:w="614" w:type="pct"/>
            <w:hideMark/>
          </w:tcPr>
          <w:p w14:paraId="7CE318D6" w14:textId="77777777" w:rsidR="00160459" w:rsidRPr="0047058F" w:rsidRDefault="00160459" w:rsidP="0047058F">
            <w:pPr>
              <w:pStyle w:val="TableText"/>
              <w:jc w:val="right"/>
            </w:pPr>
            <w:r w:rsidRPr="0047058F">
              <w:t>51.1</w:t>
            </w:r>
          </w:p>
        </w:tc>
        <w:tc>
          <w:tcPr>
            <w:tcW w:w="681" w:type="pct"/>
            <w:hideMark/>
          </w:tcPr>
          <w:p w14:paraId="2F3CBAE3" w14:textId="18439068" w:rsidR="00160459" w:rsidRPr="0047058F" w:rsidRDefault="00160459" w:rsidP="0047058F">
            <w:pPr>
              <w:pStyle w:val="TableText"/>
              <w:jc w:val="right"/>
            </w:pPr>
            <w:r w:rsidRPr="0047058F">
              <w:t>(50.1</w:t>
            </w:r>
            <w:r w:rsidR="002549BB">
              <w:t>–</w:t>
            </w:r>
            <w:r w:rsidRPr="0047058F">
              <w:t>52.2)</w:t>
            </w:r>
          </w:p>
        </w:tc>
      </w:tr>
      <w:tr w:rsidR="0047058F" w:rsidRPr="0047058F" w14:paraId="64C0DFE0" w14:textId="77777777" w:rsidTr="0047058F">
        <w:trPr>
          <w:cantSplit/>
        </w:trPr>
        <w:tc>
          <w:tcPr>
            <w:tcW w:w="1212" w:type="pct"/>
            <w:hideMark/>
          </w:tcPr>
          <w:p w14:paraId="1DF1619A" w14:textId="77777777" w:rsidR="00160459" w:rsidRPr="0047058F" w:rsidRDefault="00160459" w:rsidP="0047058F">
            <w:pPr>
              <w:pStyle w:val="TableText"/>
            </w:pPr>
            <w:r w:rsidRPr="0047058F">
              <w:t>Other Ranks</w:t>
            </w:r>
          </w:p>
        </w:tc>
        <w:tc>
          <w:tcPr>
            <w:tcW w:w="585" w:type="pct"/>
            <w:hideMark/>
          </w:tcPr>
          <w:p w14:paraId="503A185A" w14:textId="77777777" w:rsidR="00160459" w:rsidRPr="0047058F" w:rsidRDefault="00160459" w:rsidP="0047058F">
            <w:pPr>
              <w:pStyle w:val="TableText"/>
              <w:jc w:val="right"/>
            </w:pPr>
            <w:r w:rsidRPr="0047058F">
              <w:t>970</w:t>
            </w:r>
          </w:p>
        </w:tc>
        <w:tc>
          <w:tcPr>
            <w:tcW w:w="615" w:type="pct"/>
            <w:hideMark/>
          </w:tcPr>
          <w:p w14:paraId="5FC51281" w14:textId="77777777" w:rsidR="00160459" w:rsidRPr="0047058F" w:rsidRDefault="00160459" w:rsidP="0047058F">
            <w:pPr>
              <w:pStyle w:val="TableText"/>
              <w:jc w:val="right"/>
            </w:pPr>
            <w:r w:rsidRPr="0047058F">
              <w:t>22.4</w:t>
            </w:r>
          </w:p>
        </w:tc>
        <w:tc>
          <w:tcPr>
            <w:tcW w:w="695" w:type="pct"/>
            <w:hideMark/>
          </w:tcPr>
          <w:p w14:paraId="2663C897" w14:textId="074FB67A" w:rsidR="00160459" w:rsidRPr="0047058F" w:rsidRDefault="00160459" w:rsidP="0047058F">
            <w:pPr>
              <w:pStyle w:val="TableText"/>
              <w:jc w:val="right"/>
            </w:pPr>
            <w:r w:rsidRPr="0047058F">
              <w:t>(21.2</w:t>
            </w:r>
            <w:r w:rsidR="002549BB">
              <w:t>–</w:t>
            </w:r>
            <w:r w:rsidRPr="0047058F">
              <w:t>23.7)</w:t>
            </w:r>
          </w:p>
        </w:tc>
        <w:tc>
          <w:tcPr>
            <w:tcW w:w="597" w:type="pct"/>
            <w:hideMark/>
          </w:tcPr>
          <w:p w14:paraId="5D1307A5" w14:textId="77777777" w:rsidR="00160459" w:rsidRPr="0047058F" w:rsidRDefault="00160459" w:rsidP="0047058F">
            <w:pPr>
              <w:pStyle w:val="TableText"/>
              <w:jc w:val="right"/>
            </w:pPr>
            <w:r w:rsidRPr="0047058F">
              <w:t>606</w:t>
            </w:r>
          </w:p>
        </w:tc>
        <w:tc>
          <w:tcPr>
            <w:tcW w:w="614" w:type="pct"/>
            <w:hideMark/>
          </w:tcPr>
          <w:p w14:paraId="3E192706" w14:textId="77777777" w:rsidR="00160459" w:rsidRPr="0047058F" w:rsidRDefault="00160459" w:rsidP="0047058F">
            <w:pPr>
              <w:pStyle w:val="TableText"/>
              <w:jc w:val="right"/>
            </w:pPr>
            <w:r w:rsidRPr="0047058F">
              <w:t>7.2</w:t>
            </w:r>
          </w:p>
        </w:tc>
        <w:tc>
          <w:tcPr>
            <w:tcW w:w="681" w:type="pct"/>
            <w:hideMark/>
          </w:tcPr>
          <w:p w14:paraId="65FAE21A" w14:textId="70FB6942" w:rsidR="00160459" w:rsidRPr="0047058F" w:rsidRDefault="00160459" w:rsidP="0047058F">
            <w:pPr>
              <w:pStyle w:val="TableText"/>
              <w:jc w:val="right"/>
            </w:pPr>
            <w:r w:rsidRPr="0047058F">
              <w:t>(6.6</w:t>
            </w:r>
            <w:r w:rsidR="002549BB">
              <w:t>–</w:t>
            </w:r>
            <w:r w:rsidRPr="0047058F">
              <w:t>7.7)</w:t>
            </w:r>
          </w:p>
        </w:tc>
      </w:tr>
      <w:tr w:rsidR="0047058F" w:rsidRPr="0047058F" w14:paraId="43F9018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56598BCF" w14:textId="77777777" w:rsidR="00160459" w:rsidRPr="0047058F" w:rsidRDefault="00160459" w:rsidP="0047058F">
            <w:pPr>
              <w:pStyle w:val="TableText"/>
              <w:rPr>
                <w:b/>
              </w:rPr>
            </w:pPr>
            <w:r w:rsidRPr="0047058F">
              <w:rPr>
                <w:b/>
              </w:rPr>
              <w:t>Service</w:t>
            </w:r>
          </w:p>
        </w:tc>
        <w:tc>
          <w:tcPr>
            <w:tcW w:w="585" w:type="pct"/>
          </w:tcPr>
          <w:p w14:paraId="44557292" w14:textId="77777777" w:rsidR="00160459" w:rsidRPr="0047058F" w:rsidRDefault="00160459" w:rsidP="0047058F">
            <w:pPr>
              <w:pStyle w:val="TableText"/>
              <w:jc w:val="right"/>
            </w:pPr>
          </w:p>
        </w:tc>
        <w:tc>
          <w:tcPr>
            <w:tcW w:w="615" w:type="pct"/>
          </w:tcPr>
          <w:p w14:paraId="1D1913DF" w14:textId="77777777" w:rsidR="00160459" w:rsidRPr="0047058F" w:rsidRDefault="00160459" w:rsidP="0047058F">
            <w:pPr>
              <w:pStyle w:val="TableText"/>
              <w:jc w:val="right"/>
            </w:pPr>
          </w:p>
        </w:tc>
        <w:tc>
          <w:tcPr>
            <w:tcW w:w="695" w:type="pct"/>
          </w:tcPr>
          <w:p w14:paraId="661C1AC4" w14:textId="77777777" w:rsidR="00160459" w:rsidRPr="0047058F" w:rsidRDefault="00160459" w:rsidP="0047058F">
            <w:pPr>
              <w:pStyle w:val="TableText"/>
              <w:jc w:val="right"/>
            </w:pPr>
          </w:p>
        </w:tc>
        <w:tc>
          <w:tcPr>
            <w:tcW w:w="597" w:type="pct"/>
          </w:tcPr>
          <w:p w14:paraId="5F3BB95A" w14:textId="77777777" w:rsidR="00160459" w:rsidRPr="0047058F" w:rsidRDefault="00160459" w:rsidP="0047058F">
            <w:pPr>
              <w:pStyle w:val="TableText"/>
              <w:jc w:val="right"/>
            </w:pPr>
          </w:p>
        </w:tc>
        <w:tc>
          <w:tcPr>
            <w:tcW w:w="614" w:type="pct"/>
          </w:tcPr>
          <w:p w14:paraId="11429DF8" w14:textId="77777777" w:rsidR="00160459" w:rsidRPr="0047058F" w:rsidRDefault="00160459" w:rsidP="0047058F">
            <w:pPr>
              <w:pStyle w:val="TableText"/>
              <w:jc w:val="right"/>
            </w:pPr>
          </w:p>
        </w:tc>
        <w:tc>
          <w:tcPr>
            <w:tcW w:w="681" w:type="pct"/>
          </w:tcPr>
          <w:p w14:paraId="43B2F8A1" w14:textId="77777777" w:rsidR="00160459" w:rsidRPr="0047058F" w:rsidRDefault="00160459" w:rsidP="0047058F">
            <w:pPr>
              <w:pStyle w:val="TableText"/>
              <w:jc w:val="right"/>
            </w:pPr>
          </w:p>
        </w:tc>
      </w:tr>
      <w:tr w:rsidR="0047058F" w:rsidRPr="0047058F" w14:paraId="0F11188B" w14:textId="77777777" w:rsidTr="0047058F">
        <w:trPr>
          <w:cantSplit/>
        </w:trPr>
        <w:tc>
          <w:tcPr>
            <w:tcW w:w="1212" w:type="pct"/>
            <w:hideMark/>
          </w:tcPr>
          <w:p w14:paraId="42BD0F28" w14:textId="77777777" w:rsidR="00160459" w:rsidRPr="0047058F" w:rsidRDefault="00160459" w:rsidP="0047058F">
            <w:pPr>
              <w:pStyle w:val="TableText"/>
            </w:pPr>
            <w:r w:rsidRPr="0047058F">
              <w:t>Navy</w:t>
            </w:r>
          </w:p>
        </w:tc>
        <w:tc>
          <w:tcPr>
            <w:tcW w:w="585" w:type="pct"/>
            <w:hideMark/>
          </w:tcPr>
          <w:p w14:paraId="69FB4D51" w14:textId="77777777" w:rsidR="00160459" w:rsidRPr="0047058F" w:rsidRDefault="00160459" w:rsidP="0047058F">
            <w:pPr>
              <w:pStyle w:val="TableText"/>
              <w:jc w:val="right"/>
            </w:pPr>
            <w:r w:rsidRPr="0047058F">
              <w:t>863</w:t>
            </w:r>
          </w:p>
        </w:tc>
        <w:tc>
          <w:tcPr>
            <w:tcW w:w="615" w:type="pct"/>
            <w:hideMark/>
          </w:tcPr>
          <w:p w14:paraId="68D209D2" w14:textId="77777777" w:rsidR="00160459" w:rsidRPr="0047058F" w:rsidRDefault="00160459" w:rsidP="0047058F">
            <w:pPr>
              <w:pStyle w:val="TableText"/>
              <w:jc w:val="right"/>
            </w:pPr>
            <w:r w:rsidRPr="0047058F">
              <w:t>19.9</w:t>
            </w:r>
          </w:p>
        </w:tc>
        <w:tc>
          <w:tcPr>
            <w:tcW w:w="695" w:type="pct"/>
            <w:hideMark/>
          </w:tcPr>
          <w:p w14:paraId="5CCF9E9F" w14:textId="01B6B4FF" w:rsidR="00160459" w:rsidRPr="0047058F" w:rsidRDefault="00160459" w:rsidP="0047058F">
            <w:pPr>
              <w:pStyle w:val="TableText"/>
              <w:jc w:val="right"/>
            </w:pPr>
            <w:r w:rsidRPr="0047058F">
              <w:t>(18.8</w:t>
            </w:r>
            <w:r w:rsidR="002549BB">
              <w:t>–</w:t>
            </w:r>
            <w:r w:rsidRPr="0047058F">
              <w:t>21.2)</w:t>
            </w:r>
          </w:p>
        </w:tc>
        <w:tc>
          <w:tcPr>
            <w:tcW w:w="597" w:type="pct"/>
            <w:hideMark/>
          </w:tcPr>
          <w:p w14:paraId="240511BB" w14:textId="77777777" w:rsidR="00160459" w:rsidRPr="0047058F" w:rsidRDefault="00160459" w:rsidP="0047058F">
            <w:pPr>
              <w:pStyle w:val="TableText"/>
              <w:jc w:val="right"/>
            </w:pPr>
            <w:r w:rsidRPr="0047058F">
              <w:t>2940</w:t>
            </w:r>
          </w:p>
        </w:tc>
        <w:tc>
          <w:tcPr>
            <w:tcW w:w="614" w:type="pct"/>
            <w:hideMark/>
          </w:tcPr>
          <w:p w14:paraId="7185EFD9" w14:textId="77777777" w:rsidR="00160459" w:rsidRPr="0047058F" w:rsidRDefault="00160459" w:rsidP="0047058F">
            <w:pPr>
              <w:pStyle w:val="TableText"/>
              <w:jc w:val="right"/>
            </w:pPr>
            <w:r w:rsidRPr="0047058F">
              <w:t>34.7</w:t>
            </w:r>
          </w:p>
        </w:tc>
        <w:tc>
          <w:tcPr>
            <w:tcW w:w="681" w:type="pct"/>
            <w:hideMark/>
          </w:tcPr>
          <w:p w14:paraId="3A4F4B86" w14:textId="117E4D67" w:rsidR="00160459" w:rsidRPr="0047058F" w:rsidRDefault="00160459" w:rsidP="0047058F">
            <w:pPr>
              <w:pStyle w:val="TableText"/>
              <w:jc w:val="right"/>
            </w:pPr>
            <w:r w:rsidRPr="0047058F">
              <w:t>(33.7</w:t>
            </w:r>
            <w:r w:rsidR="002549BB">
              <w:t>–</w:t>
            </w:r>
            <w:r w:rsidRPr="0047058F">
              <w:t>35.7)</w:t>
            </w:r>
          </w:p>
        </w:tc>
      </w:tr>
      <w:tr w:rsidR="0047058F" w:rsidRPr="0047058F" w14:paraId="3254BDF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1DE73D34" w14:textId="77777777" w:rsidR="00160459" w:rsidRPr="0047058F" w:rsidRDefault="00160459" w:rsidP="0047058F">
            <w:pPr>
              <w:pStyle w:val="TableText"/>
            </w:pPr>
            <w:r w:rsidRPr="0047058F">
              <w:t>Army</w:t>
            </w:r>
          </w:p>
        </w:tc>
        <w:tc>
          <w:tcPr>
            <w:tcW w:w="585" w:type="pct"/>
            <w:hideMark/>
          </w:tcPr>
          <w:p w14:paraId="4B23A9EA" w14:textId="77777777" w:rsidR="00160459" w:rsidRPr="0047058F" w:rsidRDefault="00160459" w:rsidP="0047058F">
            <w:pPr>
              <w:pStyle w:val="TableText"/>
              <w:jc w:val="right"/>
            </w:pPr>
            <w:r w:rsidRPr="0047058F">
              <w:t>2463</w:t>
            </w:r>
          </w:p>
        </w:tc>
        <w:tc>
          <w:tcPr>
            <w:tcW w:w="615" w:type="pct"/>
            <w:hideMark/>
          </w:tcPr>
          <w:p w14:paraId="323A4E6D" w14:textId="77777777" w:rsidR="00160459" w:rsidRPr="0047058F" w:rsidRDefault="00160459" w:rsidP="0047058F">
            <w:pPr>
              <w:pStyle w:val="TableText"/>
              <w:jc w:val="right"/>
            </w:pPr>
            <w:r w:rsidRPr="0047058F">
              <w:t>56.9</w:t>
            </w:r>
          </w:p>
        </w:tc>
        <w:tc>
          <w:tcPr>
            <w:tcW w:w="695" w:type="pct"/>
            <w:hideMark/>
          </w:tcPr>
          <w:p w14:paraId="01DF6BF7" w14:textId="1298EDC9" w:rsidR="00160459" w:rsidRPr="0047058F" w:rsidRDefault="00160459" w:rsidP="0047058F">
            <w:pPr>
              <w:pStyle w:val="TableText"/>
              <w:jc w:val="right"/>
            </w:pPr>
            <w:r w:rsidRPr="0047058F">
              <w:t>(55.5</w:t>
            </w:r>
            <w:r w:rsidR="002549BB">
              <w:t>–</w:t>
            </w:r>
            <w:r w:rsidRPr="0047058F">
              <w:t>58.4)</w:t>
            </w:r>
          </w:p>
        </w:tc>
        <w:tc>
          <w:tcPr>
            <w:tcW w:w="597" w:type="pct"/>
            <w:hideMark/>
          </w:tcPr>
          <w:p w14:paraId="733D9754" w14:textId="77777777" w:rsidR="00160459" w:rsidRPr="0047058F" w:rsidRDefault="00160459" w:rsidP="0047058F">
            <w:pPr>
              <w:pStyle w:val="TableText"/>
              <w:jc w:val="right"/>
            </w:pPr>
            <w:r w:rsidRPr="0047058F">
              <w:t>3500</w:t>
            </w:r>
          </w:p>
        </w:tc>
        <w:tc>
          <w:tcPr>
            <w:tcW w:w="614" w:type="pct"/>
            <w:hideMark/>
          </w:tcPr>
          <w:p w14:paraId="1CE35EFE" w14:textId="77777777" w:rsidR="00160459" w:rsidRPr="0047058F" w:rsidRDefault="00160459" w:rsidP="0047058F">
            <w:pPr>
              <w:pStyle w:val="TableText"/>
              <w:jc w:val="right"/>
            </w:pPr>
            <w:r w:rsidRPr="0047058F">
              <w:t>41.3</w:t>
            </w:r>
          </w:p>
        </w:tc>
        <w:tc>
          <w:tcPr>
            <w:tcW w:w="681" w:type="pct"/>
            <w:hideMark/>
          </w:tcPr>
          <w:p w14:paraId="59BFE8D9" w14:textId="28FF17A5" w:rsidR="00160459" w:rsidRPr="0047058F" w:rsidRDefault="00160459" w:rsidP="0047058F">
            <w:pPr>
              <w:pStyle w:val="TableText"/>
              <w:jc w:val="right"/>
            </w:pPr>
            <w:r w:rsidRPr="0047058F">
              <w:t>(40.2</w:t>
            </w:r>
            <w:r w:rsidR="002549BB">
              <w:t>–</w:t>
            </w:r>
            <w:r w:rsidRPr="0047058F">
              <w:t>42.3)</w:t>
            </w:r>
          </w:p>
        </w:tc>
      </w:tr>
      <w:tr w:rsidR="0047058F" w:rsidRPr="0047058F" w14:paraId="608FE1B8" w14:textId="77777777" w:rsidTr="0047058F">
        <w:trPr>
          <w:cantSplit/>
        </w:trPr>
        <w:tc>
          <w:tcPr>
            <w:tcW w:w="1212" w:type="pct"/>
            <w:hideMark/>
          </w:tcPr>
          <w:p w14:paraId="7808DDEF" w14:textId="77777777" w:rsidR="00160459" w:rsidRPr="0047058F" w:rsidRDefault="00160459" w:rsidP="0047058F">
            <w:pPr>
              <w:pStyle w:val="TableText"/>
            </w:pPr>
            <w:r w:rsidRPr="0047058F">
              <w:t>Air Force</w:t>
            </w:r>
          </w:p>
        </w:tc>
        <w:tc>
          <w:tcPr>
            <w:tcW w:w="585" w:type="pct"/>
            <w:hideMark/>
          </w:tcPr>
          <w:p w14:paraId="073709EC" w14:textId="77777777" w:rsidR="00160459" w:rsidRPr="0047058F" w:rsidRDefault="00160459" w:rsidP="0047058F">
            <w:pPr>
              <w:pStyle w:val="TableText"/>
              <w:jc w:val="right"/>
            </w:pPr>
            <w:r w:rsidRPr="0047058F">
              <w:t>1000</w:t>
            </w:r>
          </w:p>
        </w:tc>
        <w:tc>
          <w:tcPr>
            <w:tcW w:w="615" w:type="pct"/>
            <w:hideMark/>
          </w:tcPr>
          <w:p w14:paraId="65844C05" w14:textId="77777777" w:rsidR="00160459" w:rsidRPr="0047058F" w:rsidRDefault="00160459" w:rsidP="0047058F">
            <w:pPr>
              <w:pStyle w:val="TableText"/>
              <w:jc w:val="right"/>
            </w:pPr>
            <w:r w:rsidRPr="0047058F">
              <w:t>23.1</w:t>
            </w:r>
          </w:p>
        </w:tc>
        <w:tc>
          <w:tcPr>
            <w:tcW w:w="695" w:type="pct"/>
            <w:hideMark/>
          </w:tcPr>
          <w:p w14:paraId="1F6538E1" w14:textId="3906DEE8" w:rsidR="00160459" w:rsidRPr="0047058F" w:rsidRDefault="00160459" w:rsidP="0047058F">
            <w:pPr>
              <w:pStyle w:val="TableText"/>
              <w:jc w:val="right"/>
            </w:pPr>
            <w:r w:rsidRPr="0047058F">
              <w:t>(21.9</w:t>
            </w:r>
            <w:r w:rsidR="002549BB">
              <w:t>–</w:t>
            </w:r>
            <w:r w:rsidRPr="0047058F">
              <w:t>24.4)</w:t>
            </w:r>
          </w:p>
        </w:tc>
        <w:tc>
          <w:tcPr>
            <w:tcW w:w="597" w:type="pct"/>
            <w:hideMark/>
          </w:tcPr>
          <w:p w14:paraId="0943DA25" w14:textId="77777777" w:rsidR="00160459" w:rsidRPr="0047058F" w:rsidRDefault="00160459" w:rsidP="0047058F">
            <w:pPr>
              <w:pStyle w:val="TableText"/>
              <w:jc w:val="right"/>
            </w:pPr>
            <w:r w:rsidRPr="0047058F">
              <w:t>2040</w:t>
            </w:r>
          </w:p>
        </w:tc>
        <w:tc>
          <w:tcPr>
            <w:tcW w:w="614" w:type="pct"/>
            <w:hideMark/>
          </w:tcPr>
          <w:p w14:paraId="0B147F15" w14:textId="77777777" w:rsidR="00160459" w:rsidRPr="0047058F" w:rsidRDefault="00160459" w:rsidP="0047058F">
            <w:pPr>
              <w:pStyle w:val="TableText"/>
              <w:jc w:val="right"/>
            </w:pPr>
            <w:r w:rsidRPr="0047058F">
              <w:t>24.1</w:t>
            </w:r>
          </w:p>
        </w:tc>
        <w:tc>
          <w:tcPr>
            <w:tcW w:w="681" w:type="pct"/>
            <w:hideMark/>
          </w:tcPr>
          <w:p w14:paraId="2C5C009A" w14:textId="05FF97BE" w:rsidR="00160459" w:rsidRPr="0047058F" w:rsidRDefault="00160459" w:rsidP="0047058F">
            <w:pPr>
              <w:pStyle w:val="TableText"/>
              <w:jc w:val="right"/>
            </w:pPr>
            <w:r w:rsidRPr="0047058F">
              <w:t>(23.2</w:t>
            </w:r>
            <w:r w:rsidR="002549BB">
              <w:t>–</w:t>
            </w:r>
            <w:r w:rsidRPr="0047058F">
              <w:t>25.0)</w:t>
            </w:r>
          </w:p>
        </w:tc>
      </w:tr>
      <w:tr w:rsidR="0047058F" w:rsidRPr="0047058F" w14:paraId="67DDE0A3"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0AD33E84" w14:textId="77777777" w:rsidR="00160459" w:rsidRPr="0047058F" w:rsidRDefault="00160459" w:rsidP="0047058F">
            <w:pPr>
              <w:pStyle w:val="TableText"/>
              <w:rPr>
                <w:b/>
              </w:rPr>
            </w:pPr>
            <w:r w:rsidRPr="0047058F">
              <w:rPr>
                <w:b/>
              </w:rPr>
              <w:t>Medical fitness</w:t>
            </w:r>
            <w:r w:rsidRPr="0047058F">
              <w:rPr>
                <w:b/>
                <w:vertAlign w:val="superscript"/>
              </w:rPr>
              <w:t>#</w:t>
            </w:r>
          </w:p>
        </w:tc>
        <w:tc>
          <w:tcPr>
            <w:tcW w:w="585" w:type="pct"/>
          </w:tcPr>
          <w:p w14:paraId="65120C4B" w14:textId="77777777" w:rsidR="00160459" w:rsidRPr="0047058F" w:rsidRDefault="00160459" w:rsidP="0047058F">
            <w:pPr>
              <w:pStyle w:val="TableText"/>
              <w:jc w:val="right"/>
            </w:pPr>
          </w:p>
        </w:tc>
        <w:tc>
          <w:tcPr>
            <w:tcW w:w="615" w:type="pct"/>
          </w:tcPr>
          <w:p w14:paraId="006E77E2" w14:textId="77777777" w:rsidR="00160459" w:rsidRPr="0047058F" w:rsidRDefault="00160459" w:rsidP="0047058F">
            <w:pPr>
              <w:pStyle w:val="TableText"/>
              <w:jc w:val="right"/>
            </w:pPr>
          </w:p>
        </w:tc>
        <w:tc>
          <w:tcPr>
            <w:tcW w:w="695" w:type="pct"/>
          </w:tcPr>
          <w:p w14:paraId="28F9DC64" w14:textId="77777777" w:rsidR="00160459" w:rsidRPr="0047058F" w:rsidRDefault="00160459" w:rsidP="0047058F">
            <w:pPr>
              <w:pStyle w:val="TableText"/>
              <w:jc w:val="right"/>
            </w:pPr>
          </w:p>
        </w:tc>
        <w:tc>
          <w:tcPr>
            <w:tcW w:w="597" w:type="pct"/>
          </w:tcPr>
          <w:p w14:paraId="1488A027" w14:textId="77777777" w:rsidR="00160459" w:rsidRPr="0047058F" w:rsidRDefault="00160459" w:rsidP="0047058F">
            <w:pPr>
              <w:pStyle w:val="TableText"/>
              <w:jc w:val="right"/>
            </w:pPr>
          </w:p>
        </w:tc>
        <w:tc>
          <w:tcPr>
            <w:tcW w:w="614" w:type="pct"/>
          </w:tcPr>
          <w:p w14:paraId="5874C382" w14:textId="77777777" w:rsidR="00160459" w:rsidRPr="0047058F" w:rsidRDefault="00160459" w:rsidP="0047058F">
            <w:pPr>
              <w:pStyle w:val="TableText"/>
              <w:jc w:val="right"/>
            </w:pPr>
          </w:p>
        </w:tc>
        <w:tc>
          <w:tcPr>
            <w:tcW w:w="681" w:type="pct"/>
          </w:tcPr>
          <w:p w14:paraId="127D316D" w14:textId="77777777" w:rsidR="00160459" w:rsidRPr="0047058F" w:rsidRDefault="00160459" w:rsidP="0047058F">
            <w:pPr>
              <w:pStyle w:val="TableText"/>
              <w:jc w:val="right"/>
            </w:pPr>
          </w:p>
        </w:tc>
      </w:tr>
      <w:tr w:rsidR="0047058F" w:rsidRPr="0047058F" w14:paraId="1894D73D" w14:textId="77777777" w:rsidTr="0047058F">
        <w:trPr>
          <w:cantSplit/>
        </w:trPr>
        <w:tc>
          <w:tcPr>
            <w:tcW w:w="1212" w:type="pct"/>
            <w:hideMark/>
          </w:tcPr>
          <w:p w14:paraId="45FFB657" w14:textId="77777777" w:rsidR="00160459" w:rsidRPr="0047058F" w:rsidRDefault="00160459" w:rsidP="0047058F">
            <w:pPr>
              <w:pStyle w:val="TableText"/>
            </w:pPr>
            <w:r w:rsidRPr="0047058F">
              <w:t>Fit</w:t>
            </w:r>
          </w:p>
        </w:tc>
        <w:tc>
          <w:tcPr>
            <w:tcW w:w="585" w:type="pct"/>
            <w:hideMark/>
          </w:tcPr>
          <w:p w14:paraId="7E02FB5F" w14:textId="77777777" w:rsidR="00160459" w:rsidRPr="0047058F" w:rsidRDefault="00160459" w:rsidP="0047058F">
            <w:pPr>
              <w:pStyle w:val="TableText"/>
              <w:jc w:val="right"/>
            </w:pPr>
            <w:r w:rsidRPr="0047058F">
              <w:t>2981</w:t>
            </w:r>
          </w:p>
        </w:tc>
        <w:tc>
          <w:tcPr>
            <w:tcW w:w="615" w:type="pct"/>
            <w:hideMark/>
          </w:tcPr>
          <w:p w14:paraId="53726E8F" w14:textId="77777777" w:rsidR="00160459" w:rsidRPr="0047058F" w:rsidRDefault="00160459" w:rsidP="0047058F">
            <w:pPr>
              <w:pStyle w:val="TableText"/>
              <w:jc w:val="right"/>
            </w:pPr>
            <w:r w:rsidRPr="0047058F">
              <w:t>68.9</w:t>
            </w:r>
          </w:p>
        </w:tc>
        <w:tc>
          <w:tcPr>
            <w:tcW w:w="695" w:type="pct"/>
            <w:hideMark/>
          </w:tcPr>
          <w:p w14:paraId="68085850" w14:textId="249AC422" w:rsidR="00160459" w:rsidRPr="0047058F" w:rsidRDefault="00160459" w:rsidP="0047058F">
            <w:pPr>
              <w:pStyle w:val="TableText"/>
              <w:jc w:val="right"/>
            </w:pPr>
            <w:r w:rsidRPr="0047058F">
              <w:t>(67.5</w:t>
            </w:r>
            <w:r w:rsidR="002549BB">
              <w:t>–</w:t>
            </w:r>
            <w:r w:rsidRPr="0047058F">
              <w:t>70.3)</w:t>
            </w:r>
          </w:p>
        </w:tc>
        <w:tc>
          <w:tcPr>
            <w:tcW w:w="597" w:type="pct"/>
            <w:hideMark/>
          </w:tcPr>
          <w:p w14:paraId="2330D246" w14:textId="77777777" w:rsidR="00160459" w:rsidRPr="0047058F" w:rsidRDefault="00160459" w:rsidP="0047058F">
            <w:pPr>
              <w:pStyle w:val="TableText"/>
              <w:jc w:val="right"/>
            </w:pPr>
            <w:r w:rsidRPr="0047058F">
              <w:t>7116</w:t>
            </w:r>
          </w:p>
        </w:tc>
        <w:tc>
          <w:tcPr>
            <w:tcW w:w="614" w:type="pct"/>
            <w:hideMark/>
          </w:tcPr>
          <w:p w14:paraId="22FF9FC6" w14:textId="77777777" w:rsidR="00160459" w:rsidRPr="0047058F" w:rsidRDefault="00160459" w:rsidP="0047058F">
            <w:pPr>
              <w:pStyle w:val="TableText"/>
              <w:jc w:val="right"/>
            </w:pPr>
            <w:r w:rsidRPr="0047058F">
              <w:t>83.9</w:t>
            </w:r>
          </w:p>
        </w:tc>
        <w:tc>
          <w:tcPr>
            <w:tcW w:w="681" w:type="pct"/>
            <w:hideMark/>
          </w:tcPr>
          <w:p w14:paraId="43A12853" w14:textId="5521E9F7" w:rsidR="00160459" w:rsidRPr="0047058F" w:rsidRDefault="00160459" w:rsidP="0047058F">
            <w:pPr>
              <w:pStyle w:val="TableText"/>
              <w:jc w:val="right"/>
            </w:pPr>
            <w:r w:rsidRPr="0047058F">
              <w:t>(83.1</w:t>
            </w:r>
            <w:r w:rsidR="002549BB">
              <w:t>–</w:t>
            </w:r>
            <w:r w:rsidRPr="0047058F">
              <w:t>84.7)</w:t>
            </w:r>
          </w:p>
        </w:tc>
      </w:tr>
      <w:tr w:rsidR="0047058F" w:rsidRPr="0047058F" w14:paraId="531B94F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2" w:type="pct"/>
            <w:hideMark/>
          </w:tcPr>
          <w:p w14:paraId="211205E5" w14:textId="77777777" w:rsidR="00160459" w:rsidRPr="0047058F" w:rsidRDefault="00160459" w:rsidP="0047058F">
            <w:pPr>
              <w:pStyle w:val="TableText"/>
            </w:pPr>
            <w:r w:rsidRPr="0047058F">
              <w:t>Unfit</w:t>
            </w:r>
          </w:p>
        </w:tc>
        <w:tc>
          <w:tcPr>
            <w:tcW w:w="585" w:type="pct"/>
            <w:hideMark/>
          </w:tcPr>
          <w:p w14:paraId="4B78E7A6" w14:textId="77777777" w:rsidR="00160459" w:rsidRPr="0047058F" w:rsidRDefault="00160459" w:rsidP="0047058F">
            <w:pPr>
              <w:pStyle w:val="TableText"/>
              <w:jc w:val="right"/>
            </w:pPr>
            <w:r w:rsidRPr="0047058F">
              <w:t>1345</w:t>
            </w:r>
          </w:p>
        </w:tc>
        <w:tc>
          <w:tcPr>
            <w:tcW w:w="615" w:type="pct"/>
            <w:hideMark/>
          </w:tcPr>
          <w:p w14:paraId="785BB3C0" w14:textId="77777777" w:rsidR="00160459" w:rsidRPr="0047058F" w:rsidRDefault="00160459" w:rsidP="0047058F">
            <w:pPr>
              <w:pStyle w:val="TableText"/>
              <w:jc w:val="right"/>
            </w:pPr>
            <w:r w:rsidRPr="0047058F">
              <w:t>31.1</w:t>
            </w:r>
          </w:p>
        </w:tc>
        <w:tc>
          <w:tcPr>
            <w:tcW w:w="695" w:type="pct"/>
            <w:hideMark/>
          </w:tcPr>
          <w:p w14:paraId="710BD4E4" w14:textId="1CB57590" w:rsidR="00160459" w:rsidRPr="0047058F" w:rsidRDefault="00160459" w:rsidP="0047058F">
            <w:pPr>
              <w:pStyle w:val="TableText"/>
              <w:jc w:val="right"/>
            </w:pPr>
            <w:r w:rsidRPr="0047058F">
              <w:t>(29.7</w:t>
            </w:r>
            <w:r w:rsidR="002549BB">
              <w:t>–</w:t>
            </w:r>
            <w:r w:rsidRPr="0047058F">
              <w:t>32.5)</w:t>
            </w:r>
          </w:p>
        </w:tc>
        <w:tc>
          <w:tcPr>
            <w:tcW w:w="597" w:type="pct"/>
            <w:hideMark/>
          </w:tcPr>
          <w:p w14:paraId="6DF330AD" w14:textId="77777777" w:rsidR="00160459" w:rsidRPr="0047058F" w:rsidRDefault="00160459" w:rsidP="0047058F">
            <w:pPr>
              <w:pStyle w:val="TableText"/>
              <w:jc w:val="right"/>
            </w:pPr>
            <w:r w:rsidRPr="0047058F">
              <w:t>1364</w:t>
            </w:r>
          </w:p>
        </w:tc>
        <w:tc>
          <w:tcPr>
            <w:tcW w:w="614" w:type="pct"/>
            <w:hideMark/>
          </w:tcPr>
          <w:p w14:paraId="259F54CF" w14:textId="77777777" w:rsidR="00160459" w:rsidRPr="0047058F" w:rsidRDefault="00160459" w:rsidP="0047058F">
            <w:pPr>
              <w:pStyle w:val="TableText"/>
              <w:jc w:val="right"/>
            </w:pPr>
            <w:r w:rsidRPr="0047058F">
              <w:t>16.1</w:t>
            </w:r>
          </w:p>
        </w:tc>
        <w:tc>
          <w:tcPr>
            <w:tcW w:w="681" w:type="pct"/>
            <w:hideMark/>
          </w:tcPr>
          <w:p w14:paraId="6C855BB1" w14:textId="5E60ECBF" w:rsidR="00160459" w:rsidRPr="0047058F" w:rsidRDefault="00160459" w:rsidP="0047058F">
            <w:pPr>
              <w:pStyle w:val="TableText"/>
              <w:jc w:val="right"/>
            </w:pPr>
            <w:r w:rsidRPr="0047058F">
              <w:t>(15.3</w:t>
            </w:r>
            <w:r w:rsidR="002549BB">
              <w:t>–</w:t>
            </w:r>
            <w:r w:rsidRPr="0047058F">
              <w:t>16.9)</w:t>
            </w:r>
          </w:p>
        </w:tc>
      </w:tr>
    </w:tbl>
    <w:p w14:paraId="642F2870" w14:textId="507888A9" w:rsidR="00160459" w:rsidRPr="0047058F" w:rsidRDefault="00160459" w:rsidP="00160459">
      <w:pPr>
        <w:pStyle w:val="TableNotes"/>
      </w:pPr>
      <w:r w:rsidRPr="0047058F">
        <w:t># Refer to glossary for a definition of ‘medical fitness’.</w:t>
      </w:r>
    </w:p>
    <w:p w14:paraId="002F46EE" w14:textId="77777777" w:rsidR="00160459" w:rsidRPr="0047058F" w:rsidRDefault="00160459" w:rsidP="00160459">
      <w:pPr>
        <w:pStyle w:val="TableNotes"/>
        <w:rPr>
          <w:b/>
        </w:rPr>
      </w:pPr>
      <w:r w:rsidRPr="0047058F">
        <w:rPr>
          <w:b/>
        </w:rPr>
        <w:t>Notes</w:t>
      </w:r>
    </w:p>
    <w:p w14:paraId="30C0BDB4" w14:textId="77777777" w:rsidR="00160459" w:rsidRPr="0047058F" w:rsidRDefault="00160459" w:rsidP="00160459">
      <w:pPr>
        <w:pStyle w:val="TableNotes"/>
      </w:pPr>
      <w:r w:rsidRPr="0047058F">
        <w:t>Denominator: Those who were invited and responded to the survey.</w:t>
      </w:r>
    </w:p>
    <w:p w14:paraId="6D3A606E" w14:textId="77777777" w:rsidR="00160459" w:rsidRPr="0047058F" w:rsidRDefault="00160459" w:rsidP="00160459">
      <w:pPr>
        <w:pStyle w:val="TableNotes"/>
        <w:rPr>
          <w:bCs/>
        </w:rPr>
      </w:pPr>
      <w:r w:rsidRPr="0047058F">
        <w:t>Unweighted data.</w:t>
      </w:r>
    </w:p>
    <w:p w14:paraId="73925378" w14:textId="77777777" w:rsidR="00160459" w:rsidRPr="0047058F" w:rsidRDefault="00160459" w:rsidP="00160459">
      <w:pPr>
        <w:pStyle w:val="TableNotes"/>
        <w:rPr>
          <w:bCs/>
        </w:rPr>
      </w:pPr>
      <w:r w:rsidRPr="0047058F">
        <w:rPr>
          <w:bCs/>
        </w:rPr>
        <w:t>95% CI: 95% confidence interval; SE: standard error.</w:t>
      </w:r>
    </w:p>
    <w:p w14:paraId="4F991801" w14:textId="77777777" w:rsidR="00160459" w:rsidRPr="0047058F" w:rsidRDefault="00160459" w:rsidP="00160459">
      <w:pPr>
        <w:pStyle w:val="Heading3b"/>
      </w:pPr>
      <w:bookmarkStart w:id="607" w:name="_Toc487011296"/>
      <w:bookmarkStart w:id="608" w:name="_Toc493663191"/>
      <w:r w:rsidRPr="0047058F">
        <w:t>CIDI responders</w:t>
      </w:r>
      <w:bookmarkEnd w:id="607"/>
      <w:bookmarkEnd w:id="608"/>
    </w:p>
    <w:p w14:paraId="3F3AD07B" w14:textId="77777777" w:rsidR="00160459" w:rsidRPr="0047058F" w:rsidRDefault="00160459" w:rsidP="00160459">
      <w:pPr>
        <w:rPr>
          <w:rFonts w:asciiTheme="minorHAnsi" w:hAnsiTheme="minorHAnsi" w:cstheme="minorHAnsi"/>
          <w:szCs w:val="22"/>
        </w:rPr>
      </w:pPr>
      <w:r w:rsidRPr="0047058F">
        <w:t xml:space="preserve">In phase 2 of the research, a subsample of 1,384 individuals from the stratified Transitioned ADF group, 1,088 individuals from the MHPWS group, and 183 from the Combat Zone group were selected to participate in a one-hour telephone interview using the World Mental Health </w:t>
      </w:r>
      <w:r w:rsidRPr="0047058F">
        <w:rPr>
          <w:rFonts w:asciiTheme="minorHAnsi" w:hAnsiTheme="minorHAnsi" w:cstheme="minorHAnsi"/>
        </w:rPr>
        <w:t>Survey Initiative version of the World Health Organization’s Composite International Diagnostic Interview Version 3.0 (CIDI 3.0) (Kessler &amp; Ustun, 2004)</w:t>
      </w:r>
      <w:r w:rsidRPr="0047058F">
        <w:rPr>
          <w:rFonts w:asciiTheme="minorHAnsi" w:hAnsiTheme="minorHAnsi" w:cstheme="minorHAnsi"/>
          <w:szCs w:val="22"/>
        </w:rPr>
        <w:t>. Data from all three groups was used to estimate prevalence of mental disorder in the Transitioned ADF.</w:t>
      </w:r>
    </w:p>
    <w:p w14:paraId="4E5CCAA9" w14:textId="77777777" w:rsidR="00160459" w:rsidRPr="0047058F" w:rsidRDefault="00160459" w:rsidP="00160459">
      <w:pPr>
        <w:pStyle w:val="Heading4"/>
        <w:ind w:left="864" w:hanging="864"/>
        <w:rPr>
          <w:rFonts w:eastAsia="MS ??"/>
        </w:rPr>
      </w:pPr>
      <w:r w:rsidRPr="0047058F">
        <w:rPr>
          <w:rFonts w:eastAsia="MS ??"/>
        </w:rPr>
        <w:t>Stratified Transitioned ADF</w:t>
      </w:r>
    </w:p>
    <w:p w14:paraId="58D79647" w14:textId="77777777" w:rsidR="00160459" w:rsidRPr="0047058F" w:rsidRDefault="00160459" w:rsidP="00160459">
      <w:r w:rsidRPr="0047058F">
        <w:t xml:space="preserve">A total of 1,384 participants were stratified and sought for participation (selected) in the CIDI 3.0. Of those selected, 53.8% (745) </w:t>
      </w:r>
      <w:r w:rsidRPr="0047058F">
        <w:rPr>
          <w:color w:val="000000" w:themeColor="text1"/>
        </w:rPr>
        <w:t>completed</w:t>
      </w:r>
      <w:r w:rsidRPr="0047058F">
        <w:t xml:space="preserve"> the interview. Table A.4 describes the response rates for the stratified Transitioned ADF undertaking the CIDI 3.0 and Table A.5 describes the demographic profile of this group.</w:t>
      </w:r>
    </w:p>
    <w:p w14:paraId="61ACF64F" w14:textId="77777777" w:rsidR="00160459" w:rsidRPr="0047058F" w:rsidRDefault="00160459" w:rsidP="00160459">
      <w:pPr>
        <w:pStyle w:val="TableName"/>
      </w:pPr>
      <w:bookmarkStart w:id="609" w:name="_Toc479243373"/>
      <w:bookmarkStart w:id="610" w:name="_Toc486936017"/>
      <w:bookmarkStart w:id="611" w:name="_Toc487014341"/>
      <w:bookmarkStart w:id="612" w:name="_Toc492995644"/>
      <w:bookmarkStart w:id="613" w:name="_Toc497383343"/>
      <w:bookmarkStart w:id="614" w:name="_Toc529117552"/>
      <w:bookmarkStart w:id="615" w:name="_Toc532473622"/>
      <w:r w:rsidRPr="0047058F">
        <w:t>Table A.4</w:t>
      </w:r>
      <w:r w:rsidRPr="0047058F">
        <w:tab/>
        <w:t>CIDI response rates for stratified Transitioned ADF by Service, sex, rank and Medical Employment Classification status</w:t>
      </w:r>
      <w:bookmarkEnd w:id="609"/>
      <w:bookmarkEnd w:id="610"/>
      <w:bookmarkEnd w:id="611"/>
      <w:bookmarkEnd w:id="612"/>
      <w:bookmarkEnd w:id="613"/>
      <w:bookmarkEnd w:id="614"/>
      <w:bookmarkEnd w:id="615"/>
    </w:p>
    <w:tbl>
      <w:tblPr>
        <w:tblStyle w:val="TWRPTable"/>
        <w:tblW w:w="5000" w:type="pct"/>
        <w:tblLayout w:type="fixed"/>
        <w:tblLook w:val="04A0" w:firstRow="1" w:lastRow="0" w:firstColumn="1" w:lastColumn="0" w:noHBand="0" w:noVBand="1"/>
        <w:tblDescription w:val="Table A.4 CIDI response rates for stratified Transitioned ADF by Service, sex, rank and Medical Employment Classification status"/>
      </w:tblPr>
      <w:tblGrid>
        <w:gridCol w:w="1773"/>
        <w:gridCol w:w="1385"/>
        <w:gridCol w:w="1385"/>
        <w:gridCol w:w="1385"/>
        <w:gridCol w:w="1387"/>
      </w:tblGrid>
      <w:tr w:rsidR="00160459" w:rsidRPr="0047058F" w14:paraId="7780775D"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211" w:type="pct"/>
            <w:vMerge w:val="restart"/>
          </w:tcPr>
          <w:p w14:paraId="437230B5" w14:textId="77777777" w:rsidR="00160459" w:rsidRPr="0047058F" w:rsidRDefault="00160459" w:rsidP="0047058F">
            <w:pPr>
              <w:pStyle w:val="TableText"/>
            </w:pPr>
          </w:p>
        </w:tc>
        <w:tc>
          <w:tcPr>
            <w:tcW w:w="3789" w:type="pct"/>
            <w:gridSpan w:val="4"/>
            <w:hideMark/>
          </w:tcPr>
          <w:p w14:paraId="0EC35AD6" w14:textId="77777777" w:rsidR="00160459" w:rsidRPr="0047058F" w:rsidRDefault="00160459" w:rsidP="0047058F">
            <w:pPr>
              <w:pStyle w:val="TableText"/>
              <w:jc w:val="center"/>
            </w:pPr>
            <w:r w:rsidRPr="0047058F">
              <w:t xml:space="preserve">Stratified Transitioned ADF CIDI </w:t>
            </w:r>
            <w:r w:rsidRPr="0047058F">
              <w:br/>
              <w:t>(n = 1384 (selected); n = 745 (responded))</w:t>
            </w:r>
          </w:p>
        </w:tc>
      </w:tr>
      <w:tr w:rsidR="0047058F" w:rsidRPr="0047058F" w14:paraId="3E808CE5"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211" w:type="pct"/>
            <w:vMerge/>
          </w:tcPr>
          <w:p w14:paraId="167030C3" w14:textId="77777777" w:rsidR="00160459" w:rsidRPr="0047058F" w:rsidRDefault="00160459" w:rsidP="0047058F">
            <w:pPr>
              <w:pStyle w:val="TableText"/>
              <w:rPr>
                <w:rFonts w:cs="Arial"/>
              </w:rPr>
            </w:pPr>
          </w:p>
        </w:tc>
        <w:tc>
          <w:tcPr>
            <w:tcW w:w="947" w:type="pct"/>
            <w:hideMark/>
          </w:tcPr>
          <w:p w14:paraId="690B539F" w14:textId="77777777" w:rsidR="00160459" w:rsidRPr="0047058F" w:rsidRDefault="00160459" w:rsidP="0047058F">
            <w:pPr>
              <w:pStyle w:val="TableText"/>
              <w:jc w:val="right"/>
              <w:rPr>
                <w:rFonts w:cs="Arial"/>
              </w:rPr>
            </w:pPr>
            <w:r w:rsidRPr="0047058F">
              <w:rPr>
                <w:rFonts w:cs="Arial"/>
              </w:rPr>
              <w:t>Population</w:t>
            </w:r>
          </w:p>
        </w:tc>
        <w:tc>
          <w:tcPr>
            <w:tcW w:w="947" w:type="pct"/>
            <w:hideMark/>
          </w:tcPr>
          <w:p w14:paraId="7293F019" w14:textId="77777777" w:rsidR="00160459" w:rsidRPr="0047058F" w:rsidRDefault="00160459" w:rsidP="0047058F">
            <w:pPr>
              <w:pStyle w:val="TableText"/>
              <w:jc w:val="right"/>
              <w:rPr>
                <w:rFonts w:cs="Arial"/>
              </w:rPr>
            </w:pPr>
            <w:r w:rsidRPr="0047058F">
              <w:rPr>
                <w:rFonts w:cs="Arial"/>
              </w:rPr>
              <w:t>Selected</w:t>
            </w:r>
          </w:p>
        </w:tc>
        <w:tc>
          <w:tcPr>
            <w:tcW w:w="947" w:type="pct"/>
            <w:hideMark/>
          </w:tcPr>
          <w:p w14:paraId="306EDA28" w14:textId="77777777" w:rsidR="00160459" w:rsidRPr="0047058F" w:rsidRDefault="00160459" w:rsidP="0047058F">
            <w:pPr>
              <w:pStyle w:val="TableText"/>
              <w:jc w:val="right"/>
              <w:rPr>
                <w:rFonts w:cs="Arial"/>
              </w:rPr>
            </w:pPr>
            <w:r w:rsidRPr="0047058F">
              <w:rPr>
                <w:rFonts w:cs="Arial"/>
              </w:rPr>
              <w:t>Responders</w:t>
            </w:r>
          </w:p>
        </w:tc>
        <w:tc>
          <w:tcPr>
            <w:tcW w:w="947" w:type="pct"/>
            <w:hideMark/>
          </w:tcPr>
          <w:p w14:paraId="27B3F9BD" w14:textId="77777777" w:rsidR="00160459" w:rsidRPr="0047058F" w:rsidRDefault="00160459" w:rsidP="0047058F">
            <w:pPr>
              <w:pStyle w:val="TableText"/>
              <w:jc w:val="right"/>
              <w:rPr>
                <w:rFonts w:cs="Arial"/>
              </w:rPr>
            </w:pPr>
            <w:r w:rsidRPr="0047058F">
              <w:rPr>
                <w:rFonts w:cs="Arial"/>
              </w:rPr>
              <w:t>Response rate (%)</w:t>
            </w:r>
          </w:p>
        </w:tc>
      </w:tr>
      <w:tr w:rsidR="00160459" w:rsidRPr="0047058F" w14:paraId="79D06344"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64AA00BC" w14:textId="77777777" w:rsidR="00160459" w:rsidRPr="0047058F" w:rsidRDefault="00160459" w:rsidP="0047058F">
            <w:pPr>
              <w:pStyle w:val="TableText"/>
              <w:rPr>
                <w:b/>
              </w:rPr>
            </w:pPr>
            <w:r w:rsidRPr="0047058F">
              <w:rPr>
                <w:b/>
              </w:rPr>
              <w:t>Service</w:t>
            </w:r>
          </w:p>
        </w:tc>
        <w:tc>
          <w:tcPr>
            <w:tcW w:w="947" w:type="pct"/>
          </w:tcPr>
          <w:p w14:paraId="68EB1A70" w14:textId="77777777" w:rsidR="00160459" w:rsidRPr="0047058F" w:rsidRDefault="00160459" w:rsidP="0047058F">
            <w:pPr>
              <w:pStyle w:val="TableText"/>
              <w:jc w:val="right"/>
            </w:pPr>
          </w:p>
        </w:tc>
        <w:tc>
          <w:tcPr>
            <w:tcW w:w="947" w:type="pct"/>
          </w:tcPr>
          <w:p w14:paraId="1E623B57" w14:textId="77777777" w:rsidR="00160459" w:rsidRPr="0047058F" w:rsidRDefault="00160459" w:rsidP="0047058F">
            <w:pPr>
              <w:pStyle w:val="TableText"/>
              <w:jc w:val="right"/>
              <w:rPr>
                <w:rFonts w:cs="Arial"/>
              </w:rPr>
            </w:pPr>
          </w:p>
        </w:tc>
        <w:tc>
          <w:tcPr>
            <w:tcW w:w="947" w:type="pct"/>
          </w:tcPr>
          <w:p w14:paraId="398B4DBA" w14:textId="77777777" w:rsidR="00160459" w:rsidRPr="0047058F" w:rsidRDefault="00160459" w:rsidP="0047058F">
            <w:pPr>
              <w:pStyle w:val="TableText"/>
              <w:jc w:val="right"/>
              <w:rPr>
                <w:rFonts w:cs="Arial"/>
              </w:rPr>
            </w:pPr>
          </w:p>
        </w:tc>
        <w:tc>
          <w:tcPr>
            <w:tcW w:w="947" w:type="pct"/>
          </w:tcPr>
          <w:p w14:paraId="3031993C" w14:textId="77777777" w:rsidR="00160459" w:rsidRPr="0047058F" w:rsidRDefault="00160459" w:rsidP="0047058F">
            <w:pPr>
              <w:pStyle w:val="TableText"/>
              <w:jc w:val="right"/>
              <w:rPr>
                <w:rFonts w:cs="Arial"/>
              </w:rPr>
            </w:pPr>
          </w:p>
        </w:tc>
      </w:tr>
      <w:tr w:rsidR="0047058F" w:rsidRPr="0047058F" w14:paraId="2BA0183A" w14:textId="77777777" w:rsidTr="0047058F">
        <w:trPr>
          <w:cantSplit/>
        </w:trPr>
        <w:tc>
          <w:tcPr>
            <w:tcW w:w="1211" w:type="pct"/>
            <w:hideMark/>
          </w:tcPr>
          <w:p w14:paraId="4A7D2B0D" w14:textId="77777777" w:rsidR="00160459" w:rsidRPr="0047058F" w:rsidRDefault="00160459" w:rsidP="0047058F">
            <w:pPr>
              <w:pStyle w:val="TableText"/>
            </w:pPr>
            <w:r w:rsidRPr="0047058F">
              <w:t>Navy</w:t>
            </w:r>
          </w:p>
        </w:tc>
        <w:tc>
          <w:tcPr>
            <w:tcW w:w="947" w:type="pct"/>
            <w:hideMark/>
          </w:tcPr>
          <w:p w14:paraId="3EE97B99" w14:textId="77777777" w:rsidR="00160459" w:rsidRPr="0047058F" w:rsidRDefault="00160459" w:rsidP="0047058F">
            <w:pPr>
              <w:pStyle w:val="TableText"/>
              <w:jc w:val="right"/>
            </w:pPr>
            <w:r w:rsidRPr="0047058F">
              <w:t>5671</w:t>
            </w:r>
          </w:p>
        </w:tc>
        <w:tc>
          <w:tcPr>
            <w:tcW w:w="947" w:type="pct"/>
            <w:hideMark/>
          </w:tcPr>
          <w:p w14:paraId="1E376950" w14:textId="77777777" w:rsidR="00160459" w:rsidRPr="0047058F" w:rsidRDefault="00160459" w:rsidP="0047058F">
            <w:pPr>
              <w:pStyle w:val="TableText"/>
              <w:jc w:val="right"/>
              <w:rPr>
                <w:rFonts w:cs="Arial"/>
              </w:rPr>
            </w:pPr>
            <w:r w:rsidRPr="0047058F">
              <w:rPr>
                <w:rFonts w:cs="Arial"/>
              </w:rPr>
              <w:t>285</w:t>
            </w:r>
          </w:p>
        </w:tc>
        <w:tc>
          <w:tcPr>
            <w:tcW w:w="947" w:type="pct"/>
            <w:hideMark/>
          </w:tcPr>
          <w:p w14:paraId="4ECFD58A" w14:textId="77777777" w:rsidR="00160459" w:rsidRPr="0047058F" w:rsidRDefault="00160459" w:rsidP="0047058F">
            <w:pPr>
              <w:pStyle w:val="TableText"/>
              <w:jc w:val="right"/>
              <w:rPr>
                <w:rFonts w:cs="Arial"/>
              </w:rPr>
            </w:pPr>
            <w:r w:rsidRPr="0047058F">
              <w:rPr>
                <w:rFonts w:cs="Arial"/>
              </w:rPr>
              <w:t>150</w:t>
            </w:r>
          </w:p>
        </w:tc>
        <w:tc>
          <w:tcPr>
            <w:tcW w:w="947" w:type="pct"/>
            <w:hideMark/>
          </w:tcPr>
          <w:p w14:paraId="163FE0CF" w14:textId="77777777" w:rsidR="00160459" w:rsidRPr="0047058F" w:rsidRDefault="00160459" w:rsidP="0047058F">
            <w:pPr>
              <w:pStyle w:val="TableText"/>
              <w:jc w:val="right"/>
              <w:rPr>
                <w:rFonts w:cs="Arial"/>
              </w:rPr>
            </w:pPr>
            <w:r w:rsidRPr="0047058F">
              <w:rPr>
                <w:rFonts w:cs="Arial"/>
              </w:rPr>
              <w:t>52.6</w:t>
            </w:r>
          </w:p>
        </w:tc>
      </w:tr>
      <w:tr w:rsidR="00160459" w:rsidRPr="0047058F" w14:paraId="2A7353FF"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37CE374C" w14:textId="77777777" w:rsidR="00160459" w:rsidRPr="0047058F" w:rsidRDefault="00160459" w:rsidP="0047058F">
            <w:pPr>
              <w:pStyle w:val="TableText"/>
            </w:pPr>
            <w:r w:rsidRPr="0047058F">
              <w:t>Army</w:t>
            </w:r>
          </w:p>
        </w:tc>
        <w:tc>
          <w:tcPr>
            <w:tcW w:w="947" w:type="pct"/>
            <w:hideMark/>
          </w:tcPr>
          <w:p w14:paraId="7D2C2A5C" w14:textId="77777777" w:rsidR="00160459" w:rsidRPr="0047058F" w:rsidRDefault="00160459" w:rsidP="0047058F">
            <w:pPr>
              <w:pStyle w:val="TableText"/>
              <w:jc w:val="right"/>
            </w:pPr>
            <w:r w:rsidRPr="0047058F">
              <w:t>15,038</w:t>
            </w:r>
          </w:p>
        </w:tc>
        <w:tc>
          <w:tcPr>
            <w:tcW w:w="947" w:type="pct"/>
            <w:hideMark/>
          </w:tcPr>
          <w:p w14:paraId="2261FDC4" w14:textId="77777777" w:rsidR="00160459" w:rsidRPr="0047058F" w:rsidRDefault="00160459" w:rsidP="0047058F">
            <w:pPr>
              <w:pStyle w:val="TableText"/>
              <w:jc w:val="right"/>
              <w:rPr>
                <w:rFonts w:cs="Arial"/>
              </w:rPr>
            </w:pPr>
            <w:r w:rsidRPr="0047058F">
              <w:rPr>
                <w:rFonts w:cs="Arial"/>
              </w:rPr>
              <w:t>795</w:t>
            </w:r>
          </w:p>
        </w:tc>
        <w:tc>
          <w:tcPr>
            <w:tcW w:w="947" w:type="pct"/>
            <w:hideMark/>
          </w:tcPr>
          <w:p w14:paraId="245102E0" w14:textId="77777777" w:rsidR="00160459" w:rsidRPr="0047058F" w:rsidRDefault="00160459" w:rsidP="0047058F">
            <w:pPr>
              <w:pStyle w:val="TableText"/>
              <w:jc w:val="right"/>
              <w:rPr>
                <w:rFonts w:cs="Arial"/>
              </w:rPr>
            </w:pPr>
            <w:r w:rsidRPr="0047058F">
              <w:rPr>
                <w:rFonts w:cs="Arial"/>
              </w:rPr>
              <w:t>424</w:t>
            </w:r>
          </w:p>
        </w:tc>
        <w:tc>
          <w:tcPr>
            <w:tcW w:w="947" w:type="pct"/>
            <w:hideMark/>
          </w:tcPr>
          <w:p w14:paraId="52E80777" w14:textId="77777777" w:rsidR="00160459" w:rsidRPr="0047058F" w:rsidRDefault="00160459" w:rsidP="0047058F">
            <w:pPr>
              <w:pStyle w:val="TableText"/>
              <w:jc w:val="right"/>
              <w:rPr>
                <w:rFonts w:cs="Arial"/>
              </w:rPr>
            </w:pPr>
            <w:r w:rsidRPr="0047058F">
              <w:rPr>
                <w:rFonts w:cs="Arial"/>
              </w:rPr>
              <w:t>53.3</w:t>
            </w:r>
          </w:p>
        </w:tc>
      </w:tr>
      <w:tr w:rsidR="0047058F" w:rsidRPr="0047058F" w14:paraId="2A34DD3A" w14:textId="77777777" w:rsidTr="0047058F">
        <w:trPr>
          <w:cantSplit/>
        </w:trPr>
        <w:tc>
          <w:tcPr>
            <w:tcW w:w="1211" w:type="pct"/>
            <w:hideMark/>
          </w:tcPr>
          <w:p w14:paraId="256A2977" w14:textId="77777777" w:rsidR="00160459" w:rsidRPr="0047058F" w:rsidRDefault="00160459" w:rsidP="0047058F">
            <w:pPr>
              <w:pStyle w:val="TableText"/>
              <w:rPr>
                <w:rFonts w:cs="Arial"/>
              </w:rPr>
            </w:pPr>
            <w:r w:rsidRPr="0047058F">
              <w:t>Air Force</w:t>
            </w:r>
          </w:p>
        </w:tc>
        <w:tc>
          <w:tcPr>
            <w:tcW w:w="947" w:type="pct"/>
            <w:hideMark/>
          </w:tcPr>
          <w:p w14:paraId="74C58D2C" w14:textId="77777777" w:rsidR="00160459" w:rsidRPr="0047058F" w:rsidRDefault="00160459" w:rsidP="0047058F">
            <w:pPr>
              <w:pStyle w:val="TableText"/>
              <w:jc w:val="right"/>
            </w:pPr>
            <w:r w:rsidRPr="0047058F">
              <w:t>4223</w:t>
            </w:r>
          </w:p>
        </w:tc>
        <w:tc>
          <w:tcPr>
            <w:tcW w:w="947" w:type="pct"/>
            <w:hideMark/>
          </w:tcPr>
          <w:p w14:paraId="59C5D41C" w14:textId="77777777" w:rsidR="00160459" w:rsidRPr="0047058F" w:rsidRDefault="00160459" w:rsidP="0047058F">
            <w:pPr>
              <w:pStyle w:val="TableText"/>
              <w:jc w:val="right"/>
              <w:rPr>
                <w:rFonts w:cs="Arial"/>
              </w:rPr>
            </w:pPr>
            <w:r w:rsidRPr="0047058F">
              <w:rPr>
                <w:rFonts w:cs="Arial"/>
              </w:rPr>
              <w:t>304</w:t>
            </w:r>
          </w:p>
        </w:tc>
        <w:tc>
          <w:tcPr>
            <w:tcW w:w="947" w:type="pct"/>
            <w:hideMark/>
          </w:tcPr>
          <w:p w14:paraId="15670B38"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171</w:t>
            </w:r>
          </w:p>
        </w:tc>
        <w:tc>
          <w:tcPr>
            <w:tcW w:w="947" w:type="pct"/>
            <w:hideMark/>
          </w:tcPr>
          <w:p w14:paraId="2D261D0A" w14:textId="77777777" w:rsidR="00160459" w:rsidRPr="0047058F" w:rsidRDefault="00160459" w:rsidP="0047058F">
            <w:pPr>
              <w:pStyle w:val="TableText"/>
              <w:jc w:val="right"/>
              <w:rPr>
                <w:rFonts w:cs="Arial"/>
              </w:rPr>
            </w:pPr>
            <w:r w:rsidRPr="0047058F">
              <w:rPr>
                <w:rFonts w:cs="Arial"/>
              </w:rPr>
              <w:t>56.3</w:t>
            </w:r>
          </w:p>
        </w:tc>
      </w:tr>
      <w:tr w:rsidR="00160459" w:rsidRPr="0047058F" w14:paraId="302FEB40"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4917D6AE" w14:textId="77777777" w:rsidR="00160459" w:rsidRPr="0047058F" w:rsidRDefault="00160459" w:rsidP="0047058F">
            <w:pPr>
              <w:pStyle w:val="TableText"/>
              <w:rPr>
                <w:b/>
              </w:rPr>
            </w:pPr>
            <w:r w:rsidRPr="0047058F">
              <w:rPr>
                <w:b/>
              </w:rPr>
              <w:t>Sex</w:t>
            </w:r>
          </w:p>
        </w:tc>
        <w:tc>
          <w:tcPr>
            <w:tcW w:w="947" w:type="pct"/>
          </w:tcPr>
          <w:p w14:paraId="3293BE88" w14:textId="77777777" w:rsidR="00160459" w:rsidRPr="0047058F" w:rsidRDefault="00160459" w:rsidP="0047058F">
            <w:pPr>
              <w:pStyle w:val="TableText"/>
              <w:jc w:val="right"/>
            </w:pPr>
          </w:p>
        </w:tc>
        <w:tc>
          <w:tcPr>
            <w:tcW w:w="947" w:type="pct"/>
          </w:tcPr>
          <w:p w14:paraId="690141C5" w14:textId="77777777" w:rsidR="00160459" w:rsidRPr="0047058F" w:rsidRDefault="00160459" w:rsidP="0047058F">
            <w:pPr>
              <w:pStyle w:val="TableText"/>
              <w:jc w:val="right"/>
              <w:rPr>
                <w:rFonts w:cs="Arial"/>
              </w:rPr>
            </w:pPr>
          </w:p>
        </w:tc>
        <w:tc>
          <w:tcPr>
            <w:tcW w:w="947" w:type="pct"/>
          </w:tcPr>
          <w:p w14:paraId="7044FEA7" w14:textId="77777777" w:rsidR="00160459" w:rsidRPr="0047058F" w:rsidRDefault="00160459" w:rsidP="0047058F">
            <w:pPr>
              <w:pStyle w:val="TableText"/>
              <w:jc w:val="right"/>
              <w:rPr>
                <w:rFonts w:cs="Arial"/>
                <w:color w:val="000000" w:themeColor="text1"/>
              </w:rPr>
            </w:pPr>
          </w:p>
        </w:tc>
        <w:tc>
          <w:tcPr>
            <w:tcW w:w="947" w:type="pct"/>
          </w:tcPr>
          <w:p w14:paraId="21EA2F93" w14:textId="77777777" w:rsidR="00160459" w:rsidRPr="0047058F" w:rsidRDefault="00160459" w:rsidP="0047058F">
            <w:pPr>
              <w:pStyle w:val="TableText"/>
              <w:jc w:val="right"/>
              <w:rPr>
                <w:rFonts w:cs="Arial"/>
              </w:rPr>
            </w:pPr>
          </w:p>
        </w:tc>
      </w:tr>
      <w:tr w:rsidR="0047058F" w:rsidRPr="0047058F" w14:paraId="71702FC3" w14:textId="77777777" w:rsidTr="0047058F">
        <w:trPr>
          <w:cantSplit/>
        </w:trPr>
        <w:tc>
          <w:tcPr>
            <w:tcW w:w="1211" w:type="pct"/>
            <w:hideMark/>
          </w:tcPr>
          <w:p w14:paraId="3960CFB7" w14:textId="77777777" w:rsidR="00160459" w:rsidRPr="0047058F" w:rsidRDefault="00160459" w:rsidP="0047058F">
            <w:pPr>
              <w:pStyle w:val="TableText"/>
            </w:pPr>
            <w:r w:rsidRPr="0047058F">
              <w:t>Male</w:t>
            </w:r>
          </w:p>
        </w:tc>
        <w:tc>
          <w:tcPr>
            <w:tcW w:w="947" w:type="pct"/>
            <w:hideMark/>
          </w:tcPr>
          <w:p w14:paraId="520D74AC" w14:textId="77777777" w:rsidR="00160459" w:rsidRPr="0047058F" w:rsidRDefault="00160459" w:rsidP="0047058F">
            <w:pPr>
              <w:pStyle w:val="TableText"/>
              <w:jc w:val="right"/>
            </w:pPr>
            <w:r w:rsidRPr="0047058F">
              <w:t>21,671</w:t>
            </w:r>
          </w:p>
        </w:tc>
        <w:tc>
          <w:tcPr>
            <w:tcW w:w="947" w:type="pct"/>
            <w:hideMark/>
          </w:tcPr>
          <w:p w14:paraId="6941D87A" w14:textId="77777777" w:rsidR="00160459" w:rsidRPr="0047058F" w:rsidRDefault="00160459" w:rsidP="0047058F">
            <w:pPr>
              <w:pStyle w:val="TableText"/>
              <w:jc w:val="right"/>
              <w:rPr>
                <w:rFonts w:cs="Arial"/>
              </w:rPr>
            </w:pPr>
            <w:r w:rsidRPr="0047058F">
              <w:rPr>
                <w:rFonts w:cs="Arial"/>
              </w:rPr>
              <w:t>1140</w:t>
            </w:r>
          </w:p>
        </w:tc>
        <w:tc>
          <w:tcPr>
            <w:tcW w:w="947" w:type="pct"/>
            <w:hideMark/>
          </w:tcPr>
          <w:p w14:paraId="1E1AB30A"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631</w:t>
            </w:r>
          </w:p>
        </w:tc>
        <w:tc>
          <w:tcPr>
            <w:tcW w:w="947" w:type="pct"/>
            <w:hideMark/>
          </w:tcPr>
          <w:p w14:paraId="01533DA2" w14:textId="77777777" w:rsidR="00160459" w:rsidRPr="0047058F" w:rsidRDefault="00160459" w:rsidP="0047058F">
            <w:pPr>
              <w:pStyle w:val="TableText"/>
              <w:jc w:val="right"/>
              <w:rPr>
                <w:rFonts w:cs="Arial"/>
              </w:rPr>
            </w:pPr>
            <w:r w:rsidRPr="0047058F">
              <w:rPr>
                <w:rFonts w:cs="Arial"/>
              </w:rPr>
              <w:t>55.4</w:t>
            </w:r>
          </w:p>
        </w:tc>
      </w:tr>
      <w:tr w:rsidR="00160459" w:rsidRPr="0047058F" w14:paraId="76A13430"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77E549B8" w14:textId="77777777" w:rsidR="00160459" w:rsidRPr="0047058F" w:rsidRDefault="00160459" w:rsidP="0047058F">
            <w:pPr>
              <w:pStyle w:val="TableText"/>
            </w:pPr>
            <w:r w:rsidRPr="0047058F">
              <w:t>Female</w:t>
            </w:r>
          </w:p>
        </w:tc>
        <w:tc>
          <w:tcPr>
            <w:tcW w:w="947" w:type="pct"/>
            <w:hideMark/>
          </w:tcPr>
          <w:p w14:paraId="324A0338" w14:textId="77777777" w:rsidR="00160459" w:rsidRPr="0047058F" w:rsidRDefault="00160459" w:rsidP="0047058F">
            <w:pPr>
              <w:pStyle w:val="TableText"/>
              <w:jc w:val="right"/>
            </w:pPr>
            <w:r w:rsidRPr="0047058F">
              <w:t>3261</w:t>
            </w:r>
          </w:p>
        </w:tc>
        <w:tc>
          <w:tcPr>
            <w:tcW w:w="947" w:type="pct"/>
            <w:hideMark/>
          </w:tcPr>
          <w:p w14:paraId="5C6A3A0F" w14:textId="77777777" w:rsidR="00160459" w:rsidRPr="0047058F" w:rsidRDefault="00160459" w:rsidP="0047058F">
            <w:pPr>
              <w:pStyle w:val="TableText"/>
              <w:jc w:val="right"/>
              <w:rPr>
                <w:rFonts w:cs="Arial"/>
              </w:rPr>
            </w:pPr>
            <w:r w:rsidRPr="0047058F">
              <w:rPr>
                <w:rFonts w:cs="Arial"/>
              </w:rPr>
              <w:t>235</w:t>
            </w:r>
          </w:p>
        </w:tc>
        <w:tc>
          <w:tcPr>
            <w:tcW w:w="947" w:type="pct"/>
            <w:hideMark/>
          </w:tcPr>
          <w:p w14:paraId="72422C8F"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109</w:t>
            </w:r>
          </w:p>
        </w:tc>
        <w:tc>
          <w:tcPr>
            <w:tcW w:w="947" w:type="pct"/>
            <w:hideMark/>
          </w:tcPr>
          <w:p w14:paraId="6FB4655B" w14:textId="77777777" w:rsidR="00160459" w:rsidRPr="0047058F" w:rsidRDefault="00160459" w:rsidP="0047058F">
            <w:pPr>
              <w:pStyle w:val="TableText"/>
              <w:jc w:val="right"/>
              <w:rPr>
                <w:rFonts w:cs="Arial"/>
              </w:rPr>
            </w:pPr>
            <w:r w:rsidRPr="0047058F">
              <w:rPr>
                <w:rFonts w:cs="Arial"/>
              </w:rPr>
              <w:t>45.0</w:t>
            </w:r>
          </w:p>
        </w:tc>
      </w:tr>
      <w:tr w:rsidR="0047058F" w:rsidRPr="0047058F" w14:paraId="092F8AF6" w14:textId="77777777" w:rsidTr="0047058F">
        <w:trPr>
          <w:cantSplit/>
        </w:trPr>
        <w:tc>
          <w:tcPr>
            <w:tcW w:w="1211" w:type="pct"/>
            <w:hideMark/>
          </w:tcPr>
          <w:p w14:paraId="215C1771" w14:textId="77777777" w:rsidR="00160459" w:rsidRPr="0047058F" w:rsidRDefault="00160459" w:rsidP="0047058F">
            <w:pPr>
              <w:pStyle w:val="TableText"/>
              <w:rPr>
                <w:b/>
              </w:rPr>
            </w:pPr>
            <w:r w:rsidRPr="0047058F">
              <w:rPr>
                <w:b/>
              </w:rPr>
              <w:t>Rank</w:t>
            </w:r>
          </w:p>
        </w:tc>
        <w:tc>
          <w:tcPr>
            <w:tcW w:w="947" w:type="pct"/>
          </w:tcPr>
          <w:p w14:paraId="64FC0338" w14:textId="77777777" w:rsidR="00160459" w:rsidRPr="0047058F" w:rsidRDefault="00160459" w:rsidP="0047058F">
            <w:pPr>
              <w:pStyle w:val="TableText"/>
              <w:jc w:val="right"/>
            </w:pPr>
          </w:p>
        </w:tc>
        <w:tc>
          <w:tcPr>
            <w:tcW w:w="947" w:type="pct"/>
          </w:tcPr>
          <w:p w14:paraId="33146BE3" w14:textId="77777777" w:rsidR="00160459" w:rsidRPr="0047058F" w:rsidRDefault="00160459" w:rsidP="0047058F">
            <w:pPr>
              <w:pStyle w:val="TableText"/>
              <w:jc w:val="right"/>
              <w:rPr>
                <w:rFonts w:cs="Arial"/>
              </w:rPr>
            </w:pPr>
          </w:p>
        </w:tc>
        <w:tc>
          <w:tcPr>
            <w:tcW w:w="947" w:type="pct"/>
          </w:tcPr>
          <w:p w14:paraId="317BB690" w14:textId="77777777" w:rsidR="00160459" w:rsidRPr="0047058F" w:rsidRDefault="00160459" w:rsidP="0047058F">
            <w:pPr>
              <w:pStyle w:val="TableText"/>
              <w:jc w:val="right"/>
              <w:rPr>
                <w:rFonts w:cs="Arial"/>
                <w:color w:val="000000" w:themeColor="text1"/>
              </w:rPr>
            </w:pPr>
          </w:p>
        </w:tc>
        <w:tc>
          <w:tcPr>
            <w:tcW w:w="947" w:type="pct"/>
          </w:tcPr>
          <w:p w14:paraId="721776A5" w14:textId="77777777" w:rsidR="00160459" w:rsidRPr="0047058F" w:rsidRDefault="00160459" w:rsidP="0047058F">
            <w:pPr>
              <w:pStyle w:val="TableText"/>
              <w:jc w:val="right"/>
              <w:rPr>
                <w:rFonts w:cs="Arial"/>
              </w:rPr>
            </w:pPr>
          </w:p>
        </w:tc>
      </w:tr>
      <w:tr w:rsidR="00160459" w:rsidRPr="0047058F" w14:paraId="75107BB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7FF2ABF2" w14:textId="7186967B" w:rsidR="00160459" w:rsidRPr="0047058F" w:rsidRDefault="00160459" w:rsidP="0047058F">
            <w:pPr>
              <w:pStyle w:val="TableText"/>
            </w:pPr>
            <w:r w:rsidRPr="0047058F">
              <w:t>O</w:t>
            </w:r>
            <w:r w:rsidR="00612655">
              <w:t>fficer</w:t>
            </w:r>
          </w:p>
        </w:tc>
        <w:tc>
          <w:tcPr>
            <w:tcW w:w="947" w:type="pct"/>
            <w:hideMark/>
          </w:tcPr>
          <w:p w14:paraId="1BBB660B" w14:textId="77777777" w:rsidR="00160459" w:rsidRPr="0047058F" w:rsidRDefault="00160459" w:rsidP="0047058F">
            <w:pPr>
              <w:pStyle w:val="TableText"/>
              <w:jc w:val="right"/>
            </w:pPr>
            <w:r w:rsidRPr="0047058F">
              <w:t>4063</w:t>
            </w:r>
          </w:p>
        </w:tc>
        <w:tc>
          <w:tcPr>
            <w:tcW w:w="947" w:type="pct"/>
            <w:hideMark/>
          </w:tcPr>
          <w:p w14:paraId="7F4662AC" w14:textId="77777777" w:rsidR="00160459" w:rsidRPr="0047058F" w:rsidRDefault="00160459" w:rsidP="0047058F">
            <w:pPr>
              <w:pStyle w:val="TableText"/>
              <w:jc w:val="right"/>
              <w:rPr>
                <w:rFonts w:cs="Arial"/>
              </w:rPr>
            </w:pPr>
            <w:r w:rsidRPr="0047058F">
              <w:rPr>
                <w:rFonts w:cs="Arial"/>
              </w:rPr>
              <w:t>423</w:t>
            </w:r>
          </w:p>
        </w:tc>
        <w:tc>
          <w:tcPr>
            <w:tcW w:w="947" w:type="pct"/>
            <w:hideMark/>
          </w:tcPr>
          <w:p w14:paraId="4A4466E8"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252</w:t>
            </w:r>
          </w:p>
        </w:tc>
        <w:tc>
          <w:tcPr>
            <w:tcW w:w="947" w:type="pct"/>
            <w:hideMark/>
          </w:tcPr>
          <w:p w14:paraId="3D2CA707" w14:textId="77777777" w:rsidR="00160459" w:rsidRPr="0047058F" w:rsidRDefault="00160459" w:rsidP="0047058F">
            <w:pPr>
              <w:pStyle w:val="TableText"/>
              <w:jc w:val="right"/>
              <w:rPr>
                <w:rFonts w:cs="Arial"/>
              </w:rPr>
            </w:pPr>
            <w:r w:rsidRPr="0047058F">
              <w:rPr>
                <w:rFonts w:cs="Arial"/>
              </w:rPr>
              <w:t>59.6</w:t>
            </w:r>
          </w:p>
        </w:tc>
      </w:tr>
      <w:tr w:rsidR="0047058F" w:rsidRPr="0047058F" w14:paraId="44AEC58C" w14:textId="77777777" w:rsidTr="0047058F">
        <w:trPr>
          <w:cantSplit/>
        </w:trPr>
        <w:tc>
          <w:tcPr>
            <w:tcW w:w="1211" w:type="pct"/>
            <w:hideMark/>
          </w:tcPr>
          <w:p w14:paraId="146773A7" w14:textId="4475E2CA" w:rsidR="00160459" w:rsidRPr="0047058F" w:rsidRDefault="00160459" w:rsidP="0047058F">
            <w:pPr>
              <w:pStyle w:val="TableText"/>
            </w:pPr>
            <w:r w:rsidRPr="0047058F">
              <w:t>N</w:t>
            </w:r>
            <w:r w:rsidR="00612655">
              <w:t>on-</w:t>
            </w:r>
            <w:r w:rsidRPr="0047058F">
              <w:t>C</w:t>
            </w:r>
            <w:r w:rsidR="00612655">
              <w:t xml:space="preserve">ommissioned </w:t>
            </w:r>
            <w:r w:rsidRPr="0047058F">
              <w:t>O</w:t>
            </w:r>
            <w:r w:rsidR="00612655">
              <w:t>fficer</w:t>
            </w:r>
          </w:p>
        </w:tc>
        <w:tc>
          <w:tcPr>
            <w:tcW w:w="947" w:type="pct"/>
            <w:hideMark/>
          </w:tcPr>
          <w:p w14:paraId="5FCC827E" w14:textId="77777777" w:rsidR="00160459" w:rsidRPr="0047058F" w:rsidRDefault="00160459" w:rsidP="0047058F">
            <w:pPr>
              <w:pStyle w:val="TableText"/>
              <w:jc w:val="right"/>
            </w:pPr>
            <w:r w:rsidRPr="0047058F">
              <w:t>7866</w:t>
            </w:r>
          </w:p>
        </w:tc>
        <w:tc>
          <w:tcPr>
            <w:tcW w:w="947" w:type="pct"/>
            <w:hideMark/>
          </w:tcPr>
          <w:p w14:paraId="43B6F7C9" w14:textId="77777777" w:rsidR="00160459" w:rsidRPr="0047058F" w:rsidRDefault="00160459" w:rsidP="0047058F">
            <w:pPr>
              <w:pStyle w:val="TableText"/>
              <w:jc w:val="right"/>
              <w:rPr>
                <w:rFonts w:cs="Arial"/>
              </w:rPr>
            </w:pPr>
            <w:r w:rsidRPr="0047058F">
              <w:rPr>
                <w:rFonts w:cs="Arial"/>
              </w:rPr>
              <w:t>694</w:t>
            </w:r>
          </w:p>
        </w:tc>
        <w:tc>
          <w:tcPr>
            <w:tcW w:w="947" w:type="pct"/>
            <w:hideMark/>
          </w:tcPr>
          <w:p w14:paraId="5D4CB5F5"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389</w:t>
            </w:r>
          </w:p>
        </w:tc>
        <w:tc>
          <w:tcPr>
            <w:tcW w:w="947" w:type="pct"/>
            <w:hideMark/>
          </w:tcPr>
          <w:p w14:paraId="62ED4CF9" w14:textId="77777777" w:rsidR="00160459" w:rsidRPr="0047058F" w:rsidRDefault="00160459" w:rsidP="0047058F">
            <w:pPr>
              <w:pStyle w:val="TableText"/>
              <w:jc w:val="right"/>
              <w:rPr>
                <w:rFonts w:cs="Arial"/>
              </w:rPr>
            </w:pPr>
            <w:r w:rsidRPr="0047058F">
              <w:rPr>
                <w:rFonts w:cs="Arial"/>
              </w:rPr>
              <w:t>56.1</w:t>
            </w:r>
          </w:p>
        </w:tc>
      </w:tr>
      <w:tr w:rsidR="00160459" w:rsidRPr="0047058F" w14:paraId="1A415E38"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7FDD6492" w14:textId="77777777" w:rsidR="00160459" w:rsidRPr="0047058F" w:rsidRDefault="00160459" w:rsidP="0047058F">
            <w:pPr>
              <w:pStyle w:val="TableText"/>
            </w:pPr>
            <w:r w:rsidRPr="0047058F">
              <w:t>Other Ranks</w:t>
            </w:r>
          </w:p>
        </w:tc>
        <w:tc>
          <w:tcPr>
            <w:tcW w:w="947" w:type="pct"/>
            <w:hideMark/>
          </w:tcPr>
          <w:p w14:paraId="6B6837A3" w14:textId="77777777" w:rsidR="00160459" w:rsidRPr="0047058F" w:rsidRDefault="00160459" w:rsidP="0047058F">
            <w:pPr>
              <w:pStyle w:val="TableText"/>
              <w:jc w:val="right"/>
            </w:pPr>
            <w:r w:rsidRPr="0047058F">
              <w:t>13,003</w:t>
            </w:r>
          </w:p>
        </w:tc>
        <w:tc>
          <w:tcPr>
            <w:tcW w:w="947" w:type="pct"/>
            <w:hideMark/>
          </w:tcPr>
          <w:p w14:paraId="182B5922" w14:textId="77777777" w:rsidR="00160459" w:rsidRPr="0047058F" w:rsidRDefault="00160459" w:rsidP="0047058F">
            <w:pPr>
              <w:pStyle w:val="TableText"/>
              <w:jc w:val="right"/>
              <w:rPr>
                <w:rFonts w:cs="Arial"/>
              </w:rPr>
            </w:pPr>
            <w:r w:rsidRPr="0047058F">
              <w:rPr>
                <w:rFonts w:cs="Arial"/>
              </w:rPr>
              <w:t>267</w:t>
            </w:r>
          </w:p>
        </w:tc>
        <w:tc>
          <w:tcPr>
            <w:tcW w:w="947" w:type="pct"/>
            <w:hideMark/>
          </w:tcPr>
          <w:p w14:paraId="52073D00"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104</w:t>
            </w:r>
          </w:p>
        </w:tc>
        <w:tc>
          <w:tcPr>
            <w:tcW w:w="947" w:type="pct"/>
            <w:hideMark/>
          </w:tcPr>
          <w:p w14:paraId="7ABC060F" w14:textId="77777777" w:rsidR="00160459" w:rsidRPr="0047058F" w:rsidRDefault="00160459" w:rsidP="0047058F">
            <w:pPr>
              <w:pStyle w:val="TableText"/>
              <w:jc w:val="right"/>
              <w:rPr>
                <w:rFonts w:cs="Arial"/>
              </w:rPr>
            </w:pPr>
            <w:r w:rsidRPr="0047058F">
              <w:rPr>
                <w:rFonts w:cs="Arial"/>
              </w:rPr>
              <w:t>39.0</w:t>
            </w:r>
          </w:p>
        </w:tc>
      </w:tr>
      <w:tr w:rsidR="0047058F" w:rsidRPr="0047058F" w14:paraId="2ECAD063" w14:textId="77777777" w:rsidTr="0047058F">
        <w:trPr>
          <w:cantSplit/>
        </w:trPr>
        <w:tc>
          <w:tcPr>
            <w:tcW w:w="1211" w:type="pct"/>
            <w:hideMark/>
          </w:tcPr>
          <w:p w14:paraId="58C84C0E" w14:textId="77777777" w:rsidR="00160459" w:rsidRPr="0047058F" w:rsidRDefault="00160459" w:rsidP="0047058F">
            <w:pPr>
              <w:pStyle w:val="TableText"/>
              <w:rPr>
                <w:b/>
              </w:rPr>
            </w:pPr>
            <w:r w:rsidRPr="0047058F">
              <w:rPr>
                <w:b/>
              </w:rPr>
              <w:t>Medical fitness</w:t>
            </w:r>
            <w:r w:rsidRPr="0047058F">
              <w:rPr>
                <w:b/>
                <w:vertAlign w:val="superscript"/>
              </w:rPr>
              <w:t>#</w:t>
            </w:r>
          </w:p>
        </w:tc>
        <w:tc>
          <w:tcPr>
            <w:tcW w:w="947" w:type="pct"/>
          </w:tcPr>
          <w:p w14:paraId="171A9A64" w14:textId="77777777" w:rsidR="00160459" w:rsidRPr="0047058F" w:rsidRDefault="00160459" w:rsidP="0047058F">
            <w:pPr>
              <w:pStyle w:val="TableText"/>
              <w:jc w:val="right"/>
            </w:pPr>
          </w:p>
        </w:tc>
        <w:tc>
          <w:tcPr>
            <w:tcW w:w="947" w:type="pct"/>
          </w:tcPr>
          <w:p w14:paraId="72A1B7FB" w14:textId="77777777" w:rsidR="00160459" w:rsidRPr="0047058F" w:rsidRDefault="00160459" w:rsidP="0047058F">
            <w:pPr>
              <w:pStyle w:val="TableText"/>
              <w:jc w:val="right"/>
              <w:rPr>
                <w:rFonts w:cs="Arial"/>
              </w:rPr>
            </w:pPr>
          </w:p>
        </w:tc>
        <w:tc>
          <w:tcPr>
            <w:tcW w:w="947" w:type="pct"/>
          </w:tcPr>
          <w:p w14:paraId="411C073A" w14:textId="77777777" w:rsidR="00160459" w:rsidRPr="0047058F" w:rsidRDefault="00160459" w:rsidP="0047058F">
            <w:pPr>
              <w:pStyle w:val="TableText"/>
              <w:jc w:val="right"/>
              <w:rPr>
                <w:rFonts w:cs="Arial"/>
                <w:color w:val="000000" w:themeColor="text1"/>
              </w:rPr>
            </w:pPr>
          </w:p>
        </w:tc>
        <w:tc>
          <w:tcPr>
            <w:tcW w:w="947" w:type="pct"/>
          </w:tcPr>
          <w:p w14:paraId="6B4E1D66" w14:textId="77777777" w:rsidR="00160459" w:rsidRPr="0047058F" w:rsidRDefault="00160459" w:rsidP="0047058F">
            <w:pPr>
              <w:pStyle w:val="TableText"/>
              <w:jc w:val="right"/>
              <w:rPr>
                <w:rFonts w:cs="Arial"/>
              </w:rPr>
            </w:pPr>
          </w:p>
        </w:tc>
      </w:tr>
      <w:tr w:rsidR="00160459" w:rsidRPr="0047058F" w14:paraId="6886F2A4"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35A92308" w14:textId="77777777" w:rsidR="00160459" w:rsidRPr="0047058F" w:rsidRDefault="00160459" w:rsidP="0047058F">
            <w:pPr>
              <w:pStyle w:val="TableText"/>
            </w:pPr>
            <w:r w:rsidRPr="0047058F">
              <w:t>Fit</w:t>
            </w:r>
          </w:p>
        </w:tc>
        <w:tc>
          <w:tcPr>
            <w:tcW w:w="947" w:type="pct"/>
            <w:hideMark/>
          </w:tcPr>
          <w:p w14:paraId="34B1C52C" w14:textId="77777777" w:rsidR="00160459" w:rsidRPr="0047058F" w:rsidRDefault="00160459" w:rsidP="0047058F">
            <w:pPr>
              <w:pStyle w:val="TableText"/>
              <w:jc w:val="right"/>
            </w:pPr>
            <w:r w:rsidRPr="0047058F">
              <w:t>18,273</w:t>
            </w:r>
          </w:p>
        </w:tc>
        <w:tc>
          <w:tcPr>
            <w:tcW w:w="947" w:type="pct"/>
            <w:hideMark/>
          </w:tcPr>
          <w:p w14:paraId="22E5E59A" w14:textId="77777777" w:rsidR="00160459" w:rsidRPr="0047058F" w:rsidRDefault="00160459" w:rsidP="0047058F">
            <w:pPr>
              <w:pStyle w:val="TableText"/>
              <w:jc w:val="right"/>
              <w:rPr>
                <w:rFonts w:cs="Arial"/>
              </w:rPr>
            </w:pPr>
            <w:r w:rsidRPr="0047058F">
              <w:rPr>
                <w:rFonts w:cs="Arial"/>
              </w:rPr>
              <w:t>932</w:t>
            </w:r>
          </w:p>
        </w:tc>
        <w:tc>
          <w:tcPr>
            <w:tcW w:w="947" w:type="pct"/>
            <w:hideMark/>
          </w:tcPr>
          <w:p w14:paraId="68A61CC2"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521</w:t>
            </w:r>
          </w:p>
        </w:tc>
        <w:tc>
          <w:tcPr>
            <w:tcW w:w="947" w:type="pct"/>
            <w:hideMark/>
          </w:tcPr>
          <w:p w14:paraId="47AA3A2F" w14:textId="77777777" w:rsidR="00160459" w:rsidRPr="0047058F" w:rsidRDefault="00160459" w:rsidP="0047058F">
            <w:pPr>
              <w:pStyle w:val="TableText"/>
              <w:jc w:val="right"/>
              <w:rPr>
                <w:rFonts w:cs="Arial"/>
              </w:rPr>
            </w:pPr>
            <w:r w:rsidRPr="0047058F">
              <w:rPr>
                <w:rFonts w:cs="Arial"/>
              </w:rPr>
              <w:t>55.9</w:t>
            </w:r>
          </w:p>
        </w:tc>
      </w:tr>
      <w:tr w:rsidR="0047058F" w:rsidRPr="0047058F" w14:paraId="61927C4B" w14:textId="77777777" w:rsidTr="0047058F">
        <w:trPr>
          <w:cantSplit/>
        </w:trPr>
        <w:tc>
          <w:tcPr>
            <w:tcW w:w="1211" w:type="pct"/>
            <w:hideMark/>
          </w:tcPr>
          <w:p w14:paraId="1C17680E" w14:textId="77777777" w:rsidR="00160459" w:rsidRPr="0047058F" w:rsidRDefault="00160459" w:rsidP="0047058F">
            <w:pPr>
              <w:pStyle w:val="TableText"/>
            </w:pPr>
            <w:r w:rsidRPr="0047058F">
              <w:t>Unfit</w:t>
            </w:r>
          </w:p>
        </w:tc>
        <w:tc>
          <w:tcPr>
            <w:tcW w:w="947" w:type="pct"/>
            <w:hideMark/>
          </w:tcPr>
          <w:p w14:paraId="48FF98D5" w14:textId="77777777" w:rsidR="00160459" w:rsidRPr="0047058F" w:rsidRDefault="00160459" w:rsidP="0047058F">
            <w:pPr>
              <w:pStyle w:val="TableText"/>
              <w:jc w:val="right"/>
            </w:pPr>
            <w:r w:rsidRPr="0047058F">
              <w:t>6659</w:t>
            </w:r>
          </w:p>
        </w:tc>
        <w:tc>
          <w:tcPr>
            <w:tcW w:w="947" w:type="pct"/>
            <w:hideMark/>
          </w:tcPr>
          <w:p w14:paraId="1097029E" w14:textId="77777777" w:rsidR="00160459" w:rsidRPr="0047058F" w:rsidRDefault="00160459" w:rsidP="0047058F">
            <w:pPr>
              <w:pStyle w:val="TableText"/>
              <w:jc w:val="right"/>
              <w:rPr>
                <w:rFonts w:cs="Arial"/>
              </w:rPr>
            </w:pPr>
            <w:r w:rsidRPr="0047058F">
              <w:rPr>
                <w:rFonts w:cs="Arial"/>
              </w:rPr>
              <w:t>443</w:t>
            </w:r>
          </w:p>
        </w:tc>
        <w:tc>
          <w:tcPr>
            <w:tcW w:w="947" w:type="pct"/>
            <w:hideMark/>
          </w:tcPr>
          <w:p w14:paraId="0C4C15B5"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219</w:t>
            </w:r>
          </w:p>
        </w:tc>
        <w:tc>
          <w:tcPr>
            <w:tcW w:w="947" w:type="pct"/>
            <w:hideMark/>
          </w:tcPr>
          <w:p w14:paraId="5DE97DF8" w14:textId="77777777" w:rsidR="00160459" w:rsidRPr="0047058F" w:rsidRDefault="00160459" w:rsidP="0047058F">
            <w:pPr>
              <w:pStyle w:val="TableText"/>
              <w:jc w:val="right"/>
              <w:rPr>
                <w:rFonts w:cs="Arial"/>
              </w:rPr>
            </w:pPr>
            <w:r w:rsidRPr="0047058F">
              <w:rPr>
                <w:rFonts w:cs="Arial"/>
              </w:rPr>
              <w:t>49.4</w:t>
            </w:r>
          </w:p>
        </w:tc>
      </w:tr>
      <w:tr w:rsidR="00160459" w:rsidRPr="0047058F" w14:paraId="476ABB53"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211" w:type="pct"/>
            <w:hideMark/>
          </w:tcPr>
          <w:p w14:paraId="4BB723FC" w14:textId="77777777" w:rsidR="00160459" w:rsidRPr="0047058F" w:rsidRDefault="00160459" w:rsidP="0047058F">
            <w:pPr>
              <w:pStyle w:val="TableText"/>
              <w:rPr>
                <w:b/>
              </w:rPr>
            </w:pPr>
            <w:r w:rsidRPr="0047058F">
              <w:rPr>
                <w:b/>
              </w:rPr>
              <w:t>Total</w:t>
            </w:r>
          </w:p>
        </w:tc>
        <w:tc>
          <w:tcPr>
            <w:tcW w:w="947" w:type="pct"/>
            <w:hideMark/>
          </w:tcPr>
          <w:p w14:paraId="4BEC531D" w14:textId="77777777" w:rsidR="00160459" w:rsidRPr="0047058F" w:rsidRDefault="00160459" w:rsidP="0047058F">
            <w:pPr>
              <w:pStyle w:val="TableText"/>
              <w:jc w:val="right"/>
              <w:rPr>
                <w:b/>
              </w:rPr>
            </w:pPr>
            <w:r w:rsidRPr="0047058F">
              <w:rPr>
                <w:b/>
              </w:rPr>
              <w:t>24,932</w:t>
            </w:r>
          </w:p>
        </w:tc>
        <w:tc>
          <w:tcPr>
            <w:tcW w:w="947" w:type="pct"/>
            <w:hideMark/>
          </w:tcPr>
          <w:p w14:paraId="443D4DD6" w14:textId="77777777" w:rsidR="00160459" w:rsidRPr="0047058F" w:rsidRDefault="00160459" w:rsidP="0047058F">
            <w:pPr>
              <w:pStyle w:val="TableText"/>
              <w:jc w:val="right"/>
              <w:rPr>
                <w:b/>
              </w:rPr>
            </w:pPr>
            <w:r w:rsidRPr="0047058F">
              <w:rPr>
                <w:b/>
              </w:rPr>
              <w:t>1384</w:t>
            </w:r>
          </w:p>
        </w:tc>
        <w:tc>
          <w:tcPr>
            <w:tcW w:w="947" w:type="pct"/>
            <w:hideMark/>
          </w:tcPr>
          <w:p w14:paraId="7EDFDD76" w14:textId="77777777" w:rsidR="00160459" w:rsidRPr="0047058F" w:rsidRDefault="00160459" w:rsidP="0047058F">
            <w:pPr>
              <w:pStyle w:val="TableText"/>
              <w:jc w:val="right"/>
              <w:rPr>
                <w:b/>
              </w:rPr>
            </w:pPr>
            <w:r w:rsidRPr="0047058F">
              <w:rPr>
                <w:b/>
              </w:rPr>
              <w:t>745</w:t>
            </w:r>
          </w:p>
        </w:tc>
        <w:tc>
          <w:tcPr>
            <w:tcW w:w="947" w:type="pct"/>
            <w:hideMark/>
          </w:tcPr>
          <w:p w14:paraId="6D3FE616" w14:textId="77777777" w:rsidR="00160459" w:rsidRPr="0047058F" w:rsidRDefault="00160459" w:rsidP="0047058F">
            <w:pPr>
              <w:pStyle w:val="TableText"/>
              <w:jc w:val="right"/>
              <w:rPr>
                <w:b/>
              </w:rPr>
            </w:pPr>
            <w:r w:rsidRPr="0047058F">
              <w:rPr>
                <w:b/>
              </w:rPr>
              <w:t>53.8</w:t>
            </w:r>
          </w:p>
        </w:tc>
      </w:tr>
    </w:tbl>
    <w:p w14:paraId="64A13731" w14:textId="5C995C0C" w:rsidR="00160459" w:rsidRPr="0047058F" w:rsidRDefault="00160459" w:rsidP="00160459">
      <w:pPr>
        <w:pStyle w:val="TableNotes"/>
      </w:pPr>
      <w:r w:rsidRPr="0047058F">
        <w:t># Refer to glossary for a definition of ‘medical fitness’.</w:t>
      </w:r>
    </w:p>
    <w:p w14:paraId="17CF3D0D" w14:textId="77777777" w:rsidR="00160459" w:rsidRPr="0047058F" w:rsidRDefault="00160459" w:rsidP="00160459">
      <w:pPr>
        <w:pStyle w:val="TableNotes"/>
        <w:rPr>
          <w:b/>
        </w:rPr>
      </w:pPr>
      <w:r w:rsidRPr="0047058F">
        <w:rPr>
          <w:b/>
        </w:rPr>
        <w:t>Notes</w:t>
      </w:r>
    </w:p>
    <w:p w14:paraId="0465E4EE" w14:textId="77777777" w:rsidR="00160459" w:rsidRPr="0047058F" w:rsidRDefault="00160459" w:rsidP="00160459">
      <w:pPr>
        <w:pStyle w:val="TableNotes"/>
      </w:pPr>
      <w:r w:rsidRPr="0047058F">
        <w:t>Denominator: Transitioned ADF invited to participate in the Composite International Diagnostic Interview (CIDI).</w:t>
      </w:r>
    </w:p>
    <w:p w14:paraId="540C43B2" w14:textId="77777777" w:rsidR="00160459" w:rsidRPr="0047058F" w:rsidRDefault="00160459" w:rsidP="00160459">
      <w:pPr>
        <w:pStyle w:val="TableNotes"/>
        <w:rPr>
          <w:bCs/>
        </w:rPr>
      </w:pPr>
      <w:r w:rsidRPr="0047058F">
        <w:t>Unweighted data.</w:t>
      </w:r>
    </w:p>
    <w:p w14:paraId="5D85FA66" w14:textId="77777777" w:rsidR="00160459" w:rsidRPr="0047058F" w:rsidRDefault="00160459" w:rsidP="00160459">
      <w:r w:rsidRPr="0047058F">
        <w:t>The characteristics of Transitioned CIDI respondents were as follows:</w:t>
      </w:r>
    </w:p>
    <w:p w14:paraId="77E3F57D" w14:textId="77777777" w:rsidR="00160459" w:rsidRPr="0047058F" w:rsidRDefault="00160459" w:rsidP="00160459">
      <w:r w:rsidRPr="0047058F">
        <w:rPr>
          <w:b/>
          <w:bCs/>
        </w:rPr>
        <w:t>Sex</w:t>
      </w:r>
      <w:r w:rsidRPr="0047058F">
        <w:t xml:space="preserve"> – Consistent with the Transitioned ADF population, the CIDI sample was predominantly male; however, transitioned females were less likely to complete a CIDI than transitioned males.</w:t>
      </w:r>
    </w:p>
    <w:p w14:paraId="7F4DC5D3" w14:textId="77777777" w:rsidR="00160459" w:rsidRPr="0047058F" w:rsidRDefault="00160459" w:rsidP="003876A3">
      <w:r w:rsidRPr="0047058F">
        <w:rPr>
          <w:b/>
        </w:rPr>
        <w:t>Age</w:t>
      </w:r>
      <w:r w:rsidRPr="0047058F">
        <w:t xml:space="preserve"> – Transitioned CIDI respondents responders were significantly older 45.6 (SE 0.4) than non-responders 40.4 (SE 0.5).</w:t>
      </w:r>
    </w:p>
    <w:p w14:paraId="65AB34F3" w14:textId="77777777" w:rsidR="00160459" w:rsidRPr="0047058F" w:rsidRDefault="00160459" w:rsidP="003876A3">
      <w:r w:rsidRPr="0047058F">
        <w:rPr>
          <w:b/>
          <w:bCs/>
        </w:rPr>
        <w:t>Rank</w:t>
      </w:r>
      <w:r w:rsidRPr="0047058F">
        <w:t xml:space="preserve"> – CIDI responders comprised 33.8% Officers, 52.2% Non-Commissioned Officers and 14.0% Other Ranks. ADF members in the Other Ranks had a significantly lower response rate (39.0%) compared to above 50% for those invited in Non-Commissioned Officers and Officers, who were more likely to respond.</w:t>
      </w:r>
    </w:p>
    <w:p w14:paraId="741B2D82" w14:textId="77777777" w:rsidR="00160459" w:rsidRPr="0047058F" w:rsidRDefault="00160459" w:rsidP="003876A3">
      <w:r w:rsidRPr="0047058F">
        <w:rPr>
          <w:b/>
          <w:bCs/>
        </w:rPr>
        <w:t>Service</w:t>
      </w:r>
      <w:r w:rsidRPr="0047058F">
        <w:rPr>
          <w:bCs/>
        </w:rPr>
        <w:t xml:space="preserve"> </w:t>
      </w:r>
      <w:r w:rsidRPr="0047058F">
        <w:t>– 20.1% of CIDI responders were Navy, 56.9% were Army and 23.0% were Air Force. There was no significant difference between CIDI responders and non-responders in relation to Service.</w:t>
      </w:r>
    </w:p>
    <w:p w14:paraId="51ADCF42" w14:textId="77777777" w:rsidR="00160459" w:rsidRPr="0047058F" w:rsidRDefault="00160459" w:rsidP="003876A3">
      <w:r w:rsidRPr="0047058F">
        <w:rPr>
          <w:b/>
          <w:bCs/>
        </w:rPr>
        <w:t>Medical fitness</w:t>
      </w:r>
      <w:r w:rsidRPr="0047058F">
        <w:rPr>
          <w:bCs/>
        </w:rPr>
        <w:t xml:space="preserve"> </w:t>
      </w:r>
      <w:r w:rsidRPr="0047058F">
        <w:t>– Transitioned ADF who were medically unfit on transition from Regular ADF comprised 29.4% of CIDI responders.</w:t>
      </w:r>
    </w:p>
    <w:p w14:paraId="13F4FAB6" w14:textId="77777777" w:rsidR="00160459" w:rsidRPr="0047058F" w:rsidRDefault="00160459" w:rsidP="00160459">
      <w:pPr>
        <w:pStyle w:val="TableName"/>
        <w:rPr>
          <w:lang w:eastAsia="en-AU"/>
        </w:rPr>
      </w:pPr>
      <w:bookmarkStart w:id="616" w:name="_Toc479243374"/>
      <w:bookmarkStart w:id="617" w:name="_Toc486936018"/>
      <w:bookmarkStart w:id="618" w:name="_Toc487014342"/>
      <w:bookmarkStart w:id="619" w:name="_Toc492995645"/>
      <w:bookmarkStart w:id="620" w:name="_Toc497383344"/>
      <w:bookmarkStart w:id="621" w:name="_Toc529117553"/>
      <w:bookmarkStart w:id="622" w:name="_Toc532473623"/>
      <w:r w:rsidRPr="0047058F">
        <w:t>Table A.5</w:t>
      </w:r>
      <w:r w:rsidRPr="0047058F">
        <w:tab/>
        <w:t>Demographic characteristics of stratified Transitioned ADF CIDI responders</w:t>
      </w:r>
      <w:bookmarkEnd w:id="616"/>
      <w:bookmarkEnd w:id="617"/>
      <w:bookmarkEnd w:id="618"/>
      <w:bookmarkEnd w:id="619"/>
      <w:bookmarkEnd w:id="620"/>
      <w:bookmarkEnd w:id="621"/>
      <w:bookmarkEnd w:id="622"/>
    </w:p>
    <w:tbl>
      <w:tblPr>
        <w:tblStyle w:val="TWRPTable"/>
        <w:tblW w:w="5000" w:type="pct"/>
        <w:tblLayout w:type="fixed"/>
        <w:tblLook w:val="04A0" w:firstRow="1" w:lastRow="0" w:firstColumn="1" w:lastColumn="0" w:noHBand="0" w:noVBand="1"/>
        <w:tblDescription w:val="Table A.5 Demographic characteristics of stratified Transitioned ADF CIDI responders"/>
      </w:tblPr>
      <w:tblGrid>
        <w:gridCol w:w="1749"/>
        <w:gridCol w:w="1855"/>
        <w:gridCol w:w="1855"/>
        <w:gridCol w:w="1856"/>
      </w:tblGrid>
      <w:tr w:rsidR="00160459" w:rsidRPr="0047058F" w14:paraId="11B59273"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49" w:type="dxa"/>
            <w:vMerge w:val="restart"/>
          </w:tcPr>
          <w:p w14:paraId="3842C287" w14:textId="77777777" w:rsidR="00160459" w:rsidRPr="0047058F" w:rsidRDefault="00160459" w:rsidP="0047058F">
            <w:pPr>
              <w:pStyle w:val="TableText"/>
            </w:pPr>
          </w:p>
        </w:tc>
        <w:tc>
          <w:tcPr>
            <w:tcW w:w="5566" w:type="dxa"/>
            <w:gridSpan w:val="3"/>
            <w:hideMark/>
          </w:tcPr>
          <w:p w14:paraId="742D8789" w14:textId="77777777" w:rsidR="00160459" w:rsidRPr="0047058F" w:rsidRDefault="00160459" w:rsidP="0047058F">
            <w:pPr>
              <w:pStyle w:val="TableText"/>
              <w:jc w:val="center"/>
            </w:pPr>
            <w:r w:rsidRPr="0047058F">
              <w:t>Stratified Transitioned ADF CIDI responders</w:t>
            </w:r>
            <w:r w:rsidRPr="0047058F">
              <w:br/>
              <w:t>(n = 745)</w:t>
            </w:r>
          </w:p>
        </w:tc>
      </w:tr>
      <w:tr w:rsidR="00160459" w:rsidRPr="0047058F" w14:paraId="1A62E0F7"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49" w:type="dxa"/>
            <w:vMerge/>
          </w:tcPr>
          <w:p w14:paraId="7DC00D08" w14:textId="77777777" w:rsidR="00160459" w:rsidRPr="0047058F" w:rsidRDefault="00160459" w:rsidP="0047058F">
            <w:pPr>
              <w:pStyle w:val="TableText"/>
              <w:rPr>
                <w:rFonts w:cs="Arial"/>
              </w:rPr>
            </w:pPr>
          </w:p>
        </w:tc>
        <w:tc>
          <w:tcPr>
            <w:tcW w:w="1855" w:type="dxa"/>
            <w:hideMark/>
          </w:tcPr>
          <w:p w14:paraId="4BC0E225" w14:textId="77777777" w:rsidR="00160459" w:rsidRPr="0047058F" w:rsidRDefault="00160459" w:rsidP="0047058F">
            <w:pPr>
              <w:pStyle w:val="TableText"/>
              <w:jc w:val="right"/>
              <w:rPr>
                <w:rFonts w:cs="Arial"/>
              </w:rPr>
            </w:pPr>
            <w:r w:rsidRPr="0047058F">
              <w:rPr>
                <w:rFonts w:cs="Arial"/>
              </w:rPr>
              <w:t>n</w:t>
            </w:r>
          </w:p>
        </w:tc>
        <w:tc>
          <w:tcPr>
            <w:tcW w:w="1855" w:type="dxa"/>
            <w:hideMark/>
          </w:tcPr>
          <w:p w14:paraId="41B07132" w14:textId="77777777" w:rsidR="00160459" w:rsidRPr="0047058F" w:rsidRDefault="00160459" w:rsidP="0047058F">
            <w:pPr>
              <w:pStyle w:val="TableText"/>
              <w:jc w:val="right"/>
              <w:rPr>
                <w:rFonts w:cs="Arial"/>
              </w:rPr>
            </w:pPr>
            <w:r w:rsidRPr="0047058F">
              <w:rPr>
                <w:rFonts w:cs="Arial"/>
              </w:rPr>
              <w:t>%</w:t>
            </w:r>
          </w:p>
        </w:tc>
        <w:tc>
          <w:tcPr>
            <w:tcW w:w="1856" w:type="dxa"/>
            <w:hideMark/>
          </w:tcPr>
          <w:p w14:paraId="28F35725" w14:textId="77777777" w:rsidR="00160459" w:rsidRPr="0047058F" w:rsidRDefault="00160459" w:rsidP="0047058F">
            <w:pPr>
              <w:pStyle w:val="TableText"/>
              <w:jc w:val="right"/>
              <w:rPr>
                <w:rFonts w:cs="Arial"/>
              </w:rPr>
            </w:pPr>
            <w:r w:rsidRPr="0047058F">
              <w:rPr>
                <w:rFonts w:cs="Arial"/>
              </w:rPr>
              <w:t>95% CI</w:t>
            </w:r>
          </w:p>
        </w:tc>
      </w:tr>
      <w:tr w:rsidR="00160459" w:rsidRPr="0047058F" w14:paraId="412ED8D8"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5E5D11E3" w14:textId="77777777" w:rsidR="00160459" w:rsidRPr="0047058F" w:rsidRDefault="00160459" w:rsidP="0047058F">
            <w:pPr>
              <w:pStyle w:val="TableText"/>
              <w:rPr>
                <w:rFonts w:cs="Arial"/>
                <w:b/>
              </w:rPr>
            </w:pPr>
            <w:r w:rsidRPr="0047058F">
              <w:rPr>
                <w:b/>
              </w:rPr>
              <w:t>Age (mean, SE)</w:t>
            </w:r>
          </w:p>
        </w:tc>
        <w:tc>
          <w:tcPr>
            <w:tcW w:w="1855" w:type="dxa"/>
            <w:hideMark/>
          </w:tcPr>
          <w:p w14:paraId="3384071C"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45.6</w:t>
            </w:r>
          </w:p>
        </w:tc>
        <w:tc>
          <w:tcPr>
            <w:tcW w:w="1855" w:type="dxa"/>
            <w:hideMark/>
          </w:tcPr>
          <w:p w14:paraId="6B11883F"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0.4</w:t>
            </w:r>
          </w:p>
        </w:tc>
        <w:tc>
          <w:tcPr>
            <w:tcW w:w="1856" w:type="dxa"/>
          </w:tcPr>
          <w:p w14:paraId="1AA4D93E" w14:textId="77777777" w:rsidR="00160459" w:rsidRPr="0047058F" w:rsidRDefault="00160459" w:rsidP="0047058F">
            <w:pPr>
              <w:pStyle w:val="TableText"/>
              <w:jc w:val="right"/>
              <w:rPr>
                <w:rFonts w:cs="Arial"/>
              </w:rPr>
            </w:pPr>
          </w:p>
        </w:tc>
      </w:tr>
      <w:tr w:rsidR="00160459" w:rsidRPr="0047058F" w14:paraId="11D1AEB6" w14:textId="77777777" w:rsidTr="0047058F">
        <w:trPr>
          <w:cantSplit/>
        </w:trPr>
        <w:tc>
          <w:tcPr>
            <w:tcW w:w="1749" w:type="dxa"/>
            <w:hideMark/>
          </w:tcPr>
          <w:p w14:paraId="3D41AE96" w14:textId="77777777" w:rsidR="00160459" w:rsidRPr="0047058F" w:rsidRDefault="00160459" w:rsidP="0047058F">
            <w:pPr>
              <w:pStyle w:val="TableText"/>
              <w:rPr>
                <w:b/>
              </w:rPr>
            </w:pPr>
            <w:r w:rsidRPr="0047058F">
              <w:rPr>
                <w:b/>
              </w:rPr>
              <w:t>Age group</w:t>
            </w:r>
          </w:p>
        </w:tc>
        <w:tc>
          <w:tcPr>
            <w:tcW w:w="1855" w:type="dxa"/>
          </w:tcPr>
          <w:p w14:paraId="1BD37B59" w14:textId="77777777" w:rsidR="00160459" w:rsidRPr="0047058F" w:rsidRDefault="00160459" w:rsidP="0047058F">
            <w:pPr>
              <w:pStyle w:val="TableText"/>
              <w:jc w:val="right"/>
              <w:rPr>
                <w:rFonts w:cs="Arial"/>
              </w:rPr>
            </w:pPr>
          </w:p>
        </w:tc>
        <w:tc>
          <w:tcPr>
            <w:tcW w:w="1855" w:type="dxa"/>
          </w:tcPr>
          <w:p w14:paraId="1B2FCA6B" w14:textId="77777777" w:rsidR="00160459" w:rsidRPr="0047058F" w:rsidRDefault="00160459" w:rsidP="0047058F">
            <w:pPr>
              <w:pStyle w:val="TableText"/>
              <w:jc w:val="right"/>
              <w:rPr>
                <w:rFonts w:cs="Arial"/>
              </w:rPr>
            </w:pPr>
          </w:p>
        </w:tc>
        <w:tc>
          <w:tcPr>
            <w:tcW w:w="1856" w:type="dxa"/>
          </w:tcPr>
          <w:p w14:paraId="1375307C" w14:textId="77777777" w:rsidR="00160459" w:rsidRPr="0047058F" w:rsidRDefault="00160459" w:rsidP="0047058F">
            <w:pPr>
              <w:pStyle w:val="TableText"/>
              <w:jc w:val="right"/>
              <w:rPr>
                <w:rFonts w:cs="Arial"/>
              </w:rPr>
            </w:pPr>
          </w:p>
        </w:tc>
      </w:tr>
      <w:tr w:rsidR="00160459" w:rsidRPr="0047058F" w14:paraId="44C5F451"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34282F4B" w14:textId="77777777" w:rsidR="00160459" w:rsidRPr="0047058F" w:rsidRDefault="00160459" w:rsidP="0047058F">
            <w:pPr>
              <w:pStyle w:val="TableText"/>
            </w:pPr>
            <w:r w:rsidRPr="0047058F">
              <w:t>18–27</w:t>
            </w:r>
          </w:p>
        </w:tc>
        <w:tc>
          <w:tcPr>
            <w:tcW w:w="1855" w:type="dxa"/>
            <w:hideMark/>
          </w:tcPr>
          <w:p w14:paraId="04AB2C69"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50</w:t>
            </w:r>
          </w:p>
        </w:tc>
        <w:tc>
          <w:tcPr>
            <w:tcW w:w="1855" w:type="dxa"/>
            <w:hideMark/>
          </w:tcPr>
          <w:p w14:paraId="35D37BA8"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6.7</w:t>
            </w:r>
          </w:p>
        </w:tc>
        <w:tc>
          <w:tcPr>
            <w:tcW w:w="1856" w:type="dxa"/>
            <w:hideMark/>
          </w:tcPr>
          <w:p w14:paraId="0D3BA8C3" w14:textId="32942629" w:rsidR="00160459" w:rsidRPr="0047058F" w:rsidRDefault="00160459" w:rsidP="0047058F">
            <w:pPr>
              <w:pStyle w:val="TableText"/>
              <w:jc w:val="right"/>
              <w:rPr>
                <w:rFonts w:cs="Arial"/>
                <w:color w:val="000000" w:themeColor="text1"/>
              </w:rPr>
            </w:pPr>
            <w:r w:rsidRPr="0047058F">
              <w:rPr>
                <w:rFonts w:cs="Arial"/>
                <w:color w:val="000000" w:themeColor="text1"/>
              </w:rPr>
              <w:t>(5.1</w:t>
            </w:r>
            <w:r w:rsidR="002549BB">
              <w:rPr>
                <w:rFonts w:cs="Arial"/>
                <w:color w:val="000000" w:themeColor="text1"/>
              </w:rPr>
              <w:t>–</w:t>
            </w:r>
            <w:r w:rsidRPr="0047058F">
              <w:rPr>
                <w:rFonts w:cs="Arial"/>
                <w:color w:val="000000" w:themeColor="text1"/>
              </w:rPr>
              <w:t>8.7)</w:t>
            </w:r>
          </w:p>
        </w:tc>
      </w:tr>
      <w:tr w:rsidR="00160459" w:rsidRPr="0047058F" w14:paraId="765F09E1" w14:textId="77777777" w:rsidTr="0047058F">
        <w:trPr>
          <w:cantSplit/>
        </w:trPr>
        <w:tc>
          <w:tcPr>
            <w:tcW w:w="1749" w:type="dxa"/>
            <w:hideMark/>
          </w:tcPr>
          <w:p w14:paraId="793A9918" w14:textId="77777777" w:rsidR="00160459" w:rsidRPr="0047058F" w:rsidRDefault="00160459" w:rsidP="0047058F">
            <w:pPr>
              <w:pStyle w:val="TableText"/>
            </w:pPr>
            <w:r w:rsidRPr="0047058F">
              <w:t>28–37</w:t>
            </w:r>
          </w:p>
        </w:tc>
        <w:tc>
          <w:tcPr>
            <w:tcW w:w="1855" w:type="dxa"/>
            <w:hideMark/>
          </w:tcPr>
          <w:p w14:paraId="58102D78"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171</w:t>
            </w:r>
          </w:p>
        </w:tc>
        <w:tc>
          <w:tcPr>
            <w:tcW w:w="1855" w:type="dxa"/>
            <w:hideMark/>
          </w:tcPr>
          <w:p w14:paraId="7FAD4941"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23.0</w:t>
            </w:r>
          </w:p>
        </w:tc>
        <w:tc>
          <w:tcPr>
            <w:tcW w:w="1856" w:type="dxa"/>
            <w:hideMark/>
          </w:tcPr>
          <w:p w14:paraId="35E03BB3" w14:textId="3131D058" w:rsidR="00160459" w:rsidRPr="0047058F" w:rsidRDefault="00160459" w:rsidP="0047058F">
            <w:pPr>
              <w:pStyle w:val="TableText"/>
              <w:jc w:val="right"/>
              <w:rPr>
                <w:rFonts w:cs="Arial"/>
                <w:color w:val="000000" w:themeColor="text1"/>
              </w:rPr>
            </w:pPr>
            <w:r w:rsidRPr="0047058F">
              <w:rPr>
                <w:rFonts w:cs="Arial"/>
                <w:color w:val="000000" w:themeColor="text1"/>
              </w:rPr>
              <w:t>(20.1</w:t>
            </w:r>
            <w:r w:rsidR="002549BB">
              <w:rPr>
                <w:rFonts w:cs="Arial"/>
                <w:color w:val="000000" w:themeColor="text1"/>
              </w:rPr>
              <w:t>–</w:t>
            </w:r>
            <w:r w:rsidRPr="0047058F">
              <w:rPr>
                <w:rFonts w:cs="Arial"/>
                <w:color w:val="000000" w:themeColor="text1"/>
              </w:rPr>
              <w:t>26.1)</w:t>
            </w:r>
          </w:p>
        </w:tc>
      </w:tr>
      <w:tr w:rsidR="00160459" w:rsidRPr="0047058F" w14:paraId="417DB063"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370B045C" w14:textId="77777777" w:rsidR="00160459" w:rsidRPr="0047058F" w:rsidRDefault="00160459" w:rsidP="0047058F">
            <w:pPr>
              <w:pStyle w:val="TableText"/>
            </w:pPr>
            <w:r w:rsidRPr="0047058F">
              <w:t>38–47</w:t>
            </w:r>
          </w:p>
        </w:tc>
        <w:tc>
          <w:tcPr>
            <w:tcW w:w="1855" w:type="dxa"/>
            <w:hideMark/>
          </w:tcPr>
          <w:p w14:paraId="3CB30E92"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177</w:t>
            </w:r>
          </w:p>
        </w:tc>
        <w:tc>
          <w:tcPr>
            <w:tcW w:w="1855" w:type="dxa"/>
            <w:hideMark/>
          </w:tcPr>
          <w:p w14:paraId="3C42C604"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23.0</w:t>
            </w:r>
          </w:p>
        </w:tc>
        <w:tc>
          <w:tcPr>
            <w:tcW w:w="1856" w:type="dxa"/>
            <w:hideMark/>
          </w:tcPr>
          <w:p w14:paraId="68B34C29" w14:textId="6530C810" w:rsidR="00160459" w:rsidRPr="0047058F" w:rsidRDefault="00160459" w:rsidP="0047058F">
            <w:pPr>
              <w:pStyle w:val="TableText"/>
              <w:jc w:val="right"/>
              <w:rPr>
                <w:rFonts w:cs="Arial"/>
                <w:color w:val="000000" w:themeColor="text1"/>
              </w:rPr>
            </w:pPr>
            <w:r w:rsidRPr="0047058F">
              <w:rPr>
                <w:rFonts w:cs="Arial"/>
                <w:color w:val="000000" w:themeColor="text1"/>
              </w:rPr>
              <w:t>(20.8</w:t>
            </w:r>
            <w:r w:rsidR="002549BB">
              <w:rPr>
                <w:rFonts w:cs="Arial"/>
                <w:color w:val="000000" w:themeColor="text1"/>
              </w:rPr>
              <w:t>–</w:t>
            </w:r>
            <w:r w:rsidRPr="0047058F">
              <w:rPr>
                <w:rFonts w:cs="Arial"/>
                <w:color w:val="000000" w:themeColor="text1"/>
              </w:rPr>
              <w:t>26.9)</w:t>
            </w:r>
          </w:p>
        </w:tc>
      </w:tr>
      <w:tr w:rsidR="00160459" w:rsidRPr="0047058F" w14:paraId="5F7FCD03" w14:textId="77777777" w:rsidTr="0047058F">
        <w:trPr>
          <w:cantSplit/>
        </w:trPr>
        <w:tc>
          <w:tcPr>
            <w:tcW w:w="1749" w:type="dxa"/>
            <w:hideMark/>
          </w:tcPr>
          <w:p w14:paraId="0DE4AA99" w14:textId="77777777" w:rsidR="00160459" w:rsidRPr="0047058F" w:rsidRDefault="00160459" w:rsidP="0047058F">
            <w:pPr>
              <w:pStyle w:val="TableText"/>
            </w:pPr>
            <w:r w:rsidRPr="0047058F">
              <w:t>48–57</w:t>
            </w:r>
          </w:p>
        </w:tc>
        <w:tc>
          <w:tcPr>
            <w:tcW w:w="1855" w:type="dxa"/>
            <w:hideMark/>
          </w:tcPr>
          <w:p w14:paraId="187160E3"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179</w:t>
            </w:r>
          </w:p>
        </w:tc>
        <w:tc>
          <w:tcPr>
            <w:tcW w:w="1855" w:type="dxa"/>
            <w:hideMark/>
          </w:tcPr>
          <w:p w14:paraId="509EABDF"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24.0</w:t>
            </w:r>
          </w:p>
        </w:tc>
        <w:tc>
          <w:tcPr>
            <w:tcW w:w="1856" w:type="dxa"/>
            <w:hideMark/>
          </w:tcPr>
          <w:p w14:paraId="723467D2" w14:textId="6454A870" w:rsidR="00160459" w:rsidRPr="0047058F" w:rsidRDefault="00160459" w:rsidP="0047058F">
            <w:pPr>
              <w:pStyle w:val="TableText"/>
              <w:jc w:val="right"/>
              <w:rPr>
                <w:rFonts w:cs="Arial"/>
                <w:color w:val="000000" w:themeColor="text1"/>
              </w:rPr>
            </w:pPr>
            <w:r w:rsidRPr="0047058F">
              <w:rPr>
                <w:rFonts w:cs="Arial"/>
                <w:color w:val="000000" w:themeColor="text1"/>
              </w:rPr>
              <w:t>(21.1</w:t>
            </w:r>
            <w:r w:rsidR="002549BB">
              <w:rPr>
                <w:rFonts w:cs="Arial"/>
                <w:color w:val="000000" w:themeColor="text1"/>
              </w:rPr>
              <w:t>–</w:t>
            </w:r>
            <w:r w:rsidRPr="0047058F">
              <w:rPr>
                <w:rFonts w:cs="Arial"/>
                <w:color w:val="000000" w:themeColor="text1"/>
              </w:rPr>
              <w:t>27.2)</w:t>
            </w:r>
          </w:p>
        </w:tc>
      </w:tr>
      <w:tr w:rsidR="00160459" w:rsidRPr="0047058F" w14:paraId="7E408816"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44E8D151" w14:textId="77777777" w:rsidR="00160459" w:rsidRPr="0047058F" w:rsidRDefault="00160459" w:rsidP="0047058F">
            <w:pPr>
              <w:pStyle w:val="TableText"/>
            </w:pPr>
            <w:r w:rsidRPr="0047058F">
              <w:t>58+</w:t>
            </w:r>
          </w:p>
        </w:tc>
        <w:tc>
          <w:tcPr>
            <w:tcW w:w="1855" w:type="dxa"/>
            <w:hideMark/>
          </w:tcPr>
          <w:p w14:paraId="32B2F97A"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163</w:t>
            </w:r>
          </w:p>
        </w:tc>
        <w:tc>
          <w:tcPr>
            <w:tcW w:w="1855" w:type="dxa"/>
            <w:hideMark/>
          </w:tcPr>
          <w:p w14:paraId="17198A20"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21.9</w:t>
            </w:r>
          </w:p>
        </w:tc>
        <w:tc>
          <w:tcPr>
            <w:tcW w:w="1856" w:type="dxa"/>
            <w:hideMark/>
          </w:tcPr>
          <w:p w14:paraId="49D4A812" w14:textId="7D256409" w:rsidR="00160459" w:rsidRPr="0047058F" w:rsidRDefault="00160459" w:rsidP="0047058F">
            <w:pPr>
              <w:pStyle w:val="TableText"/>
              <w:jc w:val="right"/>
              <w:rPr>
                <w:rFonts w:cs="Arial"/>
                <w:color w:val="000000" w:themeColor="text1"/>
              </w:rPr>
            </w:pPr>
            <w:r w:rsidRPr="0047058F">
              <w:rPr>
                <w:rFonts w:cs="Arial"/>
                <w:color w:val="000000" w:themeColor="text1"/>
              </w:rPr>
              <w:t>(19.1</w:t>
            </w:r>
            <w:r w:rsidR="002549BB">
              <w:rPr>
                <w:rFonts w:cs="Arial"/>
                <w:color w:val="000000" w:themeColor="text1"/>
              </w:rPr>
              <w:t>–</w:t>
            </w:r>
            <w:r w:rsidRPr="0047058F">
              <w:rPr>
                <w:rFonts w:cs="Arial"/>
                <w:color w:val="000000" w:themeColor="text1"/>
              </w:rPr>
              <w:t>25.0)</w:t>
            </w:r>
          </w:p>
        </w:tc>
      </w:tr>
      <w:tr w:rsidR="00160459" w:rsidRPr="0047058F" w14:paraId="4C2052A1" w14:textId="77777777" w:rsidTr="0047058F">
        <w:trPr>
          <w:cantSplit/>
        </w:trPr>
        <w:tc>
          <w:tcPr>
            <w:tcW w:w="1749" w:type="dxa"/>
            <w:hideMark/>
          </w:tcPr>
          <w:p w14:paraId="0CB1B41F" w14:textId="77777777" w:rsidR="00160459" w:rsidRPr="0047058F" w:rsidRDefault="00160459" w:rsidP="0047058F">
            <w:pPr>
              <w:pStyle w:val="TableText"/>
              <w:rPr>
                <w:b/>
              </w:rPr>
            </w:pPr>
            <w:r w:rsidRPr="0047058F">
              <w:rPr>
                <w:b/>
              </w:rPr>
              <w:t>Sex</w:t>
            </w:r>
          </w:p>
        </w:tc>
        <w:tc>
          <w:tcPr>
            <w:tcW w:w="1855" w:type="dxa"/>
          </w:tcPr>
          <w:p w14:paraId="1857D41E" w14:textId="77777777" w:rsidR="00160459" w:rsidRPr="0047058F" w:rsidRDefault="00160459" w:rsidP="0047058F">
            <w:pPr>
              <w:pStyle w:val="TableText"/>
              <w:jc w:val="right"/>
              <w:rPr>
                <w:rFonts w:cs="Arial"/>
                <w:color w:val="000000" w:themeColor="text1"/>
              </w:rPr>
            </w:pPr>
          </w:p>
        </w:tc>
        <w:tc>
          <w:tcPr>
            <w:tcW w:w="1855" w:type="dxa"/>
          </w:tcPr>
          <w:p w14:paraId="7C7147FB" w14:textId="77777777" w:rsidR="00160459" w:rsidRPr="0047058F" w:rsidRDefault="00160459" w:rsidP="0047058F">
            <w:pPr>
              <w:pStyle w:val="TableText"/>
              <w:jc w:val="right"/>
              <w:rPr>
                <w:rFonts w:cs="Arial"/>
                <w:color w:val="000000" w:themeColor="text1"/>
              </w:rPr>
            </w:pPr>
          </w:p>
        </w:tc>
        <w:tc>
          <w:tcPr>
            <w:tcW w:w="1856" w:type="dxa"/>
          </w:tcPr>
          <w:p w14:paraId="20E35428" w14:textId="77777777" w:rsidR="00160459" w:rsidRPr="0047058F" w:rsidRDefault="00160459" w:rsidP="0047058F">
            <w:pPr>
              <w:pStyle w:val="TableText"/>
              <w:jc w:val="right"/>
              <w:rPr>
                <w:rFonts w:cs="Arial"/>
                <w:color w:val="000000" w:themeColor="text1"/>
              </w:rPr>
            </w:pPr>
          </w:p>
        </w:tc>
      </w:tr>
      <w:tr w:rsidR="00160459" w:rsidRPr="0047058F" w14:paraId="3ECB431E"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0F0ECB00" w14:textId="77777777" w:rsidR="00160459" w:rsidRPr="0047058F" w:rsidRDefault="00160459" w:rsidP="0047058F">
            <w:pPr>
              <w:pStyle w:val="TableText"/>
            </w:pPr>
            <w:r w:rsidRPr="0047058F">
              <w:t>Male</w:t>
            </w:r>
          </w:p>
        </w:tc>
        <w:tc>
          <w:tcPr>
            <w:tcW w:w="1855" w:type="dxa"/>
            <w:hideMark/>
          </w:tcPr>
          <w:p w14:paraId="458E70AD"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631</w:t>
            </w:r>
          </w:p>
        </w:tc>
        <w:tc>
          <w:tcPr>
            <w:tcW w:w="1855" w:type="dxa"/>
            <w:hideMark/>
          </w:tcPr>
          <w:p w14:paraId="0485871A"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84.7</w:t>
            </w:r>
          </w:p>
        </w:tc>
        <w:tc>
          <w:tcPr>
            <w:tcW w:w="1856" w:type="dxa"/>
            <w:hideMark/>
          </w:tcPr>
          <w:p w14:paraId="119C934A" w14:textId="07146B3A" w:rsidR="00160459" w:rsidRPr="0047058F" w:rsidRDefault="00160459" w:rsidP="0047058F">
            <w:pPr>
              <w:pStyle w:val="TableText"/>
              <w:jc w:val="right"/>
              <w:rPr>
                <w:rFonts w:cs="Arial"/>
                <w:color w:val="000000" w:themeColor="text1"/>
              </w:rPr>
            </w:pPr>
            <w:r w:rsidRPr="0047058F">
              <w:rPr>
                <w:rFonts w:cs="Arial"/>
                <w:color w:val="000000" w:themeColor="text1"/>
              </w:rPr>
              <w:t>(81.9</w:t>
            </w:r>
            <w:r w:rsidR="002549BB">
              <w:rPr>
                <w:rFonts w:cs="Arial"/>
                <w:color w:val="000000" w:themeColor="text1"/>
              </w:rPr>
              <w:t>–</w:t>
            </w:r>
            <w:r w:rsidRPr="0047058F">
              <w:rPr>
                <w:rFonts w:cs="Arial"/>
                <w:color w:val="000000" w:themeColor="text1"/>
              </w:rPr>
              <w:t>87.1)</w:t>
            </w:r>
          </w:p>
        </w:tc>
      </w:tr>
      <w:tr w:rsidR="00160459" w:rsidRPr="0047058F" w14:paraId="26EC2801" w14:textId="77777777" w:rsidTr="0047058F">
        <w:trPr>
          <w:cantSplit/>
        </w:trPr>
        <w:tc>
          <w:tcPr>
            <w:tcW w:w="1749" w:type="dxa"/>
            <w:hideMark/>
          </w:tcPr>
          <w:p w14:paraId="16DAA972" w14:textId="77777777" w:rsidR="00160459" w:rsidRPr="0047058F" w:rsidRDefault="00160459" w:rsidP="0047058F">
            <w:pPr>
              <w:pStyle w:val="TableText"/>
            </w:pPr>
            <w:r w:rsidRPr="0047058F">
              <w:t>Female</w:t>
            </w:r>
          </w:p>
        </w:tc>
        <w:tc>
          <w:tcPr>
            <w:tcW w:w="1855" w:type="dxa"/>
            <w:hideMark/>
          </w:tcPr>
          <w:p w14:paraId="5DA34232"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109</w:t>
            </w:r>
          </w:p>
        </w:tc>
        <w:tc>
          <w:tcPr>
            <w:tcW w:w="1855" w:type="dxa"/>
            <w:hideMark/>
          </w:tcPr>
          <w:p w14:paraId="5B2F5274"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14.6</w:t>
            </w:r>
          </w:p>
        </w:tc>
        <w:tc>
          <w:tcPr>
            <w:tcW w:w="1856" w:type="dxa"/>
            <w:hideMark/>
          </w:tcPr>
          <w:p w14:paraId="417B0142" w14:textId="18C5A101" w:rsidR="00160459" w:rsidRPr="0047058F" w:rsidRDefault="00160459" w:rsidP="0047058F">
            <w:pPr>
              <w:pStyle w:val="TableText"/>
              <w:jc w:val="right"/>
              <w:rPr>
                <w:rFonts w:cs="Arial"/>
                <w:color w:val="000000" w:themeColor="text1"/>
              </w:rPr>
            </w:pPr>
            <w:r w:rsidRPr="0047058F">
              <w:rPr>
                <w:rFonts w:cs="Arial"/>
                <w:color w:val="000000" w:themeColor="text1"/>
              </w:rPr>
              <w:t>(12.3</w:t>
            </w:r>
            <w:r w:rsidR="002549BB">
              <w:rPr>
                <w:rFonts w:cs="Arial"/>
                <w:color w:val="000000" w:themeColor="text1"/>
              </w:rPr>
              <w:t>–</w:t>
            </w:r>
            <w:r w:rsidRPr="0047058F">
              <w:rPr>
                <w:rFonts w:cs="Arial"/>
                <w:color w:val="000000" w:themeColor="text1"/>
              </w:rPr>
              <w:t>17.4)</w:t>
            </w:r>
          </w:p>
        </w:tc>
      </w:tr>
      <w:tr w:rsidR="00160459" w:rsidRPr="0047058F" w14:paraId="5AFE4406"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4CC77ED6" w14:textId="77777777" w:rsidR="00160459" w:rsidRPr="0047058F" w:rsidRDefault="00160459" w:rsidP="0047058F">
            <w:pPr>
              <w:pStyle w:val="TableText"/>
              <w:rPr>
                <w:b/>
              </w:rPr>
            </w:pPr>
            <w:r w:rsidRPr="0047058F">
              <w:rPr>
                <w:b/>
              </w:rPr>
              <w:t>Rank</w:t>
            </w:r>
          </w:p>
        </w:tc>
        <w:tc>
          <w:tcPr>
            <w:tcW w:w="1855" w:type="dxa"/>
          </w:tcPr>
          <w:p w14:paraId="1C59B4BB" w14:textId="77777777" w:rsidR="00160459" w:rsidRPr="0047058F" w:rsidRDefault="00160459" w:rsidP="0047058F">
            <w:pPr>
              <w:pStyle w:val="TableText"/>
              <w:jc w:val="right"/>
              <w:rPr>
                <w:rFonts w:cs="Arial"/>
                <w:color w:val="000000" w:themeColor="text1"/>
              </w:rPr>
            </w:pPr>
          </w:p>
        </w:tc>
        <w:tc>
          <w:tcPr>
            <w:tcW w:w="1855" w:type="dxa"/>
          </w:tcPr>
          <w:p w14:paraId="38772D5F" w14:textId="77777777" w:rsidR="00160459" w:rsidRPr="0047058F" w:rsidRDefault="00160459" w:rsidP="0047058F">
            <w:pPr>
              <w:pStyle w:val="TableText"/>
              <w:jc w:val="right"/>
              <w:rPr>
                <w:rFonts w:cs="Arial"/>
                <w:color w:val="000000" w:themeColor="text1"/>
              </w:rPr>
            </w:pPr>
          </w:p>
        </w:tc>
        <w:tc>
          <w:tcPr>
            <w:tcW w:w="1856" w:type="dxa"/>
          </w:tcPr>
          <w:p w14:paraId="4F145B45" w14:textId="77777777" w:rsidR="00160459" w:rsidRPr="0047058F" w:rsidRDefault="00160459" w:rsidP="0047058F">
            <w:pPr>
              <w:pStyle w:val="TableText"/>
              <w:jc w:val="right"/>
              <w:rPr>
                <w:rFonts w:cs="Arial"/>
                <w:color w:val="000000" w:themeColor="text1"/>
              </w:rPr>
            </w:pPr>
          </w:p>
        </w:tc>
      </w:tr>
      <w:tr w:rsidR="00160459" w:rsidRPr="0047058F" w14:paraId="3753DEA4" w14:textId="77777777" w:rsidTr="0047058F">
        <w:trPr>
          <w:cantSplit/>
        </w:trPr>
        <w:tc>
          <w:tcPr>
            <w:tcW w:w="1749" w:type="dxa"/>
            <w:hideMark/>
          </w:tcPr>
          <w:p w14:paraId="678491D7" w14:textId="5347E35F" w:rsidR="00160459" w:rsidRPr="0047058F" w:rsidRDefault="00160459" w:rsidP="0047058F">
            <w:pPr>
              <w:pStyle w:val="TableText"/>
            </w:pPr>
            <w:r w:rsidRPr="0047058F">
              <w:t>O</w:t>
            </w:r>
            <w:r w:rsidR="00FD0E97">
              <w:t>fficer</w:t>
            </w:r>
          </w:p>
        </w:tc>
        <w:tc>
          <w:tcPr>
            <w:tcW w:w="1855" w:type="dxa"/>
            <w:hideMark/>
          </w:tcPr>
          <w:p w14:paraId="63DBC204"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252</w:t>
            </w:r>
          </w:p>
        </w:tc>
        <w:tc>
          <w:tcPr>
            <w:tcW w:w="1855" w:type="dxa"/>
            <w:hideMark/>
          </w:tcPr>
          <w:p w14:paraId="00AEF64A"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33.8</w:t>
            </w:r>
          </w:p>
        </w:tc>
        <w:tc>
          <w:tcPr>
            <w:tcW w:w="1856" w:type="dxa"/>
            <w:hideMark/>
          </w:tcPr>
          <w:p w14:paraId="532B1866" w14:textId="52D99379" w:rsidR="00160459" w:rsidRPr="0047058F" w:rsidRDefault="00160459" w:rsidP="0047058F">
            <w:pPr>
              <w:pStyle w:val="TableText"/>
              <w:jc w:val="right"/>
              <w:rPr>
                <w:rFonts w:cs="Arial"/>
                <w:color w:val="000000" w:themeColor="text1"/>
              </w:rPr>
            </w:pPr>
            <w:r w:rsidRPr="0047058F">
              <w:rPr>
                <w:rFonts w:cs="Arial"/>
                <w:color w:val="000000" w:themeColor="text1"/>
              </w:rPr>
              <w:t>(30.5</w:t>
            </w:r>
            <w:r w:rsidR="002549BB">
              <w:rPr>
                <w:rFonts w:cs="Arial"/>
                <w:color w:val="000000" w:themeColor="text1"/>
              </w:rPr>
              <w:t>–</w:t>
            </w:r>
            <w:r w:rsidRPr="0047058F">
              <w:rPr>
                <w:rFonts w:cs="Arial"/>
                <w:color w:val="000000" w:themeColor="text1"/>
              </w:rPr>
              <w:t>37.3)</w:t>
            </w:r>
          </w:p>
        </w:tc>
      </w:tr>
      <w:tr w:rsidR="00160459" w:rsidRPr="0047058F" w14:paraId="317D8FC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279119DD" w14:textId="7E6CF385" w:rsidR="00160459" w:rsidRPr="0047058F" w:rsidRDefault="00160459" w:rsidP="0047058F">
            <w:pPr>
              <w:pStyle w:val="TableText"/>
            </w:pPr>
            <w:r w:rsidRPr="0047058F">
              <w:t>N</w:t>
            </w:r>
            <w:r w:rsidR="00FD0E97">
              <w:t>on-</w:t>
            </w:r>
            <w:r w:rsidRPr="0047058F">
              <w:t>C</w:t>
            </w:r>
            <w:r w:rsidR="00FD0E97">
              <w:t xml:space="preserve">ommissioned </w:t>
            </w:r>
            <w:r w:rsidRPr="0047058F">
              <w:t>O</w:t>
            </w:r>
            <w:r w:rsidR="00FD0E97">
              <w:t>fficer</w:t>
            </w:r>
          </w:p>
        </w:tc>
        <w:tc>
          <w:tcPr>
            <w:tcW w:w="1855" w:type="dxa"/>
            <w:hideMark/>
          </w:tcPr>
          <w:p w14:paraId="0499F66D"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389</w:t>
            </w:r>
          </w:p>
        </w:tc>
        <w:tc>
          <w:tcPr>
            <w:tcW w:w="1855" w:type="dxa"/>
            <w:hideMark/>
          </w:tcPr>
          <w:p w14:paraId="218F5D7C"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52.2</w:t>
            </w:r>
          </w:p>
        </w:tc>
        <w:tc>
          <w:tcPr>
            <w:tcW w:w="1856" w:type="dxa"/>
            <w:hideMark/>
          </w:tcPr>
          <w:p w14:paraId="14022622" w14:textId="6AC1F581" w:rsidR="00160459" w:rsidRPr="0047058F" w:rsidRDefault="00160459" w:rsidP="0047058F">
            <w:pPr>
              <w:pStyle w:val="TableText"/>
              <w:jc w:val="right"/>
              <w:rPr>
                <w:rFonts w:cs="Arial"/>
                <w:color w:val="000000" w:themeColor="text1"/>
              </w:rPr>
            </w:pPr>
            <w:r w:rsidRPr="0047058F">
              <w:rPr>
                <w:rFonts w:cs="Arial"/>
                <w:color w:val="000000" w:themeColor="text1"/>
              </w:rPr>
              <w:t>(48.6</w:t>
            </w:r>
            <w:r w:rsidR="002549BB">
              <w:rPr>
                <w:rFonts w:cs="Arial"/>
                <w:color w:val="000000" w:themeColor="text1"/>
              </w:rPr>
              <w:t>–</w:t>
            </w:r>
            <w:r w:rsidRPr="0047058F">
              <w:rPr>
                <w:rFonts w:cs="Arial"/>
                <w:color w:val="000000" w:themeColor="text1"/>
              </w:rPr>
              <w:t>55.8)</w:t>
            </w:r>
          </w:p>
        </w:tc>
      </w:tr>
      <w:tr w:rsidR="00160459" w:rsidRPr="0047058F" w14:paraId="682C08E1" w14:textId="77777777" w:rsidTr="0047058F">
        <w:trPr>
          <w:cantSplit/>
        </w:trPr>
        <w:tc>
          <w:tcPr>
            <w:tcW w:w="1749" w:type="dxa"/>
            <w:hideMark/>
          </w:tcPr>
          <w:p w14:paraId="3901FD05" w14:textId="77777777" w:rsidR="00160459" w:rsidRPr="0047058F" w:rsidRDefault="00160459" w:rsidP="0047058F">
            <w:pPr>
              <w:pStyle w:val="TableText"/>
            </w:pPr>
            <w:r w:rsidRPr="0047058F">
              <w:t>Other Ranks</w:t>
            </w:r>
          </w:p>
        </w:tc>
        <w:tc>
          <w:tcPr>
            <w:tcW w:w="1855" w:type="dxa"/>
            <w:hideMark/>
          </w:tcPr>
          <w:p w14:paraId="1C546AFB"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104</w:t>
            </w:r>
          </w:p>
        </w:tc>
        <w:tc>
          <w:tcPr>
            <w:tcW w:w="1855" w:type="dxa"/>
            <w:hideMark/>
          </w:tcPr>
          <w:p w14:paraId="6D98E191"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14.0</w:t>
            </w:r>
          </w:p>
        </w:tc>
        <w:tc>
          <w:tcPr>
            <w:tcW w:w="1856" w:type="dxa"/>
            <w:hideMark/>
          </w:tcPr>
          <w:p w14:paraId="1D127555" w14:textId="0C83564E" w:rsidR="00160459" w:rsidRPr="0047058F" w:rsidRDefault="00160459" w:rsidP="0047058F">
            <w:pPr>
              <w:pStyle w:val="TableText"/>
              <w:jc w:val="right"/>
              <w:rPr>
                <w:rFonts w:cs="Arial"/>
                <w:color w:val="000000" w:themeColor="text1"/>
              </w:rPr>
            </w:pPr>
            <w:r w:rsidRPr="0047058F">
              <w:rPr>
                <w:rFonts w:cs="Arial"/>
                <w:color w:val="000000" w:themeColor="text1"/>
              </w:rPr>
              <w:t>(11.7</w:t>
            </w:r>
            <w:r w:rsidR="002549BB">
              <w:rPr>
                <w:rFonts w:cs="Arial"/>
                <w:color w:val="000000" w:themeColor="text1"/>
              </w:rPr>
              <w:t>–</w:t>
            </w:r>
            <w:r w:rsidRPr="0047058F">
              <w:rPr>
                <w:rFonts w:cs="Arial"/>
                <w:color w:val="000000" w:themeColor="text1"/>
              </w:rPr>
              <w:t>16.6)</w:t>
            </w:r>
          </w:p>
        </w:tc>
      </w:tr>
      <w:tr w:rsidR="00160459" w:rsidRPr="0047058F" w14:paraId="75D7B4E9"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7C5D991E" w14:textId="77777777" w:rsidR="00160459" w:rsidRPr="0047058F" w:rsidRDefault="00160459" w:rsidP="0047058F">
            <w:pPr>
              <w:pStyle w:val="TableText"/>
              <w:rPr>
                <w:b/>
              </w:rPr>
            </w:pPr>
            <w:r w:rsidRPr="0047058F">
              <w:rPr>
                <w:b/>
              </w:rPr>
              <w:t>Service</w:t>
            </w:r>
          </w:p>
        </w:tc>
        <w:tc>
          <w:tcPr>
            <w:tcW w:w="1855" w:type="dxa"/>
          </w:tcPr>
          <w:p w14:paraId="2DC81DFE" w14:textId="77777777" w:rsidR="00160459" w:rsidRPr="0047058F" w:rsidRDefault="00160459" w:rsidP="0047058F">
            <w:pPr>
              <w:pStyle w:val="TableText"/>
              <w:jc w:val="right"/>
              <w:rPr>
                <w:rFonts w:cs="Arial"/>
                <w:color w:val="000000" w:themeColor="text1"/>
              </w:rPr>
            </w:pPr>
          </w:p>
        </w:tc>
        <w:tc>
          <w:tcPr>
            <w:tcW w:w="1855" w:type="dxa"/>
          </w:tcPr>
          <w:p w14:paraId="71336A1E" w14:textId="77777777" w:rsidR="00160459" w:rsidRPr="0047058F" w:rsidRDefault="00160459" w:rsidP="0047058F">
            <w:pPr>
              <w:pStyle w:val="TableText"/>
              <w:jc w:val="right"/>
              <w:rPr>
                <w:rFonts w:cs="Arial"/>
                <w:color w:val="000000" w:themeColor="text1"/>
              </w:rPr>
            </w:pPr>
          </w:p>
        </w:tc>
        <w:tc>
          <w:tcPr>
            <w:tcW w:w="1856" w:type="dxa"/>
          </w:tcPr>
          <w:p w14:paraId="5C7B00BA" w14:textId="77777777" w:rsidR="00160459" w:rsidRPr="0047058F" w:rsidRDefault="00160459" w:rsidP="0047058F">
            <w:pPr>
              <w:pStyle w:val="TableText"/>
              <w:jc w:val="right"/>
              <w:rPr>
                <w:rFonts w:cs="Arial"/>
                <w:color w:val="000000" w:themeColor="text1"/>
              </w:rPr>
            </w:pPr>
          </w:p>
        </w:tc>
      </w:tr>
      <w:tr w:rsidR="00160459" w:rsidRPr="0047058F" w14:paraId="0D811320" w14:textId="77777777" w:rsidTr="0047058F">
        <w:trPr>
          <w:cantSplit/>
        </w:trPr>
        <w:tc>
          <w:tcPr>
            <w:tcW w:w="1749" w:type="dxa"/>
            <w:hideMark/>
          </w:tcPr>
          <w:p w14:paraId="6F444A93" w14:textId="77777777" w:rsidR="00160459" w:rsidRPr="0047058F" w:rsidRDefault="00160459" w:rsidP="0047058F">
            <w:pPr>
              <w:pStyle w:val="TableText"/>
            </w:pPr>
            <w:r w:rsidRPr="0047058F">
              <w:t>Navy</w:t>
            </w:r>
          </w:p>
        </w:tc>
        <w:tc>
          <w:tcPr>
            <w:tcW w:w="1855" w:type="dxa"/>
            <w:hideMark/>
          </w:tcPr>
          <w:p w14:paraId="29EDD407"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150</w:t>
            </w:r>
          </w:p>
        </w:tc>
        <w:tc>
          <w:tcPr>
            <w:tcW w:w="1855" w:type="dxa"/>
            <w:hideMark/>
          </w:tcPr>
          <w:p w14:paraId="23EBD64E"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20.1</w:t>
            </w:r>
          </w:p>
        </w:tc>
        <w:tc>
          <w:tcPr>
            <w:tcW w:w="1856" w:type="dxa"/>
            <w:hideMark/>
          </w:tcPr>
          <w:p w14:paraId="298925EF" w14:textId="08759649" w:rsidR="00160459" w:rsidRPr="0047058F" w:rsidRDefault="00160459" w:rsidP="0047058F">
            <w:pPr>
              <w:pStyle w:val="TableText"/>
              <w:jc w:val="right"/>
              <w:rPr>
                <w:rFonts w:cs="Arial"/>
                <w:color w:val="000000" w:themeColor="text1"/>
              </w:rPr>
            </w:pPr>
            <w:r w:rsidRPr="0047058F">
              <w:rPr>
                <w:rFonts w:cs="Arial"/>
                <w:color w:val="000000" w:themeColor="text1"/>
              </w:rPr>
              <w:t>(17.4</w:t>
            </w:r>
            <w:r w:rsidR="002549BB">
              <w:rPr>
                <w:rFonts w:cs="Arial"/>
                <w:color w:val="000000" w:themeColor="text1"/>
              </w:rPr>
              <w:t>–</w:t>
            </w:r>
            <w:r w:rsidRPr="0047058F">
              <w:rPr>
                <w:rFonts w:cs="Arial"/>
                <w:color w:val="000000" w:themeColor="text1"/>
              </w:rPr>
              <w:t>23.2)</w:t>
            </w:r>
          </w:p>
        </w:tc>
      </w:tr>
      <w:tr w:rsidR="00160459" w:rsidRPr="0047058F" w14:paraId="68359E0D"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2BC7692D" w14:textId="77777777" w:rsidR="00160459" w:rsidRPr="0047058F" w:rsidRDefault="00160459" w:rsidP="0047058F">
            <w:pPr>
              <w:pStyle w:val="TableText"/>
            </w:pPr>
            <w:r w:rsidRPr="0047058F">
              <w:t>Army</w:t>
            </w:r>
          </w:p>
        </w:tc>
        <w:tc>
          <w:tcPr>
            <w:tcW w:w="1855" w:type="dxa"/>
            <w:hideMark/>
          </w:tcPr>
          <w:p w14:paraId="1C1A9FD1"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424</w:t>
            </w:r>
          </w:p>
        </w:tc>
        <w:tc>
          <w:tcPr>
            <w:tcW w:w="1855" w:type="dxa"/>
            <w:hideMark/>
          </w:tcPr>
          <w:p w14:paraId="4471DECE"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56.9</w:t>
            </w:r>
          </w:p>
        </w:tc>
        <w:tc>
          <w:tcPr>
            <w:tcW w:w="1856" w:type="dxa"/>
            <w:hideMark/>
          </w:tcPr>
          <w:p w14:paraId="5F7D626B" w14:textId="53C3FD08" w:rsidR="00160459" w:rsidRPr="0047058F" w:rsidRDefault="00160459" w:rsidP="0047058F">
            <w:pPr>
              <w:pStyle w:val="TableText"/>
              <w:jc w:val="right"/>
              <w:rPr>
                <w:rFonts w:cs="Arial"/>
                <w:color w:val="000000" w:themeColor="text1"/>
              </w:rPr>
            </w:pPr>
            <w:r w:rsidRPr="0047058F">
              <w:rPr>
                <w:rFonts w:cs="Arial"/>
                <w:color w:val="000000" w:themeColor="text1"/>
              </w:rPr>
              <w:t>(53.3</w:t>
            </w:r>
            <w:r w:rsidR="002549BB">
              <w:rPr>
                <w:rFonts w:cs="Arial"/>
                <w:color w:val="000000" w:themeColor="text1"/>
              </w:rPr>
              <w:t>–</w:t>
            </w:r>
            <w:r w:rsidRPr="0047058F">
              <w:rPr>
                <w:rFonts w:cs="Arial"/>
                <w:color w:val="000000" w:themeColor="text1"/>
              </w:rPr>
              <w:t>60.4)</w:t>
            </w:r>
          </w:p>
        </w:tc>
      </w:tr>
      <w:tr w:rsidR="00160459" w:rsidRPr="0047058F" w14:paraId="4E7C1284" w14:textId="77777777" w:rsidTr="0047058F">
        <w:trPr>
          <w:cantSplit/>
        </w:trPr>
        <w:tc>
          <w:tcPr>
            <w:tcW w:w="1749" w:type="dxa"/>
            <w:hideMark/>
          </w:tcPr>
          <w:p w14:paraId="6BFD4A3D" w14:textId="77777777" w:rsidR="00160459" w:rsidRPr="0047058F" w:rsidRDefault="00160459" w:rsidP="0047058F">
            <w:pPr>
              <w:pStyle w:val="TableText"/>
            </w:pPr>
            <w:r w:rsidRPr="0047058F">
              <w:t>Air Force</w:t>
            </w:r>
          </w:p>
        </w:tc>
        <w:tc>
          <w:tcPr>
            <w:tcW w:w="1855" w:type="dxa"/>
            <w:hideMark/>
          </w:tcPr>
          <w:p w14:paraId="6F15E71D"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171</w:t>
            </w:r>
          </w:p>
        </w:tc>
        <w:tc>
          <w:tcPr>
            <w:tcW w:w="1855" w:type="dxa"/>
            <w:hideMark/>
          </w:tcPr>
          <w:p w14:paraId="36504589"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23.0</w:t>
            </w:r>
          </w:p>
        </w:tc>
        <w:tc>
          <w:tcPr>
            <w:tcW w:w="1856" w:type="dxa"/>
            <w:hideMark/>
          </w:tcPr>
          <w:p w14:paraId="4088784E" w14:textId="3F5D2A8F" w:rsidR="00160459" w:rsidRPr="0047058F" w:rsidRDefault="00160459" w:rsidP="0047058F">
            <w:pPr>
              <w:pStyle w:val="TableText"/>
              <w:jc w:val="right"/>
              <w:rPr>
                <w:rFonts w:cs="Arial"/>
                <w:color w:val="000000" w:themeColor="text1"/>
              </w:rPr>
            </w:pPr>
            <w:r w:rsidRPr="0047058F">
              <w:rPr>
                <w:rFonts w:cs="Arial"/>
                <w:color w:val="000000" w:themeColor="text1"/>
              </w:rPr>
              <w:t>(20.1</w:t>
            </w:r>
            <w:r w:rsidR="002549BB">
              <w:rPr>
                <w:rFonts w:cs="Arial"/>
                <w:color w:val="000000" w:themeColor="text1"/>
              </w:rPr>
              <w:t>–</w:t>
            </w:r>
            <w:r w:rsidRPr="0047058F">
              <w:rPr>
                <w:rFonts w:cs="Arial"/>
                <w:color w:val="000000" w:themeColor="text1"/>
              </w:rPr>
              <w:t>26.1)</w:t>
            </w:r>
          </w:p>
        </w:tc>
      </w:tr>
      <w:tr w:rsidR="00160459" w:rsidRPr="0047058F" w14:paraId="3B7CE52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08DF250D" w14:textId="77777777" w:rsidR="00160459" w:rsidRPr="0047058F" w:rsidRDefault="00160459" w:rsidP="0047058F">
            <w:pPr>
              <w:pStyle w:val="TableText"/>
              <w:rPr>
                <w:b/>
              </w:rPr>
            </w:pPr>
            <w:r w:rsidRPr="0047058F">
              <w:rPr>
                <w:b/>
              </w:rPr>
              <w:t>Medical fitness</w:t>
            </w:r>
            <w:r w:rsidRPr="0047058F">
              <w:rPr>
                <w:b/>
                <w:vertAlign w:val="superscript"/>
              </w:rPr>
              <w:t>#</w:t>
            </w:r>
          </w:p>
        </w:tc>
        <w:tc>
          <w:tcPr>
            <w:tcW w:w="1855" w:type="dxa"/>
          </w:tcPr>
          <w:p w14:paraId="739D280E" w14:textId="77777777" w:rsidR="00160459" w:rsidRPr="0047058F" w:rsidRDefault="00160459" w:rsidP="0047058F">
            <w:pPr>
              <w:pStyle w:val="TableText"/>
              <w:jc w:val="right"/>
              <w:rPr>
                <w:rFonts w:cs="Arial"/>
                <w:color w:val="000000" w:themeColor="text1"/>
              </w:rPr>
            </w:pPr>
          </w:p>
        </w:tc>
        <w:tc>
          <w:tcPr>
            <w:tcW w:w="1855" w:type="dxa"/>
          </w:tcPr>
          <w:p w14:paraId="6F169419" w14:textId="77777777" w:rsidR="00160459" w:rsidRPr="0047058F" w:rsidRDefault="00160459" w:rsidP="0047058F">
            <w:pPr>
              <w:pStyle w:val="TableText"/>
              <w:jc w:val="right"/>
              <w:rPr>
                <w:rFonts w:cs="Arial"/>
                <w:color w:val="000000" w:themeColor="text1"/>
              </w:rPr>
            </w:pPr>
          </w:p>
        </w:tc>
        <w:tc>
          <w:tcPr>
            <w:tcW w:w="1856" w:type="dxa"/>
          </w:tcPr>
          <w:p w14:paraId="503C7C64" w14:textId="77777777" w:rsidR="00160459" w:rsidRPr="0047058F" w:rsidRDefault="00160459" w:rsidP="0047058F">
            <w:pPr>
              <w:pStyle w:val="TableText"/>
              <w:jc w:val="right"/>
              <w:rPr>
                <w:rFonts w:cs="Arial"/>
                <w:color w:val="000000" w:themeColor="text1"/>
              </w:rPr>
            </w:pPr>
          </w:p>
        </w:tc>
      </w:tr>
      <w:tr w:rsidR="00160459" w:rsidRPr="0047058F" w14:paraId="1A455F13" w14:textId="77777777" w:rsidTr="0047058F">
        <w:trPr>
          <w:cantSplit/>
        </w:trPr>
        <w:tc>
          <w:tcPr>
            <w:tcW w:w="1749" w:type="dxa"/>
            <w:hideMark/>
          </w:tcPr>
          <w:p w14:paraId="4170581F" w14:textId="77777777" w:rsidR="00160459" w:rsidRPr="0047058F" w:rsidRDefault="00160459" w:rsidP="0047058F">
            <w:pPr>
              <w:pStyle w:val="TableText"/>
            </w:pPr>
            <w:r w:rsidRPr="0047058F">
              <w:t>Fit</w:t>
            </w:r>
          </w:p>
        </w:tc>
        <w:tc>
          <w:tcPr>
            <w:tcW w:w="1855" w:type="dxa"/>
            <w:hideMark/>
          </w:tcPr>
          <w:p w14:paraId="0DF16B44"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521</w:t>
            </w:r>
          </w:p>
        </w:tc>
        <w:tc>
          <w:tcPr>
            <w:tcW w:w="1855" w:type="dxa"/>
            <w:hideMark/>
          </w:tcPr>
          <w:p w14:paraId="01ACC68E"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69.9</w:t>
            </w:r>
          </w:p>
        </w:tc>
        <w:tc>
          <w:tcPr>
            <w:tcW w:w="1856" w:type="dxa"/>
            <w:hideMark/>
          </w:tcPr>
          <w:p w14:paraId="5C49E790" w14:textId="69EC6C17" w:rsidR="00160459" w:rsidRPr="0047058F" w:rsidRDefault="00160459" w:rsidP="0047058F">
            <w:pPr>
              <w:pStyle w:val="TableText"/>
              <w:jc w:val="right"/>
              <w:rPr>
                <w:rFonts w:cs="Arial"/>
                <w:color w:val="000000" w:themeColor="text1"/>
              </w:rPr>
            </w:pPr>
            <w:r w:rsidRPr="0047058F">
              <w:rPr>
                <w:rFonts w:cs="Arial"/>
                <w:color w:val="000000" w:themeColor="text1"/>
              </w:rPr>
              <w:t>(66.5</w:t>
            </w:r>
            <w:r w:rsidR="002549BB">
              <w:rPr>
                <w:rFonts w:cs="Arial"/>
                <w:color w:val="000000" w:themeColor="text1"/>
              </w:rPr>
              <w:t>–</w:t>
            </w:r>
            <w:r w:rsidRPr="0047058F">
              <w:rPr>
                <w:rFonts w:cs="Arial"/>
                <w:color w:val="000000" w:themeColor="text1"/>
              </w:rPr>
              <w:t>73.1)</w:t>
            </w:r>
          </w:p>
        </w:tc>
      </w:tr>
      <w:tr w:rsidR="00160459" w:rsidRPr="0047058F" w14:paraId="554457C3"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725D2BA0" w14:textId="77777777" w:rsidR="00160459" w:rsidRPr="0047058F" w:rsidRDefault="00160459" w:rsidP="0047058F">
            <w:pPr>
              <w:pStyle w:val="TableText"/>
            </w:pPr>
            <w:r w:rsidRPr="0047058F">
              <w:t>Unfit</w:t>
            </w:r>
          </w:p>
        </w:tc>
        <w:tc>
          <w:tcPr>
            <w:tcW w:w="1855" w:type="dxa"/>
            <w:hideMark/>
          </w:tcPr>
          <w:p w14:paraId="7B5F7D27"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219</w:t>
            </w:r>
          </w:p>
        </w:tc>
        <w:tc>
          <w:tcPr>
            <w:tcW w:w="1855" w:type="dxa"/>
            <w:hideMark/>
          </w:tcPr>
          <w:p w14:paraId="19512DE4" w14:textId="77777777" w:rsidR="00160459" w:rsidRPr="0047058F" w:rsidRDefault="00160459" w:rsidP="0047058F">
            <w:pPr>
              <w:pStyle w:val="TableText"/>
              <w:jc w:val="right"/>
              <w:rPr>
                <w:rFonts w:cs="Arial"/>
                <w:color w:val="000000" w:themeColor="text1"/>
              </w:rPr>
            </w:pPr>
            <w:r w:rsidRPr="0047058F">
              <w:rPr>
                <w:rFonts w:cs="Arial"/>
                <w:color w:val="000000" w:themeColor="text1"/>
              </w:rPr>
              <w:t>29.4</w:t>
            </w:r>
          </w:p>
        </w:tc>
        <w:tc>
          <w:tcPr>
            <w:tcW w:w="1856" w:type="dxa"/>
            <w:hideMark/>
          </w:tcPr>
          <w:p w14:paraId="5A5A4CE2" w14:textId="2770A325" w:rsidR="00160459" w:rsidRPr="0047058F" w:rsidRDefault="00160459" w:rsidP="0047058F">
            <w:pPr>
              <w:pStyle w:val="TableText"/>
              <w:jc w:val="right"/>
            </w:pPr>
            <w:r w:rsidRPr="0047058F">
              <w:t>(26.2</w:t>
            </w:r>
            <w:r w:rsidR="002549BB">
              <w:t>–</w:t>
            </w:r>
            <w:r w:rsidRPr="0047058F">
              <w:t>32.8)</w:t>
            </w:r>
          </w:p>
        </w:tc>
      </w:tr>
    </w:tbl>
    <w:p w14:paraId="39E7AFA1" w14:textId="77777777" w:rsidR="00160459" w:rsidRPr="0047058F" w:rsidRDefault="00160459" w:rsidP="00160459">
      <w:pPr>
        <w:pStyle w:val="TableNotes"/>
      </w:pPr>
      <w:r w:rsidRPr="0047058F">
        <w:t># Refer to glossary for a definition of ‘medical fitness’.</w:t>
      </w:r>
    </w:p>
    <w:p w14:paraId="08497A86" w14:textId="77777777" w:rsidR="00160459" w:rsidRPr="0047058F" w:rsidRDefault="00160459" w:rsidP="00160459">
      <w:pPr>
        <w:pStyle w:val="TableNotes"/>
        <w:rPr>
          <w:b/>
        </w:rPr>
      </w:pPr>
      <w:r w:rsidRPr="0047058F">
        <w:rPr>
          <w:b/>
        </w:rPr>
        <w:t>Notes</w:t>
      </w:r>
    </w:p>
    <w:p w14:paraId="05EE21A7" w14:textId="77777777" w:rsidR="00160459" w:rsidRPr="0047058F" w:rsidRDefault="00160459" w:rsidP="00160459">
      <w:pPr>
        <w:pStyle w:val="TableNotes"/>
      </w:pPr>
      <w:r w:rsidRPr="0047058F">
        <w:t>Denominator: Transitioned ADF invited to participate in the Composite International Diagnostic Interview (CIDI).</w:t>
      </w:r>
    </w:p>
    <w:p w14:paraId="1B8DB546" w14:textId="77777777" w:rsidR="00160459" w:rsidRPr="0047058F" w:rsidRDefault="00160459" w:rsidP="00160459">
      <w:pPr>
        <w:pStyle w:val="TableNotes"/>
      </w:pPr>
      <w:r w:rsidRPr="0047058F">
        <w:t>Unweighted data.</w:t>
      </w:r>
    </w:p>
    <w:p w14:paraId="266FFB59" w14:textId="77777777" w:rsidR="00160459" w:rsidRPr="0047058F" w:rsidRDefault="00160459" w:rsidP="00160459">
      <w:pPr>
        <w:pStyle w:val="TableNotes"/>
      </w:pPr>
      <w:r w:rsidRPr="0047058F">
        <w:t>95% CI: 95% confidence interval; SE: standard error.</w:t>
      </w:r>
    </w:p>
    <w:p w14:paraId="310A52A9" w14:textId="77777777" w:rsidR="00160459" w:rsidRPr="0047058F" w:rsidRDefault="00160459" w:rsidP="00160459">
      <w:pPr>
        <w:pStyle w:val="Heading4"/>
        <w:ind w:left="864" w:hanging="864"/>
      </w:pPr>
      <w:r w:rsidRPr="0047058F">
        <w:t>Mental Health Prevalence and Wellbeing Study</w:t>
      </w:r>
      <w:r w:rsidRPr="0047058F">
        <w:rPr>
          <w:rFonts w:asciiTheme="minorHAnsi" w:eastAsia="MS ??" w:hAnsiTheme="minorHAnsi" w:cs="Arial"/>
          <w:color w:val="000000" w:themeColor="text1"/>
          <w:szCs w:val="22"/>
        </w:rPr>
        <w:t xml:space="preserve"> </w:t>
      </w:r>
      <w:r w:rsidRPr="0047058F">
        <w:t>group</w:t>
      </w:r>
    </w:p>
    <w:p w14:paraId="7411E240" w14:textId="77777777" w:rsidR="00160459" w:rsidRPr="0047058F" w:rsidRDefault="00160459" w:rsidP="0047058F">
      <w:r w:rsidRPr="0047058F">
        <w:t xml:space="preserve">A total of 1,088 participants from this group were invited to participate in the CIDI 3.0. Of those invited, 76.8% (835) </w:t>
      </w:r>
      <w:r w:rsidRPr="0047058F">
        <w:rPr>
          <w:color w:val="000000" w:themeColor="text1"/>
        </w:rPr>
        <w:t>completed</w:t>
      </w:r>
      <w:r w:rsidRPr="0047058F">
        <w:t xml:space="preserve"> the interview. Table A.6 describes the response rates for this group.</w:t>
      </w:r>
    </w:p>
    <w:p w14:paraId="6D21AEAD" w14:textId="77777777" w:rsidR="00160459" w:rsidRPr="0047058F" w:rsidRDefault="00160459" w:rsidP="00160459">
      <w:pPr>
        <w:pStyle w:val="TableName"/>
      </w:pPr>
      <w:bookmarkStart w:id="623" w:name="_Toc486936019"/>
      <w:bookmarkStart w:id="624" w:name="_Toc487014343"/>
      <w:bookmarkStart w:id="625" w:name="_Toc492995646"/>
      <w:bookmarkStart w:id="626" w:name="_Toc497383345"/>
      <w:bookmarkStart w:id="627" w:name="_Toc529117554"/>
      <w:bookmarkStart w:id="628" w:name="_Toc532473624"/>
      <w:r w:rsidRPr="0047058F">
        <w:t>Table A.6</w:t>
      </w:r>
      <w:r w:rsidRPr="0047058F">
        <w:tab/>
        <w:t>CIDI response rates for the MHPWS group, by Service, sex, rank and Medical Employment Classification status</w:t>
      </w:r>
      <w:bookmarkEnd w:id="623"/>
      <w:bookmarkEnd w:id="624"/>
      <w:bookmarkEnd w:id="625"/>
      <w:bookmarkEnd w:id="626"/>
      <w:bookmarkEnd w:id="627"/>
      <w:bookmarkEnd w:id="628"/>
    </w:p>
    <w:tbl>
      <w:tblPr>
        <w:tblStyle w:val="TWRPTable"/>
        <w:tblW w:w="5000" w:type="pct"/>
        <w:tblLayout w:type="fixed"/>
        <w:tblLook w:val="04A0" w:firstRow="1" w:lastRow="0" w:firstColumn="1" w:lastColumn="0" w:noHBand="0" w:noVBand="1"/>
        <w:tblDescription w:val="Table A.6 CIDI response rates for the MHPWS group, by Service, sex, rank and Medical Employment Classification status"/>
      </w:tblPr>
      <w:tblGrid>
        <w:gridCol w:w="1779"/>
        <w:gridCol w:w="1845"/>
        <w:gridCol w:w="1845"/>
        <w:gridCol w:w="1846"/>
      </w:tblGrid>
      <w:tr w:rsidR="00160459" w:rsidRPr="0047058F" w14:paraId="5F9C6F04"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79" w:type="dxa"/>
            <w:vMerge w:val="restart"/>
          </w:tcPr>
          <w:p w14:paraId="403725BF" w14:textId="77777777" w:rsidR="00160459" w:rsidRPr="0047058F" w:rsidRDefault="00160459" w:rsidP="0047058F">
            <w:pPr>
              <w:pStyle w:val="TableText"/>
            </w:pPr>
          </w:p>
        </w:tc>
        <w:tc>
          <w:tcPr>
            <w:tcW w:w="5536" w:type="dxa"/>
            <w:gridSpan w:val="3"/>
            <w:hideMark/>
          </w:tcPr>
          <w:p w14:paraId="1EAFF6D1" w14:textId="77777777" w:rsidR="00160459" w:rsidRPr="0047058F" w:rsidRDefault="00160459" w:rsidP="0047058F">
            <w:pPr>
              <w:pStyle w:val="TableText"/>
              <w:jc w:val="center"/>
            </w:pPr>
            <w:r w:rsidRPr="0047058F">
              <w:t>MHPWS CIDI</w:t>
            </w:r>
            <w:r w:rsidRPr="0047058F">
              <w:br/>
              <w:t>(n = 1088 (invited); n = 835 (responded))</w:t>
            </w:r>
          </w:p>
        </w:tc>
      </w:tr>
      <w:tr w:rsidR="00160459" w:rsidRPr="0047058F" w14:paraId="471021DC"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79" w:type="dxa"/>
            <w:vMerge/>
          </w:tcPr>
          <w:p w14:paraId="0F5BC40C" w14:textId="77777777" w:rsidR="00160459" w:rsidRPr="0047058F" w:rsidRDefault="00160459" w:rsidP="0047058F">
            <w:pPr>
              <w:pStyle w:val="TableText"/>
            </w:pPr>
          </w:p>
        </w:tc>
        <w:tc>
          <w:tcPr>
            <w:tcW w:w="1845" w:type="dxa"/>
            <w:hideMark/>
          </w:tcPr>
          <w:p w14:paraId="4E7CC0CC" w14:textId="77777777" w:rsidR="00160459" w:rsidRPr="0047058F" w:rsidRDefault="00160459" w:rsidP="0047058F">
            <w:pPr>
              <w:pStyle w:val="TableText"/>
              <w:jc w:val="right"/>
            </w:pPr>
            <w:r w:rsidRPr="0047058F">
              <w:t>Invited</w:t>
            </w:r>
          </w:p>
        </w:tc>
        <w:tc>
          <w:tcPr>
            <w:tcW w:w="1845" w:type="dxa"/>
            <w:hideMark/>
          </w:tcPr>
          <w:p w14:paraId="22FD340B" w14:textId="77777777" w:rsidR="00160459" w:rsidRPr="0047058F" w:rsidRDefault="00160459" w:rsidP="0047058F">
            <w:pPr>
              <w:pStyle w:val="TableText"/>
              <w:jc w:val="right"/>
            </w:pPr>
            <w:r w:rsidRPr="0047058F">
              <w:t>Responders</w:t>
            </w:r>
          </w:p>
        </w:tc>
        <w:tc>
          <w:tcPr>
            <w:tcW w:w="1846" w:type="dxa"/>
            <w:hideMark/>
          </w:tcPr>
          <w:p w14:paraId="66C24CFB" w14:textId="77777777" w:rsidR="00160459" w:rsidRPr="0047058F" w:rsidRDefault="00160459" w:rsidP="0047058F">
            <w:pPr>
              <w:pStyle w:val="TableText"/>
              <w:jc w:val="right"/>
            </w:pPr>
            <w:r w:rsidRPr="0047058F">
              <w:t>Response rate (%)</w:t>
            </w:r>
          </w:p>
        </w:tc>
      </w:tr>
      <w:tr w:rsidR="00160459" w:rsidRPr="0047058F" w14:paraId="6861B908"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50EFC53F" w14:textId="77777777" w:rsidR="00160459" w:rsidRPr="0047058F" w:rsidRDefault="00160459" w:rsidP="0047058F">
            <w:pPr>
              <w:pStyle w:val="TableText"/>
              <w:rPr>
                <w:b/>
              </w:rPr>
            </w:pPr>
            <w:r w:rsidRPr="0047058F">
              <w:rPr>
                <w:b/>
              </w:rPr>
              <w:t>Service</w:t>
            </w:r>
          </w:p>
        </w:tc>
        <w:tc>
          <w:tcPr>
            <w:tcW w:w="1845" w:type="dxa"/>
          </w:tcPr>
          <w:p w14:paraId="196ED0F0" w14:textId="77777777" w:rsidR="00160459" w:rsidRPr="0047058F" w:rsidRDefault="00160459" w:rsidP="0047058F">
            <w:pPr>
              <w:pStyle w:val="TableText"/>
              <w:jc w:val="right"/>
            </w:pPr>
          </w:p>
        </w:tc>
        <w:tc>
          <w:tcPr>
            <w:tcW w:w="1845" w:type="dxa"/>
          </w:tcPr>
          <w:p w14:paraId="4B5252DD" w14:textId="77777777" w:rsidR="00160459" w:rsidRPr="0047058F" w:rsidRDefault="00160459" w:rsidP="0047058F">
            <w:pPr>
              <w:pStyle w:val="TableText"/>
              <w:jc w:val="right"/>
            </w:pPr>
          </w:p>
        </w:tc>
        <w:tc>
          <w:tcPr>
            <w:tcW w:w="1846" w:type="dxa"/>
          </w:tcPr>
          <w:p w14:paraId="3041D3A9" w14:textId="77777777" w:rsidR="00160459" w:rsidRPr="0047058F" w:rsidRDefault="00160459" w:rsidP="0047058F">
            <w:pPr>
              <w:pStyle w:val="TableText"/>
              <w:jc w:val="right"/>
            </w:pPr>
          </w:p>
        </w:tc>
      </w:tr>
      <w:tr w:rsidR="00160459" w:rsidRPr="0047058F" w14:paraId="2B90A184" w14:textId="77777777" w:rsidTr="0047058F">
        <w:trPr>
          <w:cantSplit/>
        </w:trPr>
        <w:tc>
          <w:tcPr>
            <w:tcW w:w="1779" w:type="dxa"/>
            <w:hideMark/>
          </w:tcPr>
          <w:p w14:paraId="0804626B" w14:textId="77777777" w:rsidR="00160459" w:rsidRPr="0047058F" w:rsidRDefault="00160459" w:rsidP="0047058F">
            <w:pPr>
              <w:pStyle w:val="TableText"/>
            </w:pPr>
            <w:r w:rsidRPr="0047058F">
              <w:t>Navy</w:t>
            </w:r>
          </w:p>
        </w:tc>
        <w:tc>
          <w:tcPr>
            <w:tcW w:w="1845" w:type="dxa"/>
            <w:hideMark/>
          </w:tcPr>
          <w:p w14:paraId="2B4055AD" w14:textId="77777777" w:rsidR="00160459" w:rsidRPr="0047058F" w:rsidRDefault="00160459" w:rsidP="0047058F">
            <w:pPr>
              <w:pStyle w:val="TableText"/>
              <w:jc w:val="right"/>
            </w:pPr>
            <w:r w:rsidRPr="0047058F">
              <w:t>237</w:t>
            </w:r>
          </w:p>
        </w:tc>
        <w:tc>
          <w:tcPr>
            <w:tcW w:w="1845" w:type="dxa"/>
            <w:hideMark/>
          </w:tcPr>
          <w:p w14:paraId="5E23872B" w14:textId="77777777" w:rsidR="00160459" w:rsidRPr="0047058F" w:rsidRDefault="00160459" w:rsidP="0047058F">
            <w:pPr>
              <w:pStyle w:val="TableText"/>
              <w:jc w:val="right"/>
            </w:pPr>
            <w:r w:rsidRPr="0047058F">
              <w:t>175</w:t>
            </w:r>
          </w:p>
        </w:tc>
        <w:tc>
          <w:tcPr>
            <w:tcW w:w="1846" w:type="dxa"/>
            <w:hideMark/>
          </w:tcPr>
          <w:p w14:paraId="140554BD" w14:textId="77777777" w:rsidR="00160459" w:rsidRPr="0047058F" w:rsidRDefault="00160459" w:rsidP="0047058F">
            <w:pPr>
              <w:pStyle w:val="TableText"/>
              <w:jc w:val="right"/>
            </w:pPr>
            <w:r w:rsidRPr="0047058F">
              <w:t>73.8</w:t>
            </w:r>
          </w:p>
        </w:tc>
      </w:tr>
      <w:tr w:rsidR="00160459" w:rsidRPr="0047058F" w14:paraId="5B091637"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66910A09" w14:textId="77777777" w:rsidR="00160459" w:rsidRPr="0047058F" w:rsidRDefault="00160459" w:rsidP="0047058F">
            <w:pPr>
              <w:pStyle w:val="TableText"/>
            </w:pPr>
            <w:r w:rsidRPr="0047058F">
              <w:t>Army</w:t>
            </w:r>
          </w:p>
        </w:tc>
        <w:tc>
          <w:tcPr>
            <w:tcW w:w="1845" w:type="dxa"/>
            <w:hideMark/>
          </w:tcPr>
          <w:p w14:paraId="653AE73D" w14:textId="77777777" w:rsidR="00160459" w:rsidRPr="0047058F" w:rsidRDefault="00160459" w:rsidP="0047058F">
            <w:pPr>
              <w:pStyle w:val="TableText"/>
              <w:jc w:val="right"/>
            </w:pPr>
            <w:r w:rsidRPr="0047058F">
              <w:t>462</w:t>
            </w:r>
          </w:p>
        </w:tc>
        <w:tc>
          <w:tcPr>
            <w:tcW w:w="1845" w:type="dxa"/>
            <w:hideMark/>
          </w:tcPr>
          <w:p w14:paraId="1FC6058D" w14:textId="77777777" w:rsidR="00160459" w:rsidRPr="0047058F" w:rsidRDefault="00160459" w:rsidP="0047058F">
            <w:pPr>
              <w:pStyle w:val="TableText"/>
              <w:jc w:val="right"/>
            </w:pPr>
            <w:r w:rsidRPr="0047058F">
              <w:t>349</w:t>
            </w:r>
          </w:p>
        </w:tc>
        <w:tc>
          <w:tcPr>
            <w:tcW w:w="1846" w:type="dxa"/>
            <w:hideMark/>
          </w:tcPr>
          <w:p w14:paraId="0ACFA567" w14:textId="77777777" w:rsidR="00160459" w:rsidRPr="0047058F" w:rsidRDefault="00160459" w:rsidP="0047058F">
            <w:pPr>
              <w:pStyle w:val="TableText"/>
              <w:jc w:val="right"/>
            </w:pPr>
            <w:r w:rsidRPr="0047058F">
              <w:t>75.5</w:t>
            </w:r>
          </w:p>
        </w:tc>
      </w:tr>
      <w:tr w:rsidR="00160459" w:rsidRPr="0047058F" w14:paraId="3E67A61C" w14:textId="77777777" w:rsidTr="0047058F">
        <w:trPr>
          <w:cantSplit/>
        </w:trPr>
        <w:tc>
          <w:tcPr>
            <w:tcW w:w="1779" w:type="dxa"/>
            <w:hideMark/>
          </w:tcPr>
          <w:p w14:paraId="06A625DC" w14:textId="77777777" w:rsidR="00160459" w:rsidRPr="0047058F" w:rsidRDefault="00160459" w:rsidP="0047058F">
            <w:pPr>
              <w:pStyle w:val="TableText"/>
            </w:pPr>
            <w:r w:rsidRPr="0047058F">
              <w:t>Air Force</w:t>
            </w:r>
          </w:p>
        </w:tc>
        <w:tc>
          <w:tcPr>
            <w:tcW w:w="1845" w:type="dxa"/>
            <w:hideMark/>
          </w:tcPr>
          <w:p w14:paraId="2F070F49" w14:textId="77777777" w:rsidR="00160459" w:rsidRPr="0047058F" w:rsidRDefault="00160459" w:rsidP="0047058F">
            <w:pPr>
              <w:pStyle w:val="TableText"/>
              <w:jc w:val="right"/>
            </w:pPr>
            <w:r w:rsidRPr="0047058F">
              <w:t>389</w:t>
            </w:r>
          </w:p>
        </w:tc>
        <w:tc>
          <w:tcPr>
            <w:tcW w:w="1845" w:type="dxa"/>
            <w:hideMark/>
          </w:tcPr>
          <w:p w14:paraId="3CE23D5C" w14:textId="77777777" w:rsidR="00160459" w:rsidRPr="0047058F" w:rsidRDefault="00160459" w:rsidP="0047058F">
            <w:pPr>
              <w:pStyle w:val="TableText"/>
              <w:jc w:val="right"/>
              <w:rPr>
                <w:color w:val="000000" w:themeColor="text1"/>
              </w:rPr>
            </w:pPr>
            <w:r w:rsidRPr="0047058F">
              <w:rPr>
                <w:color w:val="000000" w:themeColor="text1"/>
              </w:rPr>
              <w:t>311</w:t>
            </w:r>
          </w:p>
        </w:tc>
        <w:tc>
          <w:tcPr>
            <w:tcW w:w="1846" w:type="dxa"/>
            <w:hideMark/>
          </w:tcPr>
          <w:p w14:paraId="4E58C418" w14:textId="77777777" w:rsidR="00160459" w:rsidRPr="0047058F" w:rsidRDefault="00160459" w:rsidP="0047058F">
            <w:pPr>
              <w:pStyle w:val="TableText"/>
              <w:jc w:val="right"/>
            </w:pPr>
            <w:r w:rsidRPr="0047058F">
              <w:t>80.0</w:t>
            </w:r>
          </w:p>
        </w:tc>
      </w:tr>
      <w:tr w:rsidR="00160459" w:rsidRPr="0047058F" w14:paraId="136E9A08"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295C4E66" w14:textId="77777777" w:rsidR="00160459" w:rsidRPr="0047058F" w:rsidRDefault="00160459" w:rsidP="0047058F">
            <w:pPr>
              <w:pStyle w:val="TableText"/>
              <w:rPr>
                <w:b/>
              </w:rPr>
            </w:pPr>
            <w:r w:rsidRPr="0047058F">
              <w:rPr>
                <w:b/>
              </w:rPr>
              <w:t>Sex</w:t>
            </w:r>
          </w:p>
        </w:tc>
        <w:tc>
          <w:tcPr>
            <w:tcW w:w="1845" w:type="dxa"/>
          </w:tcPr>
          <w:p w14:paraId="55386ACE" w14:textId="77777777" w:rsidR="00160459" w:rsidRPr="0047058F" w:rsidRDefault="00160459" w:rsidP="0047058F">
            <w:pPr>
              <w:pStyle w:val="TableText"/>
              <w:jc w:val="right"/>
            </w:pPr>
          </w:p>
        </w:tc>
        <w:tc>
          <w:tcPr>
            <w:tcW w:w="1845" w:type="dxa"/>
          </w:tcPr>
          <w:p w14:paraId="7066532D" w14:textId="77777777" w:rsidR="00160459" w:rsidRPr="0047058F" w:rsidRDefault="00160459" w:rsidP="0047058F">
            <w:pPr>
              <w:pStyle w:val="TableText"/>
              <w:jc w:val="right"/>
              <w:rPr>
                <w:color w:val="000000" w:themeColor="text1"/>
              </w:rPr>
            </w:pPr>
          </w:p>
        </w:tc>
        <w:tc>
          <w:tcPr>
            <w:tcW w:w="1846" w:type="dxa"/>
          </w:tcPr>
          <w:p w14:paraId="2091C63B" w14:textId="77777777" w:rsidR="00160459" w:rsidRPr="0047058F" w:rsidRDefault="00160459" w:rsidP="0047058F">
            <w:pPr>
              <w:pStyle w:val="TableText"/>
              <w:jc w:val="right"/>
            </w:pPr>
          </w:p>
        </w:tc>
      </w:tr>
      <w:tr w:rsidR="00160459" w:rsidRPr="0047058F" w14:paraId="535A855C" w14:textId="77777777" w:rsidTr="0047058F">
        <w:trPr>
          <w:cantSplit/>
        </w:trPr>
        <w:tc>
          <w:tcPr>
            <w:tcW w:w="1779" w:type="dxa"/>
            <w:hideMark/>
          </w:tcPr>
          <w:p w14:paraId="1517DB28" w14:textId="77777777" w:rsidR="00160459" w:rsidRPr="0047058F" w:rsidRDefault="00160459" w:rsidP="0047058F">
            <w:pPr>
              <w:pStyle w:val="TableText"/>
            </w:pPr>
            <w:r w:rsidRPr="0047058F">
              <w:t>Male</w:t>
            </w:r>
          </w:p>
        </w:tc>
        <w:tc>
          <w:tcPr>
            <w:tcW w:w="1845" w:type="dxa"/>
            <w:hideMark/>
          </w:tcPr>
          <w:p w14:paraId="4F3F547D" w14:textId="77777777" w:rsidR="00160459" w:rsidRPr="0047058F" w:rsidRDefault="00160459" w:rsidP="0047058F">
            <w:pPr>
              <w:pStyle w:val="TableText"/>
              <w:jc w:val="right"/>
            </w:pPr>
            <w:r w:rsidRPr="0047058F">
              <w:t>903</w:t>
            </w:r>
          </w:p>
        </w:tc>
        <w:tc>
          <w:tcPr>
            <w:tcW w:w="1845" w:type="dxa"/>
            <w:hideMark/>
          </w:tcPr>
          <w:p w14:paraId="4B9919C6" w14:textId="77777777" w:rsidR="00160459" w:rsidRPr="0047058F" w:rsidRDefault="00160459" w:rsidP="0047058F">
            <w:pPr>
              <w:pStyle w:val="TableText"/>
              <w:jc w:val="right"/>
              <w:rPr>
                <w:color w:val="000000" w:themeColor="text1"/>
              </w:rPr>
            </w:pPr>
            <w:r w:rsidRPr="0047058F">
              <w:rPr>
                <w:color w:val="000000" w:themeColor="text1"/>
              </w:rPr>
              <w:t>698</w:t>
            </w:r>
          </w:p>
        </w:tc>
        <w:tc>
          <w:tcPr>
            <w:tcW w:w="1846" w:type="dxa"/>
            <w:hideMark/>
          </w:tcPr>
          <w:p w14:paraId="4B7E9D04" w14:textId="77777777" w:rsidR="00160459" w:rsidRPr="0047058F" w:rsidRDefault="00160459" w:rsidP="0047058F">
            <w:pPr>
              <w:pStyle w:val="TableText"/>
              <w:jc w:val="right"/>
            </w:pPr>
            <w:r w:rsidRPr="0047058F">
              <w:t>77.3</w:t>
            </w:r>
          </w:p>
        </w:tc>
      </w:tr>
      <w:tr w:rsidR="00160459" w:rsidRPr="0047058F" w14:paraId="39B7BA1E"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52BAEB45" w14:textId="77777777" w:rsidR="00160459" w:rsidRPr="0047058F" w:rsidRDefault="00160459" w:rsidP="0047058F">
            <w:pPr>
              <w:pStyle w:val="TableText"/>
            </w:pPr>
            <w:r w:rsidRPr="0047058F">
              <w:t>Female</w:t>
            </w:r>
          </w:p>
        </w:tc>
        <w:tc>
          <w:tcPr>
            <w:tcW w:w="1845" w:type="dxa"/>
            <w:hideMark/>
          </w:tcPr>
          <w:p w14:paraId="67E08F87" w14:textId="77777777" w:rsidR="00160459" w:rsidRPr="0047058F" w:rsidRDefault="00160459" w:rsidP="0047058F">
            <w:pPr>
              <w:pStyle w:val="TableText"/>
              <w:jc w:val="right"/>
            </w:pPr>
            <w:r w:rsidRPr="0047058F">
              <w:t>182</w:t>
            </w:r>
          </w:p>
        </w:tc>
        <w:tc>
          <w:tcPr>
            <w:tcW w:w="1845" w:type="dxa"/>
            <w:hideMark/>
          </w:tcPr>
          <w:p w14:paraId="2CEF299A" w14:textId="77777777" w:rsidR="00160459" w:rsidRPr="0047058F" w:rsidRDefault="00160459" w:rsidP="0047058F">
            <w:pPr>
              <w:pStyle w:val="TableText"/>
              <w:jc w:val="right"/>
              <w:rPr>
                <w:color w:val="000000" w:themeColor="text1"/>
              </w:rPr>
            </w:pPr>
            <w:r w:rsidRPr="0047058F">
              <w:rPr>
                <w:color w:val="000000" w:themeColor="text1"/>
              </w:rPr>
              <w:t>135</w:t>
            </w:r>
          </w:p>
        </w:tc>
        <w:tc>
          <w:tcPr>
            <w:tcW w:w="1846" w:type="dxa"/>
            <w:hideMark/>
          </w:tcPr>
          <w:p w14:paraId="6E1BC093" w14:textId="77777777" w:rsidR="00160459" w:rsidRPr="0047058F" w:rsidRDefault="00160459" w:rsidP="0047058F">
            <w:pPr>
              <w:pStyle w:val="TableText"/>
              <w:jc w:val="right"/>
            </w:pPr>
            <w:r w:rsidRPr="0047058F">
              <w:t>74.2</w:t>
            </w:r>
          </w:p>
        </w:tc>
      </w:tr>
      <w:tr w:rsidR="00160459" w:rsidRPr="0047058F" w14:paraId="68295FB5" w14:textId="77777777" w:rsidTr="0047058F">
        <w:trPr>
          <w:cantSplit/>
        </w:trPr>
        <w:tc>
          <w:tcPr>
            <w:tcW w:w="1779" w:type="dxa"/>
            <w:hideMark/>
          </w:tcPr>
          <w:p w14:paraId="586BEE55" w14:textId="77777777" w:rsidR="00160459" w:rsidRPr="0047058F" w:rsidRDefault="00160459" w:rsidP="0047058F">
            <w:pPr>
              <w:pStyle w:val="TableText"/>
            </w:pPr>
            <w:r w:rsidRPr="0047058F">
              <w:t>Missing</w:t>
            </w:r>
          </w:p>
        </w:tc>
        <w:tc>
          <w:tcPr>
            <w:tcW w:w="1845" w:type="dxa"/>
            <w:hideMark/>
          </w:tcPr>
          <w:p w14:paraId="3FA32020" w14:textId="77777777" w:rsidR="00160459" w:rsidRPr="0047058F" w:rsidRDefault="00160459" w:rsidP="0047058F">
            <w:pPr>
              <w:pStyle w:val="TableText"/>
              <w:jc w:val="right"/>
            </w:pPr>
            <w:r w:rsidRPr="0047058F">
              <w:t>3</w:t>
            </w:r>
          </w:p>
        </w:tc>
        <w:tc>
          <w:tcPr>
            <w:tcW w:w="1845" w:type="dxa"/>
            <w:hideMark/>
          </w:tcPr>
          <w:p w14:paraId="70143F05" w14:textId="77777777" w:rsidR="00160459" w:rsidRPr="0047058F" w:rsidRDefault="00160459" w:rsidP="0047058F">
            <w:pPr>
              <w:pStyle w:val="TableText"/>
              <w:jc w:val="right"/>
              <w:rPr>
                <w:color w:val="000000" w:themeColor="text1"/>
              </w:rPr>
            </w:pPr>
            <w:r w:rsidRPr="0047058F">
              <w:rPr>
                <w:color w:val="000000" w:themeColor="text1"/>
              </w:rPr>
              <w:t>2</w:t>
            </w:r>
          </w:p>
        </w:tc>
        <w:tc>
          <w:tcPr>
            <w:tcW w:w="1846" w:type="dxa"/>
            <w:hideMark/>
          </w:tcPr>
          <w:p w14:paraId="53C28306" w14:textId="77777777" w:rsidR="00160459" w:rsidRPr="0047058F" w:rsidRDefault="00160459" w:rsidP="0047058F">
            <w:pPr>
              <w:pStyle w:val="TableText"/>
              <w:jc w:val="right"/>
            </w:pPr>
            <w:r w:rsidRPr="0047058F">
              <w:t>66.7</w:t>
            </w:r>
          </w:p>
        </w:tc>
      </w:tr>
      <w:tr w:rsidR="00160459" w:rsidRPr="0047058F" w14:paraId="604581C7"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16499D7D" w14:textId="77777777" w:rsidR="00160459" w:rsidRPr="0047058F" w:rsidRDefault="00160459" w:rsidP="0047058F">
            <w:pPr>
              <w:pStyle w:val="TableText"/>
              <w:rPr>
                <w:b/>
              </w:rPr>
            </w:pPr>
            <w:r w:rsidRPr="0047058F">
              <w:rPr>
                <w:b/>
              </w:rPr>
              <w:t>Rank</w:t>
            </w:r>
          </w:p>
        </w:tc>
        <w:tc>
          <w:tcPr>
            <w:tcW w:w="1845" w:type="dxa"/>
          </w:tcPr>
          <w:p w14:paraId="212B8C1E" w14:textId="77777777" w:rsidR="00160459" w:rsidRPr="0047058F" w:rsidRDefault="00160459" w:rsidP="0047058F">
            <w:pPr>
              <w:pStyle w:val="TableText"/>
              <w:jc w:val="right"/>
            </w:pPr>
          </w:p>
        </w:tc>
        <w:tc>
          <w:tcPr>
            <w:tcW w:w="1845" w:type="dxa"/>
          </w:tcPr>
          <w:p w14:paraId="1EAB2E39" w14:textId="77777777" w:rsidR="00160459" w:rsidRPr="0047058F" w:rsidRDefault="00160459" w:rsidP="0047058F">
            <w:pPr>
              <w:pStyle w:val="TableText"/>
              <w:jc w:val="right"/>
              <w:rPr>
                <w:color w:val="000000" w:themeColor="text1"/>
              </w:rPr>
            </w:pPr>
          </w:p>
        </w:tc>
        <w:tc>
          <w:tcPr>
            <w:tcW w:w="1846" w:type="dxa"/>
          </w:tcPr>
          <w:p w14:paraId="2818F396" w14:textId="77777777" w:rsidR="00160459" w:rsidRPr="0047058F" w:rsidRDefault="00160459" w:rsidP="0047058F">
            <w:pPr>
              <w:pStyle w:val="TableText"/>
              <w:jc w:val="right"/>
            </w:pPr>
          </w:p>
        </w:tc>
      </w:tr>
      <w:tr w:rsidR="00160459" w:rsidRPr="0047058F" w14:paraId="5470EF78" w14:textId="77777777" w:rsidTr="0047058F">
        <w:trPr>
          <w:cantSplit/>
        </w:trPr>
        <w:tc>
          <w:tcPr>
            <w:tcW w:w="1779" w:type="dxa"/>
            <w:hideMark/>
          </w:tcPr>
          <w:p w14:paraId="6590A9A6" w14:textId="07EA8291" w:rsidR="00160459" w:rsidRPr="0047058F" w:rsidRDefault="00160459" w:rsidP="0047058F">
            <w:pPr>
              <w:pStyle w:val="TableText"/>
            </w:pPr>
            <w:r w:rsidRPr="0047058F">
              <w:t>O</w:t>
            </w:r>
            <w:r w:rsidR="00FD0E97">
              <w:t>fficer</w:t>
            </w:r>
          </w:p>
        </w:tc>
        <w:tc>
          <w:tcPr>
            <w:tcW w:w="1845" w:type="dxa"/>
            <w:hideMark/>
          </w:tcPr>
          <w:p w14:paraId="79C936E5" w14:textId="77777777" w:rsidR="00160459" w:rsidRPr="0047058F" w:rsidRDefault="00160459" w:rsidP="0047058F">
            <w:pPr>
              <w:pStyle w:val="TableText"/>
              <w:jc w:val="right"/>
            </w:pPr>
            <w:r w:rsidRPr="0047058F">
              <w:t>451</w:t>
            </w:r>
          </w:p>
        </w:tc>
        <w:tc>
          <w:tcPr>
            <w:tcW w:w="1845" w:type="dxa"/>
            <w:hideMark/>
          </w:tcPr>
          <w:p w14:paraId="374BD71E" w14:textId="77777777" w:rsidR="00160459" w:rsidRPr="0047058F" w:rsidRDefault="00160459" w:rsidP="0047058F">
            <w:pPr>
              <w:pStyle w:val="TableText"/>
              <w:jc w:val="right"/>
              <w:rPr>
                <w:color w:val="000000" w:themeColor="text1"/>
              </w:rPr>
            </w:pPr>
            <w:r w:rsidRPr="0047058F">
              <w:rPr>
                <w:color w:val="000000" w:themeColor="text1"/>
              </w:rPr>
              <w:t>375</w:t>
            </w:r>
          </w:p>
        </w:tc>
        <w:tc>
          <w:tcPr>
            <w:tcW w:w="1846" w:type="dxa"/>
            <w:hideMark/>
          </w:tcPr>
          <w:p w14:paraId="73887156" w14:textId="77777777" w:rsidR="00160459" w:rsidRPr="0047058F" w:rsidRDefault="00160459" w:rsidP="0047058F">
            <w:pPr>
              <w:pStyle w:val="TableText"/>
              <w:jc w:val="right"/>
            </w:pPr>
            <w:r w:rsidRPr="0047058F">
              <w:t>83.2</w:t>
            </w:r>
          </w:p>
        </w:tc>
      </w:tr>
      <w:tr w:rsidR="00160459" w:rsidRPr="0047058F" w14:paraId="3A0A8F80"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0B9FB8EC" w14:textId="0BB7DEE4" w:rsidR="00160459" w:rsidRPr="0047058F" w:rsidRDefault="00160459" w:rsidP="0047058F">
            <w:pPr>
              <w:pStyle w:val="TableText"/>
            </w:pPr>
            <w:r w:rsidRPr="0047058F">
              <w:t>N</w:t>
            </w:r>
            <w:r w:rsidR="00FD0E97">
              <w:t>on-</w:t>
            </w:r>
            <w:r w:rsidRPr="0047058F">
              <w:t>C</w:t>
            </w:r>
            <w:r w:rsidR="00FD0E97">
              <w:t xml:space="preserve">ommissioned </w:t>
            </w:r>
            <w:r w:rsidRPr="0047058F">
              <w:t>O</w:t>
            </w:r>
            <w:r w:rsidR="00FD0E97">
              <w:t>fficer</w:t>
            </w:r>
          </w:p>
        </w:tc>
        <w:tc>
          <w:tcPr>
            <w:tcW w:w="1845" w:type="dxa"/>
            <w:hideMark/>
          </w:tcPr>
          <w:p w14:paraId="0985DF8C" w14:textId="77777777" w:rsidR="00160459" w:rsidRPr="0047058F" w:rsidRDefault="00160459" w:rsidP="0047058F">
            <w:pPr>
              <w:pStyle w:val="TableText"/>
              <w:jc w:val="right"/>
            </w:pPr>
            <w:r w:rsidRPr="0047058F">
              <w:t>576</w:t>
            </w:r>
          </w:p>
        </w:tc>
        <w:tc>
          <w:tcPr>
            <w:tcW w:w="1845" w:type="dxa"/>
            <w:hideMark/>
          </w:tcPr>
          <w:p w14:paraId="6FDDBEF8" w14:textId="77777777" w:rsidR="00160459" w:rsidRPr="0047058F" w:rsidRDefault="00160459" w:rsidP="0047058F">
            <w:pPr>
              <w:pStyle w:val="TableText"/>
              <w:jc w:val="right"/>
              <w:rPr>
                <w:color w:val="000000" w:themeColor="text1"/>
              </w:rPr>
            </w:pPr>
            <w:r w:rsidRPr="0047058F">
              <w:rPr>
                <w:color w:val="000000" w:themeColor="text1"/>
              </w:rPr>
              <w:t>425</w:t>
            </w:r>
          </w:p>
        </w:tc>
        <w:tc>
          <w:tcPr>
            <w:tcW w:w="1846" w:type="dxa"/>
            <w:hideMark/>
          </w:tcPr>
          <w:p w14:paraId="28F42A61" w14:textId="77777777" w:rsidR="00160459" w:rsidRPr="0047058F" w:rsidRDefault="00160459" w:rsidP="0047058F">
            <w:pPr>
              <w:pStyle w:val="TableText"/>
              <w:jc w:val="right"/>
            </w:pPr>
            <w:r w:rsidRPr="0047058F">
              <w:t>73.8</w:t>
            </w:r>
          </w:p>
        </w:tc>
      </w:tr>
      <w:tr w:rsidR="00160459" w:rsidRPr="0047058F" w14:paraId="3EFE3377" w14:textId="77777777" w:rsidTr="0047058F">
        <w:trPr>
          <w:cantSplit/>
        </w:trPr>
        <w:tc>
          <w:tcPr>
            <w:tcW w:w="1779" w:type="dxa"/>
            <w:hideMark/>
          </w:tcPr>
          <w:p w14:paraId="422FE72F" w14:textId="77777777" w:rsidR="00160459" w:rsidRPr="0047058F" w:rsidRDefault="00160459" w:rsidP="0047058F">
            <w:pPr>
              <w:pStyle w:val="TableText"/>
            </w:pPr>
            <w:r w:rsidRPr="0047058F">
              <w:t>Other Ranks</w:t>
            </w:r>
          </w:p>
        </w:tc>
        <w:tc>
          <w:tcPr>
            <w:tcW w:w="1845" w:type="dxa"/>
            <w:hideMark/>
          </w:tcPr>
          <w:p w14:paraId="42C4CD11" w14:textId="77777777" w:rsidR="00160459" w:rsidRPr="0047058F" w:rsidRDefault="00160459" w:rsidP="0047058F">
            <w:pPr>
              <w:pStyle w:val="TableText"/>
              <w:jc w:val="right"/>
            </w:pPr>
            <w:r w:rsidRPr="0047058F">
              <w:t>61</w:t>
            </w:r>
          </w:p>
        </w:tc>
        <w:tc>
          <w:tcPr>
            <w:tcW w:w="1845" w:type="dxa"/>
            <w:hideMark/>
          </w:tcPr>
          <w:p w14:paraId="12FBDA99" w14:textId="77777777" w:rsidR="00160459" w:rsidRPr="0047058F" w:rsidRDefault="00160459" w:rsidP="0047058F">
            <w:pPr>
              <w:pStyle w:val="TableText"/>
              <w:jc w:val="right"/>
              <w:rPr>
                <w:color w:val="000000" w:themeColor="text1"/>
              </w:rPr>
            </w:pPr>
            <w:r w:rsidRPr="0047058F">
              <w:rPr>
                <w:color w:val="000000" w:themeColor="text1"/>
              </w:rPr>
              <w:t>35</w:t>
            </w:r>
          </w:p>
        </w:tc>
        <w:tc>
          <w:tcPr>
            <w:tcW w:w="1846" w:type="dxa"/>
            <w:hideMark/>
          </w:tcPr>
          <w:p w14:paraId="62FDD5C1" w14:textId="77777777" w:rsidR="00160459" w:rsidRPr="0047058F" w:rsidRDefault="00160459" w:rsidP="0047058F">
            <w:pPr>
              <w:pStyle w:val="TableText"/>
              <w:jc w:val="right"/>
            </w:pPr>
            <w:r w:rsidRPr="0047058F">
              <w:t>57.4</w:t>
            </w:r>
          </w:p>
        </w:tc>
      </w:tr>
      <w:tr w:rsidR="00160459" w:rsidRPr="0047058F" w14:paraId="7BCEDA44"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39093AB7" w14:textId="77777777" w:rsidR="00160459" w:rsidRPr="0047058F" w:rsidRDefault="00160459" w:rsidP="0047058F">
            <w:pPr>
              <w:pStyle w:val="TableText"/>
              <w:rPr>
                <w:b/>
              </w:rPr>
            </w:pPr>
            <w:r w:rsidRPr="0047058F">
              <w:rPr>
                <w:b/>
              </w:rPr>
              <w:t>Medical fitness</w:t>
            </w:r>
            <w:r w:rsidRPr="0047058F">
              <w:rPr>
                <w:b/>
                <w:vertAlign w:val="superscript"/>
              </w:rPr>
              <w:t>#</w:t>
            </w:r>
          </w:p>
        </w:tc>
        <w:tc>
          <w:tcPr>
            <w:tcW w:w="1845" w:type="dxa"/>
          </w:tcPr>
          <w:p w14:paraId="321E5A32" w14:textId="77777777" w:rsidR="00160459" w:rsidRPr="0047058F" w:rsidRDefault="00160459" w:rsidP="0047058F">
            <w:pPr>
              <w:pStyle w:val="TableText"/>
              <w:jc w:val="right"/>
            </w:pPr>
          </w:p>
        </w:tc>
        <w:tc>
          <w:tcPr>
            <w:tcW w:w="1845" w:type="dxa"/>
          </w:tcPr>
          <w:p w14:paraId="5176F03A" w14:textId="77777777" w:rsidR="00160459" w:rsidRPr="0047058F" w:rsidRDefault="00160459" w:rsidP="0047058F">
            <w:pPr>
              <w:pStyle w:val="TableText"/>
              <w:jc w:val="right"/>
              <w:rPr>
                <w:color w:val="000000" w:themeColor="text1"/>
              </w:rPr>
            </w:pPr>
          </w:p>
        </w:tc>
        <w:tc>
          <w:tcPr>
            <w:tcW w:w="1846" w:type="dxa"/>
          </w:tcPr>
          <w:p w14:paraId="5AEAC686" w14:textId="77777777" w:rsidR="00160459" w:rsidRPr="0047058F" w:rsidRDefault="00160459" w:rsidP="0047058F">
            <w:pPr>
              <w:pStyle w:val="TableText"/>
              <w:jc w:val="right"/>
            </w:pPr>
          </w:p>
        </w:tc>
      </w:tr>
      <w:tr w:rsidR="00160459" w:rsidRPr="0047058F" w14:paraId="113FB0C3" w14:textId="77777777" w:rsidTr="0047058F">
        <w:trPr>
          <w:cantSplit/>
        </w:trPr>
        <w:tc>
          <w:tcPr>
            <w:tcW w:w="1779" w:type="dxa"/>
            <w:hideMark/>
          </w:tcPr>
          <w:p w14:paraId="49986FDE" w14:textId="77777777" w:rsidR="00160459" w:rsidRPr="0047058F" w:rsidRDefault="00160459" w:rsidP="0047058F">
            <w:pPr>
              <w:pStyle w:val="TableText"/>
            </w:pPr>
            <w:r w:rsidRPr="0047058F">
              <w:t>Fit</w:t>
            </w:r>
          </w:p>
        </w:tc>
        <w:tc>
          <w:tcPr>
            <w:tcW w:w="1845" w:type="dxa"/>
            <w:hideMark/>
          </w:tcPr>
          <w:p w14:paraId="78087994" w14:textId="77777777" w:rsidR="00160459" w:rsidRPr="0047058F" w:rsidRDefault="00160459" w:rsidP="0047058F">
            <w:pPr>
              <w:pStyle w:val="TableText"/>
              <w:jc w:val="right"/>
            </w:pPr>
            <w:r w:rsidRPr="0047058F">
              <w:t>758</w:t>
            </w:r>
          </w:p>
        </w:tc>
        <w:tc>
          <w:tcPr>
            <w:tcW w:w="1845" w:type="dxa"/>
            <w:hideMark/>
          </w:tcPr>
          <w:p w14:paraId="782D0C1D" w14:textId="77777777" w:rsidR="00160459" w:rsidRPr="0047058F" w:rsidRDefault="00160459" w:rsidP="0047058F">
            <w:pPr>
              <w:pStyle w:val="TableText"/>
              <w:jc w:val="right"/>
              <w:rPr>
                <w:color w:val="000000" w:themeColor="text1"/>
              </w:rPr>
            </w:pPr>
            <w:r w:rsidRPr="0047058F">
              <w:rPr>
                <w:color w:val="000000" w:themeColor="text1"/>
              </w:rPr>
              <w:t>590</w:t>
            </w:r>
          </w:p>
        </w:tc>
        <w:tc>
          <w:tcPr>
            <w:tcW w:w="1846" w:type="dxa"/>
            <w:hideMark/>
          </w:tcPr>
          <w:p w14:paraId="73369D5B" w14:textId="77777777" w:rsidR="00160459" w:rsidRPr="0047058F" w:rsidRDefault="00160459" w:rsidP="0047058F">
            <w:pPr>
              <w:pStyle w:val="TableText"/>
              <w:jc w:val="right"/>
            </w:pPr>
            <w:r w:rsidRPr="0047058F">
              <w:t>77.8</w:t>
            </w:r>
          </w:p>
        </w:tc>
      </w:tr>
      <w:tr w:rsidR="00160459" w:rsidRPr="0047058F" w14:paraId="2EF228CA"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536CD054" w14:textId="77777777" w:rsidR="00160459" w:rsidRPr="0047058F" w:rsidRDefault="00160459" w:rsidP="0047058F">
            <w:pPr>
              <w:pStyle w:val="TableText"/>
            </w:pPr>
            <w:r w:rsidRPr="0047058F">
              <w:t>Unfit</w:t>
            </w:r>
          </w:p>
        </w:tc>
        <w:tc>
          <w:tcPr>
            <w:tcW w:w="1845" w:type="dxa"/>
            <w:hideMark/>
          </w:tcPr>
          <w:p w14:paraId="1080F5CB" w14:textId="77777777" w:rsidR="00160459" w:rsidRPr="0047058F" w:rsidRDefault="00160459" w:rsidP="0047058F">
            <w:pPr>
              <w:pStyle w:val="TableText"/>
              <w:jc w:val="right"/>
            </w:pPr>
            <w:r w:rsidRPr="0047058F">
              <w:t>327</w:t>
            </w:r>
          </w:p>
        </w:tc>
        <w:tc>
          <w:tcPr>
            <w:tcW w:w="1845" w:type="dxa"/>
            <w:hideMark/>
          </w:tcPr>
          <w:p w14:paraId="3E6226F7" w14:textId="77777777" w:rsidR="00160459" w:rsidRPr="0047058F" w:rsidRDefault="00160459" w:rsidP="0047058F">
            <w:pPr>
              <w:pStyle w:val="TableText"/>
              <w:jc w:val="right"/>
              <w:rPr>
                <w:color w:val="000000" w:themeColor="text1"/>
              </w:rPr>
            </w:pPr>
            <w:r w:rsidRPr="0047058F">
              <w:rPr>
                <w:color w:val="000000" w:themeColor="text1"/>
              </w:rPr>
              <w:t>243</w:t>
            </w:r>
          </w:p>
        </w:tc>
        <w:tc>
          <w:tcPr>
            <w:tcW w:w="1846" w:type="dxa"/>
            <w:hideMark/>
          </w:tcPr>
          <w:p w14:paraId="567DB0BD" w14:textId="77777777" w:rsidR="00160459" w:rsidRPr="0047058F" w:rsidRDefault="00160459" w:rsidP="0047058F">
            <w:pPr>
              <w:pStyle w:val="TableText"/>
              <w:jc w:val="right"/>
            </w:pPr>
            <w:r w:rsidRPr="0047058F">
              <w:t>74.3</w:t>
            </w:r>
          </w:p>
        </w:tc>
      </w:tr>
      <w:tr w:rsidR="00160459" w:rsidRPr="0047058F" w14:paraId="60F13429" w14:textId="77777777" w:rsidTr="0047058F">
        <w:trPr>
          <w:cantSplit/>
        </w:trPr>
        <w:tc>
          <w:tcPr>
            <w:tcW w:w="1779" w:type="dxa"/>
            <w:hideMark/>
          </w:tcPr>
          <w:p w14:paraId="1B1396F7" w14:textId="77777777" w:rsidR="00160459" w:rsidRPr="0047058F" w:rsidRDefault="00160459" w:rsidP="0047058F">
            <w:pPr>
              <w:pStyle w:val="TableText"/>
            </w:pPr>
            <w:r w:rsidRPr="0047058F">
              <w:t>Missing</w:t>
            </w:r>
          </w:p>
        </w:tc>
        <w:tc>
          <w:tcPr>
            <w:tcW w:w="1845" w:type="dxa"/>
            <w:hideMark/>
          </w:tcPr>
          <w:p w14:paraId="59934371" w14:textId="77777777" w:rsidR="00160459" w:rsidRPr="0047058F" w:rsidRDefault="00160459" w:rsidP="0047058F">
            <w:pPr>
              <w:pStyle w:val="TableText"/>
              <w:jc w:val="right"/>
            </w:pPr>
            <w:r w:rsidRPr="0047058F">
              <w:t>3</w:t>
            </w:r>
          </w:p>
        </w:tc>
        <w:tc>
          <w:tcPr>
            <w:tcW w:w="1845" w:type="dxa"/>
            <w:hideMark/>
          </w:tcPr>
          <w:p w14:paraId="018F2B5C" w14:textId="77777777" w:rsidR="00160459" w:rsidRPr="0047058F" w:rsidRDefault="00160459" w:rsidP="0047058F">
            <w:pPr>
              <w:pStyle w:val="TableText"/>
              <w:jc w:val="right"/>
              <w:rPr>
                <w:color w:val="000000" w:themeColor="text1"/>
              </w:rPr>
            </w:pPr>
            <w:r w:rsidRPr="0047058F">
              <w:rPr>
                <w:color w:val="000000" w:themeColor="text1"/>
              </w:rPr>
              <w:t>2</w:t>
            </w:r>
          </w:p>
        </w:tc>
        <w:tc>
          <w:tcPr>
            <w:tcW w:w="1846" w:type="dxa"/>
            <w:hideMark/>
          </w:tcPr>
          <w:p w14:paraId="6C7F0BB6" w14:textId="77777777" w:rsidR="00160459" w:rsidRPr="0047058F" w:rsidRDefault="00160459" w:rsidP="0047058F">
            <w:pPr>
              <w:pStyle w:val="TableText"/>
              <w:jc w:val="right"/>
            </w:pPr>
            <w:r w:rsidRPr="0047058F">
              <w:t>66.7</w:t>
            </w:r>
          </w:p>
        </w:tc>
      </w:tr>
      <w:tr w:rsidR="00160459" w:rsidRPr="0047058F" w14:paraId="74A50F2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79" w:type="dxa"/>
            <w:hideMark/>
          </w:tcPr>
          <w:p w14:paraId="206AF59E" w14:textId="77777777" w:rsidR="00160459" w:rsidRPr="0047058F" w:rsidRDefault="00160459" w:rsidP="0047058F">
            <w:pPr>
              <w:pStyle w:val="TableText"/>
              <w:rPr>
                <w:b/>
              </w:rPr>
            </w:pPr>
            <w:r w:rsidRPr="0047058F">
              <w:rPr>
                <w:b/>
              </w:rPr>
              <w:t>Total</w:t>
            </w:r>
          </w:p>
        </w:tc>
        <w:tc>
          <w:tcPr>
            <w:tcW w:w="1845" w:type="dxa"/>
            <w:hideMark/>
          </w:tcPr>
          <w:p w14:paraId="425D7761" w14:textId="77777777" w:rsidR="00160459" w:rsidRPr="0047058F" w:rsidRDefault="00160459" w:rsidP="0047058F">
            <w:pPr>
              <w:pStyle w:val="TableText"/>
              <w:jc w:val="right"/>
              <w:rPr>
                <w:b/>
              </w:rPr>
            </w:pPr>
            <w:r w:rsidRPr="0047058F">
              <w:rPr>
                <w:b/>
              </w:rPr>
              <w:t>1088</w:t>
            </w:r>
          </w:p>
        </w:tc>
        <w:tc>
          <w:tcPr>
            <w:tcW w:w="1845" w:type="dxa"/>
            <w:hideMark/>
          </w:tcPr>
          <w:p w14:paraId="16B99AEF" w14:textId="77777777" w:rsidR="00160459" w:rsidRPr="0047058F" w:rsidRDefault="00160459" w:rsidP="0047058F">
            <w:pPr>
              <w:pStyle w:val="TableText"/>
              <w:jc w:val="right"/>
              <w:rPr>
                <w:b/>
              </w:rPr>
            </w:pPr>
            <w:r w:rsidRPr="0047058F">
              <w:rPr>
                <w:b/>
              </w:rPr>
              <w:t>835</w:t>
            </w:r>
          </w:p>
        </w:tc>
        <w:tc>
          <w:tcPr>
            <w:tcW w:w="1846" w:type="dxa"/>
            <w:hideMark/>
          </w:tcPr>
          <w:p w14:paraId="69797C5E" w14:textId="77777777" w:rsidR="00160459" w:rsidRPr="0047058F" w:rsidRDefault="00160459" w:rsidP="0047058F">
            <w:pPr>
              <w:pStyle w:val="TableText"/>
              <w:jc w:val="right"/>
              <w:rPr>
                <w:b/>
              </w:rPr>
            </w:pPr>
            <w:r w:rsidRPr="0047058F">
              <w:rPr>
                <w:b/>
              </w:rPr>
              <w:t>76.8</w:t>
            </w:r>
          </w:p>
        </w:tc>
      </w:tr>
    </w:tbl>
    <w:p w14:paraId="7B43C979" w14:textId="77777777" w:rsidR="00160459" w:rsidRPr="0047058F" w:rsidRDefault="00160459" w:rsidP="00160459">
      <w:pPr>
        <w:pStyle w:val="TableNotes"/>
      </w:pPr>
      <w:r w:rsidRPr="0047058F">
        <w:t># Refer to glossary for a definition of ‘medical fitness’.</w:t>
      </w:r>
    </w:p>
    <w:p w14:paraId="729513AD" w14:textId="77777777" w:rsidR="00160459" w:rsidRPr="0047058F" w:rsidRDefault="00160459" w:rsidP="00160459">
      <w:pPr>
        <w:pStyle w:val="TableNotes"/>
        <w:rPr>
          <w:b/>
        </w:rPr>
      </w:pPr>
      <w:r w:rsidRPr="0047058F">
        <w:rPr>
          <w:b/>
        </w:rPr>
        <w:t>Notes</w:t>
      </w:r>
    </w:p>
    <w:p w14:paraId="5C20C344" w14:textId="77777777" w:rsidR="00160459" w:rsidRPr="0047058F" w:rsidRDefault="00160459" w:rsidP="00160459">
      <w:pPr>
        <w:pStyle w:val="TableNotes"/>
      </w:pPr>
      <w:r w:rsidRPr="0047058F">
        <w:t>Denominator: MHPWS sample invited to participate in the Composite International Diagnostic Interview (CIDI).</w:t>
      </w:r>
    </w:p>
    <w:p w14:paraId="6FEFE570" w14:textId="77777777" w:rsidR="00160459" w:rsidRPr="0047058F" w:rsidRDefault="00160459" w:rsidP="00160459">
      <w:pPr>
        <w:pStyle w:val="TableNotes"/>
        <w:rPr>
          <w:bCs/>
        </w:rPr>
      </w:pPr>
      <w:r w:rsidRPr="0047058F">
        <w:t>Unweighted data.</w:t>
      </w:r>
    </w:p>
    <w:p w14:paraId="36B2C47A" w14:textId="77777777" w:rsidR="00160459" w:rsidRPr="0047058F" w:rsidRDefault="00160459" w:rsidP="00160459">
      <w:pPr>
        <w:spacing w:after="160"/>
      </w:pPr>
      <w:r w:rsidRPr="0047058F">
        <w:t>The characteristics of the MHPWS group CIDI respondents are as follows:</w:t>
      </w:r>
    </w:p>
    <w:p w14:paraId="0328459B" w14:textId="77777777" w:rsidR="00160459" w:rsidRPr="0047058F" w:rsidRDefault="00160459" w:rsidP="00160459">
      <w:pPr>
        <w:pStyle w:val="Bullet"/>
        <w:numPr>
          <w:ilvl w:val="0"/>
          <w:numId w:val="1"/>
        </w:numPr>
        <w:spacing w:after="160"/>
        <w:ind w:left="360"/>
      </w:pPr>
      <w:r w:rsidRPr="0047058F">
        <w:rPr>
          <w:b/>
        </w:rPr>
        <w:t>Sex</w:t>
      </w:r>
      <w:r w:rsidRPr="0047058F">
        <w:t xml:space="preserve"> – The MHPWS sample consisted of both 2015 Regular and Transitioned ADF members. Consistent with the ADF population, the CIDI sample was predominantly male, with females being less likely to respond than males.</w:t>
      </w:r>
    </w:p>
    <w:p w14:paraId="3B02F126" w14:textId="77777777" w:rsidR="00160459" w:rsidRPr="0047058F" w:rsidRDefault="00160459" w:rsidP="00160459">
      <w:pPr>
        <w:pStyle w:val="Bullet"/>
        <w:numPr>
          <w:ilvl w:val="0"/>
          <w:numId w:val="1"/>
        </w:numPr>
        <w:spacing w:after="160"/>
        <w:ind w:left="360"/>
      </w:pPr>
      <w:r w:rsidRPr="0047058F">
        <w:rPr>
          <w:b/>
        </w:rPr>
        <w:t>Rank</w:t>
      </w:r>
      <w:r w:rsidRPr="0047058F">
        <w:t xml:space="preserve"> – CIDI responders in this group consisted of 44.9% Officers, 50.9% Non-Commissioned Officers and 4.2% Other Ranks. Other Ranks were less likely to respond than the other two rank categories.</w:t>
      </w:r>
    </w:p>
    <w:p w14:paraId="7AEA0E3A" w14:textId="77777777" w:rsidR="00160459" w:rsidRPr="0047058F" w:rsidRDefault="00160459" w:rsidP="00160459">
      <w:pPr>
        <w:pStyle w:val="Bullet"/>
        <w:numPr>
          <w:ilvl w:val="0"/>
          <w:numId w:val="1"/>
        </w:numPr>
        <w:spacing w:after="160"/>
        <w:ind w:left="360"/>
      </w:pPr>
      <w:r w:rsidRPr="0047058F">
        <w:rPr>
          <w:b/>
        </w:rPr>
        <w:t>Service</w:t>
      </w:r>
      <w:r w:rsidRPr="0047058F">
        <w:t xml:space="preserve"> – 21.0% of survey responders were Navy, 41.8% were Army and 37.2% were Air Force. There was no difference between CIDI responders and non-responders in relation to service.</w:t>
      </w:r>
    </w:p>
    <w:p w14:paraId="0030CC99" w14:textId="77777777" w:rsidR="00160459" w:rsidRPr="0047058F" w:rsidRDefault="00160459" w:rsidP="00160459">
      <w:pPr>
        <w:pStyle w:val="Bullet"/>
        <w:numPr>
          <w:ilvl w:val="0"/>
          <w:numId w:val="1"/>
        </w:numPr>
        <w:ind w:left="360"/>
      </w:pPr>
      <w:r w:rsidRPr="0047058F">
        <w:rPr>
          <w:b/>
        </w:rPr>
        <w:t>Medical fitness</w:t>
      </w:r>
      <w:r w:rsidRPr="0047058F">
        <w:t xml:space="preserve"> – ADF members who were medically unfit were similarly represented in the CIDI responder group (29.1%) compared to those selected (30.1%). ADF members who were medically fit were also similarly represented in the CIDI responder group (70.7%) compared to 69.7% in the invited population. Therefore, the responder sample was representative in terms of medical fitness of the selected group.</w:t>
      </w:r>
    </w:p>
    <w:p w14:paraId="6B25B111" w14:textId="77777777" w:rsidR="00160459" w:rsidRPr="0047058F" w:rsidRDefault="00160459" w:rsidP="00160459">
      <w:pPr>
        <w:pStyle w:val="Heading4"/>
        <w:ind w:left="864" w:hanging="864"/>
        <w:rPr>
          <w:rFonts w:eastAsia="MS ??"/>
        </w:rPr>
      </w:pPr>
      <w:r w:rsidRPr="0047058F">
        <w:rPr>
          <w:rFonts w:eastAsia="MS ??"/>
        </w:rPr>
        <w:t>Combat Zone group</w:t>
      </w:r>
    </w:p>
    <w:p w14:paraId="2006CED1" w14:textId="77777777" w:rsidR="00160459" w:rsidRPr="0047058F" w:rsidRDefault="00160459" w:rsidP="00160459">
      <w:r w:rsidRPr="0047058F">
        <w:t xml:space="preserve">A total of 183 participants from this group were invited to participate in the CIDI 3.0. Of those invited, 76.5% (140) </w:t>
      </w:r>
      <w:r w:rsidRPr="0047058F">
        <w:rPr>
          <w:color w:val="000000" w:themeColor="text1"/>
        </w:rPr>
        <w:t>completed</w:t>
      </w:r>
      <w:r w:rsidRPr="0047058F">
        <w:t xml:space="preserve"> the interview. Table A.7 describes the response rates for this group.</w:t>
      </w:r>
    </w:p>
    <w:p w14:paraId="4038F088" w14:textId="77777777" w:rsidR="00160459" w:rsidRPr="0047058F" w:rsidRDefault="00160459" w:rsidP="00160459">
      <w:pPr>
        <w:pStyle w:val="TableName"/>
        <w:rPr>
          <w:szCs w:val="22"/>
        </w:rPr>
      </w:pPr>
      <w:bookmarkStart w:id="629" w:name="_Toc486936020"/>
      <w:bookmarkStart w:id="630" w:name="_Toc487014344"/>
      <w:bookmarkStart w:id="631" w:name="_Toc492995647"/>
      <w:bookmarkStart w:id="632" w:name="_Toc497383346"/>
      <w:bookmarkStart w:id="633" w:name="_Toc529117555"/>
      <w:bookmarkStart w:id="634" w:name="_Toc532473625"/>
      <w:r w:rsidRPr="0047058F">
        <w:t>Table A.7</w:t>
      </w:r>
      <w:r w:rsidRPr="0047058F">
        <w:tab/>
        <w:t>CIDI response rates for the Combat Zone group, by Service, sex, rank and Medical Employment Classification status</w:t>
      </w:r>
      <w:bookmarkEnd w:id="629"/>
      <w:bookmarkEnd w:id="630"/>
      <w:bookmarkEnd w:id="631"/>
      <w:bookmarkEnd w:id="632"/>
      <w:bookmarkEnd w:id="633"/>
      <w:bookmarkEnd w:id="634"/>
    </w:p>
    <w:tbl>
      <w:tblPr>
        <w:tblStyle w:val="TWRPTable"/>
        <w:tblW w:w="5000" w:type="pct"/>
        <w:tblLayout w:type="fixed"/>
        <w:tblLook w:val="04A0" w:firstRow="1" w:lastRow="0" w:firstColumn="1" w:lastColumn="0" w:noHBand="0" w:noVBand="1"/>
        <w:tblDescription w:val="Table A.7 CIDI response rates for the Combat Zone group, by Service, sex, rank and Medical Employment Classification status"/>
      </w:tblPr>
      <w:tblGrid>
        <w:gridCol w:w="1749"/>
        <w:gridCol w:w="1855"/>
        <w:gridCol w:w="1855"/>
        <w:gridCol w:w="1856"/>
      </w:tblGrid>
      <w:tr w:rsidR="00160459" w:rsidRPr="0047058F" w14:paraId="4EA755CB"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49" w:type="dxa"/>
            <w:vMerge w:val="restart"/>
          </w:tcPr>
          <w:p w14:paraId="63706B9E" w14:textId="77777777" w:rsidR="00160459" w:rsidRPr="0047058F" w:rsidRDefault="00160459" w:rsidP="0047058F">
            <w:pPr>
              <w:pStyle w:val="TableText"/>
            </w:pPr>
          </w:p>
        </w:tc>
        <w:tc>
          <w:tcPr>
            <w:tcW w:w="5566" w:type="dxa"/>
            <w:gridSpan w:val="3"/>
            <w:hideMark/>
          </w:tcPr>
          <w:p w14:paraId="6ADD80E9" w14:textId="77777777" w:rsidR="00160459" w:rsidRPr="0047058F" w:rsidRDefault="00160459" w:rsidP="0047058F">
            <w:pPr>
              <w:pStyle w:val="TableText"/>
              <w:jc w:val="center"/>
            </w:pPr>
            <w:r w:rsidRPr="0047058F">
              <w:t>Combat Zone group CIDI</w:t>
            </w:r>
            <w:r w:rsidRPr="0047058F">
              <w:br/>
              <w:t>(n = 183 (invited); n = 140 (responded))</w:t>
            </w:r>
          </w:p>
        </w:tc>
      </w:tr>
      <w:tr w:rsidR="00160459" w:rsidRPr="0047058F" w14:paraId="6E5179ED" w14:textId="77777777" w:rsidTr="0047058F">
        <w:trPr>
          <w:cnfStyle w:val="100000000000" w:firstRow="1" w:lastRow="0" w:firstColumn="0" w:lastColumn="0" w:oddVBand="0" w:evenVBand="0" w:oddHBand="0" w:evenHBand="0" w:firstRowFirstColumn="0" w:firstRowLastColumn="0" w:lastRowFirstColumn="0" w:lastRowLastColumn="0"/>
          <w:cantSplit/>
          <w:tblHeader/>
        </w:trPr>
        <w:tc>
          <w:tcPr>
            <w:tcW w:w="1749" w:type="dxa"/>
            <w:vMerge/>
          </w:tcPr>
          <w:p w14:paraId="04931D00" w14:textId="77777777" w:rsidR="00160459" w:rsidRPr="0047058F" w:rsidRDefault="00160459" w:rsidP="0047058F">
            <w:pPr>
              <w:pStyle w:val="TableText"/>
            </w:pPr>
          </w:p>
        </w:tc>
        <w:tc>
          <w:tcPr>
            <w:tcW w:w="1855" w:type="dxa"/>
            <w:hideMark/>
          </w:tcPr>
          <w:p w14:paraId="1ACC2AB8" w14:textId="77777777" w:rsidR="00160459" w:rsidRPr="0047058F" w:rsidRDefault="00160459" w:rsidP="0047058F">
            <w:pPr>
              <w:pStyle w:val="TableText"/>
              <w:jc w:val="right"/>
            </w:pPr>
            <w:r w:rsidRPr="0047058F">
              <w:t>Invited</w:t>
            </w:r>
          </w:p>
        </w:tc>
        <w:tc>
          <w:tcPr>
            <w:tcW w:w="1855" w:type="dxa"/>
            <w:hideMark/>
          </w:tcPr>
          <w:p w14:paraId="258FA4A5" w14:textId="77777777" w:rsidR="00160459" w:rsidRPr="0047058F" w:rsidRDefault="00160459" w:rsidP="0047058F">
            <w:pPr>
              <w:pStyle w:val="TableText"/>
              <w:jc w:val="right"/>
            </w:pPr>
            <w:r w:rsidRPr="0047058F">
              <w:t>Responders</w:t>
            </w:r>
          </w:p>
        </w:tc>
        <w:tc>
          <w:tcPr>
            <w:tcW w:w="1856" w:type="dxa"/>
            <w:hideMark/>
          </w:tcPr>
          <w:p w14:paraId="12AC1294" w14:textId="77777777" w:rsidR="00160459" w:rsidRPr="0047058F" w:rsidRDefault="00160459" w:rsidP="0047058F">
            <w:pPr>
              <w:pStyle w:val="TableText"/>
              <w:jc w:val="right"/>
            </w:pPr>
            <w:r w:rsidRPr="0047058F">
              <w:t>Response rate (%)</w:t>
            </w:r>
          </w:p>
        </w:tc>
      </w:tr>
      <w:tr w:rsidR="00160459" w:rsidRPr="0047058F" w14:paraId="60859F8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46BF61D9" w14:textId="77777777" w:rsidR="00160459" w:rsidRPr="0047058F" w:rsidRDefault="00160459" w:rsidP="0047058F">
            <w:pPr>
              <w:pStyle w:val="TableText"/>
              <w:rPr>
                <w:b/>
              </w:rPr>
            </w:pPr>
            <w:r w:rsidRPr="0047058F">
              <w:rPr>
                <w:b/>
              </w:rPr>
              <w:t>Service</w:t>
            </w:r>
          </w:p>
        </w:tc>
        <w:tc>
          <w:tcPr>
            <w:tcW w:w="1855" w:type="dxa"/>
          </w:tcPr>
          <w:p w14:paraId="37199946" w14:textId="77777777" w:rsidR="00160459" w:rsidRPr="0047058F" w:rsidRDefault="00160459" w:rsidP="0047058F">
            <w:pPr>
              <w:pStyle w:val="TableText"/>
              <w:jc w:val="right"/>
            </w:pPr>
          </w:p>
        </w:tc>
        <w:tc>
          <w:tcPr>
            <w:tcW w:w="1855" w:type="dxa"/>
          </w:tcPr>
          <w:p w14:paraId="6C19EB4B" w14:textId="77777777" w:rsidR="00160459" w:rsidRPr="0047058F" w:rsidRDefault="00160459" w:rsidP="0047058F">
            <w:pPr>
              <w:pStyle w:val="TableText"/>
              <w:jc w:val="right"/>
            </w:pPr>
          </w:p>
        </w:tc>
        <w:tc>
          <w:tcPr>
            <w:tcW w:w="1856" w:type="dxa"/>
          </w:tcPr>
          <w:p w14:paraId="3964866C" w14:textId="77777777" w:rsidR="00160459" w:rsidRPr="0047058F" w:rsidRDefault="00160459" w:rsidP="0047058F">
            <w:pPr>
              <w:pStyle w:val="TableText"/>
              <w:jc w:val="right"/>
            </w:pPr>
          </w:p>
        </w:tc>
      </w:tr>
      <w:tr w:rsidR="00160459" w:rsidRPr="0047058F" w14:paraId="61CD913B" w14:textId="77777777" w:rsidTr="0047058F">
        <w:trPr>
          <w:cantSplit/>
        </w:trPr>
        <w:tc>
          <w:tcPr>
            <w:tcW w:w="1749" w:type="dxa"/>
            <w:hideMark/>
          </w:tcPr>
          <w:p w14:paraId="01468E30" w14:textId="77777777" w:rsidR="00160459" w:rsidRPr="0047058F" w:rsidRDefault="00160459" w:rsidP="0047058F">
            <w:pPr>
              <w:pStyle w:val="TableText"/>
            </w:pPr>
            <w:r w:rsidRPr="0047058F">
              <w:t>Navy</w:t>
            </w:r>
          </w:p>
        </w:tc>
        <w:tc>
          <w:tcPr>
            <w:tcW w:w="1855" w:type="dxa"/>
            <w:hideMark/>
          </w:tcPr>
          <w:p w14:paraId="0AC97021" w14:textId="77777777" w:rsidR="00160459" w:rsidRPr="0047058F" w:rsidRDefault="00160459" w:rsidP="0047058F">
            <w:pPr>
              <w:pStyle w:val="TableText"/>
              <w:jc w:val="right"/>
            </w:pPr>
            <w:r w:rsidRPr="0047058F">
              <w:t>10</w:t>
            </w:r>
          </w:p>
        </w:tc>
        <w:tc>
          <w:tcPr>
            <w:tcW w:w="1855" w:type="dxa"/>
            <w:hideMark/>
          </w:tcPr>
          <w:p w14:paraId="6CDF474D" w14:textId="77777777" w:rsidR="00160459" w:rsidRPr="0047058F" w:rsidRDefault="00160459" w:rsidP="0047058F">
            <w:pPr>
              <w:pStyle w:val="TableText"/>
              <w:jc w:val="right"/>
            </w:pPr>
            <w:r w:rsidRPr="0047058F">
              <w:t>10</w:t>
            </w:r>
          </w:p>
        </w:tc>
        <w:tc>
          <w:tcPr>
            <w:tcW w:w="1856" w:type="dxa"/>
            <w:hideMark/>
          </w:tcPr>
          <w:p w14:paraId="4CBF4BD9" w14:textId="77777777" w:rsidR="00160459" w:rsidRPr="0047058F" w:rsidRDefault="00160459" w:rsidP="0047058F">
            <w:pPr>
              <w:pStyle w:val="TableText"/>
              <w:jc w:val="right"/>
            </w:pPr>
            <w:r w:rsidRPr="0047058F">
              <w:t>100.0</w:t>
            </w:r>
          </w:p>
        </w:tc>
      </w:tr>
      <w:tr w:rsidR="00160459" w:rsidRPr="0047058F" w14:paraId="4D1F9A83"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264976A0" w14:textId="77777777" w:rsidR="00160459" w:rsidRPr="0047058F" w:rsidRDefault="00160459" w:rsidP="0047058F">
            <w:pPr>
              <w:pStyle w:val="TableText"/>
            </w:pPr>
            <w:r w:rsidRPr="0047058F">
              <w:t>Army</w:t>
            </w:r>
          </w:p>
        </w:tc>
        <w:tc>
          <w:tcPr>
            <w:tcW w:w="1855" w:type="dxa"/>
            <w:hideMark/>
          </w:tcPr>
          <w:p w14:paraId="6B58AB11" w14:textId="77777777" w:rsidR="00160459" w:rsidRPr="0047058F" w:rsidRDefault="00160459" w:rsidP="0047058F">
            <w:pPr>
              <w:pStyle w:val="TableText"/>
              <w:jc w:val="right"/>
            </w:pPr>
            <w:r w:rsidRPr="0047058F">
              <w:t>143</w:t>
            </w:r>
          </w:p>
        </w:tc>
        <w:tc>
          <w:tcPr>
            <w:tcW w:w="1855" w:type="dxa"/>
            <w:hideMark/>
          </w:tcPr>
          <w:p w14:paraId="43A7AE4D" w14:textId="77777777" w:rsidR="00160459" w:rsidRPr="0047058F" w:rsidRDefault="00160459" w:rsidP="0047058F">
            <w:pPr>
              <w:pStyle w:val="TableText"/>
              <w:jc w:val="right"/>
            </w:pPr>
            <w:r w:rsidRPr="0047058F">
              <w:t>111</w:t>
            </w:r>
          </w:p>
        </w:tc>
        <w:tc>
          <w:tcPr>
            <w:tcW w:w="1856" w:type="dxa"/>
            <w:hideMark/>
          </w:tcPr>
          <w:p w14:paraId="12D69505" w14:textId="77777777" w:rsidR="00160459" w:rsidRPr="0047058F" w:rsidRDefault="00160459" w:rsidP="0047058F">
            <w:pPr>
              <w:pStyle w:val="TableText"/>
              <w:jc w:val="right"/>
            </w:pPr>
            <w:r w:rsidRPr="0047058F">
              <w:t>77.6</w:t>
            </w:r>
          </w:p>
        </w:tc>
      </w:tr>
      <w:tr w:rsidR="00160459" w:rsidRPr="0047058F" w14:paraId="43A103AC" w14:textId="77777777" w:rsidTr="0047058F">
        <w:trPr>
          <w:cantSplit/>
        </w:trPr>
        <w:tc>
          <w:tcPr>
            <w:tcW w:w="1749" w:type="dxa"/>
            <w:hideMark/>
          </w:tcPr>
          <w:p w14:paraId="5077682F" w14:textId="77777777" w:rsidR="00160459" w:rsidRPr="0047058F" w:rsidRDefault="00160459" w:rsidP="0047058F">
            <w:pPr>
              <w:pStyle w:val="TableText"/>
            </w:pPr>
            <w:r w:rsidRPr="0047058F">
              <w:t>Air Force</w:t>
            </w:r>
          </w:p>
        </w:tc>
        <w:tc>
          <w:tcPr>
            <w:tcW w:w="1855" w:type="dxa"/>
            <w:hideMark/>
          </w:tcPr>
          <w:p w14:paraId="0FE4AFB0" w14:textId="77777777" w:rsidR="00160459" w:rsidRPr="0047058F" w:rsidRDefault="00160459" w:rsidP="0047058F">
            <w:pPr>
              <w:pStyle w:val="TableText"/>
              <w:jc w:val="right"/>
            </w:pPr>
            <w:r w:rsidRPr="0047058F">
              <w:t>0</w:t>
            </w:r>
          </w:p>
        </w:tc>
        <w:tc>
          <w:tcPr>
            <w:tcW w:w="1855" w:type="dxa"/>
            <w:hideMark/>
          </w:tcPr>
          <w:p w14:paraId="5334B9E5" w14:textId="77777777" w:rsidR="00160459" w:rsidRPr="0047058F" w:rsidRDefault="00160459" w:rsidP="0047058F">
            <w:pPr>
              <w:pStyle w:val="TableText"/>
              <w:jc w:val="right"/>
              <w:rPr>
                <w:color w:val="000000" w:themeColor="text1"/>
              </w:rPr>
            </w:pPr>
            <w:r w:rsidRPr="0047058F">
              <w:rPr>
                <w:color w:val="000000" w:themeColor="text1"/>
              </w:rPr>
              <w:t>0</w:t>
            </w:r>
          </w:p>
        </w:tc>
        <w:tc>
          <w:tcPr>
            <w:tcW w:w="1856" w:type="dxa"/>
            <w:hideMark/>
          </w:tcPr>
          <w:p w14:paraId="28CC608F" w14:textId="77777777" w:rsidR="00160459" w:rsidRPr="0047058F" w:rsidRDefault="00160459" w:rsidP="0047058F">
            <w:pPr>
              <w:pStyle w:val="TableText"/>
              <w:jc w:val="right"/>
            </w:pPr>
            <w:r w:rsidRPr="0047058F">
              <w:t>0.0</w:t>
            </w:r>
          </w:p>
        </w:tc>
      </w:tr>
      <w:tr w:rsidR="00160459" w:rsidRPr="0047058F" w14:paraId="578DE9D9"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1316C065" w14:textId="77777777" w:rsidR="00160459" w:rsidRPr="0047058F" w:rsidRDefault="00160459" w:rsidP="0047058F">
            <w:pPr>
              <w:pStyle w:val="TableText"/>
            </w:pPr>
            <w:r w:rsidRPr="0047058F">
              <w:t>Missing</w:t>
            </w:r>
          </w:p>
        </w:tc>
        <w:tc>
          <w:tcPr>
            <w:tcW w:w="1855" w:type="dxa"/>
            <w:hideMark/>
          </w:tcPr>
          <w:p w14:paraId="6ADF8D2C" w14:textId="77777777" w:rsidR="00160459" w:rsidRPr="0047058F" w:rsidRDefault="00160459" w:rsidP="0047058F">
            <w:pPr>
              <w:pStyle w:val="TableText"/>
              <w:jc w:val="right"/>
            </w:pPr>
            <w:r w:rsidRPr="0047058F">
              <w:t>30</w:t>
            </w:r>
          </w:p>
        </w:tc>
        <w:tc>
          <w:tcPr>
            <w:tcW w:w="1855" w:type="dxa"/>
            <w:hideMark/>
          </w:tcPr>
          <w:p w14:paraId="1D37D0D1" w14:textId="77777777" w:rsidR="00160459" w:rsidRPr="0047058F" w:rsidRDefault="00160459" w:rsidP="0047058F">
            <w:pPr>
              <w:pStyle w:val="TableText"/>
              <w:jc w:val="right"/>
              <w:rPr>
                <w:color w:val="000000" w:themeColor="text1"/>
              </w:rPr>
            </w:pPr>
            <w:r w:rsidRPr="0047058F">
              <w:rPr>
                <w:color w:val="000000" w:themeColor="text1"/>
              </w:rPr>
              <w:t>19</w:t>
            </w:r>
          </w:p>
        </w:tc>
        <w:tc>
          <w:tcPr>
            <w:tcW w:w="1856" w:type="dxa"/>
            <w:hideMark/>
          </w:tcPr>
          <w:p w14:paraId="015290E9" w14:textId="77777777" w:rsidR="00160459" w:rsidRPr="0047058F" w:rsidRDefault="00160459" w:rsidP="0047058F">
            <w:pPr>
              <w:pStyle w:val="TableText"/>
              <w:jc w:val="right"/>
            </w:pPr>
            <w:r w:rsidRPr="0047058F">
              <w:t>63.3</w:t>
            </w:r>
          </w:p>
        </w:tc>
      </w:tr>
      <w:tr w:rsidR="00160459" w:rsidRPr="0047058F" w14:paraId="26CF9EF4" w14:textId="77777777" w:rsidTr="0047058F">
        <w:trPr>
          <w:cantSplit/>
        </w:trPr>
        <w:tc>
          <w:tcPr>
            <w:tcW w:w="1749" w:type="dxa"/>
            <w:hideMark/>
          </w:tcPr>
          <w:p w14:paraId="7A51144E" w14:textId="77777777" w:rsidR="00160459" w:rsidRPr="0047058F" w:rsidRDefault="00160459" w:rsidP="0047058F">
            <w:pPr>
              <w:pStyle w:val="TableText"/>
              <w:rPr>
                <w:b/>
              </w:rPr>
            </w:pPr>
            <w:r w:rsidRPr="0047058F">
              <w:rPr>
                <w:b/>
              </w:rPr>
              <w:t>Sex</w:t>
            </w:r>
          </w:p>
        </w:tc>
        <w:tc>
          <w:tcPr>
            <w:tcW w:w="1855" w:type="dxa"/>
          </w:tcPr>
          <w:p w14:paraId="1384DDEA" w14:textId="77777777" w:rsidR="00160459" w:rsidRPr="0047058F" w:rsidRDefault="00160459" w:rsidP="0047058F">
            <w:pPr>
              <w:pStyle w:val="TableText"/>
              <w:jc w:val="right"/>
            </w:pPr>
          </w:p>
        </w:tc>
        <w:tc>
          <w:tcPr>
            <w:tcW w:w="1855" w:type="dxa"/>
          </w:tcPr>
          <w:p w14:paraId="6B420AEF" w14:textId="77777777" w:rsidR="00160459" w:rsidRPr="0047058F" w:rsidRDefault="00160459" w:rsidP="0047058F">
            <w:pPr>
              <w:pStyle w:val="TableText"/>
              <w:jc w:val="right"/>
              <w:rPr>
                <w:color w:val="000000" w:themeColor="text1"/>
              </w:rPr>
            </w:pPr>
          </w:p>
        </w:tc>
        <w:tc>
          <w:tcPr>
            <w:tcW w:w="1856" w:type="dxa"/>
          </w:tcPr>
          <w:p w14:paraId="5FAA641D" w14:textId="77777777" w:rsidR="00160459" w:rsidRPr="0047058F" w:rsidRDefault="00160459" w:rsidP="0047058F">
            <w:pPr>
              <w:pStyle w:val="TableText"/>
              <w:jc w:val="right"/>
            </w:pPr>
          </w:p>
        </w:tc>
      </w:tr>
      <w:tr w:rsidR="00160459" w:rsidRPr="0047058F" w14:paraId="2A6F9532"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0611B822" w14:textId="77777777" w:rsidR="00160459" w:rsidRPr="0047058F" w:rsidRDefault="00160459" w:rsidP="0047058F">
            <w:pPr>
              <w:pStyle w:val="TableText"/>
            </w:pPr>
            <w:r w:rsidRPr="0047058F">
              <w:t>Male</w:t>
            </w:r>
          </w:p>
        </w:tc>
        <w:tc>
          <w:tcPr>
            <w:tcW w:w="1855" w:type="dxa"/>
            <w:hideMark/>
          </w:tcPr>
          <w:p w14:paraId="70D19A62" w14:textId="77777777" w:rsidR="00160459" w:rsidRPr="0047058F" w:rsidRDefault="00160459" w:rsidP="0047058F">
            <w:pPr>
              <w:pStyle w:val="TableText"/>
              <w:jc w:val="right"/>
            </w:pPr>
            <w:r w:rsidRPr="0047058F">
              <w:t>148</w:t>
            </w:r>
          </w:p>
        </w:tc>
        <w:tc>
          <w:tcPr>
            <w:tcW w:w="1855" w:type="dxa"/>
            <w:hideMark/>
          </w:tcPr>
          <w:p w14:paraId="341C9DFC" w14:textId="77777777" w:rsidR="00160459" w:rsidRPr="0047058F" w:rsidRDefault="00160459" w:rsidP="0047058F">
            <w:pPr>
              <w:pStyle w:val="TableText"/>
              <w:jc w:val="right"/>
              <w:rPr>
                <w:color w:val="000000" w:themeColor="text1"/>
              </w:rPr>
            </w:pPr>
            <w:r w:rsidRPr="0047058F">
              <w:rPr>
                <w:color w:val="000000" w:themeColor="text1"/>
              </w:rPr>
              <w:t>118</w:t>
            </w:r>
          </w:p>
        </w:tc>
        <w:tc>
          <w:tcPr>
            <w:tcW w:w="1856" w:type="dxa"/>
            <w:hideMark/>
          </w:tcPr>
          <w:p w14:paraId="48E5941A" w14:textId="77777777" w:rsidR="00160459" w:rsidRPr="0047058F" w:rsidRDefault="00160459" w:rsidP="0047058F">
            <w:pPr>
              <w:pStyle w:val="TableText"/>
              <w:jc w:val="right"/>
            </w:pPr>
            <w:r w:rsidRPr="0047058F">
              <w:t>79.7</w:t>
            </w:r>
          </w:p>
        </w:tc>
      </w:tr>
      <w:tr w:rsidR="00160459" w:rsidRPr="0047058F" w14:paraId="67189260" w14:textId="77777777" w:rsidTr="0047058F">
        <w:trPr>
          <w:cantSplit/>
        </w:trPr>
        <w:tc>
          <w:tcPr>
            <w:tcW w:w="1749" w:type="dxa"/>
            <w:hideMark/>
          </w:tcPr>
          <w:p w14:paraId="15BB5A49" w14:textId="77777777" w:rsidR="00160459" w:rsidRPr="0047058F" w:rsidRDefault="00160459" w:rsidP="0047058F">
            <w:pPr>
              <w:pStyle w:val="TableText"/>
            </w:pPr>
            <w:r w:rsidRPr="0047058F">
              <w:t>Female</w:t>
            </w:r>
          </w:p>
        </w:tc>
        <w:tc>
          <w:tcPr>
            <w:tcW w:w="1855" w:type="dxa"/>
            <w:hideMark/>
          </w:tcPr>
          <w:p w14:paraId="4F83620F" w14:textId="77777777" w:rsidR="00160459" w:rsidRPr="0047058F" w:rsidRDefault="00160459" w:rsidP="0047058F">
            <w:pPr>
              <w:pStyle w:val="TableText"/>
              <w:jc w:val="right"/>
            </w:pPr>
            <w:r w:rsidRPr="0047058F">
              <w:t>2</w:t>
            </w:r>
          </w:p>
        </w:tc>
        <w:tc>
          <w:tcPr>
            <w:tcW w:w="1855" w:type="dxa"/>
            <w:hideMark/>
          </w:tcPr>
          <w:p w14:paraId="7E55B47C" w14:textId="77777777" w:rsidR="00160459" w:rsidRPr="0047058F" w:rsidRDefault="00160459" w:rsidP="0047058F">
            <w:pPr>
              <w:pStyle w:val="TableText"/>
              <w:jc w:val="right"/>
              <w:rPr>
                <w:color w:val="000000" w:themeColor="text1"/>
              </w:rPr>
            </w:pPr>
            <w:r w:rsidRPr="0047058F">
              <w:rPr>
                <w:color w:val="000000" w:themeColor="text1"/>
              </w:rPr>
              <w:t>2</w:t>
            </w:r>
          </w:p>
        </w:tc>
        <w:tc>
          <w:tcPr>
            <w:tcW w:w="1856" w:type="dxa"/>
            <w:hideMark/>
          </w:tcPr>
          <w:p w14:paraId="38F9ED7C" w14:textId="77777777" w:rsidR="00160459" w:rsidRPr="0047058F" w:rsidRDefault="00160459" w:rsidP="0047058F">
            <w:pPr>
              <w:pStyle w:val="TableText"/>
              <w:jc w:val="right"/>
            </w:pPr>
            <w:r w:rsidRPr="0047058F">
              <w:t>100.0</w:t>
            </w:r>
          </w:p>
        </w:tc>
      </w:tr>
      <w:tr w:rsidR="00160459" w:rsidRPr="0047058F" w14:paraId="6A130D22"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34B44F08" w14:textId="77777777" w:rsidR="00160459" w:rsidRPr="0047058F" w:rsidRDefault="00160459" w:rsidP="0047058F">
            <w:pPr>
              <w:pStyle w:val="TableText"/>
            </w:pPr>
            <w:r w:rsidRPr="0047058F">
              <w:t>Missing</w:t>
            </w:r>
          </w:p>
        </w:tc>
        <w:tc>
          <w:tcPr>
            <w:tcW w:w="1855" w:type="dxa"/>
            <w:hideMark/>
          </w:tcPr>
          <w:p w14:paraId="0448BDCD" w14:textId="77777777" w:rsidR="00160459" w:rsidRPr="0047058F" w:rsidRDefault="00160459" w:rsidP="0047058F">
            <w:pPr>
              <w:pStyle w:val="TableText"/>
              <w:jc w:val="right"/>
            </w:pPr>
            <w:r w:rsidRPr="0047058F">
              <w:t>33</w:t>
            </w:r>
          </w:p>
        </w:tc>
        <w:tc>
          <w:tcPr>
            <w:tcW w:w="1855" w:type="dxa"/>
            <w:hideMark/>
          </w:tcPr>
          <w:p w14:paraId="75A6176B" w14:textId="77777777" w:rsidR="00160459" w:rsidRPr="0047058F" w:rsidRDefault="00160459" w:rsidP="0047058F">
            <w:pPr>
              <w:pStyle w:val="TableText"/>
              <w:jc w:val="right"/>
              <w:rPr>
                <w:color w:val="000000" w:themeColor="text1"/>
              </w:rPr>
            </w:pPr>
            <w:r w:rsidRPr="0047058F">
              <w:rPr>
                <w:color w:val="000000" w:themeColor="text1"/>
              </w:rPr>
              <w:t>20</w:t>
            </w:r>
          </w:p>
        </w:tc>
        <w:tc>
          <w:tcPr>
            <w:tcW w:w="1856" w:type="dxa"/>
            <w:hideMark/>
          </w:tcPr>
          <w:p w14:paraId="7FDD5BAE" w14:textId="77777777" w:rsidR="00160459" w:rsidRPr="0047058F" w:rsidRDefault="00160459" w:rsidP="0047058F">
            <w:pPr>
              <w:pStyle w:val="TableText"/>
              <w:jc w:val="right"/>
            </w:pPr>
            <w:r w:rsidRPr="0047058F">
              <w:t>60.6</w:t>
            </w:r>
          </w:p>
        </w:tc>
      </w:tr>
      <w:tr w:rsidR="00160459" w:rsidRPr="0047058F" w14:paraId="7E201B01" w14:textId="77777777" w:rsidTr="0047058F">
        <w:trPr>
          <w:cantSplit/>
        </w:trPr>
        <w:tc>
          <w:tcPr>
            <w:tcW w:w="1749" w:type="dxa"/>
            <w:hideMark/>
          </w:tcPr>
          <w:p w14:paraId="77EBB2FB" w14:textId="77777777" w:rsidR="00160459" w:rsidRPr="0047058F" w:rsidRDefault="00160459" w:rsidP="0047058F">
            <w:pPr>
              <w:pStyle w:val="TableText"/>
              <w:rPr>
                <w:b/>
              </w:rPr>
            </w:pPr>
            <w:r w:rsidRPr="0047058F">
              <w:rPr>
                <w:b/>
              </w:rPr>
              <w:t>Rank</w:t>
            </w:r>
          </w:p>
        </w:tc>
        <w:tc>
          <w:tcPr>
            <w:tcW w:w="1855" w:type="dxa"/>
          </w:tcPr>
          <w:p w14:paraId="283E3B06" w14:textId="77777777" w:rsidR="00160459" w:rsidRPr="0047058F" w:rsidRDefault="00160459" w:rsidP="0047058F">
            <w:pPr>
              <w:pStyle w:val="TableText"/>
              <w:jc w:val="right"/>
            </w:pPr>
          </w:p>
        </w:tc>
        <w:tc>
          <w:tcPr>
            <w:tcW w:w="1855" w:type="dxa"/>
          </w:tcPr>
          <w:p w14:paraId="766B281F" w14:textId="77777777" w:rsidR="00160459" w:rsidRPr="0047058F" w:rsidRDefault="00160459" w:rsidP="0047058F">
            <w:pPr>
              <w:pStyle w:val="TableText"/>
              <w:jc w:val="right"/>
              <w:rPr>
                <w:color w:val="000000" w:themeColor="text1"/>
              </w:rPr>
            </w:pPr>
          </w:p>
        </w:tc>
        <w:tc>
          <w:tcPr>
            <w:tcW w:w="1856" w:type="dxa"/>
          </w:tcPr>
          <w:p w14:paraId="07EF3064" w14:textId="77777777" w:rsidR="00160459" w:rsidRPr="0047058F" w:rsidRDefault="00160459" w:rsidP="0047058F">
            <w:pPr>
              <w:pStyle w:val="TableText"/>
              <w:jc w:val="right"/>
            </w:pPr>
          </w:p>
        </w:tc>
      </w:tr>
      <w:tr w:rsidR="00160459" w:rsidRPr="0047058F" w14:paraId="11809530"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30B8FBC9" w14:textId="4A9F99FD" w:rsidR="00160459" w:rsidRPr="0047058F" w:rsidRDefault="00160459" w:rsidP="0047058F">
            <w:pPr>
              <w:pStyle w:val="TableText"/>
            </w:pPr>
            <w:r w:rsidRPr="0047058F">
              <w:t>O</w:t>
            </w:r>
            <w:r w:rsidR="00FD0E97">
              <w:t>fficer</w:t>
            </w:r>
          </w:p>
        </w:tc>
        <w:tc>
          <w:tcPr>
            <w:tcW w:w="1855" w:type="dxa"/>
            <w:hideMark/>
          </w:tcPr>
          <w:p w14:paraId="43A022C3" w14:textId="77777777" w:rsidR="00160459" w:rsidRPr="0047058F" w:rsidRDefault="00160459" w:rsidP="0047058F">
            <w:pPr>
              <w:pStyle w:val="TableText"/>
              <w:jc w:val="right"/>
            </w:pPr>
            <w:r w:rsidRPr="0047058F">
              <w:t>20</w:t>
            </w:r>
          </w:p>
        </w:tc>
        <w:tc>
          <w:tcPr>
            <w:tcW w:w="1855" w:type="dxa"/>
            <w:hideMark/>
          </w:tcPr>
          <w:p w14:paraId="71627D63" w14:textId="77777777" w:rsidR="00160459" w:rsidRPr="0047058F" w:rsidRDefault="00160459" w:rsidP="0047058F">
            <w:pPr>
              <w:pStyle w:val="TableText"/>
              <w:jc w:val="right"/>
              <w:rPr>
                <w:color w:val="000000" w:themeColor="text1"/>
              </w:rPr>
            </w:pPr>
            <w:r w:rsidRPr="0047058F">
              <w:rPr>
                <w:color w:val="000000" w:themeColor="text1"/>
              </w:rPr>
              <w:t>16</w:t>
            </w:r>
          </w:p>
        </w:tc>
        <w:tc>
          <w:tcPr>
            <w:tcW w:w="1856" w:type="dxa"/>
            <w:hideMark/>
          </w:tcPr>
          <w:p w14:paraId="6A71240A" w14:textId="77777777" w:rsidR="00160459" w:rsidRPr="0047058F" w:rsidRDefault="00160459" w:rsidP="0047058F">
            <w:pPr>
              <w:pStyle w:val="TableText"/>
              <w:jc w:val="right"/>
            </w:pPr>
            <w:r w:rsidRPr="0047058F">
              <w:t>80.0</w:t>
            </w:r>
          </w:p>
        </w:tc>
      </w:tr>
      <w:tr w:rsidR="00160459" w:rsidRPr="0047058F" w14:paraId="669AAE70" w14:textId="77777777" w:rsidTr="0047058F">
        <w:trPr>
          <w:cantSplit/>
        </w:trPr>
        <w:tc>
          <w:tcPr>
            <w:tcW w:w="1749" w:type="dxa"/>
            <w:hideMark/>
          </w:tcPr>
          <w:p w14:paraId="0CE80817" w14:textId="0A18E908" w:rsidR="00160459" w:rsidRPr="0047058F" w:rsidRDefault="00160459" w:rsidP="0047058F">
            <w:pPr>
              <w:pStyle w:val="TableText"/>
            </w:pPr>
            <w:r w:rsidRPr="0047058F">
              <w:t>N</w:t>
            </w:r>
            <w:r w:rsidR="00FD0E97">
              <w:t>on-</w:t>
            </w:r>
            <w:r w:rsidRPr="0047058F">
              <w:t>C</w:t>
            </w:r>
            <w:r w:rsidR="00FD0E97">
              <w:t xml:space="preserve">ommissioned </w:t>
            </w:r>
            <w:r w:rsidRPr="0047058F">
              <w:t>O</w:t>
            </w:r>
            <w:r w:rsidR="00FD0E97">
              <w:t>fficer</w:t>
            </w:r>
          </w:p>
        </w:tc>
        <w:tc>
          <w:tcPr>
            <w:tcW w:w="1855" w:type="dxa"/>
            <w:hideMark/>
          </w:tcPr>
          <w:p w14:paraId="3C8B0FEE" w14:textId="77777777" w:rsidR="00160459" w:rsidRPr="0047058F" w:rsidRDefault="00160459" w:rsidP="0047058F">
            <w:pPr>
              <w:pStyle w:val="TableText"/>
              <w:jc w:val="right"/>
            </w:pPr>
            <w:r w:rsidRPr="0047058F">
              <w:t>101</w:t>
            </w:r>
          </w:p>
        </w:tc>
        <w:tc>
          <w:tcPr>
            <w:tcW w:w="1855" w:type="dxa"/>
            <w:hideMark/>
          </w:tcPr>
          <w:p w14:paraId="3DEEF26E" w14:textId="77777777" w:rsidR="00160459" w:rsidRPr="0047058F" w:rsidRDefault="00160459" w:rsidP="0047058F">
            <w:pPr>
              <w:pStyle w:val="TableText"/>
              <w:jc w:val="right"/>
              <w:rPr>
                <w:color w:val="000000" w:themeColor="text1"/>
              </w:rPr>
            </w:pPr>
            <w:r w:rsidRPr="0047058F">
              <w:rPr>
                <w:color w:val="000000" w:themeColor="text1"/>
              </w:rPr>
              <w:t>77</w:t>
            </w:r>
          </w:p>
        </w:tc>
        <w:tc>
          <w:tcPr>
            <w:tcW w:w="1856" w:type="dxa"/>
            <w:hideMark/>
          </w:tcPr>
          <w:p w14:paraId="12D73F0E" w14:textId="77777777" w:rsidR="00160459" w:rsidRPr="0047058F" w:rsidRDefault="00160459" w:rsidP="0047058F">
            <w:pPr>
              <w:pStyle w:val="TableText"/>
              <w:jc w:val="right"/>
            </w:pPr>
            <w:r w:rsidRPr="0047058F">
              <w:t>76.2</w:t>
            </w:r>
          </w:p>
        </w:tc>
      </w:tr>
      <w:tr w:rsidR="00160459" w:rsidRPr="0047058F" w14:paraId="196331A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5722DAEC" w14:textId="77777777" w:rsidR="00160459" w:rsidRPr="0047058F" w:rsidRDefault="00160459" w:rsidP="0047058F">
            <w:pPr>
              <w:pStyle w:val="TableText"/>
            </w:pPr>
            <w:r w:rsidRPr="0047058F">
              <w:t>Other Ranks</w:t>
            </w:r>
          </w:p>
        </w:tc>
        <w:tc>
          <w:tcPr>
            <w:tcW w:w="1855" w:type="dxa"/>
            <w:hideMark/>
          </w:tcPr>
          <w:p w14:paraId="6F358093" w14:textId="77777777" w:rsidR="00160459" w:rsidRPr="0047058F" w:rsidRDefault="00160459" w:rsidP="0047058F">
            <w:pPr>
              <w:pStyle w:val="TableText"/>
              <w:jc w:val="right"/>
            </w:pPr>
            <w:r w:rsidRPr="0047058F">
              <w:t>47</w:t>
            </w:r>
          </w:p>
        </w:tc>
        <w:tc>
          <w:tcPr>
            <w:tcW w:w="1855" w:type="dxa"/>
            <w:hideMark/>
          </w:tcPr>
          <w:p w14:paraId="7292765E" w14:textId="77777777" w:rsidR="00160459" w:rsidRPr="0047058F" w:rsidRDefault="00160459" w:rsidP="0047058F">
            <w:pPr>
              <w:pStyle w:val="TableText"/>
              <w:jc w:val="right"/>
              <w:rPr>
                <w:color w:val="000000" w:themeColor="text1"/>
              </w:rPr>
            </w:pPr>
            <w:r w:rsidRPr="0047058F">
              <w:rPr>
                <w:color w:val="000000" w:themeColor="text1"/>
              </w:rPr>
              <w:t>39</w:t>
            </w:r>
          </w:p>
        </w:tc>
        <w:tc>
          <w:tcPr>
            <w:tcW w:w="1856" w:type="dxa"/>
            <w:hideMark/>
          </w:tcPr>
          <w:p w14:paraId="77D3F4CC" w14:textId="77777777" w:rsidR="00160459" w:rsidRPr="0047058F" w:rsidRDefault="00160459" w:rsidP="0047058F">
            <w:pPr>
              <w:pStyle w:val="TableText"/>
              <w:jc w:val="right"/>
            </w:pPr>
            <w:r w:rsidRPr="0047058F">
              <w:t>83.0</w:t>
            </w:r>
          </w:p>
        </w:tc>
      </w:tr>
      <w:tr w:rsidR="00160459" w:rsidRPr="0047058F" w14:paraId="7254A062" w14:textId="77777777" w:rsidTr="0047058F">
        <w:trPr>
          <w:cantSplit/>
        </w:trPr>
        <w:tc>
          <w:tcPr>
            <w:tcW w:w="1749" w:type="dxa"/>
            <w:hideMark/>
          </w:tcPr>
          <w:p w14:paraId="0D7534D5" w14:textId="77777777" w:rsidR="00160459" w:rsidRPr="0047058F" w:rsidRDefault="00160459" w:rsidP="0047058F">
            <w:pPr>
              <w:pStyle w:val="TableText"/>
            </w:pPr>
            <w:r w:rsidRPr="0047058F">
              <w:t>Missing</w:t>
            </w:r>
          </w:p>
        </w:tc>
        <w:tc>
          <w:tcPr>
            <w:tcW w:w="1855" w:type="dxa"/>
            <w:hideMark/>
          </w:tcPr>
          <w:p w14:paraId="64787C56" w14:textId="77777777" w:rsidR="00160459" w:rsidRPr="0047058F" w:rsidRDefault="00160459" w:rsidP="0047058F">
            <w:pPr>
              <w:pStyle w:val="TableText"/>
              <w:jc w:val="right"/>
            </w:pPr>
            <w:r w:rsidRPr="0047058F">
              <w:t>15</w:t>
            </w:r>
          </w:p>
        </w:tc>
        <w:tc>
          <w:tcPr>
            <w:tcW w:w="1855" w:type="dxa"/>
            <w:hideMark/>
          </w:tcPr>
          <w:p w14:paraId="7D46C87A" w14:textId="77777777" w:rsidR="00160459" w:rsidRPr="0047058F" w:rsidRDefault="00160459" w:rsidP="0047058F">
            <w:pPr>
              <w:pStyle w:val="TableText"/>
              <w:jc w:val="right"/>
              <w:rPr>
                <w:color w:val="000000" w:themeColor="text1"/>
              </w:rPr>
            </w:pPr>
            <w:r w:rsidRPr="0047058F">
              <w:rPr>
                <w:color w:val="000000" w:themeColor="text1"/>
              </w:rPr>
              <w:t>8</w:t>
            </w:r>
          </w:p>
        </w:tc>
        <w:tc>
          <w:tcPr>
            <w:tcW w:w="1856" w:type="dxa"/>
            <w:hideMark/>
          </w:tcPr>
          <w:p w14:paraId="1F85FD56" w14:textId="77777777" w:rsidR="00160459" w:rsidRPr="0047058F" w:rsidRDefault="00160459" w:rsidP="0047058F">
            <w:pPr>
              <w:pStyle w:val="TableText"/>
              <w:jc w:val="right"/>
            </w:pPr>
            <w:r w:rsidRPr="0047058F">
              <w:t>53.3</w:t>
            </w:r>
          </w:p>
        </w:tc>
      </w:tr>
      <w:tr w:rsidR="00160459" w:rsidRPr="0047058F" w14:paraId="1F33E5F7"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3399CF21" w14:textId="77777777" w:rsidR="00160459" w:rsidRPr="0047058F" w:rsidRDefault="00160459" w:rsidP="0047058F">
            <w:pPr>
              <w:pStyle w:val="TableText"/>
              <w:rPr>
                <w:b/>
              </w:rPr>
            </w:pPr>
            <w:r w:rsidRPr="0047058F">
              <w:rPr>
                <w:b/>
              </w:rPr>
              <w:t>Medical fitness</w:t>
            </w:r>
            <w:r w:rsidRPr="0047058F">
              <w:rPr>
                <w:b/>
                <w:vertAlign w:val="superscript"/>
              </w:rPr>
              <w:t>#</w:t>
            </w:r>
          </w:p>
        </w:tc>
        <w:tc>
          <w:tcPr>
            <w:tcW w:w="1855" w:type="dxa"/>
          </w:tcPr>
          <w:p w14:paraId="2EAC04D3" w14:textId="77777777" w:rsidR="00160459" w:rsidRPr="0047058F" w:rsidRDefault="00160459" w:rsidP="0047058F">
            <w:pPr>
              <w:pStyle w:val="TableText"/>
              <w:jc w:val="right"/>
            </w:pPr>
          </w:p>
        </w:tc>
        <w:tc>
          <w:tcPr>
            <w:tcW w:w="1855" w:type="dxa"/>
          </w:tcPr>
          <w:p w14:paraId="1841D258" w14:textId="77777777" w:rsidR="00160459" w:rsidRPr="0047058F" w:rsidRDefault="00160459" w:rsidP="0047058F">
            <w:pPr>
              <w:pStyle w:val="TableText"/>
              <w:jc w:val="right"/>
              <w:rPr>
                <w:color w:val="000000" w:themeColor="text1"/>
              </w:rPr>
            </w:pPr>
          </w:p>
        </w:tc>
        <w:tc>
          <w:tcPr>
            <w:tcW w:w="1856" w:type="dxa"/>
          </w:tcPr>
          <w:p w14:paraId="302F3C95" w14:textId="77777777" w:rsidR="00160459" w:rsidRPr="0047058F" w:rsidRDefault="00160459" w:rsidP="0047058F">
            <w:pPr>
              <w:pStyle w:val="TableText"/>
              <w:jc w:val="right"/>
            </w:pPr>
          </w:p>
        </w:tc>
      </w:tr>
      <w:tr w:rsidR="00160459" w:rsidRPr="0047058F" w14:paraId="47F4B794" w14:textId="77777777" w:rsidTr="0047058F">
        <w:trPr>
          <w:cantSplit/>
        </w:trPr>
        <w:tc>
          <w:tcPr>
            <w:tcW w:w="1749" w:type="dxa"/>
            <w:hideMark/>
          </w:tcPr>
          <w:p w14:paraId="2509F34C" w14:textId="77777777" w:rsidR="00160459" w:rsidRPr="0047058F" w:rsidRDefault="00160459" w:rsidP="0047058F">
            <w:pPr>
              <w:pStyle w:val="TableText"/>
            </w:pPr>
            <w:r w:rsidRPr="0047058F">
              <w:t>Fit</w:t>
            </w:r>
          </w:p>
        </w:tc>
        <w:tc>
          <w:tcPr>
            <w:tcW w:w="1855" w:type="dxa"/>
            <w:hideMark/>
          </w:tcPr>
          <w:p w14:paraId="09C777CA" w14:textId="77777777" w:rsidR="00160459" w:rsidRPr="0047058F" w:rsidRDefault="00160459" w:rsidP="0047058F">
            <w:pPr>
              <w:pStyle w:val="TableText"/>
              <w:jc w:val="right"/>
            </w:pPr>
            <w:r w:rsidRPr="0047058F">
              <w:t>130</w:t>
            </w:r>
          </w:p>
        </w:tc>
        <w:tc>
          <w:tcPr>
            <w:tcW w:w="1855" w:type="dxa"/>
            <w:hideMark/>
          </w:tcPr>
          <w:p w14:paraId="444B374E" w14:textId="77777777" w:rsidR="00160459" w:rsidRPr="0047058F" w:rsidRDefault="00160459" w:rsidP="0047058F">
            <w:pPr>
              <w:pStyle w:val="TableText"/>
              <w:jc w:val="right"/>
              <w:rPr>
                <w:color w:val="000000" w:themeColor="text1"/>
              </w:rPr>
            </w:pPr>
            <w:r w:rsidRPr="0047058F">
              <w:rPr>
                <w:color w:val="000000" w:themeColor="text1"/>
              </w:rPr>
              <w:t>103</w:t>
            </w:r>
          </w:p>
        </w:tc>
        <w:tc>
          <w:tcPr>
            <w:tcW w:w="1856" w:type="dxa"/>
            <w:hideMark/>
          </w:tcPr>
          <w:p w14:paraId="14958AA6" w14:textId="77777777" w:rsidR="00160459" w:rsidRPr="0047058F" w:rsidRDefault="00160459" w:rsidP="0047058F">
            <w:pPr>
              <w:pStyle w:val="TableText"/>
              <w:jc w:val="right"/>
            </w:pPr>
            <w:r w:rsidRPr="0047058F">
              <w:t>79.2</w:t>
            </w:r>
          </w:p>
        </w:tc>
      </w:tr>
      <w:tr w:rsidR="00160459" w:rsidRPr="0047058F" w14:paraId="4FED64FD"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1233883A" w14:textId="77777777" w:rsidR="00160459" w:rsidRPr="0047058F" w:rsidRDefault="00160459" w:rsidP="0047058F">
            <w:pPr>
              <w:pStyle w:val="TableText"/>
            </w:pPr>
            <w:r w:rsidRPr="0047058F">
              <w:t>Unfit</w:t>
            </w:r>
          </w:p>
        </w:tc>
        <w:tc>
          <w:tcPr>
            <w:tcW w:w="1855" w:type="dxa"/>
            <w:hideMark/>
          </w:tcPr>
          <w:p w14:paraId="5DFDDC48" w14:textId="77777777" w:rsidR="00160459" w:rsidRPr="0047058F" w:rsidRDefault="00160459" w:rsidP="0047058F">
            <w:pPr>
              <w:pStyle w:val="TableText"/>
              <w:jc w:val="right"/>
            </w:pPr>
            <w:r w:rsidRPr="0047058F">
              <w:t>21</w:t>
            </w:r>
          </w:p>
        </w:tc>
        <w:tc>
          <w:tcPr>
            <w:tcW w:w="1855" w:type="dxa"/>
            <w:hideMark/>
          </w:tcPr>
          <w:p w14:paraId="6EF88D5F" w14:textId="77777777" w:rsidR="00160459" w:rsidRPr="0047058F" w:rsidRDefault="00160459" w:rsidP="0047058F">
            <w:pPr>
              <w:pStyle w:val="TableText"/>
              <w:jc w:val="right"/>
              <w:rPr>
                <w:color w:val="000000" w:themeColor="text1"/>
              </w:rPr>
            </w:pPr>
            <w:r w:rsidRPr="0047058F">
              <w:rPr>
                <w:color w:val="000000" w:themeColor="text1"/>
              </w:rPr>
              <w:t>17</w:t>
            </w:r>
          </w:p>
        </w:tc>
        <w:tc>
          <w:tcPr>
            <w:tcW w:w="1856" w:type="dxa"/>
            <w:hideMark/>
          </w:tcPr>
          <w:p w14:paraId="50545FD6" w14:textId="77777777" w:rsidR="00160459" w:rsidRPr="0047058F" w:rsidRDefault="00160459" w:rsidP="0047058F">
            <w:pPr>
              <w:pStyle w:val="TableText"/>
              <w:jc w:val="right"/>
            </w:pPr>
            <w:r w:rsidRPr="0047058F">
              <w:t>81.0</w:t>
            </w:r>
          </w:p>
        </w:tc>
      </w:tr>
      <w:tr w:rsidR="00160459" w:rsidRPr="0047058F" w14:paraId="04854CED" w14:textId="77777777" w:rsidTr="0047058F">
        <w:trPr>
          <w:cantSplit/>
        </w:trPr>
        <w:tc>
          <w:tcPr>
            <w:tcW w:w="1749" w:type="dxa"/>
            <w:hideMark/>
          </w:tcPr>
          <w:p w14:paraId="61482C5A" w14:textId="77777777" w:rsidR="00160459" w:rsidRPr="0047058F" w:rsidRDefault="00160459" w:rsidP="0047058F">
            <w:pPr>
              <w:pStyle w:val="TableText"/>
            </w:pPr>
            <w:r w:rsidRPr="0047058F">
              <w:t>Missing</w:t>
            </w:r>
          </w:p>
        </w:tc>
        <w:tc>
          <w:tcPr>
            <w:tcW w:w="1855" w:type="dxa"/>
            <w:hideMark/>
          </w:tcPr>
          <w:p w14:paraId="28DA6EDC" w14:textId="77777777" w:rsidR="00160459" w:rsidRPr="0047058F" w:rsidRDefault="00160459" w:rsidP="0047058F">
            <w:pPr>
              <w:pStyle w:val="TableText"/>
              <w:jc w:val="right"/>
            </w:pPr>
            <w:r w:rsidRPr="0047058F">
              <w:t>32</w:t>
            </w:r>
          </w:p>
        </w:tc>
        <w:tc>
          <w:tcPr>
            <w:tcW w:w="1855" w:type="dxa"/>
            <w:hideMark/>
          </w:tcPr>
          <w:p w14:paraId="5EDBB28E" w14:textId="77777777" w:rsidR="00160459" w:rsidRPr="0047058F" w:rsidRDefault="00160459" w:rsidP="0047058F">
            <w:pPr>
              <w:pStyle w:val="TableText"/>
              <w:jc w:val="right"/>
              <w:rPr>
                <w:color w:val="000000" w:themeColor="text1"/>
              </w:rPr>
            </w:pPr>
            <w:r w:rsidRPr="0047058F">
              <w:rPr>
                <w:color w:val="000000" w:themeColor="text1"/>
              </w:rPr>
              <w:t>20</w:t>
            </w:r>
          </w:p>
        </w:tc>
        <w:tc>
          <w:tcPr>
            <w:tcW w:w="1856" w:type="dxa"/>
            <w:hideMark/>
          </w:tcPr>
          <w:p w14:paraId="2D5DDA1D" w14:textId="77777777" w:rsidR="00160459" w:rsidRPr="0047058F" w:rsidRDefault="00160459" w:rsidP="0047058F">
            <w:pPr>
              <w:pStyle w:val="TableText"/>
              <w:jc w:val="right"/>
            </w:pPr>
            <w:r w:rsidRPr="0047058F">
              <w:t>62.5</w:t>
            </w:r>
          </w:p>
        </w:tc>
      </w:tr>
      <w:tr w:rsidR="00160459" w:rsidRPr="0047058F" w14:paraId="16C8942B" w14:textId="77777777" w:rsidTr="0047058F">
        <w:trPr>
          <w:cnfStyle w:val="000000100000" w:firstRow="0" w:lastRow="0" w:firstColumn="0" w:lastColumn="0" w:oddVBand="0" w:evenVBand="0" w:oddHBand="1" w:evenHBand="0" w:firstRowFirstColumn="0" w:firstRowLastColumn="0" w:lastRowFirstColumn="0" w:lastRowLastColumn="0"/>
          <w:cantSplit/>
        </w:trPr>
        <w:tc>
          <w:tcPr>
            <w:tcW w:w="1749" w:type="dxa"/>
            <w:hideMark/>
          </w:tcPr>
          <w:p w14:paraId="08E4D108" w14:textId="77777777" w:rsidR="00160459" w:rsidRPr="0047058F" w:rsidRDefault="00160459" w:rsidP="0047058F">
            <w:pPr>
              <w:pStyle w:val="TableText"/>
              <w:rPr>
                <w:b/>
              </w:rPr>
            </w:pPr>
            <w:r w:rsidRPr="0047058F">
              <w:rPr>
                <w:b/>
              </w:rPr>
              <w:t>Total</w:t>
            </w:r>
          </w:p>
        </w:tc>
        <w:tc>
          <w:tcPr>
            <w:tcW w:w="1855" w:type="dxa"/>
            <w:hideMark/>
          </w:tcPr>
          <w:p w14:paraId="4D33C479" w14:textId="77777777" w:rsidR="00160459" w:rsidRPr="0047058F" w:rsidRDefault="00160459" w:rsidP="0047058F">
            <w:pPr>
              <w:pStyle w:val="TableText"/>
              <w:jc w:val="right"/>
              <w:rPr>
                <w:b/>
              </w:rPr>
            </w:pPr>
            <w:r w:rsidRPr="0047058F">
              <w:rPr>
                <w:b/>
              </w:rPr>
              <w:t>183</w:t>
            </w:r>
          </w:p>
        </w:tc>
        <w:tc>
          <w:tcPr>
            <w:tcW w:w="1855" w:type="dxa"/>
            <w:hideMark/>
          </w:tcPr>
          <w:p w14:paraId="56052202" w14:textId="77777777" w:rsidR="00160459" w:rsidRPr="0047058F" w:rsidRDefault="00160459" w:rsidP="0047058F">
            <w:pPr>
              <w:pStyle w:val="TableText"/>
              <w:jc w:val="right"/>
              <w:rPr>
                <w:b/>
              </w:rPr>
            </w:pPr>
            <w:r w:rsidRPr="0047058F">
              <w:rPr>
                <w:b/>
              </w:rPr>
              <w:t>140</w:t>
            </w:r>
          </w:p>
        </w:tc>
        <w:tc>
          <w:tcPr>
            <w:tcW w:w="1856" w:type="dxa"/>
            <w:hideMark/>
          </w:tcPr>
          <w:p w14:paraId="1DF68E94" w14:textId="77777777" w:rsidR="00160459" w:rsidRPr="0047058F" w:rsidRDefault="00160459" w:rsidP="0047058F">
            <w:pPr>
              <w:pStyle w:val="TableText"/>
              <w:jc w:val="right"/>
              <w:rPr>
                <w:b/>
              </w:rPr>
            </w:pPr>
            <w:r w:rsidRPr="0047058F">
              <w:rPr>
                <w:b/>
              </w:rPr>
              <w:t>76.5</w:t>
            </w:r>
          </w:p>
        </w:tc>
      </w:tr>
    </w:tbl>
    <w:p w14:paraId="27E8E547" w14:textId="77777777" w:rsidR="00160459" w:rsidRPr="0047058F" w:rsidRDefault="00160459" w:rsidP="00160459">
      <w:pPr>
        <w:pStyle w:val="TableNotes"/>
      </w:pPr>
      <w:r w:rsidRPr="0047058F">
        <w:t># Refer to glossary for a definition of ‘medical fitness’.</w:t>
      </w:r>
    </w:p>
    <w:p w14:paraId="2CB09C5A" w14:textId="77777777" w:rsidR="00160459" w:rsidRPr="0047058F" w:rsidRDefault="00160459" w:rsidP="00160459">
      <w:pPr>
        <w:pStyle w:val="TableNotes"/>
        <w:rPr>
          <w:b/>
        </w:rPr>
      </w:pPr>
      <w:r w:rsidRPr="0047058F">
        <w:rPr>
          <w:b/>
        </w:rPr>
        <w:t>Notes</w:t>
      </w:r>
    </w:p>
    <w:p w14:paraId="0E6AEE15" w14:textId="77777777" w:rsidR="00160459" w:rsidRPr="0047058F" w:rsidRDefault="00160459" w:rsidP="00160459">
      <w:pPr>
        <w:pStyle w:val="TableNotes"/>
      </w:pPr>
      <w:r w:rsidRPr="0047058F">
        <w:t>Denominator: Combat Zone sample invited to participate in the Composite International Diagnostic Interview (CIDI).</w:t>
      </w:r>
    </w:p>
    <w:p w14:paraId="373C56C0" w14:textId="77777777" w:rsidR="00160459" w:rsidRPr="0047058F" w:rsidRDefault="00160459" w:rsidP="00160459">
      <w:pPr>
        <w:pStyle w:val="TableNotes"/>
        <w:rPr>
          <w:bCs/>
        </w:rPr>
      </w:pPr>
      <w:r w:rsidRPr="0047058F">
        <w:t>Unweighted data.</w:t>
      </w:r>
    </w:p>
    <w:p w14:paraId="36C8C8EC" w14:textId="77777777" w:rsidR="00160459" w:rsidRPr="0047058F" w:rsidRDefault="00160459" w:rsidP="0047058F">
      <w:pPr>
        <w:keepNext/>
      </w:pPr>
      <w:r w:rsidRPr="0047058F">
        <w:t>The characteristics of the Combat Zone group CIDI respondents were as follows:</w:t>
      </w:r>
    </w:p>
    <w:p w14:paraId="4FD0D3CF" w14:textId="77777777" w:rsidR="00160459" w:rsidRPr="0047058F" w:rsidRDefault="00160459" w:rsidP="00160459">
      <w:pPr>
        <w:pStyle w:val="Bullet"/>
        <w:numPr>
          <w:ilvl w:val="0"/>
          <w:numId w:val="1"/>
        </w:numPr>
        <w:ind w:left="360"/>
      </w:pPr>
      <w:r w:rsidRPr="0047058F">
        <w:rPr>
          <w:b/>
        </w:rPr>
        <w:t>Sex</w:t>
      </w:r>
      <w:r w:rsidRPr="0047058F">
        <w:t xml:space="preserve"> – The Combat Zone CIDI sample consisted of both 2015 Regular ADF and Transitioned ADF members. Consistent with the ADF population, the CIDI sample was almost entirely male. Of the two females selected, both responded.</w:t>
      </w:r>
    </w:p>
    <w:p w14:paraId="195A9062" w14:textId="77777777" w:rsidR="00160459" w:rsidRPr="0047058F" w:rsidRDefault="00160459" w:rsidP="00160459">
      <w:pPr>
        <w:pStyle w:val="Bullet"/>
        <w:numPr>
          <w:ilvl w:val="0"/>
          <w:numId w:val="1"/>
        </w:numPr>
        <w:ind w:left="360"/>
      </w:pPr>
      <w:r w:rsidRPr="0047058F">
        <w:rPr>
          <w:b/>
        </w:rPr>
        <w:t>Rank</w:t>
      </w:r>
      <w:r w:rsidRPr="0047058F">
        <w:t xml:space="preserve"> – CIDI responders in this group consisted of 11.4% Officers, 55.0% Non-Commissioned Officers and 27.9% Other Ranks. Other Ranks were less likely to respond than the other two ranking categories.</w:t>
      </w:r>
    </w:p>
    <w:p w14:paraId="4261AD75" w14:textId="77777777" w:rsidR="00160459" w:rsidRPr="0047058F" w:rsidRDefault="00160459" w:rsidP="00160459">
      <w:pPr>
        <w:pStyle w:val="Bullet"/>
        <w:numPr>
          <w:ilvl w:val="0"/>
          <w:numId w:val="1"/>
        </w:numPr>
        <w:ind w:left="360"/>
      </w:pPr>
      <w:r w:rsidRPr="0047058F">
        <w:rPr>
          <w:b/>
        </w:rPr>
        <w:t>Service</w:t>
      </w:r>
      <w:r w:rsidRPr="0047058F">
        <w:t xml:space="preserve"> – 7.1% of survey responders were Navy, 79.3% were Army and 0.0% were Air Force. There was no difference between CIDI responders and non-responders in relation to Service.</w:t>
      </w:r>
    </w:p>
    <w:p w14:paraId="384841A3" w14:textId="77777777" w:rsidR="00160459" w:rsidRPr="0047058F" w:rsidRDefault="00160459" w:rsidP="00160459">
      <w:pPr>
        <w:pStyle w:val="Bullet"/>
        <w:numPr>
          <w:ilvl w:val="0"/>
          <w:numId w:val="1"/>
        </w:numPr>
        <w:ind w:left="360"/>
      </w:pPr>
      <w:r w:rsidRPr="0047058F">
        <w:rPr>
          <w:b/>
        </w:rPr>
        <w:t>Medical fitness</w:t>
      </w:r>
      <w:r w:rsidRPr="0047058F">
        <w:t xml:space="preserve"> – ADF members who were medically unfit were similarly represented in the CIDI responder group (12.1%) compared to those selected (11.5%). ADF members who were medically fit were also similarly represented in the CIDI responder group (73.6%) compared to 71.0% in the invited population. Therefore, the responder sample was representative in terms of medical fitness of the selected group.</w:t>
      </w:r>
    </w:p>
    <w:p w14:paraId="470AE5C7" w14:textId="77777777" w:rsidR="00160459" w:rsidRPr="0047058F" w:rsidRDefault="00160459" w:rsidP="00160459">
      <w:pPr>
        <w:pStyle w:val="Heading2b"/>
      </w:pPr>
      <w:bookmarkStart w:id="635" w:name="_Toc482021448"/>
      <w:bookmarkStart w:id="636" w:name="_Toc482024539"/>
      <w:bookmarkStart w:id="637" w:name="_Toc484594359"/>
      <w:bookmarkStart w:id="638" w:name="_Toc487011297"/>
      <w:bookmarkStart w:id="639" w:name="_Toc493663192"/>
      <w:bookmarkStart w:id="640" w:name="_Toc494449811"/>
      <w:r w:rsidRPr="0047058F">
        <w:t>Study overview</w:t>
      </w:r>
      <w:bookmarkEnd w:id="635"/>
      <w:bookmarkEnd w:id="636"/>
      <w:bookmarkEnd w:id="637"/>
      <w:bookmarkEnd w:id="638"/>
      <w:bookmarkEnd w:id="639"/>
      <w:bookmarkEnd w:id="640"/>
    </w:p>
    <w:p w14:paraId="081DDBC9" w14:textId="77777777" w:rsidR="00160459" w:rsidRPr="0047058F" w:rsidRDefault="00160459" w:rsidP="00160459">
      <w:r w:rsidRPr="0047058F">
        <w:t>Prevalence estimates were obtained using a two-phase design. This is a well-accepted approach to epidemiological research (Salim &amp; Welsh, 2009), and was utilised in the 2010 ADF Mental Health Prevalence and Wellbeing Study (McFarlane et al., 2011). In the first phase, participants completed a screening questionnaire. This provided the research team with a clear picture of psychological symptoms from a dimensional perspective.</w:t>
      </w:r>
    </w:p>
    <w:p w14:paraId="7C857559" w14:textId="77777777" w:rsidR="00160459" w:rsidRPr="0047058F" w:rsidRDefault="00160459" w:rsidP="00160459">
      <w:pPr>
        <w:rPr>
          <w:rFonts w:asciiTheme="minorHAnsi" w:hAnsiTheme="minorHAnsi"/>
        </w:rPr>
      </w:pPr>
      <w:r w:rsidRPr="0047058F">
        <w:rPr>
          <w:lang w:eastAsia="en-AU"/>
        </w:rPr>
        <w:t xml:space="preserve">Based on certain key results from the survey and specific demographic factors, a subset of participants was also selected to participate in a one-hour </w:t>
      </w:r>
      <w:r w:rsidRPr="0047058F">
        <w:t>diagnostic mental health</w:t>
      </w:r>
      <w:r w:rsidRPr="0047058F">
        <w:rPr>
          <w:lang w:eastAsia="en-AU"/>
        </w:rPr>
        <w:t xml:space="preserve"> telephone interview.</w:t>
      </w:r>
      <w:r w:rsidRPr="0047058F">
        <w:t xml:space="preserve"> Additional biological, neurocognitive testing and magnetic resonance imaging (MRI) was undertaken by participants in the Combat Zone sample. A detailed description of this additional testing is not provided here but will be provided in a later report.</w:t>
      </w:r>
    </w:p>
    <w:p w14:paraId="26F3D48A" w14:textId="77777777" w:rsidR="00160459" w:rsidRPr="0047058F" w:rsidRDefault="00160459" w:rsidP="00160459">
      <w:r w:rsidRPr="0047058F">
        <w:t>Interview data for the Transitioned ADF were weighted to ensure the representativeness of the prevalence estimates for key subgroups within the total Transitioned ADF population. Self-report survey data were also weighted to be representative of both the Transitioned ADF and the 2015 Regular ADF.</w:t>
      </w:r>
    </w:p>
    <w:p w14:paraId="732D79B0" w14:textId="77777777" w:rsidR="00160459" w:rsidRPr="0047058F" w:rsidRDefault="00160459" w:rsidP="00160459">
      <w:pPr>
        <w:pStyle w:val="Heading2b"/>
      </w:pPr>
      <w:bookmarkStart w:id="641" w:name="_Toc341700582"/>
      <w:bookmarkStart w:id="642" w:name="_Toc482021449"/>
      <w:bookmarkStart w:id="643" w:name="_Toc482024540"/>
      <w:bookmarkStart w:id="644" w:name="_Toc484594360"/>
      <w:bookmarkStart w:id="645" w:name="_Toc487011298"/>
      <w:bookmarkStart w:id="646" w:name="_Toc493663193"/>
      <w:bookmarkStart w:id="647" w:name="_Toc494449812"/>
      <w:r w:rsidRPr="0047058F">
        <w:t>Measures</w:t>
      </w:r>
      <w:bookmarkEnd w:id="641"/>
      <w:bookmarkEnd w:id="642"/>
      <w:bookmarkEnd w:id="643"/>
      <w:bookmarkEnd w:id="644"/>
      <w:bookmarkEnd w:id="645"/>
      <w:bookmarkEnd w:id="646"/>
      <w:bookmarkEnd w:id="647"/>
    </w:p>
    <w:p w14:paraId="32A240AF" w14:textId="77777777" w:rsidR="00160459" w:rsidRPr="0047058F" w:rsidRDefault="00160459" w:rsidP="00160459">
      <w:pPr>
        <w:pStyle w:val="Heading3b"/>
      </w:pPr>
      <w:bookmarkStart w:id="648" w:name="_Toc487011299"/>
      <w:bookmarkStart w:id="649" w:name="_Toc493663194"/>
      <w:r w:rsidRPr="0047058F">
        <w:t>Phase 1: Self-report survey</w:t>
      </w:r>
      <w:bookmarkEnd w:id="648"/>
      <w:bookmarkEnd w:id="649"/>
    </w:p>
    <w:p w14:paraId="15985B35" w14:textId="77777777" w:rsidR="00160459" w:rsidRPr="0047058F" w:rsidRDefault="00160459" w:rsidP="00160459">
      <w:pPr>
        <w:rPr>
          <w:rFonts w:cs="Arial"/>
          <w:szCs w:val="22"/>
        </w:rPr>
      </w:pPr>
      <w:r w:rsidRPr="0047058F">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which was completed either online or in hard copy. This survey</w:t>
      </w:r>
      <w:r w:rsidRPr="0047058F">
        <w:rPr>
          <w:rFonts w:cs="Arial"/>
          <w:szCs w:val="22"/>
        </w:rPr>
        <w:t xml:space="preserve"> was developed at the beginning of the study period in close consultation with DVA and Defence. Survey anonymity was preserved via the allocation of a unique study ID number to each participant. Participants who previously completed a survey as part of the 2010 ADF Mental Health Prevalence and Wellbeing Study were allocated their same MilHOP study ID number.</w:t>
      </w:r>
    </w:p>
    <w:p w14:paraId="10EFCDBC" w14:textId="77777777" w:rsidR="00160459" w:rsidRPr="0047058F" w:rsidRDefault="00160459" w:rsidP="00160459">
      <w:r w:rsidRPr="0047058F">
        <w:t>Participants were able to complete the survey in one of two ways:</w:t>
      </w:r>
    </w:p>
    <w:p w14:paraId="5AB451BA" w14:textId="77777777" w:rsidR="00160459" w:rsidRPr="0047058F" w:rsidRDefault="00160459" w:rsidP="00160459">
      <w:pPr>
        <w:pStyle w:val="Bullet"/>
        <w:numPr>
          <w:ilvl w:val="0"/>
          <w:numId w:val="1"/>
        </w:numPr>
        <w:ind w:left="360"/>
      </w:pPr>
      <w:r w:rsidRPr="0047058F">
        <w:t>Online – participants were sent an email that included a secure link to an online invitation package containing the web-based survey. Participants could only access the survey by entering their unique study ID number and password, which was provided to them in the invitation email.</w:t>
      </w:r>
    </w:p>
    <w:p w14:paraId="52B041C2" w14:textId="77777777" w:rsidR="00160459" w:rsidRPr="0047058F" w:rsidRDefault="00160459" w:rsidP="00160459">
      <w:pPr>
        <w:pStyle w:val="Bullet"/>
        <w:numPr>
          <w:ilvl w:val="0"/>
          <w:numId w:val="1"/>
        </w:numPr>
        <w:ind w:left="360"/>
      </w:pPr>
      <w:r w:rsidRPr="0047058F">
        <w:t>In hard copy – participants could opt to complete a hard copy version of the questionnaire, which was then mailed to their current postal address.</w:t>
      </w:r>
    </w:p>
    <w:p w14:paraId="4ED78C9D" w14:textId="77777777" w:rsidR="00160459" w:rsidRPr="0047058F" w:rsidRDefault="00160459" w:rsidP="00160459">
      <w:r w:rsidRPr="0047058F">
        <w:t>Each participating sample received a slightly different questionnaire relevant to their current ADF status – Transitioned ADF member, 2015 Regular ADF member, or Ab Initio Reservist – in regard to demographics, Service and deployment history; however, the core-validated measures of psychological and physical health remained the same and replicated where possible the measures previously administered as part of the MHPWS in 2010. This component of the design is critical to the longitudinal comparisons across time and highlights the importance of a consistent approach to the oversight of research design of military and veteran populations over time.</w:t>
      </w:r>
    </w:p>
    <w:p w14:paraId="3E3A3468" w14:textId="77777777" w:rsidR="00160459" w:rsidRPr="0047058F" w:rsidRDefault="00160459" w:rsidP="00160459">
      <w:r w:rsidRPr="0047058F">
        <w:t>Prior to rollout, the online and hard copy versions of the self-report survey were piloted on a select group of 2015 Regular ADF and ex-serving ADF members. Individuals in the pilot group were asked to provide detailed feedback pertinent to the content and adequacy of the survey and the usability of the system and form. Their comments and feedback were subsequently incorporated into the final version of the survey. This ensured that there were no mistakes in the survey or glitches in the system prior to the study rolling out.</w:t>
      </w:r>
    </w:p>
    <w:p w14:paraId="59F95DA9" w14:textId="77777777" w:rsidR="00160459" w:rsidRPr="0047058F" w:rsidRDefault="00160459" w:rsidP="00160459">
      <w:r w:rsidRPr="0047058F">
        <w:t>Please note that details of the survey provided to participants belonging to the Combat Zone sample are not provided here, but will be provided in a later report.</w:t>
      </w:r>
    </w:p>
    <w:p w14:paraId="4E8AFB1A" w14:textId="77777777" w:rsidR="00160459" w:rsidRPr="0047058F" w:rsidRDefault="00160459" w:rsidP="00160459">
      <w:pPr>
        <w:pStyle w:val="Heading4"/>
        <w:ind w:left="864" w:hanging="864"/>
        <w:rPr>
          <w:rFonts w:eastAsia="MS ??"/>
        </w:rPr>
      </w:pPr>
      <w:r w:rsidRPr="0047058F">
        <w:rPr>
          <w:rFonts w:eastAsia="MS ??"/>
        </w:rPr>
        <w:t>Part 1 of survey: Demographics and Service details</w:t>
      </w:r>
    </w:p>
    <w:p w14:paraId="44D00510" w14:textId="77777777" w:rsidR="00160459" w:rsidRPr="0047058F" w:rsidRDefault="00160459" w:rsidP="00160459">
      <w:r w:rsidRPr="0047058F">
        <w:t>Part 1 of the survey was completed by all samples and comprised the major sections described below.</w:t>
      </w:r>
    </w:p>
    <w:p w14:paraId="7B5F10DF" w14:textId="77777777" w:rsidR="00160459" w:rsidRPr="0047058F" w:rsidRDefault="00160459" w:rsidP="00160459">
      <w:pPr>
        <w:pStyle w:val="Heading5"/>
        <w:rPr>
          <w:lang w:val="en-AU"/>
        </w:rPr>
      </w:pPr>
      <w:r w:rsidRPr="0047058F">
        <w:rPr>
          <w:lang w:val="en-AU"/>
        </w:rPr>
        <w:t>Demographic information</w:t>
      </w:r>
    </w:p>
    <w:p w14:paraId="091747F5" w14:textId="77777777" w:rsidR="00160459" w:rsidRPr="0047058F" w:rsidRDefault="00160459" w:rsidP="00160459">
      <w:r w:rsidRPr="0047058F">
        <w:t>Participants were asked to provide demographic information for sex, date of birth and highest educational qualification attained. These items were taken directly from the 2010 MHPWS (McFarlane et al., 2011).</w:t>
      </w:r>
    </w:p>
    <w:p w14:paraId="5D3028BE" w14:textId="77777777" w:rsidR="00160459" w:rsidRPr="0047058F" w:rsidRDefault="00160459" w:rsidP="00160459">
      <w:pPr>
        <w:pStyle w:val="Heading5"/>
        <w:rPr>
          <w:lang w:val="en-AU"/>
        </w:rPr>
      </w:pPr>
      <w:r w:rsidRPr="0047058F">
        <w:rPr>
          <w:lang w:val="en-AU"/>
        </w:rPr>
        <w:t>Household and family structure</w:t>
      </w:r>
    </w:p>
    <w:p w14:paraId="1B97D758" w14:textId="77777777" w:rsidR="00160459" w:rsidRPr="0047058F" w:rsidRDefault="00160459" w:rsidP="00160459">
      <w:pPr>
        <w:keepNext/>
      </w:pPr>
      <w:r w:rsidRPr="0047058F">
        <w:t xml:space="preserve">Participants were asked questions about their relationship status, household structure and children. Items in this section were derived from several sources including the Timor-Leste Family Study (McGuire et al., 2012), </w:t>
      </w:r>
      <w:hyperlink r:id="rId91" w:history="1">
        <w:r w:rsidRPr="0047058F">
          <w:t>the Household, Income and Labour Dynamics in Australia (HILDA) Survey</w:t>
        </w:r>
      </w:hyperlink>
      <w:r w:rsidRPr="0047058F">
        <w:t xml:space="preserve"> (Watson &amp; Wooden, 2002) and the 2014 Vietnam Veterans Family Study conducted by DVA (Forrest, Edwards &amp; Daraganova, 2014).</w:t>
      </w:r>
    </w:p>
    <w:p w14:paraId="2B2D0809" w14:textId="77777777" w:rsidR="00160459" w:rsidRPr="0047058F" w:rsidRDefault="00160459" w:rsidP="00160459">
      <w:pPr>
        <w:pStyle w:val="Heading5"/>
        <w:rPr>
          <w:lang w:val="en-AU"/>
        </w:rPr>
      </w:pPr>
      <w:r w:rsidRPr="0047058F">
        <w:rPr>
          <w:lang w:val="en-AU"/>
        </w:rPr>
        <w:t>Financial status</w:t>
      </w:r>
    </w:p>
    <w:p w14:paraId="799A1C87" w14:textId="77777777" w:rsidR="00160459" w:rsidRPr="0047058F" w:rsidRDefault="00160459" w:rsidP="00160459">
      <w:r w:rsidRPr="0047058F">
        <w:t xml:space="preserve">Items assessing participants’ current financial status, including financial hardship, were taken from the </w:t>
      </w:r>
      <w:hyperlink r:id="rId92" w:history="1">
        <w:r w:rsidRPr="0047058F">
          <w:t>HILDA</w:t>
        </w:r>
      </w:hyperlink>
      <w:r w:rsidRPr="0047058F">
        <w:t xml:space="preserve"> Survey (Watson &amp; Wooden, 2002) and the Health and Wellbeing Survey of Serving and Ex-Serving Personnel of the UK Armed Forces: Phase 2 (Fear et al., 2010).</w:t>
      </w:r>
    </w:p>
    <w:p w14:paraId="28457063" w14:textId="77777777" w:rsidR="00160459" w:rsidRPr="0047058F" w:rsidRDefault="00160459" w:rsidP="00160459">
      <w:pPr>
        <w:pStyle w:val="Heading5"/>
        <w:rPr>
          <w:lang w:val="en-AU"/>
        </w:rPr>
      </w:pPr>
      <w:r w:rsidRPr="0047058F">
        <w:rPr>
          <w:lang w:val="en-AU"/>
        </w:rPr>
        <w:t>Homelessness</w:t>
      </w:r>
    </w:p>
    <w:p w14:paraId="0AF55DDC" w14:textId="77777777" w:rsidR="00160459" w:rsidRPr="0047058F" w:rsidRDefault="00160459" w:rsidP="00160459">
      <w:pPr>
        <w:rPr>
          <w:rFonts w:asciiTheme="minorHAnsi" w:hAnsiTheme="minorHAnsi"/>
          <w:lang w:eastAsia="en-AU"/>
        </w:rPr>
      </w:pPr>
      <w:r w:rsidRPr="0047058F">
        <w:rPr>
          <w:lang w:eastAsia="en-AU"/>
        </w:rPr>
        <w:t>This section of the survey comprised eight questions from the 2010 General Social Survey (Australian Bureau of Statistics, 2011), which addressed lifetime and recent episodes of homelessness. Items looked at:</w:t>
      </w:r>
    </w:p>
    <w:p w14:paraId="021E76E0" w14:textId="77777777" w:rsidR="00160459" w:rsidRPr="0047058F" w:rsidRDefault="00160459" w:rsidP="00160459">
      <w:pPr>
        <w:pStyle w:val="Bullet"/>
        <w:numPr>
          <w:ilvl w:val="0"/>
          <w:numId w:val="1"/>
        </w:numPr>
        <w:ind w:left="360"/>
      </w:pPr>
      <w:r w:rsidRPr="0047058F">
        <w:t>participants’ experiences of homelessness</w:t>
      </w:r>
    </w:p>
    <w:p w14:paraId="65C31A75" w14:textId="77777777" w:rsidR="00160459" w:rsidRPr="0047058F" w:rsidRDefault="00160459" w:rsidP="00160459">
      <w:pPr>
        <w:pStyle w:val="Bullet"/>
        <w:numPr>
          <w:ilvl w:val="0"/>
          <w:numId w:val="1"/>
        </w:numPr>
        <w:ind w:left="360"/>
      </w:pPr>
      <w:r w:rsidRPr="0047058F">
        <w:t>reasons for homelessness</w:t>
      </w:r>
    </w:p>
    <w:p w14:paraId="08DAE55C" w14:textId="77777777" w:rsidR="00160459" w:rsidRPr="0047058F" w:rsidRDefault="00160459" w:rsidP="00160459">
      <w:pPr>
        <w:pStyle w:val="Bullet"/>
        <w:numPr>
          <w:ilvl w:val="0"/>
          <w:numId w:val="1"/>
        </w:numPr>
        <w:ind w:left="360"/>
      </w:pPr>
      <w:r w:rsidRPr="0047058F">
        <w:t>frequency of homelessness</w:t>
      </w:r>
    </w:p>
    <w:p w14:paraId="509D9F49" w14:textId="77777777" w:rsidR="00160459" w:rsidRPr="0047058F" w:rsidRDefault="00160459" w:rsidP="00160459">
      <w:pPr>
        <w:pStyle w:val="Bullet"/>
        <w:numPr>
          <w:ilvl w:val="0"/>
          <w:numId w:val="1"/>
        </w:numPr>
        <w:ind w:left="360"/>
      </w:pPr>
      <w:r w:rsidRPr="0047058F">
        <w:t>details about their most recent experience of homelessness (reason for homelessness, time frame, recency)</w:t>
      </w:r>
    </w:p>
    <w:p w14:paraId="49F49B72" w14:textId="77777777" w:rsidR="00160459" w:rsidRPr="0047058F" w:rsidRDefault="00160459" w:rsidP="00160459">
      <w:pPr>
        <w:pStyle w:val="Bullet"/>
        <w:numPr>
          <w:ilvl w:val="0"/>
          <w:numId w:val="1"/>
        </w:numPr>
        <w:ind w:left="360"/>
      </w:pPr>
      <w:r w:rsidRPr="0047058F">
        <w:t>assistance sought during period(s) of homelessness, and helpfulness of these services</w:t>
      </w:r>
    </w:p>
    <w:p w14:paraId="47FC3BC8" w14:textId="77777777" w:rsidR="00160459" w:rsidRPr="0047058F" w:rsidRDefault="00160459" w:rsidP="00160459">
      <w:pPr>
        <w:pStyle w:val="Bullet"/>
        <w:numPr>
          <w:ilvl w:val="0"/>
          <w:numId w:val="1"/>
        </w:numPr>
        <w:ind w:left="360"/>
      </w:pPr>
      <w:r w:rsidRPr="0047058F">
        <w:t>barriers to seeking support.</w:t>
      </w:r>
    </w:p>
    <w:p w14:paraId="328E398E" w14:textId="77777777" w:rsidR="00160459" w:rsidRPr="0047058F" w:rsidRDefault="00160459" w:rsidP="00160459">
      <w:pPr>
        <w:pStyle w:val="Heading5"/>
        <w:rPr>
          <w:lang w:val="en-AU"/>
        </w:rPr>
      </w:pPr>
      <w:r w:rsidRPr="0047058F">
        <w:rPr>
          <w:lang w:val="en-AU"/>
        </w:rPr>
        <w:t>ADF service details</w:t>
      </w:r>
    </w:p>
    <w:p w14:paraId="1542C485" w14:textId="77777777" w:rsidR="00160459" w:rsidRPr="0047058F" w:rsidRDefault="00160459" w:rsidP="00160459">
      <w:r w:rsidRPr="0047058F">
        <w:rPr>
          <w:color w:val="000000" w:themeColor="text1"/>
        </w:rPr>
        <w:t xml:space="preserve">Participants were asked a series </w:t>
      </w:r>
      <w:r w:rsidRPr="0047058F">
        <w:t>of questions specific to their employment with the ADF, including the number of years served, current service status, hours worked per week, rank and Service. Depending on their rank and Service, participants were also asked a series of questions pertaining to their specialty and specific role within the ADF. Items in this section were taken from the 2007 National Survey of Mental Health and Wellbeing (Australian Bureau of Statistics, 2008) and the 2011 Australian Defence Force Exit Survey (Shirt, 2012).</w:t>
      </w:r>
    </w:p>
    <w:p w14:paraId="3D79E42E" w14:textId="77777777" w:rsidR="00160459" w:rsidRPr="0047058F" w:rsidRDefault="00160459" w:rsidP="00160459">
      <w:pPr>
        <w:pStyle w:val="Heading5"/>
        <w:rPr>
          <w:lang w:val="en-AU"/>
        </w:rPr>
      </w:pPr>
      <w:r w:rsidRPr="0047058F">
        <w:rPr>
          <w:lang w:val="en-AU"/>
        </w:rPr>
        <w:t>Feelings about the ADF</w:t>
      </w:r>
    </w:p>
    <w:p w14:paraId="08338597" w14:textId="77777777" w:rsidR="00160459" w:rsidRPr="0047058F" w:rsidRDefault="00160459" w:rsidP="00160459">
      <w:pPr>
        <w:keepNext/>
      </w:pPr>
      <w:r w:rsidRPr="0047058F">
        <w:t>This section of the survey aimed to assess participants’ level of organisational commitment. Four items were taken from Allen and Meyer’s Affective Commitment Scale (Allen &amp; John, 1990), and the other four items were developed by researchers for the study.</w:t>
      </w:r>
    </w:p>
    <w:p w14:paraId="3B98B345" w14:textId="77777777" w:rsidR="00160459" w:rsidRPr="0047058F" w:rsidRDefault="00160459" w:rsidP="00160459">
      <w:pPr>
        <w:rPr>
          <w:lang w:eastAsia="en-AU"/>
        </w:rPr>
      </w:pPr>
      <w:r w:rsidRPr="0047058F">
        <w:rPr>
          <w:lang w:eastAsia="en-AU"/>
        </w:rPr>
        <w:t>Transitioned ADF members were also asked additional questions in part 1 of the survey, pertaining to the items described below.</w:t>
      </w:r>
    </w:p>
    <w:p w14:paraId="6C22277E" w14:textId="77777777" w:rsidR="00160459" w:rsidRPr="0047058F" w:rsidRDefault="00160459" w:rsidP="00160459">
      <w:pPr>
        <w:pStyle w:val="Heading5"/>
        <w:rPr>
          <w:lang w:val="en-AU"/>
        </w:rPr>
      </w:pPr>
      <w:r w:rsidRPr="0047058F">
        <w:rPr>
          <w:lang w:val="en-AU"/>
        </w:rPr>
        <w:t>Employment status</w:t>
      </w:r>
    </w:p>
    <w:p w14:paraId="75520D46" w14:textId="77777777" w:rsidR="00160459" w:rsidRPr="0047058F" w:rsidRDefault="00160459" w:rsidP="00160459">
      <w:r w:rsidRPr="0047058F">
        <w:t>In this section of the survey, participants were asked about their current employment activities. Examples of options included ‘full-time work greater than or equal to 30 hours paid employment per week’, ‘home duties’ and ‘unemployed/looking for work’. Unemployed members were also required to provide a reason for their unemployed status. Items in this section were taken from the Young and Well Cooperative Research Centre standard suite of measures (Young and Well Cooperative Research Centre, 2013) and the Health and Wellbeing Survey of Serving and Ex-Serving Personnel of the UK Armed Forces: Phase 2 (Fear et al., 2010).</w:t>
      </w:r>
    </w:p>
    <w:p w14:paraId="67D4240C" w14:textId="77777777" w:rsidR="00160459" w:rsidRPr="0047058F" w:rsidRDefault="00160459" w:rsidP="00160459">
      <w:r w:rsidRPr="0047058F">
        <w:t xml:space="preserve">Participants were also required to provide details about their current civilian employment, including the number of hours worked per week, the industry of employment and their main source of income. Items in this section were derived from the Health and Wellbeing Survey of Serving and Ex-Serving Personnel of the UK Armed Forces: Phase 2 (Fear et al., 2010), the Australian Defence Force Exit Survey (Shirt, 2012), and </w:t>
      </w:r>
      <w:hyperlink r:id="rId93" w:history="1">
        <w:r w:rsidRPr="0047058F">
          <w:t>the Household, Income and Labour Dynamics</w:t>
        </w:r>
        <w:r w:rsidRPr="0047058F">
          <w:rPr>
            <w:rFonts w:eastAsia="MS Gothic"/>
          </w:rPr>
          <w:t xml:space="preserve"> </w:t>
        </w:r>
        <w:r w:rsidRPr="0047058F">
          <w:t>in Australia (HILDA) Survey</w:t>
        </w:r>
      </w:hyperlink>
      <w:r w:rsidRPr="0047058F">
        <w:t xml:space="preserve"> (Watson &amp; Wooden, 2002). Participants were also asked to indicate whether they had experienced a period of unemployment greater than three months since transitioning, and when this period began. This item was taken from the Australian Gulf War Veterans Health Study 2011 follow-up (Sim et al., 2015).</w:t>
      </w:r>
    </w:p>
    <w:p w14:paraId="5077D6AC" w14:textId="77777777" w:rsidR="00160459" w:rsidRPr="0047058F" w:rsidRDefault="00160459" w:rsidP="00160459">
      <w:pPr>
        <w:pStyle w:val="Heading5"/>
        <w:rPr>
          <w:lang w:val="en-AU"/>
        </w:rPr>
      </w:pPr>
      <w:r w:rsidRPr="0047058F">
        <w:rPr>
          <w:lang w:val="en-AU"/>
        </w:rPr>
        <w:t>Reservist status</w:t>
      </w:r>
    </w:p>
    <w:p w14:paraId="2073570F" w14:textId="77777777" w:rsidR="00160459" w:rsidRPr="0047058F" w:rsidRDefault="00160459" w:rsidP="00160459">
      <w:r w:rsidRPr="0047058F">
        <w:t>In this section of the survey, participants were asked about their Reservist status and, where relevant, to provide details pertaining to their Reservist employment, including their full-time/part-time status, the number of hours worked, and weeks away for Reservist work. Items in this section were taken from the Soldier Wellbeing Survey (Riviere, Kendall-Robbins, McGurk, Castro &amp; Hoge, 2011; Thomas et al., 2010).</w:t>
      </w:r>
    </w:p>
    <w:p w14:paraId="03DF945F" w14:textId="77777777" w:rsidR="00160459" w:rsidRPr="0047058F" w:rsidRDefault="00160459" w:rsidP="00160459">
      <w:pPr>
        <w:pStyle w:val="Heading5"/>
        <w:rPr>
          <w:lang w:val="en-AU"/>
        </w:rPr>
      </w:pPr>
      <w:r w:rsidRPr="0047058F">
        <w:rPr>
          <w:lang w:val="en-AU"/>
        </w:rPr>
        <w:t>Year of transition</w:t>
      </w:r>
    </w:p>
    <w:p w14:paraId="334BC3A6" w14:textId="77777777" w:rsidR="00160459" w:rsidRPr="0047058F" w:rsidRDefault="00160459" w:rsidP="00160459">
      <w:r w:rsidRPr="0047058F">
        <w:t>Participants were asked to indicate what year they transitioned into Active Reserves/Inactive Reserves/out of the ADF. These questions were taken from the Health and Wellbeing Survey of Serving and Ex-Serving Personnel of the UK Armed Forces: Phase 2 (Fear et al., 2010) and the Australian Gulf War Veterans Health Study 2011 follow-up (Sim et al., 2015).</w:t>
      </w:r>
    </w:p>
    <w:p w14:paraId="7C9D878D" w14:textId="77777777" w:rsidR="00160459" w:rsidRPr="0047058F" w:rsidRDefault="00160459" w:rsidP="00160459">
      <w:pPr>
        <w:pStyle w:val="Heading5"/>
        <w:rPr>
          <w:lang w:val="en-AU"/>
        </w:rPr>
      </w:pPr>
      <w:r w:rsidRPr="0047058F">
        <w:rPr>
          <w:lang w:val="en-AU"/>
        </w:rPr>
        <w:t>Change in relationship status</w:t>
      </w:r>
    </w:p>
    <w:p w14:paraId="42661AAB" w14:textId="77777777" w:rsidR="00160459" w:rsidRPr="0047058F" w:rsidRDefault="00160459" w:rsidP="00160459">
      <w:r w:rsidRPr="0047058F">
        <w:t>Participants were asked to indicate whether their relationship status had changed since transitioning from full-time Regular ADF service. If divorced, separated or widowed since transition, participants were asked to provide a date. This item in the survey was taken from the Australian Gulf War Veterans Health Study 2011 follow-up (Sim et al., 2015).</w:t>
      </w:r>
    </w:p>
    <w:p w14:paraId="6219E211" w14:textId="77777777" w:rsidR="00160459" w:rsidRPr="0047058F" w:rsidRDefault="00160459" w:rsidP="00160459">
      <w:pPr>
        <w:pStyle w:val="Heading5"/>
        <w:rPr>
          <w:lang w:val="en-AU"/>
        </w:rPr>
      </w:pPr>
      <w:r w:rsidRPr="0047058F">
        <w:rPr>
          <w:lang w:val="en-AU"/>
        </w:rPr>
        <w:t>ADF separation details</w:t>
      </w:r>
    </w:p>
    <w:p w14:paraId="16029F1D" w14:textId="77777777" w:rsidR="00160459" w:rsidRPr="0047058F" w:rsidRDefault="00160459" w:rsidP="00160459">
      <w:r w:rsidRPr="0047058F">
        <w:t>This section of the survey comprised two parts. First, participants were asked about their discharge/resignation category. Examples of options included ‘medical discharge’, ‘compassionate grounds’ and ‘end of fixed-period engagement’. In part 2, participants were provided with a comprehensive list of reasons for leaving the ADF and asked to mark all that played a role in their decision to leave. Participants were also asked to indicate the main reason of those selected. Items in this section were based on the current exit survey utilised by the ADF (Shirt, 2012).</w:t>
      </w:r>
    </w:p>
    <w:p w14:paraId="7D9ED574" w14:textId="77777777" w:rsidR="00160459" w:rsidRPr="0047058F" w:rsidRDefault="00160459" w:rsidP="00160459">
      <w:r w:rsidRPr="0047058F">
        <w:t>ADF Reservists were also asked additional survey questions pertaining to the items described below.</w:t>
      </w:r>
    </w:p>
    <w:p w14:paraId="516FACA4" w14:textId="77777777" w:rsidR="00160459" w:rsidRPr="0047058F" w:rsidRDefault="00160459" w:rsidP="00160459">
      <w:pPr>
        <w:pStyle w:val="Heading5"/>
        <w:rPr>
          <w:lang w:val="en-AU"/>
        </w:rPr>
      </w:pPr>
      <w:r w:rsidRPr="0047058F">
        <w:rPr>
          <w:lang w:val="en-AU"/>
        </w:rPr>
        <w:t>Reservist details</w:t>
      </w:r>
    </w:p>
    <w:p w14:paraId="443EDFD4" w14:textId="77777777" w:rsidR="00160459" w:rsidRPr="0047058F" w:rsidRDefault="00160459" w:rsidP="00160459">
      <w:r w:rsidRPr="0047058F">
        <w:t>Participants were asked to provide details in relation to the following: length of time served as a Reservist, Reservist status, periods of continuous full-time service, hours worked per week in the past month, weeks away in the past five years, and satisfaction with participation in the Reserves. Items in this section were derived from the Soldier Wellbeing Survey (Riviere et al., 2011; Thomas et al., 2010), the Health and Wellbeing Survey of Serving and Ex-Serving Personnel of the UK Armed Forces: Phase 2 (Fear et al., 2010) and the RAND Guard/Reserve Survey of Officer and Enlisted Personnel (Kirby &amp; Naftel, 1998). Other items were developed specifically by researchers for use in the study.</w:t>
      </w:r>
    </w:p>
    <w:p w14:paraId="3B1D9019" w14:textId="77777777" w:rsidR="00160459" w:rsidRPr="0047058F" w:rsidRDefault="00160459" w:rsidP="00160459">
      <w:pPr>
        <w:pStyle w:val="Heading5"/>
        <w:rPr>
          <w:lang w:val="en-AU"/>
        </w:rPr>
      </w:pPr>
      <w:r w:rsidRPr="0047058F">
        <w:rPr>
          <w:lang w:val="en-AU"/>
        </w:rPr>
        <w:t>Civilian employment</w:t>
      </w:r>
    </w:p>
    <w:p w14:paraId="782DDEE1" w14:textId="77777777" w:rsidR="00160459" w:rsidRPr="0047058F" w:rsidRDefault="00160459" w:rsidP="00160459">
      <w:r w:rsidRPr="0047058F">
        <w:t>Participants were asked a series of questions about the following in relation to their civilian role (if relevant): 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(Riviere et al., 2011; Thomas et al., 2010), the Middle East Area of Operations (MEAO) Health Study: Prospective Study (Davy et al., 2012) and the ADF Exit Survey (Shirt, 2012). Information surrounding current employment activities and details of civilian employment was also collected, as described above in the additional survey questions posed to Transitioned ADF members.</w:t>
      </w:r>
    </w:p>
    <w:p w14:paraId="12CC48BD" w14:textId="77777777" w:rsidR="00160459" w:rsidRPr="0047058F" w:rsidRDefault="00160459" w:rsidP="00160459">
      <w:pPr>
        <w:pStyle w:val="Heading5"/>
        <w:rPr>
          <w:lang w:val="en-AU"/>
        </w:rPr>
      </w:pPr>
      <w:r w:rsidRPr="0047058F">
        <w:rPr>
          <w:lang w:val="en-AU"/>
        </w:rPr>
        <w:t>Contribution to the ADF</w:t>
      </w:r>
    </w:p>
    <w:p w14:paraId="420F3CD2" w14:textId="77777777" w:rsidR="00160459" w:rsidRPr="0047058F" w:rsidRDefault="00160459" w:rsidP="00160459">
      <w:r w:rsidRPr="0047058F">
        <w:t>Participants’ perception of their contribution to the ADF was measured via a single item – ‘How important do you think your contribution is towards the ADF?’ Anchors ranged from ‘not at all important’ to ‘very important’. This item was taken from the RAND Guard/Reserve Survey of Officer and Enlisted Personnel (Kirby &amp; Naftel, 1998).</w:t>
      </w:r>
    </w:p>
    <w:p w14:paraId="5D9D2D0A" w14:textId="77777777" w:rsidR="00160459" w:rsidRPr="0047058F" w:rsidRDefault="00160459" w:rsidP="00160459">
      <w:pPr>
        <w:pStyle w:val="Heading5"/>
        <w:rPr>
          <w:lang w:val="en-AU"/>
        </w:rPr>
      </w:pPr>
      <w:r w:rsidRPr="0047058F">
        <w:rPr>
          <w:lang w:val="en-AU"/>
        </w:rPr>
        <w:t>How the ADF deals with Reservists</w:t>
      </w:r>
    </w:p>
    <w:p w14:paraId="71D5AFEC" w14:textId="77777777" w:rsidR="00160459" w:rsidRPr="0047058F" w:rsidRDefault="00160459" w:rsidP="00160459">
      <w:r w:rsidRPr="0047058F">
        <w:t>Participants’ perceptions of how well the ADF deals with, understands and accepts Reservists were assessed via three items measured on a 5-point scale ranging from ‘very poor’ to ‘very good’.</w:t>
      </w:r>
    </w:p>
    <w:p w14:paraId="2DCAE207" w14:textId="77777777" w:rsidR="00160459" w:rsidRPr="0047058F" w:rsidRDefault="00160459" w:rsidP="00160459">
      <w:pPr>
        <w:pStyle w:val="Heading5"/>
        <w:rPr>
          <w:lang w:val="en-AU"/>
        </w:rPr>
      </w:pPr>
      <w:r w:rsidRPr="0047058F">
        <w:rPr>
          <w:lang w:val="en-AU"/>
        </w:rPr>
        <w:t>Getting help (Reservist specific)</w:t>
      </w:r>
    </w:p>
    <w:p w14:paraId="5B4DF298" w14:textId="77777777" w:rsidR="00160459" w:rsidRPr="0047058F" w:rsidRDefault="00160459" w:rsidP="00160459">
      <w:r w:rsidRPr="0047058F">
        <w:t>This section of the survey was developed by researchers and looked at the following: mental health problems resulting from Reservist experience, help sought for these problems, help sought and received from ADF services/non-Defence organisations, and benefits sought and received from DVA.</w:t>
      </w:r>
    </w:p>
    <w:p w14:paraId="58609911" w14:textId="77777777" w:rsidR="00160459" w:rsidRPr="0047058F" w:rsidRDefault="00160459" w:rsidP="00160459">
      <w:pPr>
        <w:pStyle w:val="Heading4"/>
        <w:ind w:left="864" w:hanging="864"/>
        <w:rPr>
          <w:rFonts w:eastAsia="MS ??"/>
        </w:rPr>
      </w:pPr>
      <w:r w:rsidRPr="0047058F">
        <w:rPr>
          <w:rFonts w:eastAsia="MS ??"/>
        </w:rPr>
        <w:t>Part 2 of survey: Mental Health and Wellbeing Transition Study</w:t>
      </w:r>
    </w:p>
    <w:p w14:paraId="0CDD17F1" w14:textId="77777777" w:rsidR="00160459" w:rsidRPr="0047058F" w:rsidRDefault="00160459" w:rsidP="00160459">
      <w:r w:rsidRPr="0047058F">
        <w:t>Part 2 of the survey was completed by all samples specific to the Mental Health and Wellbeing Transition Study and included factors described in the following sections.</w:t>
      </w:r>
    </w:p>
    <w:p w14:paraId="18EC2835" w14:textId="77777777" w:rsidR="00160459" w:rsidRPr="0047058F" w:rsidRDefault="00160459" w:rsidP="00160459">
      <w:pPr>
        <w:pStyle w:val="Heading5"/>
        <w:rPr>
          <w:lang w:val="en-AU"/>
        </w:rPr>
      </w:pPr>
      <w:r w:rsidRPr="0047058F">
        <w:rPr>
          <w:lang w:val="en-AU"/>
        </w:rPr>
        <w:t>Deployments</w:t>
      </w:r>
    </w:p>
    <w:p w14:paraId="36CF40D0" w14:textId="77777777" w:rsidR="00160459" w:rsidRPr="0047058F" w:rsidRDefault="00160459" w:rsidP="00160459">
      <w:r w:rsidRPr="0047058F">
        <w:t>In this section of the survey, participants were asked to provide detailed information about their deployment history with the ADF. Deployments were grouped into the following categories: warlike/active service, non-warlike (peacekeeping) service, humanitarian/disaster relief, Defence aid and border protection. For each applicable deployment listed,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ADF Mental Health Prevalence and Wellbeing Study (McFarlane et al., 2011).</w:t>
      </w:r>
    </w:p>
    <w:p w14:paraId="47F630F2" w14:textId="77777777" w:rsidR="00160459" w:rsidRPr="0047058F" w:rsidRDefault="00160459" w:rsidP="00160459">
      <w:pPr>
        <w:pStyle w:val="Heading5"/>
        <w:rPr>
          <w:lang w:val="en-AU"/>
        </w:rPr>
      </w:pPr>
      <w:r w:rsidRPr="0047058F">
        <w:rPr>
          <w:lang w:val="en-AU"/>
        </w:rPr>
        <w:t>Deployment exposure</w:t>
      </w:r>
    </w:p>
    <w:p w14:paraId="4AC09565" w14:textId="77777777" w:rsidR="00160459" w:rsidRPr="0047058F" w:rsidRDefault="00160459" w:rsidP="00160459">
      <w:r w:rsidRPr="0047058F">
        <w:t>Participants were presented with a list of deployment exposures and asked to indicate how many times they had experienced each one during their military career. Response categories ranged from ‘never’ to ‘10+ times’. Examples of events included ‘exposure to hazardous materials’, ‘discharge of weapon in direct combat’, and ‘handled or saw dead bodies’. Items in this section were drawn from the Middle East Area of Operations Census Study (Dobson et al., 2012).</w:t>
      </w:r>
    </w:p>
    <w:p w14:paraId="59302998" w14:textId="77777777" w:rsidR="00160459" w:rsidRPr="0047058F" w:rsidRDefault="00160459" w:rsidP="00160459">
      <w:pPr>
        <w:pStyle w:val="Heading5"/>
        <w:rPr>
          <w:lang w:val="en-AU"/>
        </w:rPr>
      </w:pPr>
      <w:r w:rsidRPr="0047058F">
        <w:rPr>
          <w:lang w:val="en-AU"/>
        </w:rPr>
        <w:t>Quality of life</w:t>
      </w:r>
    </w:p>
    <w:p w14:paraId="27B88742" w14:textId="77777777" w:rsidR="00160459" w:rsidRPr="0047058F" w:rsidRDefault="00160459" w:rsidP="00160459">
      <w:pPr>
        <w:rPr>
          <w:rFonts w:asciiTheme="minorHAnsi" w:hAnsiTheme="minorHAnsi"/>
        </w:rPr>
      </w:pPr>
      <w:r w:rsidRPr="0047058F">
        <w:t>This section of the survey comprised three items that assessed general health, satisfaction with health, and quality of life. General health was measured via the first item of the Short Form (36) Health Survey (SF-36) (Ware &amp; Sherbourne, 1992), referred to as the Short Form 1 (SF1). The SF1 is a single item that is increasingly being utilised in population studies as an indicator of overall health status. Items assessing general health and satisfaction with health were taken from the 2011 Australian Gulf War Veterans Health Study 2011 follow-up (Sim et al., 2015).</w:t>
      </w:r>
    </w:p>
    <w:p w14:paraId="6D29BD0D" w14:textId="77777777" w:rsidR="00160459" w:rsidRPr="0047058F" w:rsidRDefault="00160459" w:rsidP="00160459">
      <w:pPr>
        <w:pStyle w:val="Heading5"/>
        <w:rPr>
          <w:lang w:val="en-AU"/>
        </w:rPr>
      </w:pPr>
      <w:r w:rsidRPr="0047058F">
        <w:rPr>
          <w:lang w:val="en-AU"/>
        </w:rPr>
        <w:t>Depression</w:t>
      </w:r>
    </w:p>
    <w:p w14:paraId="75467FE6" w14:textId="77777777" w:rsidR="00160459" w:rsidRPr="0047058F" w:rsidRDefault="00160459" w:rsidP="00160459">
      <w:pPr>
        <w:rPr>
          <w:rFonts w:cs="Arial"/>
        </w:rPr>
      </w:pPr>
      <w:r w:rsidRPr="0047058F">
        <w:t>Self-reported depression was examined using the Patient Health Questionnaire 9-item scale (PHQ-9) (Kroenke et al., 2001)</w:t>
      </w:r>
      <w:r w:rsidRPr="0047058F">
        <w:rPr>
          <w:rFonts w:cs="Arial"/>
        </w:rPr>
        <w:t xml:space="preserve">. </w:t>
      </w:r>
      <w:r w:rsidRPr="0047058F">
        <w:t>The nine items of the PHQ-9 are scored from 0 to 3 and summed to give a total score of between 0 and 27. The PHQ-9 provides various levels of diagnostic severity,</w:t>
      </w:r>
      <w:r w:rsidRPr="0047058F">
        <w:rPr>
          <w:rFonts w:cs="Arial"/>
        </w:rPr>
        <w:t xml:space="preserve"> with higher scores indicating higher levels of depression symptoms.</w:t>
      </w:r>
    </w:p>
    <w:p w14:paraId="2CA59537" w14:textId="77777777" w:rsidR="00160459" w:rsidRPr="0047058F" w:rsidRDefault="00160459" w:rsidP="00160459">
      <w:pPr>
        <w:pStyle w:val="Heading5"/>
        <w:rPr>
          <w:lang w:val="en-AU"/>
        </w:rPr>
      </w:pPr>
      <w:r w:rsidRPr="0047058F">
        <w:rPr>
          <w:lang w:val="en-AU"/>
        </w:rPr>
        <w:t>Generalised anxiety disorder</w:t>
      </w:r>
    </w:p>
    <w:p w14:paraId="675A1FCB" w14:textId="77777777" w:rsidR="00160459" w:rsidRPr="0047058F" w:rsidRDefault="00160459" w:rsidP="00160459">
      <w:pPr>
        <w:rPr>
          <w:lang w:eastAsia="en-AU"/>
        </w:rPr>
      </w:pPr>
      <w:r w:rsidRPr="0047058F">
        <w:rPr>
          <w:lang w:eastAsia="en-AU"/>
        </w:rPr>
        <w:t>Generalised anxiety disorder was measured via the Generalised Anxiety Disorder 7-item scale (GAD-7) (Spitzer, Kroenke, Williams &amp; Lowe, 2006). Each of the seven items is scored from 1 to 3, providing a total generalised anxiety score ranging between 0 and 21. Participants were asked to rate each item in the GAD-7 in relation to the last two weeks only.</w:t>
      </w:r>
    </w:p>
    <w:p w14:paraId="07828D29" w14:textId="77777777" w:rsidR="00160459" w:rsidRPr="0047058F" w:rsidRDefault="00160459" w:rsidP="00160459">
      <w:pPr>
        <w:pStyle w:val="Heading5"/>
        <w:rPr>
          <w:lang w:val="en-AU"/>
        </w:rPr>
      </w:pPr>
      <w:r w:rsidRPr="0047058F">
        <w:rPr>
          <w:lang w:val="en-AU"/>
        </w:rPr>
        <w:t>Sleep problems</w:t>
      </w:r>
    </w:p>
    <w:p w14:paraId="366E0C47" w14:textId="77777777" w:rsidR="00160459" w:rsidRPr="0047058F" w:rsidRDefault="00160459" w:rsidP="00160459">
      <w:pPr>
        <w:rPr>
          <w:lang w:eastAsia="en-AU"/>
        </w:rPr>
      </w:pPr>
      <w:r w:rsidRPr="0047058F">
        <w:rPr>
          <w:lang w:eastAsia="en-AU"/>
        </w:rPr>
        <w:t xml:space="preserve">Self-perceived insomnia was examined via the Insomnia Severity Index </w:t>
      </w:r>
      <w:r w:rsidRPr="0047058F">
        <w:t>(ISI) (Bastien, Vallieres &amp; Morin, 2001)</w:t>
      </w:r>
      <w:r w:rsidRPr="0047058F">
        <w:rPr>
          <w:lang w:eastAsia="en-AU"/>
        </w:rPr>
        <w:t>. The ISI comprises seven items assessing the severity of sleep-onset and sleep maintenance difficulties, satisfaction with current sleep pattern, interference with daily functioning, noticeability of impairment attributed to the sleep problem, and degree of distress or concern caused by the sleep problem.</w:t>
      </w:r>
    </w:p>
    <w:p w14:paraId="36D9C3FB" w14:textId="77777777" w:rsidR="00160459" w:rsidRPr="0047058F" w:rsidRDefault="00160459" w:rsidP="00160459">
      <w:r w:rsidRPr="0047058F">
        <w:rPr>
          <w:lang w:eastAsia="en-AU"/>
        </w:rPr>
        <w:t>Each item is rated on a 0–4 scale and the total score ranges from 0 to 28. A higher score suggests more severe insomnia.</w:t>
      </w:r>
    </w:p>
    <w:p w14:paraId="5B4032E6" w14:textId="77777777" w:rsidR="00160459" w:rsidRPr="0047058F" w:rsidRDefault="00160459" w:rsidP="00160459">
      <w:pPr>
        <w:pStyle w:val="Heading5"/>
        <w:rPr>
          <w:lang w:val="en-AU"/>
        </w:rPr>
      </w:pPr>
      <w:r w:rsidRPr="0047058F">
        <w:rPr>
          <w:lang w:val="en-AU"/>
        </w:rPr>
        <w:t>General psychological distress</w:t>
      </w:r>
    </w:p>
    <w:p w14:paraId="48ED7CAB" w14:textId="77777777" w:rsidR="00160459" w:rsidRPr="0047058F" w:rsidRDefault="00160459" w:rsidP="00160459">
      <w:r w:rsidRPr="0047058F">
        <w:t>The Kessler Psychological Distress 10-item scale (K10) (Kessler et al., 2002) is a short, 10-item screening questionnaire that yields a global measure of psychological distress based on symptoms of anxiety and depression experienced in the most recent four-week period. Items are scored from 1 to 5 and are summed to give a total score of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(Slade et al., 2009) and were used to identify levels of psychological distress in the 2010 ADF Mental Health Prevalence and Wellbeing Study (McFarlane et al., 2011).</w:t>
      </w:r>
    </w:p>
    <w:p w14:paraId="59D4812A" w14:textId="77777777" w:rsidR="00160459" w:rsidRPr="0047058F" w:rsidRDefault="00160459" w:rsidP="00160459">
      <w:pPr>
        <w:pStyle w:val="Heading5"/>
        <w:rPr>
          <w:lang w:val="en-AU"/>
        </w:rPr>
      </w:pPr>
      <w:r w:rsidRPr="0047058F">
        <w:rPr>
          <w:lang w:val="en-AU"/>
        </w:rPr>
        <w:t>Anger</w:t>
      </w:r>
    </w:p>
    <w:p w14:paraId="486C0851" w14:textId="77777777" w:rsidR="00160459" w:rsidRPr="0047058F" w:rsidRDefault="00160459" w:rsidP="00160459">
      <w:pPr>
        <w:rPr>
          <w:rFonts w:cs="Arial"/>
        </w:rPr>
      </w:pPr>
      <w:r w:rsidRPr="0047058F">
        <w:t xml:space="preserve">The Dimensions of Anger Reactions 5-item scale (DAR-5) (Forbes et al., 2004) is a concise measure of anger. It consists of five items that address anger frequency, intensity, duration, aggression, and interference with social functioning. Items are scored on a 5-point Likert scale generating a severity score ranging from 5 to 25, with higher scores indicative of worse symptomatology. </w:t>
      </w:r>
      <w:r w:rsidRPr="0047058F">
        <w:rPr>
          <w:rFonts w:cs="Arial"/>
        </w:rPr>
        <w:t>This scale has been used previously to assess Australian Vietnam veterans, as well as US Afghanistan and Iraq veterans, and shows strong unidimensionality, and high levels of internal consistency and criterion validity.</w:t>
      </w:r>
    </w:p>
    <w:p w14:paraId="7387E004" w14:textId="77777777" w:rsidR="00160459" w:rsidRPr="0047058F" w:rsidRDefault="00160459" w:rsidP="00160459">
      <w:pPr>
        <w:pStyle w:val="Heading5"/>
        <w:rPr>
          <w:lang w:val="en-AU"/>
        </w:rPr>
      </w:pPr>
      <w:r w:rsidRPr="0047058F">
        <w:rPr>
          <w:lang w:val="en-AU"/>
        </w:rPr>
        <w:t>Physical violence</w:t>
      </w:r>
    </w:p>
    <w:p w14:paraId="3EA9FC6E" w14:textId="77777777" w:rsidR="00160459" w:rsidRPr="0047058F" w:rsidRDefault="00160459" w:rsidP="00160459">
      <w:r w:rsidRPr="0047058F">
        <w:t>Items addressing participants’ personal experiences with physical violence or threatened violence were taken from the 2010 ADF Mental Health Prevalence and Wellbeing Study (McFarlane et al., 2011).</w:t>
      </w:r>
    </w:p>
    <w:p w14:paraId="1A45CEEC" w14:textId="77777777" w:rsidR="00160459" w:rsidRPr="0047058F" w:rsidRDefault="00160459" w:rsidP="00160459">
      <w:pPr>
        <w:pStyle w:val="Heading5"/>
        <w:rPr>
          <w:lang w:val="en-AU"/>
        </w:rPr>
      </w:pPr>
      <w:r w:rsidRPr="0047058F">
        <w:rPr>
          <w:lang w:val="en-AU"/>
        </w:rPr>
        <w:t>Suicidal ideation and behaviour</w:t>
      </w:r>
    </w:p>
    <w:p w14:paraId="031FE7BD" w14:textId="77777777" w:rsidR="00160459" w:rsidRPr="0047058F" w:rsidRDefault="00160459" w:rsidP="00160459">
      <w:r w:rsidRPr="0047058F">
        <w:t>Twelve-month suicidal ideation and behaviour was assessed via four items that looked specifically at suicidal thoughts, plans and attempts. Three of the items in this section were adapted from the National Survey of Mental Health and Wellbeing (Australian Bureau of Statistics, 2008), and the final item was devised by researchers for use in the current study.</w:t>
      </w:r>
    </w:p>
    <w:p w14:paraId="7A09F361" w14:textId="77777777" w:rsidR="00160459" w:rsidRPr="0047058F" w:rsidRDefault="00160459" w:rsidP="00160459">
      <w:pPr>
        <w:pStyle w:val="Heading5"/>
        <w:rPr>
          <w:lang w:val="en-AU"/>
        </w:rPr>
      </w:pPr>
      <w:r w:rsidRPr="0047058F">
        <w:rPr>
          <w:lang w:val="en-AU"/>
        </w:rPr>
        <w:t>Perceptions of mental health</w:t>
      </w:r>
    </w:p>
    <w:p w14:paraId="6ACAD982" w14:textId="77777777" w:rsidR="00160459" w:rsidRPr="0047058F" w:rsidRDefault="00160459" w:rsidP="00160459">
      <w:r w:rsidRPr="0047058F">
        <w:t>Items addressing participants’ perceptions of their current and future physical and mental health were developed by researchers for use in the study.</w:t>
      </w:r>
    </w:p>
    <w:p w14:paraId="03073828" w14:textId="77777777" w:rsidR="00160459" w:rsidRPr="0047058F" w:rsidRDefault="00160459" w:rsidP="00160459">
      <w:pPr>
        <w:pStyle w:val="Heading5"/>
        <w:rPr>
          <w:lang w:val="en-AU"/>
        </w:rPr>
      </w:pPr>
      <w:r w:rsidRPr="0047058F">
        <w:rPr>
          <w:lang w:val="en-AU"/>
        </w:rPr>
        <w:t>Lifetime exposure to traumatic events</w:t>
      </w:r>
    </w:p>
    <w:p w14:paraId="4702079C" w14:textId="77777777" w:rsidR="00160459" w:rsidRPr="0047058F" w:rsidRDefault="00160459" w:rsidP="00160459">
      <w:r w:rsidRPr="0047058F">
        <w:t>Lifetime exposure to trauma was examined as part of the PTSD module of the CIDI 3.0 (Haro et al., 2006).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14:paraId="33EAC48A" w14:textId="77777777" w:rsidR="00160459" w:rsidRPr="0047058F" w:rsidRDefault="00160459" w:rsidP="00160459">
      <w:r w:rsidRPr="0047058F">
        <w:t>For each applicable event, participants were required to provide further information regarding the following: their age the first and last time the event took place, the number of times each event took place, and the number of times each event was related to their ADF service. Participants were then required to indicate which of the events they indicated ‘yes’ to was their worst event.</w:t>
      </w:r>
    </w:p>
    <w:p w14:paraId="5082BCF2" w14:textId="77777777" w:rsidR="00160459" w:rsidRPr="0047058F" w:rsidRDefault="00160459" w:rsidP="00160459">
      <w:pPr>
        <w:pStyle w:val="Heading5"/>
        <w:rPr>
          <w:lang w:val="en-AU"/>
        </w:rPr>
      </w:pPr>
      <w:r w:rsidRPr="0047058F">
        <w:rPr>
          <w:lang w:val="en-AU"/>
        </w:rPr>
        <w:t>Posttraumatic stress disorder</w:t>
      </w:r>
    </w:p>
    <w:p w14:paraId="42976F73" w14:textId="77777777" w:rsidR="00160459" w:rsidRPr="0047058F" w:rsidRDefault="00160459" w:rsidP="00160459">
      <w:r w:rsidRPr="0047058F">
        <w:t xml:space="preserve">The PTSD Checklist – civilian version (PCL-C) (Weathers et al., 1993) is a 17 item self-report measure designed to assess the symptomatic criteria of PTSD according to the </w:t>
      </w:r>
      <w:bookmarkStart w:id="650" w:name="_Hlk528330963"/>
      <w:r w:rsidRPr="0047058F">
        <w:rPr>
          <w:i/>
        </w:rPr>
        <w:t>Diagnostic and Statistical Manual of Mental Disorders, Fourth Edition</w:t>
      </w:r>
      <w:r w:rsidRPr="0047058F">
        <w:t xml:space="preserve"> (DSM-IV)</w:t>
      </w:r>
      <w:bookmarkEnd w:id="650"/>
      <w:r w:rsidRPr="0047058F">
        <w:t>.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p>
    <w:p w14:paraId="469B58F5" w14:textId="77777777" w:rsidR="00160459" w:rsidRPr="0047058F" w:rsidRDefault="00160459" w:rsidP="00160459">
      <w:pPr>
        <w:pStyle w:val="Heading5"/>
        <w:rPr>
          <w:lang w:val="en-AU"/>
        </w:rPr>
      </w:pPr>
      <w:r w:rsidRPr="0047058F">
        <w:rPr>
          <w:lang w:val="en-AU"/>
        </w:rPr>
        <w:t>Recent life events</w:t>
      </w:r>
    </w:p>
    <w:p w14:paraId="50B08219" w14:textId="77777777" w:rsidR="00160459" w:rsidRPr="0047058F" w:rsidRDefault="00160459" w:rsidP="00160459">
      <w:r w:rsidRPr="0047058F">
        <w:t>Participants completed a modified, 15-item version of the List of Threatening Experiences (Brugha, Bebbington, Tennant &amp; Hurry, 1985). This brief questionnaire is frequently used to assess recent stressful life events. Participants were asked to indicate ‘yes’ if the event had occurred in the last 12 months, and whether or not it was still having an effect on their life. Examples of events include ‘your parent, child or spouse died’, ‘you had a major financial crisis’ and ‘you broke off a steady relationship’.</w:t>
      </w:r>
    </w:p>
    <w:p w14:paraId="1E7BE3C8" w14:textId="77777777" w:rsidR="00160459" w:rsidRPr="0047058F" w:rsidRDefault="00160459" w:rsidP="00160459">
      <w:pPr>
        <w:pStyle w:val="Heading5"/>
        <w:rPr>
          <w:lang w:val="en-AU"/>
        </w:rPr>
      </w:pPr>
      <w:r w:rsidRPr="0047058F">
        <w:rPr>
          <w:lang w:val="en-AU"/>
        </w:rPr>
        <w:t>Alcohol use</w:t>
      </w:r>
    </w:p>
    <w:p w14:paraId="11DE3C50" w14:textId="77777777" w:rsidR="00160459" w:rsidRPr="0047058F" w:rsidRDefault="00160459" w:rsidP="00160459">
      <w:pPr>
        <w:keepNext/>
      </w:pPr>
      <w:r w:rsidRPr="0047058F">
        <w:t>Alcohol consumption and problem drinking was examined using the Alcohol Use Disorders Identification Test (AUDIT) (Saunders et al.,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(Babor et al., 2001). Currently, the recommended World Health Organization risk categories are utilised with ADF populations and are also therefore the scoring categories utilised in this study. This process identifies four bands of risk: Band 1 (scores of 0–7) represents those who would benefit from alcohol education; Band 2 (8–15) represents those who are likely to require simple advice; Band 3 (scores of 16–19) are those where counselling and continued monitoring is recommended; and Band 4 (scores of 20–40) requires diagnostic evaluation and treatment, including counselling and monitoring (Babor et al., 1989; Babor et al., 2001).</w:t>
      </w:r>
    </w:p>
    <w:p w14:paraId="15BC7593" w14:textId="77777777" w:rsidR="00160459" w:rsidRPr="0047058F" w:rsidRDefault="00160459" w:rsidP="00160459">
      <w:r w:rsidRPr="0047058F">
        <w:t>Two additional supplementary items of the AUDIT were also included in the questionnaire, as well as additional items on consumption, to ensure comparability with the Australian Health Survey 2011–2012 (Australian Bureau of Statistics, 2012).</w:t>
      </w:r>
    </w:p>
    <w:p w14:paraId="79F737D4" w14:textId="77777777" w:rsidR="00160459" w:rsidRPr="0047058F" w:rsidRDefault="00160459" w:rsidP="00160459">
      <w:pPr>
        <w:pStyle w:val="Heading5"/>
        <w:rPr>
          <w:lang w:val="en-AU"/>
        </w:rPr>
      </w:pPr>
      <w:r w:rsidRPr="0047058F">
        <w:rPr>
          <w:lang w:val="en-AU"/>
        </w:rPr>
        <w:t>Tobacco use</w:t>
      </w:r>
    </w:p>
    <w:p w14:paraId="1C25BF65" w14:textId="77777777" w:rsidR="00160459" w:rsidRPr="0047058F" w:rsidRDefault="00160459" w:rsidP="00160459">
      <w:pPr>
        <w:keepLines/>
      </w:pPr>
      <w:r w:rsidRPr="0047058F">
        <w:t>Items assessing tobacco usage were taken from the 2013 National Drug Strategy Household Survey (Australian Institute of Health and Welfare, 2014) and the 2010 ADF Mental Health Prevalence and Wellbeing Study (McFarlane et al., 2011). Participants were asked a series of questions about their past and present tobacco usage, including frequency of use, the ages they started and stopped smoking daily, and the types of tobacco products they had smoked in the last year.</w:t>
      </w:r>
    </w:p>
    <w:p w14:paraId="6F2C5770" w14:textId="77777777" w:rsidR="00160459" w:rsidRPr="0047058F" w:rsidRDefault="00160459" w:rsidP="00160459">
      <w:pPr>
        <w:pStyle w:val="Heading5"/>
        <w:rPr>
          <w:lang w:val="en-AU"/>
        </w:rPr>
      </w:pPr>
      <w:r w:rsidRPr="0047058F">
        <w:rPr>
          <w:lang w:val="en-AU"/>
        </w:rPr>
        <w:t>Drug use</w:t>
      </w:r>
    </w:p>
    <w:p w14:paraId="1323440C" w14:textId="77777777" w:rsidR="00160459" w:rsidRPr="0047058F" w:rsidRDefault="00160459" w:rsidP="00160459">
      <w:r w:rsidRPr="0047058F">
        <w:t>Twelve-month and lifetime drug use in Transitioned ADF only was measured using modified items from the 2013 National Drug Strategy Household Survey (Australian Institute of Health and Welfare, 2014). Transitioned ADF were asked a series of questions about two categories of drugs: (1) illicit drugs (including meth/amphetamines, marijuana, heroin, methadone or buprenorphine, cocaine, hallucinogens, ecstasy, ketamine, GHB, inhalants, opiates, opioids), and (2) prescription drugs (including painkillers/analgesics, tranquilisers/sleeping pills) for non-medical purposes (where the term non-medical purposes was defined as either alone or with other drugs in order to induce or enhance a drug experience). Participants were asked if they had ever used these drugs in their lifetime or the last 12 months, and the age that they first used them.</w:t>
      </w:r>
    </w:p>
    <w:p w14:paraId="4AF64A9D" w14:textId="77777777" w:rsidR="00160459" w:rsidRPr="0047058F" w:rsidRDefault="00160459" w:rsidP="00160459">
      <w:pPr>
        <w:pStyle w:val="Heading5"/>
        <w:rPr>
          <w:lang w:val="en-AU"/>
        </w:rPr>
      </w:pPr>
      <w:r w:rsidRPr="0047058F">
        <w:rPr>
          <w:lang w:val="en-AU"/>
        </w:rPr>
        <w:t>Functioning</w:t>
      </w:r>
    </w:p>
    <w:p w14:paraId="65994319" w14:textId="77777777" w:rsidR="00160459" w:rsidRPr="0047058F" w:rsidRDefault="00160459" w:rsidP="00160459">
      <w:r w:rsidRPr="0047058F">
        <w:t>Functional impairment was assessed via the Sheehan Disability Scale (Sheehan, 1983), a 5-item self-report measure of disability due to mental health symptoms in three interrelated domains: work/school, social life and family life. The three items assessing impairment in the three domains are scored from 0 to 10 and can yield a total global functional impairment score of between 0 and 30.</w:t>
      </w:r>
    </w:p>
    <w:p w14:paraId="43AFFCA9" w14:textId="77777777" w:rsidR="00160459" w:rsidRPr="0047058F" w:rsidRDefault="00160459" w:rsidP="00160459">
      <w:pPr>
        <w:pStyle w:val="Heading5"/>
        <w:rPr>
          <w:rFonts w:cs="Arial"/>
          <w:lang w:val="en-AU"/>
        </w:rPr>
      </w:pPr>
      <w:r w:rsidRPr="0047058F">
        <w:rPr>
          <w:lang w:val="en-AU"/>
        </w:rPr>
        <w:t>Getting help</w:t>
      </w:r>
    </w:p>
    <w:p w14:paraId="517CAC6C" w14:textId="77777777" w:rsidR="00160459" w:rsidRPr="0047058F" w:rsidRDefault="00160459" w:rsidP="00160459">
      <w:r w:rsidRPr="0047058F">
        <w:t>This section of the survey was developed by key study investigators with specific knowledge and experience within the field. Other items were taken from the 2007 National Survey of Mental Health and Wellbeing (Australian Bureau of Statistics, 2008), the CIDI 3.0 (Haro et al., 2006), and the 2010 ADF Mental Health Prevalence and Wellbeing Study (McFarlane et al., 2011) and modified by investigators to suit the current research.</w:t>
      </w:r>
    </w:p>
    <w:p w14:paraId="36EF7A96" w14:textId="77777777" w:rsidR="00160459" w:rsidRPr="0047058F" w:rsidRDefault="00160459" w:rsidP="0047058F">
      <w:pPr>
        <w:pStyle w:val="Heading6"/>
      </w:pPr>
      <w:r w:rsidRPr="0047058F">
        <w:t>Means of informing/assessing and maintaining mental health</w:t>
      </w:r>
    </w:p>
    <w:p w14:paraId="1C3E8DAF" w14:textId="77777777" w:rsidR="00160459" w:rsidRPr="0047058F" w:rsidRDefault="00160459" w:rsidP="00160459">
      <w:pPr>
        <w:rPr>
          <w:lang w:eastAsia="en-AU"/>
        </w:rPr>
      </w:pPr>
      <w:r w:rsidRPr="0047058F">
        <w:rPr>
          <w:lang w:eastAsia="en-AU"/>
        </w:rPr>
        <w:t>The first series of questions looked at specific help-seeking strategies utilised by participants to inform/assess and maintain their mental health in the last 12 months, and whether or not they found these strategies to be helpful. The 32 items looking at ways in which people informed/assessed their mental health were developed specifically for the study by researchers. The four items looking at the ways in which people maintained their mental health were taken from the CIDI 3.0 (Haro et al., 2006).</w:t>
      </w:r>
    </w:p>
    <w:p w14:paraId="26CE271A" w14:textId="77777777" w:rsidR="00160459" w:rsidRPr="0047058F" w:rsidRDefault="00160459" w:rsidP="00160459">
      <w:pPr>
        <w:rPr>
          <w:lang w:eastAsia="en-AU"/>
        </w:rPr>
      </w:pPr>
      <w:r w:rsidRPr="0047058F">
        <w:rPr>
          <w:lang w:eastAsia="en-AU"/>
        </w:rPr>
        <w:t>A single item asked participants to indicate their preferred means of receiving information about their mental health. Options included via telephone, the internet, or in person (face to face). This item was developed by researchers for use in the study.</w:t>
      </w:r>
    </w:p>
    <w:p w14:paraId="4DBED095" w14:textId="77777777" w:rsidR="00160459" w:rsidRPr="0047058F" w:rsidRDefault="00160459" w:rsidP="0047058F">
      <w:pPr>
        <w:pStyle w:val="Heading6"/>
      </w:pPr>
      <w:r w:rsidRPr="0047058F">
        <w:t>Barriers to care and stigma</w:t>
      </w:r>
    </w:p>
    <w:p w14:paraId="2C54D08D" w14:textId="77777777" w:rsidR="00160459" w:rsidRPr="0047058F" w:rsidRDefault="00160459" w:rsidP="00160459">
      <w:pPr>
        <w:rPr>
          <w:lang w:eastAsia="en-AU"/>
        </w:rPr>
      </w:pPr>
      <w:r w:rsidRPr="0047058F">
        <w:rPr>
          <w:lang w:eastAsia="en-AU"/>
        </w:rPr>
        <w:t>Participants were asked to rate the degree to which a list of ‘concerns’ might affect their decision to seek help on a 5-point scale. Anchors ranged from ‘strongly disagree’ to ‘strongly agree’. Items in this section were taken from the 2010 ADF Mental Health Prevalence and Wellbeing Study (McFarlane et al., 2011), the Canadian Air Forces Recruit Mental Health Service Use Questionnaire (Fikretoglu, Blais &amp; Lam, 2014), and the Solider Wellbeing Survey (Riviere et al., 2011; Thomas et al., 2010), with several additions by investigators. Examples of items include ‘I wouldn’t know where to get help’, ‘it’s too expensive’ and ‘I don’t trust mental health professionals’.</w:t>
      </w:r>
    </w:p>
    <w:p w14:paraId="4CD184B1" w14:textId="77777777" w:rsidR="00160459" w:rsidRPr="0047058F" w:rsidRDefault="00160459" w:rsidP="00160459">
      <w:r w:rsidRPr="0047058F">
        <w:t>This section of the survey also included a question that tapped into unmet needs for help. This question targeted individuals who expressed concerns about their mental health but never sought help. Participants were presented with a list of seven barriers and asked to indicate how much they disagreed with each one on a 5-point scale ranging from ‘strongly disagree’ to ‘strongly agree’. Examples of statements include ‘I can still function effectively’ and ‘I didn’t know where to get help’.</w:t>
      </w:r>
    </w:p>
    <w:p w14:paraId="1CDC617B" w14:textId="77777777" w:rsidR="00160459" w:rsidRPr="0047058F" w:rsidRDefault="00160459" w:rsidP="00160459">
      <w:r w:rsidRPr="0047058F">
        <w:t>Items addressing barriers to care in both of sets of questions listed above fell into the following categories:</w:t>
      </w:r>
    </w:p>
    <w:p w14:paraId="4D9463BB" w14:textId="77777777" w:rsidR="00160459" w:rsidRPr="0047058F" w:rsidRDefault="00160459" w:rsidP="0047058F">
      <w:pPr>
        <w:pStyle w:val="Bullet"/>
        <w:spacing w:after="120"/>
      </w:pPr>
      <w:r w:rsidRPr="0047058F">
        <w:t>perceived control</w:t>
      </w:r>
    </w:p>
    <w:p w14:paraId="50C2D1AD" w14:textId="77777777" w:rsidR="00160459" w:rsidRPr="0047058F" w:rsidRDefault="00160459" w:rsidP="0047058F">
      <w:pPr>
        <w:pStyle w:val="Bullet"/>
        <w:spacing w:after="120"/>
      </w:pPr>
      <w:r w:rsidRPr="0047058F">
        <w:t>self-stigma</w:t>
      </w:r>
    </w:p>
    <w:p w14:paraId="5CF2C465" w14:textId="77777777" w:rsidR="00160459" w:rsidRPr="0047058F" w:rsidRDefault="00160459" w:rsidP="0047058F">
      <w:pPr>
        <w:pStyle w:val="Bullet"/>
        <w:spacing w:after="120"/>
      </w:pPr>
      <w:r w:rsidRPr="0047058F">
        <w:t>public stigma</w:t>
      </w:r>
    </w:p>
    <w:p w14:paraId="68653BC4" w14:textId="77777777" w:rsidR="00160459" w:rsidRPr="0047058F" w:rsidRDefault="00160459" w:rsidP="0047058F">
      <w:pPr>
        <w:pStyle w:val="Bullet"/>
        <w:spacing w:after="120"/>
      </w:pPr>
      <w:r w:rsidRPr="0047058F">
        <w:t>perceived stigma</w:t>
      </w:r>
    </w:p>
    <w:p w14:paraId="0EB2CFAF" w14:textId="77777777" w:rsidR="00160459" w:rsidRPr="0047058F" w:rsidRDefault="00160459" w:rsidP="0047058F">
      <w:pPr>
        <w:pStyle w:val="Bullet"/>
        <w:spacing w:after="120"/>
      </w:pPr>
      <w:r w:rsidRPr="0047058F">
        <w:t>mental health literacy</w:t>
      </w:r>
    </w:p>
    <w:p w14:paraId="7CD61B40" w14:textId="77777777" w:rsidR="00160459" w:rsidRPr="0047058F" w:rsidRDefault="00160459" w:rsidP="0047058F">
      <w:pPr>
        <w:pStyle w:val="Bullet"/>
        <w:spacing w:after="120"/>
      </w:pPr>
      <w:r w:rsidRPr="0047058F">
        <w:t>physical barrier to care</w:t>
      </w:r>
    </w:p>
    <w:p w14:paraId="3CE06CAC" w14:textId="77777777" w:rsidR="00160459" w:rsidRPr="0047058F" w:rsidRDefault="00160459" w:rsidP="0047058F">
      <w:pPr>
        <w:pStyle w:val="Bullet"/>
        <w:rPr>
          <w:lang w:eastAsia="en-AU"/>
        </w:rPr>
      </w:pPr>
      <w:r w:rsidRPr="0047058F">
        <w:t>career barriers</w:t>
      </w:r>
      <w:r w:rsidRPr="0047058F">
        <w:rPr>
          <w:lang w:eastAsia="en-AU"/>
        </w:rPr>
        <w:t>.</w:t>
      </w:r>
    </w:p>
    <w:p w14:paraId="08B5D73B" w14:textId="77777777" w:rsidR="00160459" w:rsidRPr="0047058F" w:rsidRDefault="00160459" w:rsidP="0047058F">
      <w:pPr>
        <w:pStyle w:val="Heading6"/>
      </w:pPr>
      <w:r w:rsidRPr="0047058F">
        <w:t>Concerns about mental health</w:t>
      </w:r>
    </w:p>
    <w:p w14:paraId="430EB69E" w14:textId="77777777" w:rsidR="00160459" w:rsidRPr="0047058F" w:rsidRDefault="00160459" w:rsidP="00160459">
      <w:pPr>
        <w:rPr>
          <w:lang w:eastAsia="en-AU"/>
        </w:rPr>
      </w:pPr>
      <w:r w:rsidRPr="0047058F">
        <w:rPr>
          <w:lang w:eastAsia="en-AU"/>
        </w:rPr>
        <w:t>Items addressing participants’ concerns about their mental health were developed specifically for the study by investigators.</w:t>
      </w:r>
    </w:p>
    <w:p w14:paraId="2680B07B" w14:textId="77777777" w:rsidR="00160459" w:rsidRPr="0047058F" w:rsidRDefault="00160459" w:rsidP="0047058F">
      <w:pPr>
        <w:pStyle w:val="Heading6"/>
      </w:pPr>
      <w:r w:rsidRPr="0047058F">
        <w:t>Assistance with mental health</w:t>
      </w:r>
    </w:p>
    <w:p w14:paraId="31FF136F" w14:textId="77777777" w:rsidR="00160459" w:rsidRPr="0047058F" w:rsidRDefault="00160459" w:rsidP="00160459">
      <w:pPr>
        <w:rPr>
          <w:lang w:eastAsia="en-AU"/>
        </w:rPr>
      </w:pPr>
      <w:r w:rsidRPr="0047058F">
        <w:rPr>
          <w:lang w:eastAsia="en-AU"/>
        </w:rPr>
        <w:t>Items addressing assistance sought for mental health were taken from the 2010 ADF Mental Health Prevalence and Wellbeing Study (McFarlane et al., 2011).</w:t>
      </w:r>
    </w:p>
    <w:p w14:paraId="21995E5F" w14:textId="77777777" w:rsidR="00160459" w:rsidRPr="0047058F" w:rsidRDefault="00160459" w:rsidP="0047058F">
      <w:pPr>
        <w:pStyle w:val="Heading6"/>
      </w:pPr>
      <w:r w:rsidRPr="0047058F">
        <w:t>Help received and pathways into care</w:t>
      </w:r>
    </w:p>
    <w:p w14:paraId="13C61C36" w14:textId="77777777" w:rsidR="00160459" w:rsidRPr="0047058F" w:rsidRDefault="00160459" w:rsidP="00160459">
      <w:pPr>
        <w:rPr>
          <w:lang w:eastAsia="en-AU"/>
        </w:rPr>
      </w:pPr>
      <w:r w:rsidRPr="0047058F">
        <w:rPr>
          <w:lang w:eastAsia="en-AU"/>
        </w:rPr>
        <w:t>Participants were asked whether they had ever sought or received helped from the following list of doctors or professionals for their own mental health in the past 12 months or outside of the past 12 months:</w:t>
      </w:r>
    </w:p>
    <w:p w14:paraId="3234F1D9" w14:textId="77777777" w:rsidR="00160459" w:rsidRPr="0047058F" w:rsidRDefault="00160459" w:rsidP="0047058F">
      <w:pPr>
        <w:pStyle w:val="Bullet"/>
        <w:numPr>
          <w:ilvl w:val="0"/>
          <w:numId w:val="1"/>
        </w:numPr>
        <w:spacing w:after="120"/>
        <w:ind w:left="360"/>
      </w:pPr>
      <w:r w:rsidRPr="0047058F">
        <w:t>general practitioner/medical officer</w:t>
      </w:r>
    </w:p>
    <w:p w14:paraId="342EEE72" w14:textId="77777777" w:rsidR="00160459" w:rsidRPr="0047058F" w:rsidRDefault="00160459" w:rsidP="0047058F">
      <w:pPr>
        <w:pStyle w:val="Bullet"/>
        <w:numPr>
          <w:ilvl w:val="0"/>
          <w:numId w:val="1"/>
        </w:numPr>
        <w:spacing w:after="120"/>
        <w:ind w:left="360"/>
      </w:pPr>
      <w:r w:rsidRPr="0047058F">
        <w:t>psychologist</w:t>
      </w:r>
    </w:p>
    <w:p w14:paraId="077E5260" w14:textId="77777777" w:rsidR="00160459" w:rsidRPr="0047058F" w:rsidRDefault="00160459" w:rsidP="0047058F">
      <w:pPr>
        <w:pStyle w:val="Bullet"/>
        <w:numPr>
          <w:ilvl w:val="0"/>
          <w:numId w:val="1"/>
        </w:numPr>
        <w:spacing w:after="120"/>
        <w:ind w:left="360"/>
      </w:pPr>
      <w:r w:rsidRPr="0047058F">
        <w:t>psychiatrist</w:t>
      </w:r>
    </w:p>
    <w:p w14:paraId="142AE0E1" w14:textId="77777777" w:rsidR="00160459" w:rsidRPr="0047058F" w:rsidRDefault="00160459" w:rsidP="00160459">
      <w:pPr>
        <w:pStyle w:val="Bullet"/>
        <w:numPr>
          <w:ilvl w:val="0"/>
          <w:numId w:val="1"/>
        </w:numPr>
        <w:ind w:left="360"/>
        <w:rPr>
          <w:lang w:eastAsia="en-AU"/>
        </w:rPr>
      </w:pPr>
      <w:r w:rsidRPr="0047058F">
        <w:t>other mental</w:t>
      </w:r>
      <w:r w:rsidRPr="0047058F">
        <w:rPr>
          <w:lang w:eastAsia="en-AU"/>
        </w:rPr>
        <w:t xml:space="preserve"> health professional.</w:t>
      </w:r>
    </w:p>
    <w:p w14:paraId="4C01CD76" w14:textId="77777777" w:rsidR="00160459" w:rsidRPr="0047058F" w:rsidRDefault="00160459" w:rsidP="00160459">
      <w:pPr>
        <w:rPr>
          <w:lang w:eastAsia="en-AU"/>
        </w:rPr>
      </w:pPr>
      <w:r w:rsidRPr="0047058F">
        <w:rPr>
          <w:lang w:eastAsia="en-AU"/>
        </w:rPr>
        <w:t>For each of the professionals listed above, participants were asked to indicate what services they received, whether they were satisfied with the services, and what compensation (if any) was received. These items were taken from the CIDI (Haro et al., 2006) and adapted for use in the current study.</w:t>
      </w:r>
    </w:p>
    <w:p w14:paraId="7C340AC5" w14:textId="77777777" w:rsidR="00160459" w:rsidRPr="0047058F" w:rsidRDefault="00160459" w:rsidP="00160459">
      <w:pPr>
        <w:rPr>
          <w:lang w:eastAsia="en-AU"/>
        </w:rPr>
      </w:pPr>
      <w:r w:rsidRPr="0047058F">
        <w:rPr>
          <w:lang w:eastAsia="en-AU"/>
        </w:rPr>
        <w:t>Participants were also asked whether they had ever utilised the following services in the past 12 months or outside of the past 12 months:</w:t>
      </w:r>
    </w:p>
    <w:p w14:paraId="738E1EC6" w14:textId="77777777" w:rsidR="00160459" w:rsidRPr="0047058F" w:rsidRDefault="00160459" w:rsidP="0047058F">
      <w:pPr>
        <w:pStyle w:val="Bullet"/>
        <w:numPr>
          <w:ilvl w:val="0"/>
          <w:numId w:val="1"/>
        </w:numPr>
        <w:spacing w:after="120"/>
        <w:ind w:left="360"/>
      </w:pPr>
      <w:r w:rsidRPr="0047058F">
        <w:t>inpatient treatment, hospital admission</w:t>
      </w:r>
    </w:p>
    <w:p w14:paraId="2E3F91D5" w14:textId="77777777" w:rsidR="00160459" w:rsidRPr="0047058F" w:rsidRDefault="00160459" w:rsidP="0047058F">
      <w:pPr>
        <w:pStyle w:val="Bullet"/>
        <w:numPr>
          <w:ilvl w:val="0"/>
          <w:numId w:val="1"/>
        </w:numPr>
        <w:spacing w:after="120"/>
        <w:ind w:left="360"/>
      </w:pPr>
      <w:r w:rsidRPr="0047058F">
        <w:t>hospital-based PTSD program</w:t>
      </w:r>
    </w:p>
    <w:p w14:paraId="57CA749D" w14:textId="77777777" w:rsidR="00160459" w:rsidRPr="0047058F" w:rsidRDefault="00160459" w:rsidP="00160459">
      <w:pPr>
        <w:pStyle w:val="Bullet"/>
        <w:numPr>
          <w:ilvl w:val="0"/>
          <w:numId w:val="1"/>
        </w:numPr>
        <w:ind w:left="360"/>
        <w:rPr>
          <w:lang w:eastAsia="en-AU"/>
        </w:rPr>
      </w:pPr>
      <w:r w:rsidRPr="0047058F">
        <w:t>residential alcohol</w:t>
      </w:r>
      <w:r w:rsidRPr="0047058F">
        <w:rPr>
          <w:lang w:eastAsia="en-AU"/>
        </w:rPr>
        <w:t xml:space="preserve"> and other drug program.</w:t>
      </w:r>
    </w:p>
    <w:p w14:paraId="0CE89BE1" w14:textId="77777777" w:rsidR="00160459" w:rsidRPr="0047058F" w:rsidRDefault="00160459" w:rsidP="00160459">
      <w:pPr>
        <w:rPr>
          <w:lang w:eastAsia="en-AU"/>
        </w:rPr>
      </w:pPr>
      <w:r w:rsidRPr="0047058F">
        <w:rPr>
          <w:lang w:eastAsia="en-AU"/>
        </w:rPr>
        <w:t>For each of the treatments/programs listed above, participants were asked to indicate whether they were satisfied with the service, and how the service was paid for. These items were taken from the CIDI (Haro et al., 2006) and adapted for use in the current study.</w:t>
      </w:r>
    </w:p>
    <w:p w14:paraId="52B0CF58" w14:textId="77777777" w:rsidR="00160459" w:rsidRPr="0047058F" w:rsidRDefault="00160459" w:rsidP="0047058F">
      <w:pPr>
        <w:pStyle w:val="Heading6"/>
      </w:pPr>
      <w:r w:rsidRPr="0047058F">
        <w:t>Satisfaction with mental health services received</w:t>
      </w:r>
    </w:p>
    <w:p w14:paraId="640F3D2E" w14:textId="77777777" w:rsidR="00160459" w:rsidRPr="0047058F" w:rsidRDefault="00160459" w:rsidP="00160459">
      <w:pPr>
        <w:rPr>
          <w:lang w:eastAsia="en-AU"/>
        </w:rPr>
      </w:pPr>
      <w:r w:rsidRPr="0047058F">
        <w:rPr>
          <w:lang w:eastAsia="en-AU"/>
        </w:rPr>
        <w:t>Participants were asked to rate their satisfaction/dissatisfaction with a series of factors associated with receiving mental health care/services. Items included accessibility, cost, location, effectiveness, health professional competence, health professional friendliness, convenience, confidentiality and Medicare cap. Participants were required to provide answers in relation to their experiences in the past 12 months only.</w:t>
      </w:r>
    </w:p>
    <w:p w14:paraId="37AB023A" w14:textId="77777777" w:rsidR="00160459" w:rsidRPr="0047058F" w:rsidRDefault="00160459" w:rsidP="0047058F">
      <w:pPr>
        <w:pStyle w:val="Heading6"/>
      </w:pPr>
      <w:r w:rsidRPr="0047058F">
        <w:t>Doctor-diagnosed mental health conditions</w:t>
      </w:r>
    </w:p>
    <w:p w14:paraId="36812FDB" w14:textId="77777777" w:rsidR="00160459" w:rsidRPr="0047058F" w:rsidRDefault="00160459" w:rsidP="00160459">
      <w:pPr>
        <w:rPr>
          <w:lang w:eastAsia="en-AU"/>
        </w:rPr>
      </w:pPr>
      <w:r w:rsidRPr="0047058F">
        <w:rPr>
          <w:lang w:eastAsia="en-AU"/>
        </w:rPr>
        <w:t>This section of the survey asked participants about mental health problems or conditions that they had ever been diagnosed with or treated for by a medical doctor over their lifetime. If a participant said ‘yes’ to any of the items listed, they were also asked to specify the year they were first diagnosed, whether they had been treated by a doctor for the condition in the past year, and finally whether they had taken medication for the condition in the past month. Items in this section were derived from the 2011 Australian Gulf War Veterans Health Study 2011 follow-up (Sim et al., 2015).</w:t>
      </w:r>
    </w:p>
    <w:p w14:paraId="1515B4A9" w14:textId="77777777" w:rsidR="00160459" w:rsidRPr="0047058F" w:rsidRDefault="00160459" w:rsidP="0047058F">
      <w:pPr>
        <w:pStyle w:val="Heading6"/>
      </w:pPr>
      <w:r w:rsidRPr="0047058F">
        <w:t>Undiagnosed mental health conditions</w:t>
      </w:r>
    </w:p>
    <w:p w14:paraId="7CC07189" w14:textId="77777777" w:rsidR="00160459" w:rsidRPr="0047058F" w:rsidRDefault="00160459" w:rsidP="00160459">
      <w:pPr>
        <w:rPr>
          <w:lang w:eastAsia="en-AU"/>
        </w:rPr>
      </w:pPr>
      <w:r w:rsidRPr="0047058F">
        <w:rPr>
          <w:lang w:eastAsia="en-AU"/>
        </w:rPr>
        <w:t>Participants were presented with a list of mental disorders and asked to indicate whether they currently had (or ever had) each disorder without having been diagnosed or treated for it. Conditions included alcohol abuse or dependence, drug abuse or dependency, stress or anxiety, depression, and PTSD. This question was developed by researchers at the Centre for Traumatic Stress Studies to tap into undiagnosed mental conditions.</w:t>
      </w:r>
    </w:p>
    <w:p w14:paraId="7DD0932C" w14:textId="77777777" w:rsidR="00160459" w:rsidRPr="0047058F" w:rsidRDefault="00160459" w:rsidP="0047058F">
      <w:pPr>
        <w:pStyle w:val="Heading6"/>
        <w:rPr>
          <w:rFonts w:asciiTheme="minorHAnsi" w:hAnsiTheme="minorHAnsi"/>
        </w:rPr>
      </w:pPr>
      <w:r w:rsidRPr="0047058F">
        <w:t>Help-seeking latency</w:t>
      </w:r>
    </w:p>
    <w:p w14:paraId="45AAE94F" w14:textId="77777777" w:rsidR="00160459" w:rsidRPr="0047058F" w:rsidRDefault="00160459" w:rsidP="00160459">
      <w:pPr>
        <w:rPr>
          <w:lang w:eastAsia="en-AU"/>
        </w:rPr>
      </w:pPr>
      <w:r w:rsidRPr="0047058F">
        <w:rPr>
          <w:lang w:eastAsia="en-AU"/>
        </w:rPr>
        <w:t>In order to assess help-seeking latency, participants were asked to indicate when they first sought help for their own mental health. Options included ‘within 3 months of becoming concerned’ or ‘within 1 year of becoming concerned’. Alternatively, participants were able to specify the number of years since becoming concerned. This item was developed by researchers for use in the study.</w:t>
      </w:r>
    </w:p>
    <w:p w14:paraId="48C54BF2" w14:textId="77777777" w:rsidR="00160459" w:rsidRPr="0047058F" w:rsidRDefault="00160459" w:rsidP="0047058F">
      <w:pPr>
        <w:pStyle w:val="Heading6"/>
      </w:pPr>
      <w:r w:rsidRPr="0047058F">
        <w:t>Recommendation to seek help/assistance with seeking help</w:t>
      </w:r>
    </w:p>
    <w:p w14:paraId="53FF715C" w14:textId="77777777" w:rsidR="00160459" w:rsidRPr="0047058F" w:rsidRDefault="00160459" w:rsidP="00160459">
      <w:pPr>
        <w:rPr>
          <w:lang w:eastAsia="en-AU"/>
        </w:rPr>
      </w:pPr>
      <w:r w:rsidRPr="0047058F">
        <w:rPr>
          <w:lang w:eastAsia="en-AU"/>
        </w:rPr>
        <w:t>This section of the survey comprised two questions. The first item asked participants whether someone else suggested that they seek help for their mental health condition. The second item asked participants whether someone else practically assisted them in seeking care. Options included their GP, medical officer, partner, other family member, friend/colleague, or their supervisor/manager/commander. These questions were developed by researchers for specific use in the study.</w:t>
      </w:r>
    </w:p>
    <w:p w14:paraId="09ACA639" w14:textId="77777777" w:rsidR="00160459" w:rsidRPr="0047058F" w:rsidRDefault="00160459" w:rsidP="0047058F">
      <w:pPr>
        <w:pStyle w:val="Heading6"/>
      </w:pPr>
      <w:r w:rsidRPr="0047058F">
        <w:t xml:space="preserve">Reasons </w:t>
      </w:r>
      <w:r w:rsidRPr="0047058F">
        <w:rPr>
          <w:rStyle w:val="Heading6Char"/>
        </w:rPr>
        <w:t>f</w:t>
      </w:r>
      <w:r w:rsidRPr="0047058F">
        <w:t>or seeking care</w:t>
      </w:r>
    </w:p>
    <w:p w14:paraId="3F719D57" w14:textId="77777777" w:rsidR="00160459" w:rsidRPr="0047058F" w:rsidRDefault="00160459" w:rsidP="00160459">
      <w:pPr>
        <w:rPr>
          <w:lang w:eastAsia="en-AU"/>
        </w:rPr>
      </w:pPr>
      <w:r w:rsidRPr="0047058F">
        <w:rPr>
          <w:lang w:eastAsia="en-AU"/>
        </w:rPr>
        <w:t>Participants were asked to indicate what primary and secondary reason led them to seeking care. Examples included ‘anger’, ‘depression’ and ‘gambling’. These two questions were developed by researchers for specific use in the study.</w:t>
      </w:r>
    </w:p>
    <w:p w14:paraId="04ADFB22" w14:textId="77777777" w:rsidR="00160459" w:rsidRPr="0047058F" w:rsidRDefault="00160459" w:rsidP="00160459">
      <w:pPr>
        <w:pStyle w:val="Heading5"/>
        <w:rPr>
          <w:lang w:val="en-AU"/>
        </w:rPr>
      </w:pPr>
      <w:r w:rsidRPr="0047058F">
        <w:rPr>
          <w:lang w:val="en-AU"/>
        </w:rPr>
        <w:t>Health professionals</w:t>
      </w:r>
    </w:p>
    <w:p w14:paraId="218809BD" w14:textId="77777777" w:rsidR="00160459" w:rsidRPr="0047058F" w:rsidRDefault="00160459" w:rsidP="00160459">
      <w:r w:rsidRPr="0047058F">
        <w:t>In this section of the survey, participants were presented with an exhaustive list of health professionals and asked to indicate which of them they had consulted for their own health in the past 12 months. Participants were also asked to indicate how many times they had consulted a general practitioner and/or specialist doctor in the last two weeks. All items in this section were taken from the 2011 Australian Gulf War Veterans Health Study 2011 follow-up (Sim et al., 2015).</w:t>
      </w:r>
    </w:p>
    <w:p w14:paraId="7AEA6EF3" w14:textId="77777777" w:rsidR="00160459" w:rsidRPr="0047058F" w:rsidRDefault="00160459" w:rsidP="00160459">
      <w:pPr>
        <w:pStyle w:val="Heading5"/>
        <w:rPr>
          <w:lang w:val="en-AU"/>
        </w:rPr>
      </w:pPr>
      <w:r w:rsidRPr="0047058F">
        <w:rPr>
          <w:lang w:val="en-AU"/>
        </w:rPr>
        <w:t>Family and children</w:t>
      </w:r>
    </w:p>
    <w:p w14:paraId="0EAF5192" w14:textId="77777777" w:rsidR="00160459" w:rsidRPr="0047058F" w:rsidRDefault="00160459" w:rsidP="00160459">
      <w:pPr>
        <w:rPr>
          <w:rFonts w:asciiTheme="minorHAnsi" w:hAnsiTheme="minorHAnsi"/>
        </w:rPr>
      </w:pPr>
      <w:r w:rsidRPr="0047058F">
        <w:t>This section of the survey comprised several scales looking at participants’ relationships with their family and children.</w:t>
      </w:r>
    </w:p>
    <w:p w14:paraId="76D91A17" w14:textId="77777777" w:rsidR="00160459" w:rsidRPr="0047058F" w:rsidRDefault="00160459" w:rsidP="00160459">
      <w:r w:rsidRPr="0047058F">
        <w:t>Family support and strain was assessed via items of relevance from an adapted version of the Schuster Social Support Scale (Schuster, Kessler &amp; Aseltine, 1990). Affective support was indicated by responses to questions about how often family made them feel cared for and how often family expressed interest in how they were doing. Negative interactions were indicated by responses to questions about how often family made too many demands on them, how often family criticised them, and how often family created tensions or arguments with them. All items were answered on 4</w:t>
      </w:r>
      <w:r w:rsidRPr="0047058F">
        <w:noBreakHyphen/>
        <w:t>point Likert-type scale ranging from ‘often’ to ‘never’.</w:t>
      </w:r>
    </w:p>
    <w:p w14:paraId="01CACC36" w14:textId="77777777" w:rsidR="00160459" w:rsidRPr="0047058F" w:rsidRDefault="00160459" w:rsidP="00160459">
      <w:r w:rsidRPr="0047058F">
        <w:t>Items assessing participants’ relationship with their current partner, arguments with their current partner and abuse experienced by their partner were taken from the Timor-Lest Family Study (McGuire et al., 2012).</w:t>
      </w:r>
    </w:p>
    <w:p w14:paraId="5C08DDCD" w14:textId="77777777" w:rsidR="00160459" w:rsidRPr="0047058F" w:rsidRDefault="00160459" w:rsidP="00160459">
      <w:r w:rsidRPr="0047058F">
        <w:t>A single item looking at how often participants had contact with family members not living with them was taken from the 2014 Vietnam Veterans Family Study (Forrest et al., 2014).</w:t>
      </w:r>
    </w:p>
    <w:p w14:paraId="5B31E56E" w14:textId="77777777" w:rsidR="00160459" w:rsidRPr="0047058F" w:rsidRDefault="00160459" w:rsidP="00160459">
      <w:r w:rsidRPr="0047058F">
        <w:t>Items assessing the impact of military service on participants’ relationships, employment, physical health, mental health and financial situation were also taken from the 2014 Vietnam Veterans Family Study (Forrest et al., 2014).</w:t>
      </w:r>
    </w:p>
    <w:p w14:paraId="243B8348" w14:textId="77777777" w:rsidR="00160459" w:rsidRPr="0047058F" w:rsidRDefault="00160459" w:rsidP="00160459">
      <w:pPr>
        <w:rPr>
          <w:lang w:eastAsia="ja-JP"/>
        </w:rPr>
      </w:pPr>
      <w:r w:rsidRPr="0047058F">
        <w:rPr>
          <w:rFonts w:cs="Arial"/>
        </w:rPr>
        <w:t>Two items assessing relationship satisfaction were taken from the</w:t>
      </w:r>
      <w:hyperlink r:id="rId94" w:history="1">
        <w:r w:rsidRPr="0047058F">
          <w:t xml:space="preserve"> Household, Income and Labour Dynamics</w:t>
        </w:r>
        <w:r w:rsidRPr="0047058F">
          <w:rPr>
            <w:rFonts w:eastAsia="MS Gothic"/>
          </w:rPr>
          <w:t xml:space="preserve"> </w:t>
        </w:r>
        <w:r w:rsidRPr="0047058F">
          <w:t>in Australia (HILDA) Survey</w:t>
        </w:r>
      </w:hyperlink>
      <w:r w:rsidRPr="0047058F">
        <w:t xml:space="preserve"> (Watson &amp; Wooden, 2002)</w:t>
      </w:r>
      <w:r w:rsidRPr="0047058F">
        <w:rPr>
          <w:lang w:eastAsia="ja-JP"/>
        </w:rPr>
        <w:t>. Participants were required to rate their relationship with their partner and their children on an 11-point Likert-type scale ranging from ‘completely dissatisfied’ to ‘completely satisfied’.</w:t>
      </w:r>
    </w:p>
    <w:p w14:paraId="1A281E3A" w14:textId="77777777" w:rsidR="00160459" w:rsidRPr="0047058F" w:rsidRDefault="00160459" w:rsidP="00160459">
      <w:r w:rsidRPr="0047058F">
        <w:t>Items measuring conflict during childhood, parental mental health and parental substance abuse were taken from the Longitudinal Study of Australian Children (Gray &amp; Sanson, 2005).</w:t>
      </w:r>
    </w:p>
    <w:p w14:paraId="101C4BF9" w14:textId="77777777" w:rsidR="00160459" w:rsidRPr="0047058F" w:rsidRDefault="00160459" w:rsidP="00160459">
      <w:pPr>
        <w:rPr>
          <w:lang w:eastAsia="ja-JP"/>
        </w:rPr>
      </w:pPr>
      <w:r w:rsidRPr="0047058F">
        <w:t xml:space="preserve">Global parental self-efficacy was assessed via a single item taken from the Longitudinal Study of Australian Children (Gray &amp; Sanson, 2005). </w:t>
      </w:r>
      <w:r w:rsidRPr="0047058F">
        <w:rPr>
          <w:lang w:eastAsia="ja-JP"/>
        </w:rPr>
        <w:t>Participants were required to rate their competency as a parent on a 5-point Likert-type scale ranging from ‘not very good at being a parent’ to ‘a very good parent’.</w:t>
      </w:r>
    </w:p>
    <w:p w14:paraId="289B4C13" w14:textId="77777777" w:rsidR="00160459" w:rsidRPr="0047058F" w:rsidRDefault="00160459" w:rsidP="00160459">
      <w:r w:rsidRPr="0047058F">
        <w:t>Parental warmth was measured using six items from the Child Rearing Questionnaire (Paterson &amp; Sanson, 1999). These items were also utilised in the Longitudinal Study of Australian Children (Gray &amp; Sanson, 2005). Participants were required to answer questions in this section thinking about their first-born child aged between 4 and 17 who lived with them 50% or more of the time in the last six months. Participants were required to indicate how often each listed event took place on a 5-point Likert-type scale ranging from ‘never/almost never’ to ‘always/almost always’. Examples of events include ‘how often did you hug or hold this child for no particular reason’ and ‘how often did you enjoy listening to this child and doing things with him/her’.</w:t>
      </w:r>
    </w:p>
    <w:p w14:paraId="68C24CB7" w14:textId="77777777" w:rsidR="00160459" w:rsidRPr="0047058F" w:rsidRDefault="00160459" w:rsidP="00160459">
      <w:pPr>
        <w:rPr>
          <w:rFonts w:cs="Arial"/>
        </w:rPr>
      </w:pPr>
      <w:r w:rsidRPr="0047058F">
        <w:rPr>
          <w:rFonts w:cs="Arial"/>
        </w:rPr>
        <w:t xml:space="preserve">Parental anger was measured using five items from the </w:t>
      </w:r>
      <w:r w:rsidRPr="0047058F">
        <w:t>National Longitudinal Study of Children and Youth (Statistics Canada, 2003). Participants were required to indicate how often each listed event took place on a 5-point Likert-type scale ranging from ‘never/almost never’ to ‘all the time’. Examples of events include ‘how often are you angry when you punish this child’ and ‘how often do you tell this child that he/she is not as good as the others’.</w:t>
      </w:r>
    </w:p>
    <w:p w14:paraId="01060431" w14:textId="77777777" w:rsidR="00160459" w:rsidRPr="0047058F" w:rsidRDefault="00160459" w:rsidP="00160459">
      <w:pPr>
        <w:pStyle w:val="Heading5"/>
        <w:rPr>
          <w:rFonts w:asciiTheme="minorHAnsi" w:hAnsiTheme="minorHAnsi"/>
          <w:lang w:val="en-AU"/>
        </w:rPr>
      </w:pPr>
      <w:r w:rsidRPr="0047058F">
        <w:rPr>
          <w:lang w:val="en-AU"/>
        </w:rPr>
        <w:t>Friends and other social contacts</w:t>
      </w:r>
    </w:p>
    <w:p w14:paraId="5EDB7B01" w14:textId="77777777" w:rsidR="00160459" w:rsidRPr="0047058F" w:rsidRDefault="00160459" w:rsidP="00160459">
      <w:r w:rsidRPr="0047058F">
        <w:t>This section of the survey comprised several scales looking at participants’ friends and social contacts.</w:t>
      </w:r>
    </w:p>
    <w:p w14:paraId="250ABFD7" w14:textId="77777777" w:rsidR="00160459" w:rsidRPr="0047058F" w:rsidRDefault="00160459" w:rsidP="00160459">
      <w:r w:rsidRPr="0047058F">
        <w:t>Social support and strain was assessed via items of relevance from an adapted version of the Schuster Social Support Scale (Schuster et al., 1990).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on them, how often friends criticised them, and how often friends created tensions or arguments with them. All items were answered on 4-point Likert-type scale ranging from ‘often’ to ‘never’.</w:t>
      </w:r>
    </w:p>
    <w:p w14:paraId="286E5E51" w14:textId="77777777" w:rsidR="00160459" w:rsidRPr="0047058F" w:rsidRDefault="00160459" w:rsidP="00160459">
      <w:r w:rsidRPr="0047058F">
        <w:t>A single item looking at how often participants had contact with friends not living with them was taken from the 2014 Vietnam Veterans Family Study conducted by the Department of Veterans’ Affairs (Forrest et al., 2014).</w:t>
      </w:r>
    </w:p>
    <w:p w14:paraId="2D2520A5" w14:textId="77777777" w:rsidR="00160459" w:rsidRPr="0047058F" w:rsidRDefault="00160459" w:rsidP="00160459">
      <w:r w:rsidRPr="0047058F">
        <w:t xml:space="preserve">A single item assessing how satisfied participants were with their friendships was taken from </w:t>
      </w:r>
      <w:hyperlink r:id="rId95" w:history="1">
        <w:r w:rsidRPr="0047058F">
          <w:t>the Household, Income and Labour Dynamics in Australia (HILDA) Survey</w:t>
        </w:r>
      </w:hyperlink>
      <w:r w:rsidRPr="0047058F">
        <w:t xml:space="preserve"> (Watson &amp; Wooden, 2002). Participants were required to rate their relationship on an 11-point Likert-type scale ranging from ‘completely dissatisfied’ to ‘completely satisfied’.</w:t>
      </w:r>
    </w:p>
    <w:p w14:paraId="04621DE8" w14:textId="77777777" w:rsidR="00160459" w:rsidRPr="0047058F" w:rsidRDefault="00160459" w:rsidP="00160459">
      <w:r w:rsidRPr="0047058F">
        <w:t>Questions looking at how many ex-service organisations participants belonged to and how these organisations benefited them were taken from the Australian Gulf War Veterans Health Study 2011 follow-up (Sim et al., 2015).</w:t>
      </w:r>
    </w:p>
    <w:p w14:paraId="4321F717" w14:textId="77777777" w:rsidR="00160459" w:rsidRPr="0047058F" w:rsidRDefault="00160459" w:rsidP="00160459">
      <w:pPr>
        <w:pStyle w:val="Heading5"/>
        <w:rPr>
          <w:lang w:val="en-AU"/>
        </w:rPr>
      </w:pPr>
      <w:r w:rsidRPr="0047058F">
        <w:rPr>
          <w:lang w:val="en-AU"/>
        </w:rPr>
        <w:t>Resilience</w:t>
      </w:r>
    </w:p>
    <w:p w14:paraId="091114D6" w14:textId="77777777" w:rsidR="00160459" w:rsidRPr="0047058F" w:rsidRDefault="00160459" w:rsidP="00160459">
      <w:pPr>
        <w:rPr>
          <w:lang w:eastAsia="en-AU"/>
        </w:rPr>
      </w:pPr>
      <w:r w:rsidRPr="0047058F">
        <w:rPr>
          <w:lang w:eastAsia="en-AU"/>
        </w:rPr>
        <w:t>The Ohio State University Brief Resilience Scale (BRS) (Smith et al., 2008) was included to assess participants’ ability to bounce back or recover from stress. Participants were asked to indicate the extent to which they agreed or disagreed with six anchored statements. The BRS is scored by reverse coding items 2, 6, and 6 and finding the mean of the six items.</w:t>
      </w:r>
    </w:p>
    <w:p w14:paraId="6F59034C" w14:textId="77777777" w:rsidR="00160459" w:rsidRPr="0047058F" w:rsidRDefault="00160459" w:rsidP="00160459">
      <w:pPr>
        <w:rPr>
          <w:rFonts w:cs="Times"/>
          <w:lang w:eastAsia="en-AU"/>
        </w:rPr>
      </w:pPr>
      <w:r w:rsidRPr="0047058F">
        <w:t>The final item in this section assessed global happiness via the Delighted–Terrible scale (Andrews &amp; Crandall, 1976), one of the more common approaches to collecting subjective quality of life data.</w:t>
      </w:r>
    </w:p>
    <w:p w14:paraId="44E0653B" w14:textId="77777777" w:rsidR="00160459" w:rsidRPr="0047058F" w:rsidRDefault="00160459" w:rsidP="00160459">
      <w:pPr>
        <w:pStyle w:val="Heading5"/>
        <w:rPr>
          <w:lang w:val="en-AU" w:eastAsia="en-AU"/>
        </w:rPr>
      </w:pPr>
      <w:r w:rsidRPr="0047058F">
        <w:rPr>
          <w:lang w:val="en-AU" w:eastAsia="en-AU"/>
        </w:rPr>
        <w:t>Gambling</w:t>
      </w:r>
    </w:p>
    <w:p w14:paraId="6F98748D" w14:textId="77777777" w:rsidR="00160459" w:rsidRPr="0047058F" w:rsidRDefault="00160459" w:rsidP="00160459">
      <w:r w:rsidRPr="0047058F">
        <w:t>The Problem Gambling Severity Index (Stinchfield, Govoni &amp; Frisch, 2007) is a widely used nine-item scale for measuring the severity of gambling problems in the general population. Each item is scored from 0 to 3. The higher the total score, the greater the risk of problem gambling behaviour.</w:t>
      </w:r>
    </w:p>
    <w:p w14:paraId="46BC498C" w14:textId="77777777" w:rsidR="00160459" w:rsidRPr="0047058F" w:rsidRDefault="00160459" w:rsidP="00160459">
      <w:pPr>
        <w:pStyle w:val="Heading5"/>
        <w:rPr>
          <w:lang w:val="en-AU" w:eastAsia="en-AU"/>
        </w:rPr>
      </w:pPr>
      <w:r w:rsidRPr="0047058F">
        <w:rPr>
          <w:lang w:val="en-AU" w:eastAsia="en-AU"/>
        </w:rPr>
        <w:t>Driving</w:t>
      </w:r>
    </w:p>
    <w:p w14:paraId="405E514F" w14:textId="77777777" w:rsidR="00160459" w:rsidRPr="0047058F" w:rsidRDefault="00160459" w:rsidP="00160459">
      <w:r w:rsidRPr="0047058F">
        <w:t xml:space="preserve">Items examining risky driving were sourced from the Australian Institute of Family Studies (Smart et al., 2005) and looked specifically at driving over the speed limit and driving while affected by alcohol. </w:t>
      </w:r>
      <w:r w:rsidRPr="0047058F">
        <w:rPr>
          <w:rFonts w:cs="Times"/>
          <w:lang w:eastAsia="en-AU"/>
        </w:rPr>
        <w:t xml:space="preserve">Participants were asked to consider the last 10 times they drove, and how many times in that period </w:t>
      </w:r>
      <w:r w:rsidRPr="0047058F">
        <w:t>they engaged in risky driving behaviour.</w:t>
      </w:r>
    </w:p>
    <w:p w14:paraId="7D62082E" w14:textId="77777777" w:rsidR="00160459" w:rsidRPr="0047058F" w:rsidRDefault="00160459" w:rsidP="00160459">
      <w:pPr>
        <w:pStyle w:val="Heading5"/>
        <w:rPr>
          <w:lang w:val="en-AU" w:eastAsia="en-AU"/>
        </w:rPr>
      </w:pPr>
      <w:r w:rsidRPr="0047058F">
        <w:rPr>
          <w:lang w:val="en-AU" w:eastAsia="en-AU"/>
        </w:rPr>
        <w:t>Experience with the law</w:t>
      </w:r>
    </w:p>
    <w:p w14:paraId="34E0CDAA" w14:textId="77777777" w:rsidR="00160459" w:rsidRPr="0047058F" w:rsidRDefault="00160459" w:rsidP="00160459">
      <w:r w:rsidRPr="0047058F">
        <w:t>Participants were asked a series of questions about their experiences with the law, including whether they had ever been arrested, whether they had ever been convicted of a crime in a court of law, and finally whether they had ever been sent to prison. For any that applied, participants were also asked to indicate whether the event occurred prior to entry into the ADF, prior to transition from the Regular ADF service, or since transition from Regular ADF service. Items in this section of the survey were sourced from the Australian Gulf War Veterans Health Study 2011 follow-up (Sim et al., 2015).</w:t>
      </w:r>
    </w:p>
    <w:p w14:paraId="2F3EBD76" w14:textId="77777777" w:rsidR="00160459" w:rsidRPr="0047058F" w:rsidRDefault="00160459" w:rsidP="00160459">
      <w:pPr>
        <w:pStyle w:val="Heading5"/>
        <w:rPr>
          <w:lang w:val="en-AU"/>
        </w:rPr>
      </w:pPr>
      <w:r w:rsidRPr="0047058F">
        <w:rPr>
          <w:lang w:val="en-AU"/>
        </w:rPr>
        <w:t>Internet usage</w:t>
      </w:r>
    </w:p>
    <w:p w14:paraId="14F73561" w14:textId="77777777" w:rsidR="00160459" w:rsidRPr="0047058F" w:rsidRDefault="00160459" w:rsidP="00160459">
      <w:r w:rsidRPr="0047058F">
        <w:t>This section of the survey aimed to ascertain what role the internet played in improving the mental health and wellbeing of participants. Items looking at internet usage were taken from the Young and Well National Survey (Burns et al., 2013) and looked specifically at internet usage patterns, means of accessing the internet, the use of the internet for social support, the use of the internet for obtaining information relating to mental health, the use of the internet for managing mental health, barriers to using the internet for mental health, and the efficacy of the internet in meeting needs.</w:t>
      </w:r>
    </w:p>
    <w:p w14:paraId="6AC79816" w14:textId="77777777" w:rsidR="00160459" w:rsidRPr="0047058F" w:rsidRDefault="00160459" w:rsidP="00160459">
      <w:pPr>
        <w:pStyle w:val="Heading5"/>
        <w:rPr>
          <w:lang w:val="en-AU"/>
        </w:rPr>
      </w:pPr>
      <w:r w:rsidRPr="0047058F">
        <w:rPr>
          <w:lang w:val="en-AU"/>
        </w:rPr>
        <w:t>Emerging technologies</w:t>
      </w:r>
    </w:p>
    <w:p w14:paraId="062279A2" w14:textId="77777777" w:rsidR="00160459" w:rsidRPr="0047058F" w:rsidRDefault="00160459" w:rsidP="00160459">
      <w:r w:rsidRPr="0047058F">
        <w:t>The use of new and emerging technologies for health and wellbeing was assessed via a series of items developed by the Young and Well Cooperative Research Centre (Burns et al., 2013; Young and Well Cooperative Research Centre, 2013). Questions looked at participants’ current usage of new and emerging technologies, barriers to usage, types of new and emerging technologies utilised, the use of new and emerging technologies for health and wellbeing improvement, reasons for using new and emerging technologies for health and wellbeing, other reasons for using new and emerging technologies, the types of new and emerging technologies participants would utilise if money was not a factor, and finally the early adoption of new technologies.</w:t>
      </w:r>
    </w:p>
    <w:p w14:paraId="73A0F638" w14:textId="77777777" w:rsidR="00160459" w:rsidRPr="0047058F" w:rsidRDefault="00160459" w:rsidP="00160459">
      <w:pPr>
        <w:pStyle w:val="Heading5"/>
        <w:rPr>
          <w:lang w:val="en-AU"/>
        </w:rPr>
      </w:pPr>
      <w:r w:rsidRPr="0047058F">
        <w:rPr>
          <w:lang w:val="en-AU"/>
        </w:rPr>
        <w:t>Head injuries</w:t>
      </w:r>
    </w:p>
    <w:p w14:paraId="0112AF4B" w14:textId="77777777" w:rsidR="00160459" w:rsidRPr="0047058F" w:rsidRDefault="00160459" w:rsidP="00160459">
      <w:pPr>
        <w:rPr>
          <w:rFonts w:cs="Arial"/>
          <w:lang w:eastAsia="en-AU"/>
        </w:rPr>
      </w:pPr>
      <w:r w:rsidRPr="0047058F">
        <w:rPr>
          <w:lang w:eastAsia="en-AU"/>
        </w:rPr>
        <w:t>This section of the survey comprised two scales. Firstly, a self-report version of the Ohio State University Traumatic Brain Injury Identification Method (OSU TBI-ID) (Corrigan &amp; Bogner, 2007), which was adapted by researchers for specific use in the current Programme. The OSU TBI-ID is a standardised measure designed to elicit an individual’s lifetime history of traumatic brain injury. Questions focused on the types of head/neck injuries incurred, symptoms experienced (e.g. loss of consciousness, being dazed and confused, loss of memory), age the first and last time the symptoms occurred, frequency of symptoms, loss of consciousness related to a drug overdose or being choked, and finally the occurrence of multiple blows to the head in relation to a history of abuse, contact sports or ADF training/deployment. Secondly, a modified version of the Postconcussion Syndrome Checklist (Gouvier, Cubic, Jones, Brantley &amp; Cutlip, 1992), which</w:t>
      </w:r>
      <w:r w:rsidRPr="0047058F">
        <w:rPr>
          <w:rFonts w:cs="Arial"/>
          <w:lang w:eastAsia="en-AU"/>
        </w:rPr>
        <w:t xml:space="preserve"> was utilised as part of the 2012 </w:t>
      </w:r>
      <w:bookmarkStart w:id="651" w:name="_Hlk489455218"/>
      <w:r w:rsidRPr="0047058F">
        <w:rPr>
          <w:rFonts w:cs="Arial"/>
          <w:lang w:eastAsia="en-AU"/>
        </w:rPr>
        <w:t xml:space="preserve">Middle East Area of Operations </w:t>
      </w:r>
      <w:bookmarkEnd w:id="651"/>
      <w:r w:rsidRPr="0047058F">
        <w:rPr>
          <w:rFonts w:cs="Arial"/>
          <w:lang w:eastAsia="en-AU"/>
        </w:rPr>
        <w:t>Health Study (Davy et al., 2012). This modified version of the scale required participants to indicate the degree to which they had experienced a list of 11 symptoms in the past four weeks as a result of an injury to their head or neck.</w:t>
      </w:r>
    </w:p>
    <w:p w14:paraId="44DB87EB" w14:textId="77777777" w:rsidR="00160459" w:rsidRPr="0047058F" w:rsidRDefault="00160459" w:rsidP="00160459">
      <w:pPr>
        <w:pStyle w:val="Heading5"/>
        <w:rPr>
          <w:lang w:val="en-AU"/>
        </w:rPr>
      </w:pPr>
      <w:r w:rsidRPr="0047058F">
        <w:rPr>
          <w:lang w:val="en-AU"/>
        </w:rPr>
        <w:t>Physical exercise</w:t>
      </w:r>
    </w:p>
    <w:p w14:paraId="34FA1AA4" w14:textId="77777777" w:rsidR="00160459" w:rsidRPr="0047058F" w:rsidRDefault="00160459" w:rsidP="00160459">
      <w:pPr>
        <w:rPr>
          <w:rFonts w:cs="Arial"/>
        </w:rPr>
      </w:pPr>
      <w:r w:rsidRPr="0047058F">
        <w:t>In order to assess physical activity, participants were asked to complete the Short Last 7 Days Self-Administered version of the International Physical Activity Questionnaire (International Physical Activity Questionnaire, 2002). Questions asked participants to indicate t</w:t>
      </w:r>
      <w:r w:rsidRPr="0047058F">
        <w:rPr>
          <w:rFonts w:cs="Arial"/>
        </w:rPr>
        <w:t>he number of days, the number of times, and the amount of time they spent doing vigorous, moderate and light physical activity in the last seven days, as well as the amount of time they spent sedentary.</w:t>
      </w:r>
    </w:p>
    <w:p w14:paraId="79DCC377" w14:textId="77777777" w:rsidR="00160459" w:rsidRPr="0047058F" w:rsidRDefault="00160459" w:rsidP="00160459">
      <w:pPr>
        <w:pStyle w:val="Heading5"/>
        <w:rPr>
          <w:lang w:val="en-AU"/>
        </w:rPr>
      </w:pPr>
      <w:r w:rsidRPr="0047058F">
        <w:rPr>
          <w:lang w:val="en-AU"/>
        </w:rPr>
        <w:t>Pain</w:t>
      </w:r>
    </w:p>
    <w:p w14:paraId="2543ADC9" w14:textId="77777777" w:rsidR="00160459" w:rsidRPr="0047058F" w:rsidRDefault="00160459" w:rsidP="00160459">
      <w:r w:rsidRPr="0047058F">
        <w:rPr>
          <w:rFonts w:cs="Arial"/>
        </w:rPr>
        <w:t xml:space="preserve">Items assessing pain intensity and disability were taken from the </w:t>
      </w:r>
      <w:r w:rsidRPr="0047058F">
        <w:t>Australian Gulf War Veterans Health Study 2011 follow-up (Sim et al., 2015). Participants were asked to answer a series of questions on a scale of 1 to 10 about their current pain, worst pain and average pain in the last six-month period. Participants were also asked to indicate how much their pain had interfered with their daily activities, their recreational/social activities, and their ability to work in the last six months.</w:t>
      </w:r>
    </w:p>
    <w:p w14:paraId="306EADBF" w14:textId="77777777" w:rsidR="00160459" w:rsidRPr="0047058F" w:rsidRDefault="00160459" w:rsidP="00160459">
      <w:pPr>
        <w:pStyle w:val="Heading5"/>
        <w:rPr>
          <w:lang w:val="en-AU"/>
        </w:rPr>
      </w:pPr>
      <w:r w:rsidRPr="0047058F">
        <w:rPr>
          <w:lang w:val="en-AU"/>
        </w:rPr>
        <w:t>Injuries</w:t>
      </w:r>
    </w:p>
    <w:p w14:paraId="210C34EE" w14:textId="77777777" w:rsidR="00160459" w:rsidRPr="0047058F" w:rsidRDefault="00160459" w:rsidP="00160459">
      <w:r w:rsidRPr="0047058F">
        <w:t>This section of the survey was developed by researchers for the current Programme and looked at injuries sustained during an individual’s military career that required time off work. For each injury type, participants were asked to specify how many injuries were sustained during their military career, how many were sustained while on deployment, and how many were sustained during training. Participants were also asked to indicate all the body sites where the injuries occurred.</w:t>
      </w:r>
    </w:p>
    <w:p w14:paraId="6C575F4E" w14:textId="77777777" w:rsidR="00160459" w:rsidRPr="0047058F" w:rsidRDefault="00160459" w:rsidP="00160459">
      <w:pPr>
        <w:pStyle w:val="Heading5"/>
        <w:rPr>
          <w:lang w:val="en-AU"/>
        </w:rPr>
      </w:pPr>
      <w:r w:rsidRPr="0047058F">
        <w:rPr>
          <w:lang w:val="en-AU"/>
        </w:rPr>
        <w:t>Respiratory health</w:t>
      </w:r>
    </w:p>
    <w:p w14:paraId="6EF03329" w14:textId="77777777" w:rsidR="00160459" w:rsidRPr="0047058F" w:rsidRDefault="00160459" w:rsidP="00160459">
      <w:r w:rsidRPr="0047058F">
        <w:t>This section of the survey asked participants about any respiratory symptoms experienced in the last 12 months. Items were derived from the European Community Respiratory Health Survey I (Burney, Luczynska, Chinn &amp; Jarvis, 1994). Examples of symptoms that were assessed include wheezing or whistling, breathlessness, tightness in the chest, shortness of breath, coughing, phlegm, nasal allergies and asthma.</w:t>
      </w:r>
    </w:p>
    <w:p w14:paraId="0FE7A79B" w14:textId="77777777" w:rsidR="00160459" w:rsidRPr="0047058F" w:rsidRDefault="00160459" w:rsidP="00160459">
      <w:pPr>
        <w:pStyle w:val="Heading5"/>
        <w:rPr>
          <w:lang w:val="en-AU"/>
        </w:rPr>
      </w:pPr>
      <w:r w:rsidRPr="0047058F">
        <w:rPr>
          <w:lang w:val="en-AU"/>
        </w:rPr>
        <w:t>Physical health</w:t>
      </w:r>
    </w:p>
    <w:p w14:paraId="45159497" w14:textId="77777777" w:rsidR="00160459" w:rsidRPr="0047058F" w:rsidRDefault="00160459" w:rsidP="00160459">
      <w:r w:rsidRPr="0047058F">
        <w:t>Items assessing current physical health were taken from the Australian Gulf War Veterans Health Study 2011 follow-up (Sim et al., 2015). This 67-item adapted version of the self-report symptom questionnaire included respiratory, cardiovascular, musculoskeletal, dermatological, gastrointestinal, genitourinary, neurological and cognitive symptoms. For every symptom experienced within the past month, participants were also required to provide an indication of symptom severity on a 3-point Likert scale (mild, moderate, severe).</w:t>
      </w:r>
    </w:p>
    <w:p w14:paraId="67F22FEE" w14:textId="77777777" w:rsidR="00160459" w:rsidRPr="0047058F" w:rsidRDefault="00160459" w:rsidP="00160459">
      <w:pPr>
        <w:pStyle w:val="Heading5"/>
        <w:rPr>
          <w:lang w:val="en-AU"/>
        </w:rPr>
      </w:pPr>
      <w:r w:rsidRPr="0047058F">
        <w:rPr>
          <w:lang w:val="en-AU"/>
        </w:rPr>
        <w:t>Doctor-diagnosed medical conditions</w:t>
      </w:r>
    </w:p>
    <w:p w14:paraId="5125BDD0" w14:textId="77777777" w:rsidR="00160459" w:rsidRPr="0047058F" w:rsidRDefault="00160459" w:rsidP="00160459">
      <w:r w:rsidRPr="0047058F">
        <w:t>This 44-item self-report questionnaire asked participants about medical problems or conditions they had been diagnosed with or treated for by a medical doctor over their lifetime. If a participant said ‘yes’ to any of the items listed, they were also asked to specify the year they were first diagnosed, whether they had been treated by a doctor for the condition in the past year, and finally whether they had taken medications for the condition in the past month. Items in this section were derived from the Australian Gulf War Veterans Health Study 2011 follow-up (Sim et al., 2015).</w:t>
      </w:r>
    </w:p>
    <w:p w14:paraId="2FEFB42C" w14:textId="77777777" w:rsidR="00160459" w:rsidRPr="0047058F" w:rsidRDefault="00160459" w:rsidP="00160459">
      <w:r w:rsidRPr="0047058F">
        <w:t>For more detail surrounding the individual measures listed above under ‘Phase 1: Self-report survey’, including information about scoring, please refer to the relevant chapters within each report commissioned under the Mental Health and Wellbeing Transition Study.</w:t>
      </w:r>
    </w:p>
    <w:p w14:paraId="19DFCD22" w14:textId="77777777" w:rsidR="00160459" w:rsidRPr="0047058F" w:rsidRDefault="00160459" w:rsidP="00160459">
      <w:pPr>
        <w:pStyle w:val="Heading3b"/>
        <w:rPr>
          <w:rFonts w:asciiTheme="minorHAnsi" w:hAnsiTheme="minorHAnsi"/>
        </w:rPr>
      </w:pPr>
      <w:bookmarkStart w:id="652" w:name="_Toc297295800"/>
      <w:bookmarkStart w:id="653" w:name="_Toc487011300"/>
      <w:bookmarkStart w:id="654" w:name="_Toc493663195"/>
      <w:r w:rsidRPr="0047058F">
        <w:t>Phase 2: Diagnostic interview</w:t>
      </w:r>
      <w:bookmarkEnd w:id="652"/>
      <w:bookmarkEnd w:id="653"/>
      <w:bookmarkEnd w:id="654"/>
    </w:p>
    <w:p w14:paraId="39CD6054" w14:textId="77777777" w:rsidR="00160459" w:rsidRPr="0047058F" w:rsidRDefault="00160459" w:rsidP="00160459">
      <w:r w:rsidRPr="0047058F">
        <w:t>In phase 2 of the research, a subsample of individuals were selected to participate in a one-hour telephone interview using the CIDI (Kessler &amp; Ustun, 2004).</w:t>
      </w:r>
    </w:p>
    <w:p w14:paraId="16F53B3A" w14:textId="77777777" w:rsidR="00160459" w:rsidRPr="0047058F" w:rsidRDefault="00160459" w:rsidP="00160459">
      <w:r w:rsidRPr="0047058F">
        <w:t xml:space="preserve">The CIDI provided the research team with an assessment of mental disorders based on the definitions and criteria of two classification systems: the </w:t>
      </w:r>
      <w:r w:rsidRPr="0047058F">
        <w:rPr>
          <w:i/>
        </w:rPr>
        <w:t>Diagnostic and Statistical Manual of Mental Disorders, Fourth Edition</w:t>
      </w:r>
      <w:r w:rsidRPr="0047058F">
        <w:t xml:space="preserve"> (DSM-IV) and the International Statistical Classification of Diseases and Related Health Problems, 10th Revision (ICD-10) (World Health Organization, 1994). The CIDI was selected because of its highly structured nature and its vast use in epidemiological studies worldwide, including the 2010 MHPWS, conducted by the Centre for Traumatic Stress Studies, and the 2007 </w:t>
      </w:r>
      <w:r w:rsidRPr="0047058F">
        <w:rPr>
          <w:rFonts w:eastAsia="Times" w:cs="Arial"/>
        </w:rPr>
        <w:t xml:space="preserve">National Survey of Mental Health and Wellbeing, </w:t>
      </w:r>
      <w:r w:rsidRPr="0047058F">
        <w:t>conducted by the Australian Bureau of Statistics.</w:t>
      </w:r>
    </w:p>
    <w:p w14:paraId="58EDE933" w14:textId="77777777" w:rsidR="00160459" w:rsidRPr="0047058F" w:rsidRDefault="00160459" w:rsidP="00160459">
      <w:r w:rsidRPr="0047058F">
        <w:t>The CIDI was administered to consenting participants by a team of trained interviewers from the Hunter Research Foundation in Newcastle, New South Wales. Their diagnostic inter-rater reliability was closely monitored by supervisors based at the research centre throughout the study period.</w:t>
      </w:r>
    </w:p>
    <w:p w14:paraId="3A182E28" w14:textId="77777777" w:rsidR="00160459" w:rsidRPr="0047058F" w:rsidRDefault="00160459" w:rsidP="00160459">
      <w:pPr>
        <w:pStyle w:val="Heading4"/>
        <w:ind w:left="864" w:hanging="864"/>
      </w:pPr>
      <w:r w:rsidRPr="0047058F">
        <w:t>Twelve-month and lifetime ICD-10 mental disorders</w:t>
      </w:r>
    </w:p>
    <w:p w14:paraId="4CAF8C32" w14:textId="77777777" w:rsidR="00160459" w:rsidRPr="0047058F" w:rsidRDefault="00160459" w:rsidP="00160459">
      <w:pPr>
        <w:rPr>
          <w:rFonts w:cs="Arial"/>
        </w:rPr>
      </w:pPr>
      <w:r w:rsidRPr="0047058F">
        <w:t>The CIDI was used to assess the 12-month and lifetime ICD-10 rates for depressive episode, dysthymia, bipolar affective disorder, panic attack, panic disorder, agoraphobia, social phobia, specific phobia, generalised anxiety disorder, obsessive-compulsive disorder, PTSD, adult separation disorder, harmful alcohol use and dependence, suicidal ideation and behaviour, and intermittent explosive disorder. Clinical calibration studies report that the CIDI has good validity (Haro et al., 2006).</w:t>
      </w:r>
      <w:r w:rsidRPr="0047058F">
        <w:rPr>
          <w:rFonts w:cs="Arial"/>
        </w:rPr>
        <w:t xml:space="preserve"> Throughout the report, ICD-10 prevalence rates have been presented with hierarchy rules applied to directly compare them with the Australian national rates (Slade et al., 2009). For all ICD-10 disorders, the standard CIDI algorithms were applied; therefore, to qualify for a 12-month diagnosis, individuals would be required to meet lifetime criteria initially and then have reported symptoms in the 12 months before the interview.</w:t>
      </w:r>
    </w:p>
    <w:p w14:paraId="05A247F0" w14:textId="77777777" w:rsidR="00160459" w:rsidRPr="0047058F" w:rsidRDefault="00160459" w:rsidP="00160459">
      <w:pPr>
        <w:pStyle w:val="Heading4"/>
        <w:ind w:left="864" w:hanging="864"/>
      </w:pPr>
      <w:r w:rsidRPr="0047058F">
        <w:t>Lifetime trauma exposure</w:t>
      </w:r>
    </w:p>
    <w:p w14:paraId="3DAE79A3" w14:textId="77777777" w:rsidR="00160459" w:rsidRPr="0047058F" w:rsidRDefault="00160459" w:rsidP="00160459">
      <w:pPr>
        <w:rPr>
          <w:rFonts w:cs="\I'48ﬁˇøÊ∞—"/>
          <w:lang w:eastAsia="en-AU"/>
        </w:rPr>
      </w:pPr>
      <w:r w:rsidRPr="0047058F">
        <w:t>Lifetime exposure to trauma was examined as part of the PTSD module of the CIDI. The following criterion A events listed in the CIDI were examined:</w:t>
      </w:r>
      <w:r w:rsidRPr="0047058F">
        <w:rPr>
          <w:rFonts w:cs="\I'48ﬁˇøÊ∞—"/>
          <w:lang w:eastAsia="en-AU"/>
        </w:rPr>
        <w:t xml:space="preserve">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w:t>
      </w:r>
    </w:p>
    <w:p w14:paraId="697D2593" w14:textId="77777777" w:rsidR="00160459" w:rsidRPr="0047058F" w:rsidRDefault="00160459" w:rsidP="00160459">
      <w:pPr>
        <w:pStyle w:val="Heading2b"/>
      </w:pPr>
      <w:bookmarkStart w:id="655" w:name="_Toc341700585"/>
      <w:bookmarkStart w:id="656" w:name="_Toc482021450"/>
      <w:bookmarkStart w:id="657" w:name="_Toc482024541"/>
      <w:bookmarkStart w:id="658" w:name="_Toc484594361"/>
      <w:bookmarkStart w:id="659" w:name="_Toc487011301"/>
      <w:bookmarkStart w:id="660" w:name="_Toc493663196"/>
      <w:bookmarkStart w:id="661" w:name="_Toc494449813"/>
      <w:r w:rsidRPr="0047058F">
        <w:t>Stratification procedure</w:t>
      </w:r>
      <w:bookmarkEnd w:id="655"/>
      <w:bookmarkEnd w:id="656"/>
      <w:bookmarkEnd w:id="657"/>
      <w:bookmarkEnd w:id="658"/>
      <w:bookmarkEnd w:id="659"/>
      <w:bookmarkEnd w:id="660"/>
      <w:bookmarkEnd w:id="661"/>
    </w:p>
    <w:p w14:paraId="01175D8F" w14:textId="77777777" w:rsidR="00160459" w:rsidRPr="0047058F" w:rsidRDefault="00160459" w:rsidP="00160459">
      <w:bookmarkStart w:id="662" w:name="_Toc341700586"/>
      <w:r w:rsidRPr="0047058F">
        <w:t xml:space="preserve">In phase 2 of the research, 1,807 Transitioned ADF members were invited to participate in a one-hour telephone interview using the CIDI (Kessler &amp; Ustun, 2004). In addition to two subgroups of Transitioned ADF in Sample 5 (Combat Zone) and Sample 6 (MHPWS), who were all eligible to complete a CIDI, CIDI invitations preferenced </w:t>
      </w:r>
      <w:r w:rsidRPr="0047058F">
        <w:rPr>
          <w:rFonts w:cs="Calibri"/>
        </w:rPr>
        <w:t xml:space="preserve">groups accounting for the smallest proportion of the actual population (for example, females) and those with high scores on the </w:t>
      </w:r>
      <w:r w:rsidRPr="0047058F">
        <w:rPr>
          <w:rFonts w:asciiTheme="minorHAnsi" w:hAnsiTheme="minorHAnsi"/>
        </w:rPr>
        <w:t>PTSD Checklist (</w:t>
      </w:r>
      <w:r w:rsidRPr="0047058F">
        <w:rPr>
          <w:rFonts w:cs="Calibri"/>
        </w:rPr>
        <w:t>PCL) and AUDIT, to increase representativeness of the sample and optimise the ability to capture low-prevalence mental disorders.</w:t>
      </w:r>
    </w:p>
    <w:p w14:paraId="786CF2AA" w14:textId="77777777" w:rsidR="00160459" w:rsidRPr="0047058F" w:rsidRDefault="00160459" w:rsidP="00160459">
      <w:r w:rsidRPr="0047058F">
        <w:t>As such, these participants were selected for a CIDI based on rank, sex, Service and scores on the PCL and AUDIT, with screening scores on the PCL and AUDIT categorised into the following three bands:</w:t>
      </w:r>
    </w:p>
    <w:p w14:paraId="06A65B0C" w14:textId="77777777" w:rsidR="00160459" w:rsidRPr="0047058F" w:rsidRDefault="00160459" w:rsidP="000A1090">
      <w:pPr>
        <w:pStyle w:val="Bullet"/>
        <w:numPr>
          <w:ilvl w:val="0"/>
          <w:numId w:val="1"/>
        </w:numPr>
        <w:spacing w:after="120"/>
        <w:ind w:left="360"/>
      </w:pPr>
      <w:r w:rsidRPr="0047058F">
        <w:t>Band 3 = PCL &gt; 27, AUDIT &gt; 9</w:t>
      </w:r>
    </w:p>
    <w:p w14:paraId="36FFA0F8" w14:textId="77777777" w:rsidR="00160459" w:rsidRPr="0047058F" w:rsidRDefault="00160459" w:rsidP="000A1090">
      <w:pPr>
        <w:pStyle w:val="Bullet"/>
        <w:numPr>
          <w:ilvl w:val="0"/>
          <w:numId w:val="1"/>
        </w:numPr>
        <w:spacing w:after="120"/>
        <w:ind w:left="360"/>
      </w:pPr>
      <w:r w:rsidRPr="0047058F">
        <w:t>Band 2 = PCL 21–27, AUDIT 7–9</w:t>
      </w:r>
    </w:p>
    <w:p w14:paraId="07CF1A1F" w14:textId="77777777" w:rsidR="00160459" w:rsidRPr="0047058F" w:rsidRDefault="00160459" w:rsidP="00160459">
      <w:pPr>
        <w:pStyle w:val="Bullet"/>
        <w:numPr>
          <w:ilvl w:val="0"/>
          <w:numId w:val="1"/>
        </w:numPr>
        <w:ind w:left="360"/>
      </w:pPr>
      <w:r w:rsidRPr="0047058F">
        <w:t>Band 1 = PCL &lt; =20, AUDIT &lt; = 6</w:t>
      </w:r>
    </w:p>
    <w:p w14:paraId="2F29CA70" w14:textId="77777777" w:rsidR="00160459" w:rsidRPr="0047058F" w:rsidRDefault="00160459" w:rsidP="00160459">
      <w:r w:rsidRPr="0047058F">
        <w:t>Using the method proposed by Salim and Welsh (2009), the stratification procedure aimed to oversample those respondents in Band 3 (greatest likelihood of disorder). A smaller proportion from bands 1 and 2 were also sampled, to control for the possibility of overinflated mental disorder estimates. Transitioned ADF in samples 5 and 6 were also allocated a band, as can be seen in Table A.8, to ensure they were accounted for during sampling.</w:t>
      </w:r>
    </w:p>
    <w:p w14:paraId="714806D9" w14:textId="77777777" w:rsidR="00160459" w:rsidRPr="0047058F" w:rsidRDefault="00160459" w:rsidP="00160459">
      <w:r w:rsidRPr="0047058F">
        <w:t>Based on the predicted proportions of Transitioned ADF survey responders who would score in each band on the PCL-C and AUDIT, according to the population characteristics of sex, rank and Service, the following stratification algorithm was used to generate lists of eligible CIDI participants from among Transitioned ADF survey completers who consented to complete a CIDI:</w:t>
      </w:r>
    </w:p>
    <w:p w14:paraId="733B9CB4" w14:textId="77777777" w:rsidR="00160459" w:rsidRPr="0047058F" w:rsidRDefault="00160459" w:rsidP="000A1090">
      <w:pPr>
        <w:pStyle w:val="Bullet"/>
        <w:numPr>
          <w:ilvl w:val="0"/>
          <w:numId w:val="1"/>
        </w:numPr>
        <w:spacing w:after="120"/>
        <w:ind w:left="360"/>
      </w:pPr>
      <w:r w:rsidRPr="0047058F">
        <w:t>Band 3</w:t>
      </w:r>
    </w:p>
    <w:p w14:paraId="50F7988E" w14:textId="77777777" w:rsidR="00160459" w:rsidRPr="0047058F" w:rsidRDefault="00160459" w:rsidP="000A1090">
      <w:pPr>
        <w:pStyle w:val="Bullet"/>
        <w:numPr>
          <w:ilvl w:val="0"/>
          <w:numId w:val="1"/>
        </w:numPr>
        <w:spacing w:after="120"/>
        <w:ind w:left="360"/>
      </w:pPr>
      <w:r w:rsidRPr="0047058F">
        <w:t>Female Band 2</w:t>
      </w:r>
    </w:p>
    <w:p w14:paraId="45A46078" w14:textId="77777777" w:rsidR="00160459" w:rsidRPr="0047058F" w:rsidRDefault="00160459" w:rsidP="000A1090">
      <w:pPr>
        <w:pStyle w:val="Bullet"/>
        <w:numPr>
          <w:ilvl w:val="0"/>
          <w:numId w:val="1"/>
        </w:numPr>
        <w:spacing w:after="120"/>
        <w:ind w:left="360"/>
      </w:pPr>
      <w:r w:rsidRPr="0047058F">
        <w:t>Female Band 1</w:t>
      </w:r>
    </w:p>
    <w:p w14:paraId="4E15B01D" w14:textId="77777777" w:rsidR="00160459" w:rsidRPr="0047058F" w:rsidRDefault="00160459" w:rsidP="000A1090">
      <w:pPr>
        <w:pStyle w:val="Bullet"/>
        <w:numPr>
          <w:ilvl w:val="0"/>
          <w:numId w:val="1"/>
        </w:numPr>
        <w:spacing w:after="120"/>
        <w:ind w:left="360"/>
      </w:pPr>
      <w:r w:rsidRPr="0047058F">
        <w:t>Male Navy Band 2</w:t>
      </w:r>
    </w:p>
    <w:p w14:paraId="31121E2E" w14:textId="77777777" w:rsidR="00160459" w:rsidRPr="0047058F" w:rsidRDefault="00160459" w:rsidP="000A1090">
      <w:pPr>
        <w:pStyle w:val="Bullet"/>
        <w:numPr>
          <w:ilvl w:val="0"/>
          <w:numId w:val="1"/>
        </w:numPr>
        <w:spacing w:after="120"/>
        <w:ind w:left="360"/>
      </w:pPr>
      <w:r w:rsidRPr="0047058F">
        <w:t>Male Navy Band 3</w:t>
      </w:r>
    </w:p>
    <w:p w14:paraId="1F1C95CB" w14:textId="77777777" w:rsidR="00160459" w:rsidRPr="0047058F" w:rsidRDefault="00160459" w:rsidP="000A1090">
      <w:pPr>
        <w:pStyle w:val="Bullet"/>
        <w:numPr>
          <w:ilvl w:val="0"/>
          <w:numId w:val="1"/>
        </w:numPr>
        <w:spacing w:after="120"/>
        <w:ind w:left="360"/>
      </w:pPr>
      <w:r w:rsidRPr="0047058F">
        <w:t>Male Army Band 3</w:t>
      </w:r>
    </w:p>
    <w:p w14:paraId="26AB4060" w14:textId="77777777" w:rsidR="00160459" w:rsidRPr="0047058F" w:rsidRDefault="00160459" w:rsidP="000A1090">
      <w:pPr>
        <w:pStyle w:val="Bullet"/>
        <w:numPr>
          <w:ilvl w:val="0"/>
          <w:numId w:val="1"/>
        </w:numPr>
        <w:spacing w:after="120"/>
        <w:ind w:left="360"/>
      </w:pPr>
      <w:r w:rsidRPr="0047058F">
        <w:t>Male Army Band 1</w:t>
      </w:r>
    </w:p>
    <w:p w14:paraId="12D15C20" w14:textId="77777777" w:rsidR="00160459" w:rsidRPr="0047058F" w:rsidRDefault="00160459" w:rsidP="00160459">
      <w:pPr>
        <w:pStyle w:val="Bullet"/>
        <w:numPr>
          <w:ilvl w:val="0"/>
          <w:numId w:val="1"/>
        </w:numPr>
        <w:ind w:left="360"/>
      </w:pPr>
      <w:r w:rsidRPr="0047058F">
        <w:t>Male Air Force Band 2.</w:t>
      </w:r>
    </w:p>
    <w:p w14:paraId="04C7E26A" w14:textId="77777777" w:rsidR="00160459" w:rsidRPr="0047058F" w:rsidRDefault="00160459" w:rsidP="00160459">
      <w:pPr>
        <w:pStyle w:val="TableName"/>
      </w:pPr>
      <w:bookmarkStart w:id="663" w:name="_Toc486936021"/>
      <w:bookmarkStart w:id="664" w:name="_Toc487014345"/>
      <w:bookmarkStart w:id="665" w:name="_Toc492995648"/>
      <w:bookmarkStart w:id="666" w:name="_Toc497383347"/>
      <w:bookmarkStart w:id="667" w:name="_Toc529117556"/>
      <w:bookmarkStart w:id="668" w:name="_Toc532473626"/>
      <w:r w:rsidRPr="0047058F">
        <w:t>Table A.8</w:t>
      </w:r>
      <w:r w:rsidRPr="0047058F">
        <w:tab/>
        <w:t>Stratification characteristics of Transitioned ADF CIDI sample</w:t>
      </w:r>
      <w:bookmarkEnd w:id="663"/>
      <w:bookmarkEnd w:id="664"/>
      <w:bookmarkEnd w:id="665"/>
      <w:bookmarkEnd w:id="666"/>
      <w:bookmarkEnd w:id="667"/>
      <w:bookmarkEnd w:id="668"/>
    </w:p>
    <w:tbl>
      <w:tblPr>
        <w:tblStyle w:val="TWRPTable"/>
        <w:tblW w:w="5000" w:type="pct"/>
        <w:tblLayout w:type="fixed"/>
        <w:tblLook w:val="04A0" w:firstRow="1" w:lastRow="0" w:firstColumn="1" w:lastColumn="0" w:noHBand="0" w:noVBand="1"/>
        <w:tblDescription w:val="Table A.8 Stratification characteristics of Transitioned ADF CIDI sample"/>
      </w:tblPr>
      <w:tblGrid>
        <w:gridCol w:w="826"/>
        <w:gridCol w:w="810"/>
        <w:gridCol w:w="811"/>
        <w:gridCol w:w="811"/>
        <w:gridCol w:w="812"/>
        <w:gridCol w:w="811"/>
        <w:gridCol w:w="812"/>
        <w:gridCol w:w="811"/>
        <w:gridCol w:w="811"/>
      </w:tblGrid>
      <w:tr w:rsidR="00160459" w:rsidRPr="0047058F" w14:paraId="1D9ACB98"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565" w:type="pct"/>
            <w:vMerge w:val="restart"/>
          </w:tcPr>
          <w:p w14:paraId="0345A51F" w14:textId="77777777" w:rsidR="00160459" w:rsidRPr="0047058F" w:rsidRDefault="00160459" w:rsidP="000A1090">
            <w:pPr>
              <w:pStyle w:val="TableText"/>
            </w:pPr>
          </w:p>
        </w:tc>
        <w:tc>
          <w:tcPr>
            <w:tcW w:w="4435" w:type="pct"/>
            <w:gridSpan w:val="8"/>
          </w:tcPr>
          <w:p w14:paraId="21DC5AF9" w14:textId="77777777" w:rsidR="00160459" w:rsidRPr="0047058F" w:rsidRDefault="00160459" w:rsidP="000A1090">
            <w:pPr>
              <w:pStyle w:val="TableText"/>
              <w:jc w:val="center"/>
            </w:pPr>
            <w:r w:rsidRPr="0047058F">
              <w:t>Transitioned ADF CIDI</w:t>
            </w:r>
          </w:p>
        </w:tc>
      </w:tr>
      <w:tr w:rsidR="00160459" w:rsidRPr="0047058F" w14:paraId="01FB2581"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565" w:type="pct"/>
            <w:vMerge/>
          </w:tcPr>
          <w:p w14:paraId="5681351F" w14:textId="77777777" w:rsidR="00160459" w:rsidRPr="0047058F" w:rsidRDefault="00160459" w:rsidP="000A1090">
            <w:pPr>
              <w:pStyle w:val="TableText"/>
            </w:pPr>
          </w:p>
        </w:tc>
        <w:tc>
          <w:tcPr>
            <w:tcW w:w="1109" w:type="pct"/>
            <w:gridSpan w:val="2"/>
            <w:hideMark/>
          </w:tcPr>
          <w:p w14:paraId="35DFDB3A" w14:textId="77777777" w:rsidR="00160459" w:rsidRPr="0047058F" w:rsidRDefault="00160459" w:rsidP="000A1090">
            <w:pPr>
              <w:pStyle w:val="TableText"/>
              <w:jc w:val="center"/>
            </w:pPr>
            <w:r w:rsidRPr="0047058F">
              <w:t>No band</w:t>
            </w:r>
            <w:r w:rsidRPr="0047058F">
              <w:rPr>
                <w:vertAlign w:val="superscript"/>
              </w:rPr>
              <w:t>#</w:t>
            </w:r>
          </w:p>
        </w:tc>
        <w:tc>
          <w:tcPr>
            <w:tcW w:w="1109" w:type="pct"/>
            <w:gridSpan w:val="2"/>
            <w:hideMark/>
          </w:tcPr>
          <w:p w14:paraId="67EA084D" w14:textId="77777777" w:rsidR="00160459" w:rsidRPr="0047058F" w:rsidRDefault="00160459" w:rsidP="000A1090">
            <w:pPr>
              <w:pStyle w:val="TableText"/>
              <w:jc w:val="center"/>
            </w:pPr>
            <w:r w:rsidRPr="0047058F">
              <w:t>Band 1</w:t>
            </w:r>
          </w:p>
        </w:tc>
        <w:tc>
          <w:tcPr>
            <w:tcW w:w="1109" w:type="pct"/>
            <w:gridSpan w:val="2"/>
            <w:hideMark/>
          </w:tcPr>
          <w:p w14:paraId="184D4FB6" w14:textId="77777777" w:rsidR="00160459" w:rsidRPr="0047058F" w:rsidRDefault="00160459" w:rsidP="000A1090">
            <w:pPr>
              <w:pStyle w:val="TableText"/>
              <w:jc w:val="center"/>
            </w:pPr>
            <w:r w:rsidRPr="0047058F">
              <w:t>Band 2</w:t>
            </w:r>
          </w:p>
        </w:tc>
        <w:tc>
          <w:tcPr>
            <w:tcW w:w="1109" w:type="pct"/>
            <w:gridSpan w:val="2"/>
            <w:hideMark/>
          </w:tcPr>
          <w:p w14:paraId="68F7B582" w14:textId="77777777" w:rsidR="00160459" w:rsidRPr="0047058F" w:rsidRDefault="00160459" w:rsidP="000A1090">
            <w:pPr>
              <w:pStyle w:val="TableText"/>
              <w:jc w:val="center"/>
            </w:pPr>
            <w:r w:rsidRPr="0047058F">
              <w:t>Band 3</w:t>
            </w:r>
          </w:p>
        </w:tc>
      </w:tr>
      <w:tr w:rsidR="00160459" w:rsidRPr="0047058F" w14:paraId="596850D6"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565" w:type="pct"/>
            <w:vMerge/>
          </w:tcPr>
          <w:p w14:paraId="1ADA8136" w14:textId="77777777" w:rsidR="00160459" w:rsidRPr="0047058F" w:rsidRDefault="00160459" w:rsidP="000A1090">
            <w:pPr>
              <w:pStyle w:val="TableText"/>
            </w:pPr>
          </w:p>
        </w:tc>
        <w:tc>
          <w:tcPr>
            <w:tcW w:w="554" w:type="pct"/>
            <w:hideMark/>
          </w:tcPr>
          <w:p w14:paraId="4B9BA2B3" w14:textId="77777777" w:rsidR="00160459" w:rsidRPr="0047058F" w:rsidRDefault="00160459" w:rsidP="000A1090">
            <w:pPr>
              <w:pStyle w:val="TableText"/>
              <w:jc w:val="right"/>
            </w:pPr>
            <w:r w:rsidRPr="0047058F">
              <w:t>Invited</w:t>
            </w:r>
            <w:r w:rsidRPr="0047058F">
              <w:br/>
              <w:t>(n = 110)</w:t>
            </w:r>
          </w:p>
        </w:tc>
        <w:tc>
          <w:tcPr>
            <w:tcW w:w="554" w:type="pct"/>
            <w:hideMark/>
          </w:tcPr>
          <w:p w14:paraId="2CBD92B5" w14:textId="18D3141F" w:rsidR="00160459" w:rsidRPr="0047058F" w:rsidRDefault="00160459" w:rsidP="003876A3">
            <w:pPr>
              <w:pStyle w:val="TableText"/>
              <w:jc w:val="right"/>
            </w:pPr>
            <w:r w:rsidRPr="0047058F">
              <w:t>Completed</w:t>
            </w:r>
            <w:r w:rsidRPr="0047058F">
              <w:br/>
              <w:t>(n = 72)</w:t>
            </w:r>
          </w:p>
        </w:tc>
        <w:tc>
          <w:tcPr>
            <w:tcW w:w="554" w:type="pct"/>
            <w:hideMark/>
          </w:tcPr>
          <w:p w14:paraId="7FB1EFE2" w14:textId="77777777" w:rsidR="00160459" w:rsidRPr="0047058F" w:rsidRDefault="00160459" w:rsidP="000A1090">
            <w:pPr>
              <w:pStyle w:val="TableText"/>
              <w:jc w:val="right"/>
            </w:pPr>
            <w:r w:rsidRPr="0047058F">
              <w:t>Invited</w:t>
            </w:r>
            <w:r w:rsidRPr="0047058F">
              <w:br/>
              <w:t>(n = 408)</w:t>
            </w:r>
          </w:p>
        </w:tc>
        <w:tc>
          <w:tcPr>
            <w:tcW w:w="554" w:type="pct"/>
            <w:hideMark/>
          </w:tcPr>
          <w:p w14:paraId="684CB1E7" w14:textId="77777777" w:rsidR="00160459" w:rsidRPr="0047058F" w:rsidRDefault="00160459" w:rsidP="000A1090">
            <w:pPr>
              <w:pStyle w:val="TableText"/>
              <w:jc w:val="right"/>
            </w:pPr>
            <w:r w:rsidRPr="0047058F">
              <w:t>Completed</w:t>
            </w:r>
            <w:r w:rsidRPr="0047058F">
              <w:br/>
              <w:t>(n = 258)</w:t>
            </w:r>
          </w:p>
        </w:tc>
        <w:tc>
          <w:tcPr>
            <w:tcW w:w="554" w:type="pct"/>
            <w:hideMark/>
          </w:tcPr>
          <w:p w14:paraId="6151CE0C" w14:textId="77777777" w:rsidR="00160459" w:rsidRPr="0047058F" w:rsidRDefault="00160459" w:rsidP="000A1090">
            <w:pPr>
              <w:pStyle w:val="TableText"/>
              <w:jc w:val="right"/>
            </w:pPr>
            <w:r w:rsidRPr="0047058F">
              <w:t>Invited</w:t>
            </w:r>
            <w:r w:rsidRPr="0047058F">
              <w:br/>
              <w:t>(n = 335)</w:t>
            </w:r>
          </w:p>
        </w:tc>
        <w:tc>
          <w:tcPr>
            <w:tcW w:w="554" w:type="pct"/>
            <w:hideMark/>
          </w:tcPr>
          <w:p w14:paraId="1A5A881D" w14:textId="77777777" w:rsidR="00160459" w:rsidRPr="0047058F" w:rsidRDefault="00160459" w:rsidP="000A1090">
            <w:pPr>
              <w:pStyle w:val="TableText"/>
              <w:jc w:val="right"/>
            </w:pPr>
            <w:r w:rsidRPr="0047058F">
              <w:t>Completed</w:t>
            </w:r>
            <w:r w:rsidRPr="0047058F">
              <w:br/>
              <w:t>(n = 225)</w:t>
            </w:r>
          </w:p>
        </w:tc>
        <w:tc>
          <w:tcPr>
            <w:tcW w:w="554" w:type="pct"/>
            <w:hideMark/>
          </w:tcPr>
          <w:p w14:paraId="1E248DA4" w14:textId="77777777" w:rsidR="00160459" w:rsidRPr="0047058F" w:rsidRDefault="00160459" w:rsidP="000A1090">
            <w:pPr>
              <w:pStyle w:val="TableText"/>
              <w:jc w:val="right"/>
            </w:pPr>
            <w:r w:rsidRPr="0047058F">
              <w:t>Invited</w:t>
            </w:r>
            <w:r w:rsidRPr="0047058F">
              <w:br/>
              <w:t>(n = 954)</w:t>
            </w:r>
          </w:p>
        </w:tc>
        <w:tc>
          <w:tcPr>
            <w:tcW w:w="554" w:type="pct"/>
            <w:hideMark/>
          </w:tcPr>
          <w:p w14:paraId="7B5A7C87" w14:textId="77777777" w:rsidR="00160459" w:rsidRPr="0047058F" w:rsidRDefault="00160459" w:rsidP="000A1090">
            <w:pPr>
              <w:pStyle w:val="TableText"/>
              <w:jc w:val="right"/>
            </w:pPr>
            <w:r w:rsidRPr="0047058F">
              <w:t>Completed</w:t>
            </w:r>
            <w:r w:rsidRPr="0047058F">
              <w:br/>
              <w:t>(n = 494)</w:t>
            </w:r>
          </w:p>
        </w:tc>
      </w:tr>
      <w:tr w:rsidR="00160459" w:rsidRPr="0047058F" w14:paraId="17F99DF1"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565" w:type="pct"/>
            <w:hideMark/>
          </w:tcPr>
          <w:p w14:paraId="11F1FD15" w14:textId="77777777" w:rsidR="00160459" w:rsidRPr="000A1090" w:rsidRDefault="00160459" w:rsidP="000A1090">
            <w:pPr>
              <w:pStyle w:val="TableText"/>
              <w:rPr>
                <w:b/>
              </w:rPr>
            </w:pPr>
            <w:r w:rsidRPr="000A1090">
              <w:rPr>
                <w:b/>
              </w:rPr>
              <w:t>Navy</w:t>
            </w:r>
          </w:p>
        </w:tc>
        <w:tc>
          <w:tcPr>
            <w:tcW w:w="554" w:type="pct"/>
          </w:tcPr>
          <w:p w14:paraId="0B86D238" w14:textId="77777777" w:rsidR="00160459" w:rsidRPr="0047058F" w:rsidRDefault="00160459" w:rsidP="000A1090">
            <w:pPr>
              <w:pStyle w:val="TableText"/>
              <w:jc w:val="right"/>
            </w:pPr>
          </w:p>
        </w:tc>
        <w:tc>
          <w:tcPr>
            <w:tcW w:w="554" w:type="pct"/>
          </w:tcPr>
          <w:p w14:paraId="4E3B5BAD" w14:textId="77777777" w:rsidR="00160459" w:rsidRPr="0047058F" w:rsidRDefault="00160459" w:rsidP="000A1090">
            <w:pPr>
              <w:pStyle w:val="TableText"/>
              <w:jc w:val="right"/>
            </w:pPr>
          </w:p>
        </w:tc>
        <w:tc>
          <w:tcPr>
            <w:tcW w:w="554" w:type="pct"/>
          </w:tcPr>
          <w:p w14:paraId="5638D191" w14:textId="77777777" w:rsidR="00160459" w:rsidRPr="0047058F" w:rsidRDefault="00160459" w:rsidP="000A1090">
            <w:pPr>
              <w:pStyle w:val="TableText"/>
              <w:jc w:val="right"/>
            </w:pPr>
          </w:p>
        </w:tc>
        <w:tc>
          <w:tcPr>
            <w:tcW w:w="554" w:type="pct"/>
          </w:tcPr>
          <w:p w14:paraId="5CCC79B9" w14:textId="77777777" w:rsidR="00160459" w:rsidRPr="0047058F" w:rsidRDefault="00160459" w:rsidP="000A1090">
            <w:pPr>
              <w:pStyle w:val="TableText"/>
              <w:jc w:val="right"/>
            </w:pPr>
          </w:p>
        </w:tc>
        <w:tc>
          <w:tcPr>
            <w:tcW w:w="554" w:type="pct"/>
          </w:tcPr>
          <w:p w14:paraId="2B668414" w14:textId="77777777" w:rsidR="00160459" w:rsidRPr="0047058F" w:rsidRDefault="00160459" w:rsidP="000A1090">
            <w:pPr>
              <w:pStyle w:val="TableText"/>
              <w:jc w:val="right"/>
            </w:pPr>
          </w:p>
        </w:tc>
        <w:tc>
          <w:tcPr>
            <w:tcW w:w="554" w:type="pct"/>
          </w:tcPr>
          <w:p w14:paraId="16E5ACE3" w14:textId="77777777" w:rsidR="00160459" w:rsidRPr="0047058F" w:rsidRDefault="00160459" w:rsidP="000A1090">
            <w:pPr>
              <w:pStyle w:val="TableText"/>
              <w:jc w:val="right"/>
            </w:pPr>
          </w:p>
        </w:tc>
        <w:tc>
          <w:tcPr>
            <w:tcW w:w="554" w:type="pct"/>
          </w:tcPr>
          <w:p w14:paraId="04264E18" w14:textId="77777777" w:rsidR="00160459" w:rsidRPr="0047058F" w:rsidRDefault="00160459" w:rsidP="000A1090">
            <w:pPr>
              <w:pStyle w:val="TableText"/>
              <w:jc w:val="right"/>
            </w:pPr>
          </w:p>
        </w:tc>
        <w:tc>
          <w:tcPr>
            <w:tcW w:w="554" w:type="pct"/>
          </w:tcPr>
          <w:p w14:paraId="4C8EA916" w14:textId="77777777" w:rsidR="00160459" w:rsidRPr="0047058F" w:rsidRDefault="00160459" w:rsidP="000A1090">
            <w:pPr>
              <w:pStyle w:val="TableText"/>
              <w:jc w:val="right"/>
            </w:pPr>
          </w:p>
        </w:tc>
      </w:tr>
      <w:tr w:rsidR="00160459" w:rsidRPr="0047058F" w14:paraId="187EEE33" w14:textId="77777777" w:rsidTr="000A1090">
        <w:trPr>
          <w:cantSplit/>
        </w:trPr>
        <w:tc>
          <w:tcPr>
            <w:tcW w:w="565" w:type="pct"/>
            <w:hideMark/>
          </w:tcPr>
          <w:p w14:paraId="5E2CDE12" w14:textId="77777777" w:rsidR="00160459" w:rsidRPr="0047058F" w:rsidRDefault="00160459" w:rsidP="000A1090">
            <w:pPr>
              <w:pStyle w:val="TableText"/>
            </w:pPr>
            <w:r w:rsidRPr="0047058F">
              <w:t>Male</w:t>
            </w:r>
          </w:p>
        </w:tc>
        <w:tc>
          <w:tcPr>
            <w:tcW w:w="554" w:type="pct"/>
            <w:hideMark/>
          </w:tcPr>
          <w:p w14:paraId="7A50493A" w14:textId="77777777" w:rsidR="00160459" w:rsidRPr="0047058F" w:rsidRDefault="00160459" w:rsidP="000A1090">
            <w:pPr>
              <w:pStyle w:val="TableText"/>
              <w:jc w:val="right"/>
            </w:pPr>
            <w:r w:rsidRPr="0047058F">
              <w:t>20</w:t>
            </w:r>
          </w:p>
        </w:tc>
        <w:tc>
          <w:tcPr>
            <w:tcW w:w="554" w:type="pct"/>
            <w:hideMark/>
          </w:tcPr>
          <w:p w14:paraId="75163D76" w14:textId="77777777" w:rsidR="00160459" w:rsidRPr="0047058F" w:rsidRDefault="00160459" w:rsidP="000A1090">
            <w:pPr>
              <w:pStyle w:val="TableText"/>
              <w:jc w:val="right"/>
            </w:pPr>
            <w:r w:rsidRPr="0047058F">
              <w:t>8</w:t>
            </w:r>
          </w:p>
        </w:tc>
        <w:tc>
          <w:tcPr>
            <w:tcW w:w="554" w:type="pct"/>
            <w:hideMark/>
          </w:tcPr>
          <w:p w14:paraId="7140E0C2" w14:textId="77777777" w:rsidR="00160459" w:rsidRPr="0047058F" w:rsidRDefault="00160459" w:rsidP="000A1090">
            <w:pPr>
              <w:pStyle w:val="TableText"/>
              <w:jc w:val="right"/>
            </w:pPr>
            <w:r w:rsidRPr="0047058F">
              <w:t>73</w:t>
            </w:r>
          </w:p>
        </w:tc>
        <w:tc>
          <w:tcPr>
            <w:tcW w:w="554" w:type="pct"/>
            <w:hideMark/>
          </w:tcPr>
          <w:p w14:paraId="60FB6D48" w14:textId="77777777" w:rsidR="00160459" w:rsidRPr="0047058F" w:rsidRDefault="00160459" w:rsidP="000A1090">
            <w:pPr>
              <w:pStyle w:val="TableText"/>
              <w:jc w:val="right"/>
            </w:pPr>
            <w:r w:rsidRPr="0047058F">
              <w:t>43</w:t>
            </w:r>
          </w:p>
        </w:tc>
        <w:tc>
          <w:tcPr>
            <w:tcW w:w="554" w:type="pct"/>
            <w:hideMark/>
          </w:tcPr>
          <w:p w14:paraId="289C5845" w14:textId="77777777" w:rsidR="00160459" w:rsidRPr="0047058F" w:rsidRDefault="00160459" w:rsidP="000A1090">
            <w:pPr>
              <w:pStyle w:val="TableText"/>
              <w:jc w:val="right"/>
            </w:pPr>
            <w:r w:rsidRPr="0047058F">
              <w:t>57</w:t>
            </w:r>
          </w:p>
        </w:tc>
        <w:tc>
          <w:tcPr>
            <w:tcW w:w="554" w:type="pct"/>
            <w:hideMark/>
          </w:tcPr>
          <w:p w14:paraId="10F3253D" w14:textId="77777777" w:rsidR="00160459" w:rsidRPr="0047058F" w:rsidRDefault="00160459" w:rsidP="000A1090">
            <w:pPr>
              <w:pStyle w:val="TableText"/>
              <w:jc w:val="right"/>
            </w:pPr>
            <w:r w:rsidRPr="0047058F">
              <w:t>41</w:t>
            </w:r>
          </w:p>
        </w:tc>
        <w:tc>
          <w:tcPr>
            <w:tcW w:w="554" w:type="pct"/>
            <w:hideMark/>
          </w:tcPr>
          <w:p w14:paraId="5AE8444A" w14:textId="77777777" w:rsidR="00160459" w:rsidRPr="0047058F" w:rsidRDefault="00160459" w:rsidP="000A1090">
            <w:pPr>
              <w:pStyle w:val="TableText"/>
              <w:jc w:val="right"/>
            </w:pPr>
            <w:r w:rsidRPr="0047058F">
              <w:t>140</w:t>
            </w:r>
          </w:p>
        </w:tc>
        <w:tc>
          <w:tcPr>
            <w:tcW w:w="554" w:type="pct"/>
            <w:hideMark/>
          </w:tcPr>
          <w:p w14:paraId="1B90AE64" w14:textId="77777777" w:rsidR="00160459" w:rsidRPr="0047058F" w:rsidRDefault="00160459" w:rsidP="000A1090">
            <w:pPr>
              <w:pStyle w:val="TableText"/>
              <w:jc w:val="right"/>
            </w:pPr>
            <w:r w:rsidRPr="0047058F">
              <w:t>71</w:t>
            </w:r>
          </w:p>
        </w:tc>
      </w:tr>
      <w:tr w:rsidR="00160459" w:rsidRPr="0047058F" w14:paraId="7FFF49EB"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565" w:type="pct"/>
            <w:hideMark/>
          </w:tcPr>
          <w:p w14:paraId="5884D306" w14:textId="77777777" w:rsidR="00160459" w:rsidRPr="0047058F" w:rsidRDefault="00160459" w:rsidP="000A1090">
            <w:pPr>
              <w:pStyle w:val="TableText"/>
            </w:pPr>
            <w:r w:rsidRPr="0047058F">
              <w:t>Female</w:t>
            </w:r>
          </w:p>
        </w:tc>
        <w:tc>
          <w:tcPr>
            <w:tcW w:w="554" w:type="pct"/>
            <w:hideMark/>
          </w:tcPr>
          <w:p w14:paraId="7AA0655E" w14:textId="77777777" w:rsidR="00160459" w:rsidRPr="0047058F" w:rsidRDefault="00160459" w:rsidP="000A1090">
            <w:pPr>
              <w:pStyle w:val="TableText"/>
              <w:jc w:val="right"/>
            </w:pPr>
            <w:r w:rsidRPr="0047058F">
              <w:t>1</w:t>
            </w:r>
          </w:p>
        </w:tc>
        <w:tc>
          <w:tcPr>
            <w:tcW w:w="554" w:type="pct"/>
            <w:hideMark/>
          </w:tcPr>
          <w:p w14:paraId="765DBF55" w14:textId="77777777" w:rsidR="00160459" w:rsidRPr="0047058F" w:rsidRDefault="00160459" w:rsidP="000A1090">
            <w:pPr>
              <w:pStyle w:val="TableText"/>
              <w:jc w:val="right"/>
            </w:pPr>
            <w:r w:rsidRPr="0047058F">
              <w:t>1</w:t>
            </w:r>
          </w:p>
        </w:tc>
        <w:tc>
          <w:tcPr>
            <w:tcW w:w="554" w:type="pct"/>
            <w:hideMark/>
          </w:tcPr>
          <w:p w14:paraId="05820735" w14:textId="77777777" w:rsidR="00160459" w:rsidRPr="0047058F" w:rsidRDefault="00160459" w:rsidP="000A1090">
            <w:pPr>
              <w:pStyle w:val="TableText"/>
              <w:jc w:val="right"/>
            </w:pPr>
            <w:r w:rsidRPr="0047058F">
              <w:t>17</w:t>
            </w:r>
          </w:p>
        </w:tc>
        <w:tc>
          <w:tcPr>
            <w:tcW w:w="554" w:type="pct"/>
            <w:hideMark/>
          </w:tcPr>
          <w:p w14:paraId="685B424F" w14:textId="77777777" w:rsidR="00160459" w:rsidRPr="0047058F" w:rsidRDefault="00160459" w:rsidP="000A1090">
            <w:pPr>
              <w:pStyle w:val="TableText"/>
              <w:jc w:val="right"/>
            </w:pPr>
            <w:r w:rsidRPr="0047058F">
              <w:t>10</w:t>
            </w:r>
          </w:p>
        </w:tc>
        <w:tc>
          <w:tcPr>
            <w:tcW w:w="554" w:type="pct"/>
            <w:hideMark/>
          </w:tcPr>
          <w:p w14:paraId="100BCA89" w14:textId="77777777" w:rsidR="00160459" w:rsidRPr="0047058F" w:rsidRDefault="00160459" w:rsidP="000A1090">
            <w:pPr>
              <w:pStyle w:val="TableText"/>
              <w:jc w:val="right"/>
            </w:pPr>
            <w:r w:rsidRPr="0047058F">
              <w:t>8</w:t>
            </w:r>
          </w:p>
        </w:tc>
        <w:tc>
          <w:tcPr>
            <w:tcW w:w="554" w:type="pct"/>
            <w:hideMark/>
          </w:tcPr>
          <w:p w14:paraId="2F65AA95" w14:textId="77777777" w:rsidR="00160459" w:rsidRPr="0047058F" w:rsidRDefault="00160459" w:rsidP="000A1090">
            <w:pPr>
              <w:pStyle w:val="TableText"/>
              <w:jc w:val="right"/>
            </w:pPr>
            <w:r w:rsidRPr="0047058F">
              <w:t>4</w:t>
            </w:r>
          </w:p>
        </w:tc>
        <w:tc>
          <w:tcPr>
            <w:tcW w:w="554" w:type="pct"/>
            <w:hideMark/>
          </w:tcPr>
          <w:p w14:paraId="6A4DF489" w14:textId="77777777" w:rsidR="00160459" w:rsidRPr="0047058F" w:rsidRDefault="00160459" w:rsidP="000A1090">
            <w:pPr>
              <w:pStyle w:val="TableText"/>
              <w:jc w:val="right"/>
            </w:pPr>
            <w:r w:rsidRPr="0047058F">
              <w:t>40</w:t>
            </w:r>
          </w:p>
        </w:tc>
        <w:tc>
          <w:tcPr>
            <w:tcW w:w="554" w:type="pct"/>
            <w:hideMark/>
          </w:tcPr>
          <w:p w14:paraId="4BAB26E0" w14:textId="77777777" w:rsidR="00160459" w:rsidRPr="0047058F" w:rsidRDefault="00160459" w:rsidP="000A1090">
            <w:pPr>
              <w:pStyle w:val="TableText"/>
              <w:jc w:val="right"/>
            </w:pPr>
            <w:r w:rsidRPr="0047058F">
              <w:t>20</w:t>
            </w:r>
          </w:p>
        </w:tc>
      </w:tr>
      <w:tr w:rsidR="00160459" w:rsidRPr="0047058F" w14:paraId="7910E9DA" w14:textId="77777777" w:rsidTr="000A1090">
        <w:trPr>
          <w:cantSplit/>
        </w:trPr>
        <w:tc>
          <w:tcPr>
            <w:tcW w:w="565" w:type="pct"/>
            <w:hideMark/>
          </w:tcPr>
          <w:p w14:paraId="7FC3C7CF" w14:textId="77777777" w:rsidR="00160459" w:rsidRPr="000A1090" w:rsidRDefault="00160459" w:rsidP="000A1090">
            <w:pPr>
              <w:pStyle w:val="TableText"/>
              <w:rPr>
                <w:b/>
              </w:rPr>
            </w:pPr>
            <w:r w:rsidRPr="000A1090">
              <w:rPr>
                <w:b/>
              </w:rPr>
              <w:t>Army</w:t>
            </w:r>
          </w:p>
        </w:tc>
        <w:tc>
          <w:tcPr>
            <w:tcW w:w="554" w:type="pct"/>
          </w:tcPr>
          <w:p w14:paraId="14D551C1" w14:textId="77777777" w:rsidR="00160459" w:rsidRPr="0047058F" w:rsidRDefault="00160459" w:rsidP="000A1090">
            <w:pPr>
              <w:pStyle w:val="TableText"/>
              <w:jc w:val="right"/>
            </w:pPr>
          </w:p>
        </w:tc>
        <w:tc>
          <w:tcPr>
            <w:tcW w:w="554" w:type="pct"/>
          </w:tcPr>
          <w:p w14:paraId="56AE0ED6" w14:textId="77777777" w:rsidR="00160459" w:rsidRPr="0047058F" w:rsidRDefault="00160459" w:rsidP="000A1090">
            <w:pPr>
              <w:pStyle w:val="TableText"/>
              <w:jc w:val="right"/>
            </w:pPr>
          </w:p>
        </w:tc>
        <w:tc>
          <w:tcPr>
            <w:tcW w:w="554" w:type="pct"/>
          </w:tcPr>
          <w:p w14:paraId="6E7C0AA5" w14:textId="77777777" w:rsidR="00160459" w:rsidRPr="0047058F" w:rsidRDefault="00160459" w:rsidP="000A1090">
            <w:pPr>
              <w:pStyle w:val="TableText"/>
              <w:jc w:val="right"/>
            </w:pPr>
          </w:p>
        </w:tc>
        <w:tc>
          <w:tcPr>
            <w:tcW w:w="554" w:type="pct"/>
          </w:tcPr>
          <w:p w14:paraId="27B15327" w14:textId="77777777" w:rsidR="00160459" w:rsidRPr="0047058F" w:rsidRDefault="00160459" w:rsidP="000A1090">
            <w:pPr>
              <w:pStyle w:val="TableText"/>
              <w:jc w:val="right"/>
            </w:pPr>
          </w:p>
        </w:tc>
        <w:tc>
          <w:tcPr>
            <w:tcW w:w="554" w:type="pct"/>
          </w:tcPr>
          <w:p w14:paraId="58CFD8B5" w14:textId="77777777" w:rsidR="00160459" w:rsidRPr="0047058F" w:rsidRDefault="00160459" w:rsidP="000A1090">
            <w:pPr>
              <w:pStyle w:val="TableText"/>
              <w:jc w:val="right"/>
            </w:pPr>
          </w:p>
        </w:tc>
        <w:tc>
          <w:tcPr>
            <w:tcW w:w="554" w:type="pct"/>
          </w:tcPr>
          <w:p w14:paraId="38B973EB" w14:textId="77777777" w:rsidR="00160459" w:rsidRPr="0047058F" w:rsidRDefault="00160459" w:rsidP="000A1090">
            <w:pPr>
              <w:pStyle w:val="TableText"/>
              <w:jc w:val="right"/>
            </w:pPr>
          </w:p>
        </w:tc>
        <w:tc>
          <w:tcPr>
            <w:tcW w:w="554" w:type="pct"/>
          </w:tcPr>
          <w:p w14:paraId="3DA0C1E2" w14:textId="77777777" w:rsidR="00160459" w:rsidRPr="0047058F" w:rsidRDefault="00160459" w:rsidP="000A1090">
            <w:pPr>
              <w:pStyle w:val="TableText"/>
              <w:jc w:val="right"/>
            </w:pPr>
          </w:p>
        </w:tc>
        <w:tc>
          <w:tcPr>
            <w:tcW w:w="554" w:type="pct"/>
          </w:tcPr>
          <w:p w14:paraId="5B3AC7D4" w14:textId="77777777" w:rsidR="00160459" w:rsidRPr="0047058F" w:rsidRDefault="00160459" w:rsidP="000A1090">
            <w:pPr>
              <w:pStyle w:val="TableText"/>
              <w:jc w:val="right"/>
            </w:pPr>
          </w:p>
        </w:tc>
      </w:tr>
      <w:tr w:rsidR="00160459" w:rsidRPr="0047058F" w14:paraId="72B632CC"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565" w:type="pct"/>
            <w:hideMark/>
          </w:tcPr>
          <w:p w14:paraId="18E8483C" w14:textId="77777777" w:rsidR="00160459" w:rsidRPr="0047058F" w:rsidRDefault="00160459" w:rsidP="000A1090">
            <w:pPr>
              <w:pStyle w:val="TableText"/>
            </w:pPr>
            <w:r w:rsidRPr="0047058F">
              <w:t>Male</w:t>
            </w:r>
          </w:p>
        </w:tc>
        <w:tc>
          <w:tcPr>
            <w:tcW w:w="554" w:type="pct"/>
            <w:hideMark/>
          </w:tcPr>
          <w:p w14:paraId="2227D8FA" w14:textId="77777777" w:rsidR="00160459" w:rsidRPr="0047058F" w:rsidRDefault="00160459" w:rsidP="000A1090">
            <w:pPr>
              <w:pStyle w:val="TableText"/>
              <w:jc w:val="right"/>
            </w:pPr>
            <w:r w:rsidRPr="0047058F">
              <w:t>52</w:t>
            </w:r>
          </w:p>
        </w:tc>
        <w:tc>
          <w:tcPr>
            <w:tcW w:w="554" w:type="pct"/>
            <w:hideMark/>
          </w:tcPr>
          <w:p w14:paraId="6DBBA49E" w14:textId="77777777" w:rsidR="00160459" w:rsidRPr="0047058F" w:rsidRDefault="00160459" w:rsidP="000A1090">
            <w:pPr>
              <w:pStyle w:val="TableText"/>
              <w:jc w:val="right"/>
            </w:pPr>
            <w:r w:rsidRPr="0047058F">
              <w:t>37</w:t>
            </w:r>
          </w:p>
        </w:tc>
        <w:tc>
          <w:tcPr>
            <w:tcW w:w="554" w:type="pct"/>
            <w:hideMark/>
          </w:tcPr>
          <w:p w14:paraId="52A72B45" w14:textId="77777777" w:rsidR="00160459" w:rsidRPr="0047058F" w:rsidRDefault="00160459" w:rsidP="000A1090">
            <w:pPr>
              <w:pStyle w:val="TableText"/>
              <w:jc w:val="right"/>
            </w:pPr>
            <w:r w:rsidRPr="0047058F">
              <w:t>152</w:t>
            </w:r>
          </w:p>
        </w:tc>
        <w:tc>
          <w:tcPr>
            <w:tcW w:w="554" w:type="pct"/>
            <w:hideMark/>
          </w:tcPr>
          <w:p w14:paraId="7233E93A" w14:textId="77777777" w:rsidR="00160459" w:rsidRPr="0047058F" w:rsidRDefault="00160459" w:rsidP="000A1090">
            <w:pPr>
              <w:pStyle w:val="TableText"/>
              <w:jc w:val="right"/>
            </w:pPr>
            <w:r w:rsidRPr="0047058F">
              <w:t>94</w:t>
            </w:r>
          </w:p>
        </w:tc>
        <w:tc>
          <w:tcPr>
            <w:tcW w:w="554" w:type="pct"/>
            <w:hideMark/>
          </w:tcPr>
          <w:p w14:paraId="4C875D3E" w14:textId="77777777" w:rsidR="00160459" w:rsidRPr="0047058F" w:rsidRDefault="00160459" w:rsidP="000A1090">
            <w:pPr>
              <w:pStyle w:val="TableText"/>
              <w:jc w:val="right"/>
            </w:pPr>
            <w:r w:rsidRPr="0047058F">
              <w:t>155</w:t>
            </w:r>
          </w:p>
        </w:tc>
        <w:tc>
          <w:tcPr>
            <w:tcW w:w="554" w:type="pct"/>
            <w:hideMark/>
          </w:tcPr>
          <w:p w14:paraId="0010E114" w14:textId="77777777" w:rsidR="00160459" w:rsidRPr="0047058F" w:rsidRDefault="00160459" w:rsidP="000A1090">
            <w:pPr>
              <w:pStyle w:val="TableText"/>
              <w:jc w:val="right"/>
            </w:pPr>
            <w:r w:rsidRPr="0047058F">
              <w:t>109</w:t>
            </w:r>
          </w:p>
        </w:tc>
        <w:tc>
          <w:tcPr>
            <w:tcW w:w="554" w:type="pct"/>
            <w:hideMark/>
          </w:tcPr>
          <w:p w14:paraId="22976FAB" w14:textId="77777777" w:rsidR="00160459" w:rsidRPr="0047058F" w:rsidRDefault="00160459" w:rsidP="000A1090">
            <w:pPr>
              <w:pStyle w:val="TableText"/>
              <w:jc w:val="right"/>
            </w:pPr>
            <w:r w:rsidRPr="0047058F">
              <w:t>515</w:t>
            </w:r>
          </w:p>
        </w:tc>
        <w:tc>
          <w:tcPr>
            <w:tcW w:w="554" w:type="pct"/>
            <w:hideMark/>
          </w:tcPr>
          <w:p w14:paraId="26A3BDD4" w14:textId="77777777" w:rsidR="00160459" w:rsidRPr="0047058F" w:rsidRDefault="00160459" w:rsidP="000A1090">
            <w:pPr>
              <w:pStyle w:val="TableText"/>
              <w:jc w:val="right"/>
            </w:pPr>
            <w:r w:rsidRPr="0047058F">
              <w:t>272</w:t>
            </w:r>
          </w:p>
        </w:tc>
      </w:tr>
      <w:tr w:rsidR="00160459" w:rsidRPr="0047058F" w14:paraId="37A3D7BC" w14:textId="77777777" w:rsidTr="000A1090">
        <w:trPr>
          <w:cantSplit/>
        </w:trPr>
        <w:tc>
          <w:tcPr>
            <w:tcW w:w="565" w:type="pct"/>
            <w:hideMark/>
          </w:tcPr>
          <w:p w14:paraId="52C7B292" w14:textId="77777777" w:rsidR="00160459" w:rsidRPr="0047058F" w:rsidRDefault="00160459" w:rsidP="000A1090">
            <w:pPr>
              <w:pStyle w:val="TableText"/>
            </w:pPr>
            <w:r w:rsidRPr="0047058F">
              <w:t>Female</w:t>
            </w:r>
          </w:p>
        </w:tc>
        <w:tc>
          <w:tcPr>
            <w:tcW w:w="554" w:type="pct"/>
            <w:hideMark/>
          </w:tcPr>
          <w:p w14:paraId="521A6B9F" w14:textId="77777777" w:rsidR="00160459" w:rsidRPr="0047058F" w:rsidRDefault="00160459" w:rsidP="000A1090">
            <w:pPr>
              <w:pStyle w:val="TableText"/>
              <w:jc w:val="right"/>
            </w:pPr>
            <w:r w:rsidRPr="0047058F">
              <w:t>15</w:t>
            </w:r>
          </w:p>
        </w:tc>
        <w:tc>
          <w:tcPr>
            <w:tcW w:w="554" w:type="pct"/>
            <w:hideMark/>
          </w:tcPr>
          <w:p w14:paraId="5A9F91C5" w14:textId="77777777" w:rsidR="00160459" w:rsidRPr="0047058F" w:rsidRDefault="00160459" w:rsidP="000A1090">
            <w:pPr>
              <w:pStyle w:val="TableText"/>
              <w:jc w:val="right"/>
            </w:pPr>
            <w:r w:rsidRPr="0047058F">
              <w:t>10</w:t>
            </w:r>
          </w:p>
        </w:tc>
        <w:tc>
          <w:tcPr>
            <w:tcW w:w="554" w:type="pct"/>
            <w:hideMark/>
          </w:tcPr>
          <w:p w14:paraId="36A818B2" w14:textId="77777777" w:rsidR="00160459" w:rsidRPr="0047058F" w:rsidRDefault="00160459" w:rsidP="000A1090">
            <w:pPr>
              <w:pStyle w:val="TableText"/>
              <w:jc w:val="right"/>
            </w:pPr>
            <w:r w:rsidRPr="0047058F">
              <w:t>35</w:t>
            </w:r>
          </w:p>
        </w:tc>
        <w:tc>
          <w:tcPr>
            <w:tcW w:w="554" w:type="pct"/>
            <w:hideMark/>
          </w:tcPr>
          <w:p w14:paraId="69C82E3E" w14:textId="77777777" w:rsidR="00160459" w:rsidRPr="0047058F" w:rsidRDefault="00160459" w:rsidP="000A1090">
            <w:pPr>
              <w:pStyle w:val="TableText"/>
              <w:jc w:val="right"/>
            </w:pPr>
            <w:r w:rsidRPr="0047058F">
              <w:t>19</w:t>
            </w:r>
          </w:p>
        </w:tc>
        <w:tc>
          <w:tcPr>
            <w:tcW w:w="554" w:type="pct"/>
            <w:hideMark/>
          </w:tcPr>
          <w:p w14:paraId="3FA2E899" w14:textId="77777777" w:rsidR="00160459" w:rsidRPr="0047058F" w:rsidRDefault="00160459" w:rsidP="000A1090">
            <w:pPr>
              <w:pStyle w:val="TableText"/>
              <w:jc w:val="right"/>
            </w:pPr>
            <w:r w:rsidRPr="0047058F">
              <w:t>31</w:t>
            </w:r>
          </w:p>
        </w:tc>
        <w:tc>
          <w:tcPr>
            <w:tcW w:w="554" w:type="pct"/>
            <w:hideMark/>
          </w:tcPr>
          <w:p w14:paraId="67C21AE2" w14:textId="77777777" w:rsidR="00160459" w:rsidRPr="0047058F" w:rsidRDefault="00160459" w:rsidP="000A1090">
            <w:pPr>
              <w:pStyle w:val="TableText"/>
              <w:jc w:val="right"/>
            </w:pPr>
            <w:r w:rsidRPr="0047058F">
              <w:t>15</w:t>
            </w:r>
          </w:p>
        </w:tc>
        <w:tc>
          <w:tcPr>
            <w:tcW w:w="554" w:type="pct"/>
            <w:hideMark/>
          </w:tcPr>
          <w:p w14:paraId="1C8E401F" w14:textId="77777777" w:rsidR="00160459" w:rsidRPr="0047058F" w:rsidRDefault="00160459" w:rsidP="000A1090">
            <w:pPr>
              <w:pStyle w:val="TableText"/>
              <w:jc w:val="right"/>
            </w:pPr>
            <w:r w:rsidRPr="0047058F">
              <w:t>66</w:t>
            </w:r>
          </w:p>
        </w:tc>
        <w:tc>
          <w:tcPr>
            <w:tcW w:w="554" w:type="pct"/>
            <w:hideMark/>
          </w:tcPr>
          <w:p w14:paraId="183EADF2" w14:textId="77777777" w:rsidR="00160459" w:rsidRPr="0047058F" w:rsidRDefault="00160459" w:rsidP="000A1090">
            <w:pPr>
              <w:pStyle w:val="TableText"/>
              <w:jc w:val="right"/>
            </w:pPr>
            <w:r w:rsidRPr="0047058F">
              <w:t>25</w:t>
            </w:r>
          </w:p>
        </w:tc>
      </w:tr>
      <w:tr w:rsidR="00160459" w:rsidRPr="0047058F" w14:paraId="69F712A8"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565" w:type="pct"/>
            <w:hideMark/>
          </w:tcPr>
          <w:p w14:paraId="23981154" w14:textId="77777777" w:rsidR="00160459" w:rsidRPr="000A1090" w:rsidRDefault="00160459" w:rsidP="000A1090">
            <w:pPr>
              <w:pStyle w:val="TableText"/>
              <w:rPr>
                <w:b/>
              </w:rPr>
            </w:pPr>
            <w:r w:rsidRPr="000A1090">
              <w:rPr>
                <w:b/>
              </w:rPr>
              <w:t>Air Force</w:t>
            </w:r>
          </w:p>
        </w:tc>
        <w:tc>
          <w:tcPr>
            <w:tcW w:w="554" w:type="pct"/>
          </w:tcPr>
          <w:p w14:paraId="1BDD88AD" w14:textId="77777777" w:rsidR="00160459" w:rsidRPr="0047058F" w:rsidRDefault="00160459" w:rsidP="000A1090">
            <w:pPr>
              <w:pStyle w:val="TableText"/>
              <w:jc w:val="right"/>
            </w:pPr>
          </w:p>
        </w:tc>
        <w:tc>
          <w:tcPr>
            <w:tcW w:w="554" w:type="pct"/>
          </w:tcPr>
          <w:p w14:paraId="1CD1216D" w14:textId="77777777" w:rsidR="00160459" w:rsidRPr="0047058F" w:rsidRDefault="00160459" w:rsidP="000A1090">
            <w:pPr>
              <w:pStyle w:val="TableText"/>
              <w:jc w:val="right"/>
            </w:pPr>
          </w:p>
        </w:tc>
        <w:tc>
          <w:tcPr>
            <w:tcW w:w="554" w:type="pct"/>
          </w:tcPr>
          <w:p w14:paraId="1DFC1E81" w14:textId="77777777" w:rsidR="00160459" w:rsidRPr="0047058F" w:rsidRDefault="00160459" w:rsidP="000A1090">
            <w:pPr>
              <w:pStyle w:val="TableText"/>
              <w:jc w:val="right"/>
            </w:pPr>
          </w:p>
        </w:tc>
        <w:tc>
          <w:tcPr>
            <w:tcW w:w="554" w:type="pct"/>
          </w:tcPr>
          <w:p w14:paraId="6C2AEE69" w14:textId="77777777" w:rsidR="00160459" w:rsidRPr="0047058F" w:rsidRDefault="00160459" w:rsidP="000A1090">
            <w:pPr>
              <w:pStyle w:val="TableText"/>
              <w:jc w:val="right"/>
            </w:pPr>
          </w:p>
        </w:tc>
        <w:tc>
          <w:tcPr>
            <w:tcW w:w="554" w:type="pct"/>
          </w:tcPr>
          <w:p w14:paraId="46093126" w14:textId="77777777" w:rsidR="00160459" w:rsidRPr="0047058F" w:rsidRDefault="00160459" w:rsidP="000A1090">
            <w:pPr>
              <w:pStyle w:val="TableText"/>
              <w:jc w:val="right"/>
            </w:pPr>
          </w:p>
        </w:tc>
        <w:tc>
          <w:tcPr>
            <w:tcW w:w="554" w:type="pct"/>
          </w:tcPr>
          <w:p w14:paraId="69AF5425" w14:textId="77777777" w:rsidR="00160459" w:rsidRPr="0047058F" w:rsidRDefault="00160459" w:rsidP="000A1090">
            <w:pPr>
              <w:pStyle w:val="TableText"/>
              <w:jc w:val="right"/>
            </w:pPr>
          </w:p>
        </w:tc>
        <w:tc>
          <w:tcPr>
            <w:tcW w:w="554" w:type="pct"/>
          </w:tcPr>
          <w:p w14:paraId="063C0B60" w14:textId="77777777" w:rsidR="00160459" w:rsidRPr="0047058F" w:rsidRDefault="00160459" w:rsidP="000A1090">
            <w:pPr>
              <w:pStyle w:val="TableText"/>
              <w:jc w:val="right"/>
            </w:pPr>
          </w:p>
        </w:tc>
        <w:tc>
          <w:tcPr>
            <w:tcW w:w="554" w:type="pct"/>
          </w:tcPr>
          <w:p w14:paraId="488D25FC" w14:textId="77777777" w:rsidR="00160459" w:rsidRPr="0047058F" w:rsidRDefault="00160459" w:rsidP="000A1090">
            <w:pPr>
              <w:pStyle w:val="TableText"/>
              <w:jc w:val="right"/>
            </w:pPr>
          </w:p>
        </w:tc>
      </w:tr>
      <w:tr w:rsidR="00160459" w:rsidRPr="0047058F" w14:paraId="666F9C45" w14:textId="77777777" w:rsidTr="000A1090">
        <w:trPr>
          <w:cantSplit/>
        </w:trPr>
        <w:tc>
          <w:tcPr>
            <w:tcW w:w="565" w:type="pct"/>
            <w:hideMark/>
          </w:tcPr>
          <w:p w14:paraId="46939644" w14:textId="77777777" w:rsidR="00160459" w:rsidRPr="0047058F" w:rsidRDefault="00160459" w:rsidP="000A1090">
            <w:pPr>
              <w:pStyle w:val="TableText"/>
            </w:pPr>
            <w:r w:rsidRPr="0047058F">
              <w:t>Male</w:t>
            </w:r>
          </w:p>
        </w:tc>
        <w:tc>
          <w:tcPr>
            <w:tcW w:w="554" w:type="pct"/>
            <w:hideMark/>
          </w:tcPr>
          <w:p w14:paraId="26F88360" w14:textId="77777777" w:rsidR="00160459" w:rsidRPr="0047058F" w:rsidRDefault="00160459" w:rsidP="000A1090">
            <w:pPr>
              <w:pStyle w:val="TableText"/>
              <w:jc w:val="right"/>
            </w:pPr>
            <w:r w:rsidRPr="0047058F">
              <w:t>17</w:t>
            </w:r>
          </w:p>
        </w:tc>
        <w:tc>
          <w:tcPr>
            <w:tcW w:w="554" w:type="pct"/>
            <w:hideMark/>
          </w:tcPr>
          <w:p w14:paraId="26D4B718" w14:textId="77777777" w:rsidR="00160459" w:rsidRPr="0047058F" w:rsidRDefault="00160459" w:rsidP="000A1090">
            <w:pPr>
              <w:pStyle w:val="TableText"/>
              <w:jc w:val="right"/>
            </w:pPr>
            <w:r w:rsidRPr="0047058F">
              <w:t>13</w:t>
            </w:r>
          </w:p>
        </w:tc>
        <w:tc>
          <w:tcPr>
            <w:tcW w:w="554" w:type="pct"/>
            <w:hideMark/>
          </w:tcPr>
          <w:p w14:paraId="4980D68E" w14:textId="77777777" w:rsidR="00160459" w:rsidRPr="0047058F" w:rsidRDefault="00160459" w:rsidP="000A1090">
            <w:pPr>
              <w:pStyle w:val="TableText"/>
              <w:jc w:val="right"/>
            </w:pPr>
            <w:r w:rsidRPr="0047058F">
              <w:t>104</w:t>
            </w:r>
          </w:p>
        </w:tc>
        <w:tc>
          <w:tcPr>
            <w:tcW w:w="554" w:type="pct"/>
            <w:hideMark/>
          </w:tcPr>
          <w:p w14:paraId="6EB3E052" w14:textId="77777777" w:rsidR="00160459" w:rsidRPr="0047058F" w:rsidRDefault="00160459" w:rsidP="000A1090">
            <w:pPr>
              <w:pStyle w:val="TableText"/>
              <w:jc w:val="right"/>
            </w:pPr>
            <w:r w:rsidRPr="0047058F">
              <w:t>77</w:t>
            </w:r>
          </w:p>
        </w:tc>
        <w:tc>
          <w:tcPr>
            <w:tcW w:w="554" w:type="pct"/>
            <w:hideMark/>
          </w:tcPr>
          <w:p w14:paraId="05B1A8B9" w14:textId="77777777" w:rsidR="00160459" w:rsidRPr="0047058F" w:rsidRDefault="00160459" w:rsidP="000A1090">
            <w:pPr>
              <w:pStyle w:val="TableText"/>
              <w:jc w:val="right"/>
            </w:pPr>
            <w:r w:rsidRPr="0047058F">
              <w:t>74</w:t>
            </w:r>
          </w:p>
        </w:tc>
        <w:tc>
          <w:tcPr>
            <w:tcW w:w="554" w:type="pct"/>
            <w:hideMark/>
          </w:tcPr>
          <w:p w14:paraId="0BA2694C" w14:textId="77777777" w:rsidR="00160459" w:rsidRPr="0047058F" w:rsidRDefault="00160459" w:rsidP="000A1090">
            <w:pPr>
              <w:pStyle w:val="TableText"/>
              <w:jc w:val="right"/>
            </w:pPr>
            <w:r w:rsidRPr="0047058F">
              <w:t>50</w:t>
            </w:r>
          </w:p>
        </w:tc>
        <w:tc>
          <w:tcPr>
            <w:tcW w:w="554" w:type="pct"/>
            <w:hideMark/>
          </w:tcPr>
          <w:p w14:paraId="70AE42E7" w14:textId="77777777" w:rsidR="00160459" w:rsidRPr="0047058F" w:rsidRDefault="00160459" w:rsidP="000A1090">
            <w:pPr>
              <w:pStyle w:val="TableText"/>
              <w:jc w:val="right"/>
            </w:pPr>
            <w:r w:rsidRPr="0047058F">
              <w:t>152</w:t>
            </w:r>
          </w:p>
        </w:tc>
        <w:tc>
          <w:tcPr>
            <w:tcW w:w="554" w:type="pct"/>
            <w:hideMark/>
          </w:tcPr>
          <w:p w14:paraId="68497DE5" w14:textId="77777777" w:rsidR="00160459" w:rsidRPr="0047058F" w:rsidRDefault="00160459" w:rsidP="000A1090">
            <w:pPr>
              <w:pStyle w:val="TableText"/>
              <w:jc w:val="right"/>
            </w:pPr>
            <w:r w:rsidRPr="0047058F">
              <w:t>86</w:t>
            </w:r>
          </w:p>
        </w:tc>
      </w:tr>
      <w:tr w:rsidR="00160459" w:rsidRPr="0047058F" w14:paraId="40C60142"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565" w:type="pct"/>
            <w:hideMark/>
          </w:tcPr>
          <w:p w14:paraId="62CAFA5A" w14:textId="77777777" w:rsidR="00160459" w:rsidRPr="0047058F" w:rsidRDefault="00160459" w:rsidP="000A1090">
            <w:pPr>
              <w:pStyle w:val="TableText"/>
            </w:pPr>
            <w:r w:rsidRPr="0047058F">
              <w:t>Female</w:t>
            </w:r>
          </w:p>
        </w:tc>
        <w:tc>
          <w:tcPr>
            <w:tcW w:w="554" w:type="pct"/>
            <w:hideMark/>
          </w:tcPr>
          <w:p w14:paraId="1FF32F21" w14:textId="77777777" w:rsidR="00160459" w:rsidRPr="0047058F" w:rsidRDefault="00160459" w:rsidP="000A1090">
            <w:pPr>
              <w:pStyle w:val="TableText"/>
              <w:jc w:val="right"/>
            </w:pPr>
            <w:r w:rsidRPr="0047058F">
              <w:t>4</w:t>
            </w:r>
          </w:p>
        </w:tc>
        <w:tc>
          <w:tcPr>
            <w:tcW w:w="554" w:type="pct"/>
            <w:hideMark/>
          </w:tcPr>
          <w:p w14:paraId="4F63D60F" w14:textId="77777777" w:rsidR="00160459" w:rsidRPr="0047058F" w:rsidRDefault="00160459" w:rsidP="000A1090">
            <w:pPr>
              <w:pStyle w:val="TableText"/>
              <w:jc w:val="right"/>
            </w:pPr>
            <w:r w:rsidRPr="0047058F">
              <w:t>3</w:t>
            </w:r>
          </w:p>
        </w:tc>
        <w:tc>
          <w:tcPr>
            <w:tcW w:w="554" w:type="pct"/>
            <w:hideMark/>
          </w:tcPr>
          <w:p w14:paraId="4417EBD2" w14:textId="77777777" w:rsidR="00160459" w:rsidRPr="0047058F" w:rsidRDefault="00160459" w:rsidP="000A1090">
            <w:pPr>
              <w:pStyle w:val="TableText"/>
              <w:jc w:val="right"/>
            </w:pPr>
            <w:r w:rsidRPr="0047058F">
              <w:t>25</w:t>
            </w:r>
          </w:p>
        </w:tc>
        <w:tc>
          <w:tcPr>
            <w:tcW w:w="554" w:type="pct"/>
            <w:hideMark/>
          </w:tcPr>
          <w:p w14:paraId="64BEA01E" w14:textId="77777777" w:rsidR="00160459" w:rsidRPr="0047058F" w:rsidRDefault="00160459" w:rsidP="000A1090">
            <w:pPr>
              <w:pStyle w:val="TableText"/>
              <w:jc w:val="right"/>
            </w:pPr>
            <w:r w:rsidRPr="0047058F">
              <w:t>14</w:t>
            </w:r>
          </w:p>
        </w:tc>
        <w:tc>
          <w:tcPr>
            <w:tcW w:w="554" w:type="pct"/>
            <w:hideMark/>
          </w:tcPr>
          <w:p w14:paraId="00118E05" w14:textId="77777777" w:rsidR="00160459" w:rsidRPr="0047058F" w:rsidRDefault="00160459" w:rsidP="000A1090">
            <w:pPr>
              <w:pStyle w:val="TableText"/>
              <w:jc w:val="right"/>
            </w:pPr>
            <w:r w:rsidRPr="0047058F">
              <w:t>8</w:t>
            </w:r>
          </w:p>
        </w:tc>
        <w:tc>
          <w:tcPr>
            <w:tcW w:w="554" w:type="pct"/>
            <w:hideMark/>
          </w:tcPr>
          <w:p w14:paraId="3C82179B" w14:textId="77777777" w:rsidR="00160459" w:rsidRPr="0047058F" w:rsidRDefault="00160459" w:rsidP="000A1090">
            <w:pPr>
              <w:pStyle w:val="TableText"/>
              <w:jc w:val="right"/>
            </w:pPr>
            <w:r w:rsidRPr="0047058F">
              <w:t>5</w:t>
            </w:r>
          </w:p>
        </w:tc>
        <w:tc>
          <w:tcPr>
            <w:tcW w:w="554" w:type="pct"/>
            <w:hideMark/>
          </w:tcPr>
          <w:p w14:paraId="65D05B37" w14:textId="77777777" w:rsidR="00160459" w:rsidRPr="0047058F" w:rsidRDefault="00160459" w:rsidP="000A1090">
            <w:pPr>
              <w:pStyle w:val="TableText"/>
              <w:jc w:val="right"/>
            </w:pPr>
            <w:r w:rsidRPr="0047058F">
              <w:t>34</w:t>
            </w:r>
          </w:p>
        </w:tc>
        <w:tc>
          <w:tcPr>
            <w:tcW w:w="554" w:type="pct"/>
            <w:hideMark/>
          </w:tcPr>
          <w:p w14:paraId="05484685" w14:textId="77777777" w:rsidR="00160459" w:rsidRPr="0047058F" w:rsidRDefault="00160459" w:rsidP="000A1090">
            <w:pPr>
              <w:pStyle w:val="TableText"/>
              <w:jc w:val="right"/>
            </w:pPr>
            <w:r w:rsidRPr="0047058F">
              <w:t>16</w:t>
            </w:r>
          </w:p>
        </w:tc>
      </w:tr>
      <w:tr w:rsidR="00160459" w:rsidRPr="0047058F" w14:paraId="377C02E8" w14:textId="77777777" w:rsidTr="000A1090">
        <w:trPr>
          <w:cantSplit/>
        </w:trPr>
        <w:tc>
          <w:tcPr>
            <w:tcW w:w="565" w:type="pct"/>
            <w:hideMark/>
          </w:tcPr>
          <w:p w14:paraId="072B0983" w14:textId="77777777" w:rsidR="00160459" w:rsidRPr="0047058F" w:rsidRDefault="00160459" w:rsidP="000A1090">
            <w:pPr>
              <w:pStyle w:val="TableText"/>
            </w:pPr>
            <w:r w:rsidRPr="0047058F">
              <w:t>Missing</w:t>
            </w:r>
          </w:p>
        </w:tc>
        <w:tc>
          <w:tcPr>
            <w:tcW w:w="554" w:type="pct"/>
            <w:hideMark/>
          </w:tcPr>
          <w:p w14:paraId="19189379" w14:textId="77777777" w:rsidR="00160459" w:rsidRPr="0047058F" w:rsidRDefault="00160459" w:rsidP="000A1090">
            <w:pPr>
              <w:pStyle w:val="TableText"/>
              <w:jc w:val="right"/>
            </w:pPr>
            <w:r w:rsidRPr="0047058F">
              <w:t>1</w:t>
            </w:r>
          </w:p>
        </w:tc>
        <w:tc>
          <w:tcPr>
            <w:tcW w:w="554" w:type="pct"/>
            <w:hideMark/>
          </w:tcPr>
          <w:p w14:paraId="5EDE5B3A" w14:textId="77777777" w:rsidR="00160459" w:rsidRPr="0047058F" w:rsidRDefault="00160459" w:rsidP="000A1090">
            <w:pPr>
              <w:pStyle w:val="TableText"/>
              <w:jc w:val="right"/>
            </w:pPr>
            <w:r w:rsidRPr="0047058F">
              <w:t>–</w:t>
            </w:r>
          </w:p>
        </w:tc>
        <w:tc>
          <w:tcPr>
            <w:tcW w:w="554" w:type="pct"/>
            <w:hideMark/>
          </w:tcPr>
          <w:p w14:paraId="135EAAD9" w14:textId="77777777" w:rsidR="00160459" w:rsidRPr="0047058F" w:rsidRDefault="00160459" w:rsidP="000A1090">
            <w:pPr>
              <w:pStyle w:val="TableText"/>
              <w:jc w:val="right"/>
            </w:pPr>
            <w:r w:rsidRPr="0047058F">
              <w:t>2</w:t>
            </w:r>
          </w:p>
        </w:tc>
        <w:tc>
          <w:tcPr>
            <w:tcW w:w="554" w:type="pct"/>
            <w:hideMark/>
          </w:tcPr>
          <w:p w14:paraId="31CCF417" w14:textId="77777777" w:rsidR="00160459" w:rsidRPr="0047058F" w:rsidRDefault="00160459" w:rsidP="000A1090">
            <w:pPr>
              <w:pStyle w:val="TableText"/>
              <w:jc w:val="right"/>
            </w:pPr>
            <w:r w:rsidRPr="0047058F">
              <w:t>1</w:t>
            </w:r>
          </w:p>
        </w:tc>
        <w:tc>
          <w:tcPr>
            <w:tcW w:w="554" w:type="pct"/>
            <w:hideMark/>
          </w:tcPr>
          <w:p w14:paraId="1EBCE51C" w14:textId="77777777" w:rsidR="00160459" w:rsidRPr="0047058F" w:rsidRDefault="00160459" w:rsidP="000A1090">
            <w:pPr>
              <w:pStyle w:val="TableText"/>
              <w:jc w:val="right"/>
            </w:pPr>
            <w:r w:rsidRPr="0047058F">
              <w:t>2</w:t>
            </w:r>
          </w:p>
        </w:tc>
        <w:tc>
          <w:tcPr>
            <w:tcW w:w="554" w:type="pct"/>
            <w:hideMark/>
          </w:tcPr>
          <w:p w14:paraId="4FAE12FA" w14:textId="77777777" w:rsidR="00160459" w:rsidRPr="0047058F" w:rsidRDefault="00160459" w:rsidP="000A1090">
            <w:pPr>
              <w:pStyle w:val="TableText"/>
              <w:jc w:val="right"/>
            </w:pPr>
            <w:r w:rsidRPr="0047058F">
              <w:t>1</w:t>
            </w:r>
          </w:p>
        </w:tc>
        <w:tc>
          <w:tcPr>
            <w:tcW w:w="554" w:type="pct"/>
            <w:hideMark/>
          </w:tcPr>
          <w:p w14:paraId="641AD650" w14:textId="77777777" w:rsidR="00160459" w:rsidRPr="0047058F" w:rsidRDefault="00160459" w:rsidP="000A1090">
            <w:pPr>
              <w:pStyle w:val="TableText"/>
              <w:jc w:val="right"/>
            </w:pPr>
            <w:r w:rsidRPr="0047058F">
              <w:t>7</w:t>
            </w:r>
          </w:p>
        </w:tc>
        <w:tc>
          <w:tcPr>
            <w:tcW w:w="554" w:type="pct"/>
            <w:hideMark/>
          </w:tcPr>
          <w:p w14:paraId="749C9E90" w14:textId="77777777" w:rsidR="00160459" w:rsidRPr="0047058F" w:rsidRDefault="00160459" w:rsidP="000A1090">
            <w:pPr>
              <w:pStyle w:val="TableText"/>
              <w:jc w:val="right"/>
            </w:pPr>
            <w:r w:rsidRPr="0047058F">
              <w:t>4</w:t>
            </w:r>
          </w:p>
        </w:tc>
      </w:tr>
    </w:tbl>
    <w:p w14:paraId="2B885D38" w14:textId="77777777" w:rsidR="00160459" w:rsidRPr="0047058F" w:rsidRDefault="00160459" w:rsidP="00160459">
      <w:pPr>
        <w:pStyle w:val="TableNotes"/>
        <w:rPr>
          <w:color w:val="000000" w:themeColor="text1"/>
        </w:rPr>
      </w:pPr>
      <w:r w:rsidRPr="0047058F">
        <w:t># Includes Combat Zone and MHPWS participants who were invited to participate but were not stratified.</w:t>
      </w:r>
    </w:p>
    <w:p w14:paraId="296CE624" w14:textId="77777777" w:rsidR="00160459" w:rsidRPr="0047058F" w:rsidRDefault="00160459" w:rsidP="00160459">
      <w:r w:rsidRPr="0047058F">
        <w:rPr>
          <w:color w:val="000000" w:themeColor="text1"/>
        </w:rPr>
        <w:t xml:space="preserve">Table A.8 </w:t>
      </w:r>
      <w:r w:rsidRPr="0047058F">
        <w:t>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responders were missing band, sex or Service, and were excluded from the final weighted population.</w:t>
      </w:r>
    </w:p>
    <w:p w14:paraId="51C5C0C7" w14:textId="77777777" w:rsidR="00160459" w:rsidRPr="0047058F" w:rsidRDefault="00160459" w:rsidP="00160459">
      <w:pPr>
        <w:pStyle w:val="Heading2b"/>
      </w:pPr>
      <w:bookmarkStart w:id="669" w:name="_Toc482021451"/>
      <w:bookmarkStart w:id="670" w:name="_Toc482024542"/>
      <w:bookmarkStart w:id="671" w:name="_Toc484594362"/>
      <w:bookmarkStart w:id="672" w:name="_Toc487011302"/>
      <w:bookmarkStart w:id="673" w:name="_Toc493663197"/>
      <w:bookmarkStart w:id="674" w:name="_Toc494449814"/>
      <w:r w:rsidRPr="0047058F">
        <w:t>Weighting</w:t>
      </w:r>
      <w:bookmarkEnd w:id="662"/>
      <w:bookmarkEnd w:id="669"/>
      <w:bookmarkEnd w:id="670"/>
      <w:bookmarkEnd w:id="671"/>
      <w:bookmarkEnd w:id="672"/>
      <w:bookmarkEnd w:id="673"/>
      <w:bookmarkEnd w:id="674"/>
    </w:p>
    <w:p w14:paraId="2A8179FF" w14:textId="77777777" w:rsidR="00160459" w:rsidRPr="0047058F" w:rsidRDefault="00160459" w:rsidP="00B81778">
      <w:pPr>
        <w:keepLines/>
      </w:pPr>
      <w:r w:rsidRPr="0047058F">
        <w:t>The statistical weighting process used in the Mental Health and Wellbeing Transition Study replicated that used in the MHPWS, and allowed for the inference of results for the Transitioned ADF and 2015 Regular ADF populations. The two types of weights used in the study were:</w:t>
      </w:r>
    </w:p>
    <w:p w14:paraId="4431EE19" w14:textId="77777777" w:rsidR="00160459" w:rsidRPr="0047058F" w:rsidRDefault="00160459" w:rsidP="00160459">
      <w:pPr>
        <w:pStyle w:val="Bullet"/>
        <w:numPr>
          <w:ilvl w:val="0"/>
          <w:numId w:val="1"/>
        </w:numPr>
        <w:ind w:left="360"/>
      </w:pPr>
      <w:r w:rsidRPr="0047058F">
        <w:t>the survey responder weights, which corrected for differential non-response on the survey for Transitioned ADF and 2015 Regular ADF</w:t>
      </w:r>
    </w:p>
    <w:p w14:paraId="4A881357" w14:textId="77777777" w:rsidR="00160459" w:rsidRPr="0047058F" w:rsidRDefault="00160459" w:rsidP="00160459">
      <w:pPr>
        <w:pStyle w:val="Bullet"/>
        <w:numPr>
          <w:ilvl w:val="0"/>
          <w:numId w:val="1"/>
        </w:numPr>
        <w:ind w:left="360"/>
      </w:pPr>
      <w:r w:rsidRPr="0047058F">
        <w:t>two-phase CIDI responder weights, which compensated for differential non-response on the survey, and for oversampling or undersampling of specific cases where participants went on to be interviewed with the CIDI. These weights apply to the Transitioned ADF only, and were used to generate 12-month and lifetime ICD-10 mental disorder prevalence estimates for the entire Transitioned ADF.</w:t>
      </w:r>
    </w:p>
    <w:p w14:paraId="615ADDC6" w14:textId="77777777" w:rsidR="00160459" w:rsidRPr="0047058F" w:rsidRDefault="00160459" w:rsidP="00160459">
      <w:r w:rsidRPr="0047058F">
        <w:t>The weighting procedure involves the allocation of a representative value or ‘weight’ to the data for each responder, based on key variables that are known for the entire population (including both responders and non-responders). This weight indicates how many individuals in the entire population are represented by each actual responder. Weighting data allows for inference of results for an entire population, in this case, the Transitioned ADF, by assigning a representative value to each ‘actual’ case (responder) in the data. If a case has a weight of 4, it means that case counts in the data as four identical cases. By using known characteristics about each individual within the population (in this case, age, sex, rank and medical fitness), the weight assigned to responders indicates how many ‘like’ individuals in the entire population (based on those characteristics) each responder represents.</w:t>
      </w:r>
    </w:p>
    <w:p w14:paraId="75FAE7B8" w14:textId="77777777" w:rsidR="00160459" w:rsidRPr="0047058F" w:rsidRDefault="00160459" w:rsidP="00160459">
      <w:r w:rsidRPr="0047058F">
        <w:t>Weighting is used to correct for differential non-response and to account for systematic biases that may be present in study responders (e.g. oversampling of high scorers for CIDI). Both types of weights were used in this study.</w:t>
      </w:r>
    </w:p>
    <w:p w14:paraId="3598622C" w14:textId="77777777" w:rsidR="00160459" w:rsidRPr="0047058F" w:rsidRDefault="00160459" w:rsidP="00160459">
      <w:r w:rsidRPr="0047058F">
        <w:t>These two types of weights were combined to give each responder a single weight within the data. This methodology provides representative weights for the population, improving the accuracy of the estimated data, and requires that every individual within the population has actual data on the key variables that determine representativeness.</w:t>
      </w:r>
    </w:p>
    <w:p w14:paraId="31FB1437" w14:textId="24F546CD" w:rsidR="00160459" w:rsidRPr="0047058F" w:rsidRDefault="00160459" w:rsidP="00160459">
      <w:r w:rsidRPr="0047058F">
        <w:t xml:space="preserve">The Transitioned ADF weights were derived from the distinct strata of sex, Service, rank, and medical fitness, a dichotomous variable derived from Medical Employment Classification (MEC) status (see details of reclassification below). Constraints due to consent meant that MEC status was missing for a number of participants. As medical fitness was a key weighting variable both in providing a proxy health status for each individual in the population and to enable comparisons with the 2010 ADF Mental Health Prevalence and Wellbeing Study, a data perturbation approach was taken to deal with the missing data (see </w:t>
      </w:r>
      <w:r w:rsidR="003E2590">
        <w:t>subsection A.10.1</w:t>
      </w:r>
      <w:r w:rsidRPr="0047058F">
        <w:t xml:space="preserve"> </w:t>
      </w:r>
      <w:r w:rsidR="00FF720D">
        <w:t>of</w:t>
      </w:r>
      <w:r w:rsidRPr="0047058F">
        <w:t xml:space="preserve"> this annex on perturbation approach). Once missing MEC status was addressed, there remained 313 (1.2%) of the Transitioned ADF with missing information on the strata variables and therefore the final population was 24,932, with all weighted analyses of the Transitioned ADF summing to this.</w:t>
      </w:r>
    </w:p>
    <w:p w14:paraId="084360D8" w14:textId="77777777" w:rsidR="00160459" w:rsidRDefault="00160459" w:rsidP="00160459">
      <w:r w:rsidRPr="0047058F">
        <w:t>The 2015 Regular ADF weights were derived from the distinct strata of sex, Service, rank, medical fitness, and whether the individual completed a study as part of the Military Health Outcomes Program (MilHOP). The inclusion of this additional stratification variable was to account for the targeted sampling of the MilHOP cohort, who were then overrepresented within the current serving responders. A MilHOP flag variable (yes/no = 1/0) was therefore created and used in the weighting process in order to reduce this bias. There were 192 (0.4%) 2015 Regular ADF with missing information on the strata variables, reducing the final weighted population for analysis to 52,500. Tables A.9, A.10 and A.11 present the study population and responders within each strata used for weighting, and show approximately how many persons within each subpopulation each study responder represents.</w:t>
      </w:r>
    </w:p>
    <w:p w14:paraId="1BE6F04C" w14:textId="7A72869A" w:rsidR="000A1090" w:rsidRPr="005B0796" w:rsidRDefault="000A1090" w:rsidP="000A1090">
      <w:pPr>
        <w:pStyle w:val="TableName"/>
        <w:rPr>
          <w:lang w:eastAsia="en-AU"/>
        </w:rPr>
      </w:pPr>
      <w:bookmarkStart w:id="675" w:name="_Toc511900513"/>
      <w:bookmarkStart w:id="676" w:name="_Toc532473627"/>
      <w:r>
        <w:t>Table A.9</w:t>
      </w:r>
      <w:r w:rsidRPr="005B0796">
        <w:tab/>
        <w:t>Strata description</w:t>
      </w:r>
      <w:r w:rsidR="007D4D7B">
        <w:t xml:space="preserve"> –</w:t>
      </w:r>
      <w:r w:rsidRPr="005B0796">
        <w:t xml:space="preserve"> MilHOP Regular ADF</w:t>
      </w:r>
      <w:bookmarkEnd w:id="675"/>
      <w:bookmarkEnd w:id="676"/>
    </w:p>
    <w:tbl>
      <w:tblPr>
        <w:tblStyle w:val="TWRPTable"/>
        <w:tblW w:w="5000" w:type="pct"/>
        <w:tblLayout w:type="fixed"/>
        <w:tblLook w:val="04A0" w:firstRow="1" w:lastRow="0" w:firstColumn="1" w:lastColumn="0" w:noHBand="0" w:noVBand="1"/>
        <w:tblDescription w:val="Table A.9 Strata description – MilHOP Regular ADF"/>
      </w:tblPr>
      <w:tblGrid>
        <w:gridCol w:w="2268"/>
        <w:gridCol w:w="1261"/>
        <w:gridCol w:w="1262"/>
        <w:gridCol w:w="1262"/>
        <w:gridCol w:w="1262"/>
      </w:tblGrid>
      <w:tr w:rsidR="000A1090" w:rsidRPr="005B0796" w14:paraId="489C20DE"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059D656F" w14:textId="77777777" w:rsidR="000A1090" w:rsidRPr="005B0796" w:rsidRDefault="000A1090" w:rsidP="00220382">
            <w:pPr>
              <w:pStyle w:val="TableText"/>
            </w:pPr>
            <w:r w:rsidRPr="005B0796">
              <w:t>Strata</w:t>
            </w:r>
            <w:r w:rsidRPr="005B0796">
              <w:br/>
            </w:r>
            <w:r w:rsidRPr="005B0796">
              <w:rPr>
                <w:rFonts w:eastAsia="Times New Roman"/>
              </w:rPr>
              <w:t>Sex | Rank | Medical fitness | Service</w:t>
            </w:r>
          </w:p>
        </w:tc>
        <w:tc>
          <w:tcPr>
            <w:tcW w:w="5047" w:type="dxa"/>
            <w:gridSpan w:val="4"/>
          </w:tcPr>
          <w:p w14:paraId="0249144B" w14:textId="77777777" w:rsidR="000A1090" w:rsidRPr="005B0796" w:rsidRDefault="000A1090" w:rsidP="00220382">
            <w:pPr>
              <w:pStyle w:val="TableText"/>
              <w:jc w:val="center"/>
            </w:pPr>
            <w:r w:rsidRPr="005B0796">
              <w:rPr>
                <w:bCs/>
                <w:color w:val="000000" w:themeColor="text1"/>
              </w:rPr>
              <w:t>2015 Regular ADF</w:t>
            </w:r>
          </w:p>
        </w:tc>
      </w:tr>
      <w:tr w:rsidR="000A1090" w:rsidRPr="005B0796" w14:paraId="64FBAF97"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28A5B128" w14:textId="77777777" w:rsidR="000A1090" w:rsidRPr="005B0796" w:rsidRDefault="000A1090" w:rsidP="00220382">
            <w:pPr>
              <w:pStyle w:val="TableText"/>
            </w:pPr>
          </w:p>
        </w:tc>
        <w:tc>
          <w:tcPr>
            <w:tcW w:w="1261" w:type="dxa"/>
          </w:tcPr>
          <w:p w14:paraId="778A011A" w14:textId="77777777" w:rsidR="000A1090" w:rsidRPr="005B0796" w:rsidRDefault="000A1090" w:rsidP="00220382">
            <w:pPr>
              <w:pStyle w:val="TableText"/>
              <w:jc w:val="right"/>
              <w:rPr>
                <w:rFonts w:eastAsia="Times New Roman"/>
              </w:rPr>
            </w:pPr>
            <w:r w:rsidRPr="005B0796">
              <w:rPr>
                <w:rFonts w:eastAsia="Times New Roman"/>
              </w:rPr>
              <w:t>Population</w:t>
            </w:r>
          </w:p>
        </w:tc>
        <w:tc>
          <w:tcPr>
            <w:tcW w:w="1262" w:type="dxa"/>
          </w:tcPr>
          <w:p w14:paraId="04593DC8" w14:textId="7DF040F4" w:rsidR="000A1090" w:rsidRPr="005B0796" w:rsidRDefault="000A1090" w:rsidP="00220382">
            <w:pPr>
              <w:pStyle w:val="TableText"/>
              <w:jc w:val="right"/>
              <w:rPr>
                <w:rFonts w:eastAsia="Times New Roman"/>
              </w:rPr>
            </w:pPr>
            <w:r w:rsidRPr="005B0796">
              <w:rPr>
                <w:rFonts w:eastAsia="Times New Roman"/>
              </w:rPr>
              <w:t>Responder</w:t>
            </w:r>
            <w:r w:rsidR="007D4D7B">
              <w:rPr>
                <w:rFonts w:eastAsia="Times New Roman"/>
              </w:rPr>
              <w:t>s</w:t>
            </w:r>
          </w:p>
        </w:tc>
        <w:tc>
          <w:tcPr>
            <w:tcW w:w="1262" w:type="dxa"/>
          </w:tcPr>
          <w:p w14:paraId="6EA3D488" w14:textId="77777777" w:rsidR="000A1090" w:rsidRPr="005B0796" w:rsidRDefault="000A1090" w:rsidP="00220382">
            <w:pPr>
              <w:pStyle w:val="TableText"/>
              <w:jc w:val="right"/>
              <w:rPr>
                <w:rFonts w:eastAsia="Times New Roman"/>
              </w:rPr>
            </w:pPr>
            <w:r w:rsidRPr="005B0796">
              <w:rPr>
                <w:rFonts w:eastAsia="Times New Roman"/>
              </w:rPr>
              <w:t>%</w:t>
            </w:r>
          </w:p>
        </w:tc>
        <w:tc>
          <w:tcPr>
            <w:tcW w:w="1262" w:type="dxa"/>
          </w:tcPr>
          <w:p w14:paraId="1E1D4C0F" w14:textId="77777777" w:rsidR="000A1090" w:rsidRPr="005B0796" w:rsidRDefault="000A1090" w:rsidP="00220382">
            <w:pPr>
              <w:pStyle w:val="TableText"/>
              <w:jc w:val="right"/>
              <w:rPr>
                <w:rFonts w:eastAsia="Times New Roman"/>
              </w:rPr>
            </w:pPr>
            <w:r w:rsidRPr="005B0796">
              <w:rPr>
                <w:bCs/>
              </w:rPr>
              <w:t>No. of persons in population each responder represents</w:t>
            </w:r>
          </w:p>
        </w:tc>
      </w:tr>
      <w:tr w:rsidR="000A1090" w:rsidRPr="005B0796" w14:paraId="28FCD0BC"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68C3363" w14:textId="77777777" w:rsidR="000A1090" w:rsidRPr="005B0796" w:rsidRDefault="000A1090" w:rsidP="00220382">
            <w:pPr>
              <w:pStyle w:val="TableText"/>
              <w:rPr>
                <w:rFonts w:eastAsia="Times New Roman"/>
                <w:b/>
              </w:rPr>
            </w:pPr>
            <w:r w:rsidRPr="005B0796">
              <w:rPr>
                <w:rFonts w:eastAsia="Times New Roman"/>
                <w:b/>
              </w:rPr>
              <w:t>MilHOP</w:t>
            </w:r>
          </w:p>
        </w:tc>
        <w:tc>
          <w:tcPr>
            <w:tcW w:w="1261" w:type="dxa"/>
          </w:tcPr>
          <w:p w14:paraId="6B9C1648" w14:textId="77777777" w:rsidR="000A1090" w:rsidRPr="005B0796" w:rsidRDefault="000A1090" w:rsidP="00220382">
            <w:pPr>
              <w:pStyle w:val="TableText"/>
              <w:jc w:val="right"/>
              <w:rPr>
                <w:rFonts w:eastAsia="Times New Roman"/>
              </w:rPr>
            </w:pPr>
          </w:p>
        </w:tc>
        <w:tc>
          <w:tcPr>
            <w:tcW w:w="1262" w:type="dxa"/>
          </w:tcPr>
          <w:p w14:paraId="5E0FC6A2" w14:textId="77777777" w:rsidR="000A1090" w:rsidRPr="005B0796" w:rsidRDefault="000A1090" w:rsidP="00220382">
            <w:pPr>
              <w:pStyle w:val="TableText"/>
              <w:jc w:val="right"/>
              <w:rPr>
                <w:rFonts w:eastAsia="Times New Roman"/>
              </w:rPr>
            </w:pPr>
          </w:p>
        </w:tc>
        <w:tc>
          <w:tcPr>
            <w:tcW w:w="1262" w:type="dxa"/>
          </w:tcPr>
          <w:p w14:paraId="1E442612" w14:textId="77777777" w:rsidR="000A1090" w:rsidRPr="005B0796" w:rsidRDefault="000A1090" w:rsidP="00220382">
            <w:pPr>
              <w:pStyle w:val="TableText"/>
              <w:jc w:val="right"/>
              <w:rPr>
                <w:rFonts w:eastAsia="Times New Roman"/>
              </w:rPr>
            </w:pPr>
          </w:p>
        </w:tc>
        <w:tc>
          <w:tcPr>
            <w:tcW w:w="1262" w:type="dxa"/>
          </w:tcPr>
          <w:p w14:paraId="377545A0" w14:textId="77777777" w:rsidR="000A1090" w:rsidRPr="005B0796" w:rsidRDefault="000A1090" w:rsidP="00220382">
            <w:pPr>
              <w:pStyle w:val="TableText"/>
              <w:jc w:val="right"/>
              <w:rPr>
                <w:rFonts w:eastAsia="Times New Roman"/>
              </w:rPr>
            </w:pPr>
          </w:p>
        </w:tc>
      </w:tr>
      <w:tr w:rsidR="000A1090" w:rsidRPr="005B0796" w14:paraId="1EFE6AAA" w14:textId="77777777" w:rsidTr="00220382">
        <w:tc>
          <w:tcPr>
            <w:tcW w:w="2268" w:type="dxa"/>
          </w:tcPr>
          <w:p w14:paraId="05E08C53" w14:textId="378AE27B" w:rsidR="000A1090" w:rsidRPr="005B0796" w:rsidRDefault="000A1090" w:rsidP="00220382">
            <w:pPr>
              <w:pStyle w:val="TableText"/>
              <w:rPr>
                <w:rFonts w:eastAsia="Times New Roman"/>
              </w:rPr>
            </w:pPr>
            <w:r w:rsidRPr="005B0796">
              <w:rPr>
                <w:rFonts w:eastAsia="Times New Roman"/>
              </w:rPr>
              <w:t>Female | O</w:t>
            </w:r>
            <w:r w:rsidR="003E4D16">
              <w:rPr>
                <w:rFonts w:eastAsia="Times New Roman"/>
              </w:rPr>
              <w:t>fficer</w:t>
            </w:r>
            <w:r w:rsidRPr="005B0796">
              <w:rPr>
                <w:rFonts w:eastAsia="Times New Roman"/>
              </w:rPr>
              <w:t xml:space="preserve"> | fit | Navy</w:t>
            </w:r>
          </w:p>
        </w:tc>
        <w:tc>
          <w:tcPr>
            <w:tcW w:w="1261" w:type="dxa"/>
          </w:tcPr>
          <w:p w14:paraId="1273FF55" w14:textId="77777777" w:rsidR="000A1090" w:rsidRPr="005B0796" w:rsidRDefault="000A1090" w:rsidP="00220382">
            <w:pPr>
              <w:pStyle w:val="TableText"/>
              <w:jc w:val="right"/>
              <w:rPr>
                <w:rFonts w:eastAsia="Times New Roman"/>
              </w:rPr>
            </w:pPr>
            <w:r w:rsidRPr="005B0796">
              <w:rPr>
                <w:rFonts w:eastAsia="Times New Roman"/>
              </w:rPr>
              <w:t>170</w:t>
            </w:r>
          </w:p>
        </w:tc>
        <w:tc>
          <w:tcPr>
            <w:tcW w:w="1262" w:type="dxa"/>
          </w:tcPr>
          <w:p w14:paraId="071715AE" w14:textId="77777777" w:rsidR="000A1090" w:rsidRPr="005B0796" w:rsidRDefault="000A1090" w:rsidP="00220382">
            <w:pPr>
              <w:pStyle w:val="TableText"/>
              <w:jc w:val="right"/>
              <w:rPr>
                <w:rFonts w:eastAsia="Times New Roman"/>
              </w:rPr>
            </w:pPr>
            <w:r w:rsidRPr="005B0796">
              <w:rPr>
                <w:rFonts w:eastAsia="Times New Roman"/>
              </w:rPr>
              <w:t>88</w:t>
            </w:r>
          </w:p>
        </w:tc>
        <w:tc>
          <w:tcPr>
            <w:tcW w:w="1262" w:type="dxa"/>
          </w:tcPr>
          <w:p w14:paraId="1BA777B9" w14:textId="77777777" w:rsidR="000A1090" w:rsidRPr="005B0796" w:rsidRDefault="000A1090" w:rsidP="00220382">
            <w:pPr>
              <w:pStyle w:val="TableText"/>
              <w:jc w:val="right"/>
            </w:pPr>
            <w:r w:rsidRPr="005B0796">
              <w:rPr>
                <w:rFonts w:eastAsia="Times New Roman"/>
              </w:rPr>
              <w:t>51.8</w:t>
            </w:r>
          </w:p>
        </w:tc>
        <w:tc>
          <w:tcPr>
            <w:tcW w:w="1262" w:type="dxa"/>
          </w:tcPr>
          <w:p w14:paraId="02A8C0F0" w14:textId="77777777" w:rsidR="000A1090" w:rsidRPr="005B0796" w:rsidRDefault="000A1090" w:rsidP="00220382">
            <w:pPr>
              <w:pStyle w:val="TableText"/>
              <w:jc w:val="right"/>
              <w:rPr>
                <w:rFonts w:eastAsia="Times New Roman"/>
              </w:rPr>
            </w:pPr>
            <w:r w:rsidRPr="005B0796">
              <w:rPr>
                <w:rFonts w:eastAsia="Times New Roman"/>
              </w:rPr>
              <w:t>1.9</w:t>
            </w:r>
          </w:p>
        </w:tc>
      </w:tr>
      <w:tr w:rsidR="000A1090" w:rsidRPr="005B0796" w14:paraId="3E89D921"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14ECD6F" w14:textId="5B1C76FB" w:rsidR="000A1090" w:rsidRPr="005B0796" w:rsidRDefault="000A1090" w:rsidP="00220382">
            <w:pPr>
              <w:pStyle w:val="TableText"/>
              <w:rPr>
                <w:rFonts w:eastAsia="Times New Roman"/>
                <w:lang w:eastAsia="en-GB"/>
              </w:rPr>
            </w:pPr>
            <w:r w:rsidRPr="005B0796">
              <w:rPr>
                <w:rFonts w:eastAsia="Times New Roman"/>
              </w:rPr>
              <w:t>Female | O</w:t>
            </w:r>
            <w:r w:rsidR="003E4D16">
              <w:rPr>
                <w:rFonts w:eastAsia="Times New Roman"/>
              </w:rPr>
              <w:t xml:space="preserve">fficer </w:t>
            </w:r>
            <w:r w:rsidRPr="005B0796">
              <w:rPr>
                <w:rFonts w:eastAsia="Times New Roman"/>
              </w:rPr>
              <w:t>| fit | Army</w:t>
            </w:r>
          </w:p>
        </w:tc>
        <w:tc>
          <w:tcPr>
            <w:tcW w:w="1261" w:type="dxa"/>
          </w:tcPr>
          <w:p w14:paraId="672BE55A" w14:textId="77777777" w:rsidR="000A1090" w:rsidRPr="005B0796" w:rsidRDefault="000A1090" w:rsidP="00220382">
            <w:pPr>
              <w:pStyle w:val="TableText"/>
              <w:jc w:val="right"/>
              <w:rPr>
                <w:rFonts w:eastAsia="Times New Roman"/>
                <w:lang w:eastAsia="en-GB"/>
              </w:rPr>
            </w:pPr>
            <w:r w:rsidRPr="005B0796">
              <w:rPr>
                <w:rFonts w:eastAsia="Times New Roman"/>
              </w:rPr>
              <w:t>237</w:t>
            </w:r>
          </w:p>
        </w:tc>
        <w:tc>
          <w:tcPr>
            <w:tcW w:w="1262" w:type="dxa"/>
          </w:tcPr>
          <w:p w14:paraId="1A0A9938" w14:textId="77777777" w:rsidR="000A1090" w:rsidRPr="005B0796" w:rsidRDefault="000A1090" w:rsidP="00220382">
            <w:pPr>
              <w:pStyle w:val="TableText"/>
              <w:jc w:val="right"/>
              <w:rPr>
                <w:rFonts w:eastAsia="Times New Roman"/>
              </w:rPr>
            </w:pPr>
            <w:r w:rsidRPr="005B0796">
              <w:rPr>
                <w:rFonts w:eastAsia="Times New Roman"/>
              </w:rPr>
              <w:t>120</w:t>
            </w:r>
          </w:p>
        </w:tc>
        <w:tc>
          <w:tcPr>
            <w:tcW w:w="1262" w:type="dxa"/>
          </w:tcPr>
          <w:p w14:paraId="23A4C5EC" w14:textId="579C09C9" w:rsidR="000A1090" w:rsidRPr="005B0796" w:rsidRDefault="000A1090" w:rsidP="00220382">
            <w:pPr>
              <w:pStyle w:val="TableText"/>
              <w:jc w:val="right"/>
            </w:pPr>
            <w:r w:rsidRPr="005B0796">
              <w:rPr>
                <w:rFonts w:eastAsia="Times New Roman"/>
              </w:rPr>
              <w:t>50.6</w:t>
            </w:r>
          </w:p>
        </w:tc>
        <w:tc>
          <w:tcPr>
            <w:tcW w:w="1262" w:type="dxa"/>
          </w:tcPr>
          <w:p w14:paraId="0349BAA4" w14:textId="21F18E61" w:rsidR="000A1090" w:rsidRPr="005B0796" w:rsidRDefault="000A1090" w:rsidP="00220382">
            <w:pPr>
              <w:pStyle w:val="TableText"/>
              <w:jc w:val="right"/>
              <w:rPr>
                <w:rFonts w:eastAsia="Times New Roman"/>
              </w:rPr>
            </w:pPr>
            <w:r w:rsidRPr="005B0796">
              <w:rPr>
                <w:rFonts w:eastAsia="Times New Roman"/>
              </w:rPr>
              <w:t>2.0</w:t>
            </w:r>
          </w:p>
        </w:tc>
      </w:tr>
      <w:tr w:rsidR="000A1090" w:rsidRPr="005B0796" w14:paraId="21E1A10D" w14:textId="77777777" w:rsidTr="00220382">
        <w:tc>
          <w:tcPr>
            <w:tcW w:w="2268" w:type="dxa"/>
          </w:tcPr>
          <w:p w14:paraId="495B9FA1" w14:textId="6E0D7337" w:rsidR="000A1090" w:rsidRPr="005B0796" w:rsidRDefault="000A1090" w:rsidP="00220382">
            <w:pPr>
              <w:pStyle w:val="TableText"/>
              <w:rPr>
                <w:rFonts w:eastAsia="Times New Roman"/>
              </w:rPr>
            </w:pPr>
            <w:r w:rsidRPr="005B0796">
              <w:rPr>
                <w:rFonts w:eastAsia="Times New Roman"/>
              </w:rPr>
              <w:t>Female | O</w:t>
            </w:r>
            <w:r w:rsidR="003E4D16">
              <w:rPr>
                <w:rFonts w:eastAsia="Times New Roman"/>
              </w:rPr>
              <w:t>fficer</w:t>
            </w:r>
            <w:r w:rsidRPr="005B0796">
              <w:rPr>
                <w:rFonts w:eastAsia="Times New Roman"/>
              </w:rPr>
              <w:t xml:space="preserve"> | fit | Air Force</w:t>
            </w:r>
          </w:p>
        </w:tc>
        <w:tc>
          <w:tcPr>
            <w:tcW w:w="1261" w:type="dxa"/>
          </w:tcPr>
          <w:p w14:paraId="5B07CFC2" w14:textId="77777777" w:rsidR="000A1090" w:rsidRPr="005B0796" w:rsidRDefault="000A1090" w:rsidP="00220382">
            <w:pPr>
              <w:pStyle w:val="TableText"/>
              <w:jc w:val="right"/>
              <w:rPr>
                <w:rFonts w:eastAsia="Times New Roman"/>
              </w:rPr>
            </w:pPr>
            <w:r w:rsidRPr="005B0796">
              <w:rPr>
                <w:rFonts w:eastAsia="Times New Roman"/>
              </w:rPr>
              <w:t>249</w:t>
            </w:r>
          </w:p>
        </w:tc>
        <w:tc>
          <w:tcPr>
            <w:tcW w:w="1262" w:type="dxa"/>
          </w:tcPr>
          <w:p w14:paraId="55BA315F" w14:textId="77777777" w:rsidR="000A1090" w:rsidRPr="005B0796" w:rsidRDefault="000A1090" w:rsidP="00220382">
            <w:pPr>
              <w:pStyle w:val="TableText"/>
              <w:jc w:val="right"/>
              <w:rPr>
                <w:rFonts w:eastAsia="Times New Roman"/>
              </w:rPr>
            </w:pPr>
            <w:r w:rsidRPr="005B0796">
              <w:rPr>
                <w:rFonts w:eastAsia="Times New Roman"/>
              </w:rPr>
              <w:t>121</w:t>
            </w:r>
          </w:p>
        </w:tc>
        <w:tc>
          <w:tcPr>
            <w:tcW w:w="1262" w:type="dxa"/>
          </w:tcPr>
          <w:p w14:paraId="6304F8EE" w14:textId="77777777" w:rsidR="000A1090" w:rsidRPr="005B0796" w:rsidRDefault="000A1090" w:rsidP="00220382">
            <w:pPr>
              <w:pStyle w:val="TableText"/>
              <w:jc w:val="right"/>
            </w:pPr>
            <w:r w:rsidRPr="005B0796">
              <w:rPr>
                <w:rFonts w:eastAsia="Times New Roman"/>
              </w:rPr>
              <w:t>48.6</w:t>
            </w:r>
          </w:p>
        </w:tc>
        <w:tc>
          <w:tcPr>
            <w:tcW w:w="1262" w:type="dxa"/>
          </w:tcPr>
          <w:p w14:paraId="50CEA01F" w14:textId="77777777" w:rsidR="000A1090" w:rsidRPr="005B0796" w:rsidRDefault="000A1090" w:rsidP="00220382">
            <w:pPr>
              <w:pStyle w:val="TableText"/>
              <w:jc w:val="right"/>
              <w:rPr>
                <w:rFonts w:eastAsia="Times New Roman"/>
              </w:rPr>
            </w:pPr>
            <w:r w:rsidRPr="005B0796">
              <w:rPr>
                <w:rFonts w:eastAsia="Times New Roman"/>
              </w:rPr>
              <w:t>2.1</w:t>
            </w:r>
          </w:p>
        </w:tc>
      </w:tr>
      <w:tr w:rsidR="000A1090" w:rsidRPr="005B0796" w14:paraId="094DE975"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7EC36C1" w14:textId="150A04BC" w:rsidR="000A1090" w:rsidRPr="005B0796" w:rsidRDefault="000A1090" w:rsidP="00220382">
            <w:pPr>
              <w:pStyle w:val="TableText"/>
              <w:rPr>
                <w:rFonts w:eastAsia="Times New Roman"/>
              </w:rPr>
            </w:pPr>
            <w:r w:rsidRPr="005B0796">
              <w:rPr>
                <w:rFonts w:eastAsia="Times New Roman"/>
              </w:rPr>
              <w:t>Female | O</w:t>
            </w:r>
            <w:r w:rsidR="003E4D16">
              <w:rPr>
                <w:rFonts w:eastAsia="Times New Roman"/>
              </w:rPr>
              <w:t>fficer</w:t>
            </w:r>
            <w:r w:rsidRPr="005B0796">
              <w:rPr>
                <w:rFonts w:eastAsia="Times New Roman"/>
              </w:rPr>
              <w:t xml:space="preserve"> | unfit | Navy</w:t>
            </w:r>
          </w:p>
        </w:tc>
        <w:tc>
          <w:tcPr>
            <w:tcW w:w="1261" w:type="dxa"/>
          </w:tcPr>
          <w:p w14:paraId="6BFD6B71" w14:textId="77777777" w:rsidR="000A1090" w:rsidRPr="005B0796" w:rsidRDefault="000A1090" w:rsidP="00220382">
            <w:pPr>
              <w:pStyle w:val="TableText"/>
              <w:jc w:val="right"/>
              <w:rPr>
                <w:rFonts w:eastAsia="Times New Roman"/>
              </w:rPr>
            </w:pPr>
            <w:r w:rsidRPr="005B0796">
              <w:rPr>
                <w:rFonts w:eastAsia="Times New Roman"/>
              </w:rPr>
              <w:t>48</w:t>
            </w:r>
          </w:p>
        </w:tc>
        <w:tc>
          <w:tcPr>
            <w:tcW w:w="1262" w:type="dxa"/>
          </w:tcPr>
          <w:p w14:paraId="740FCC61" w14:textId="77777777" w:rsidR="000A1090" w:rsidRPr="005B0796" w:rsidRDefault="000A1090" w:rsidP="00220382">
            <w:pPr>
              <w:pStyle w:val="TableText"/>
              <w:jc w:val="right"/>
              <w:rPr>
                <w:rFonts w:eastAsia="Times New Roman"/>
              </w:rPr>
            </w:pPr>
            <w:r w:rsidRPr="005B0796">
              <w:rPr>
                <w:rFonts w:eastAsia="Times New Roman"/>
              </w:rPr>
              <w:t>27</w:t>
            </w:r>
          </w:p>
        </w:tc>
        <w:tc>
          <w:tcPr>
            <w:tcW w:w="1262" w:type="dxa"/>
          </w:tcPr>
          <w:p w14:paraId="1D2088AC" w14:textId="77777777" w:rsidR="000A1090" w:rsidRPr="005B0796" w:rsidRDefault="000A1090" w:rsidP="00220382">
            <w:pPr>
              <w:pStyle w:val="TableText"/>
              <w:jc w:val="right"/>
            </w:pPr>
            <w:r w:rsidRPr="005B0796">
              <w:rPr>
                <w:rFonts w:eastAsia="Times New Roman"/>
              </w:rPr>
              <w:t>56.3</w:t>
            </w:r>
          </w:p>
        </w:tc>
        <w:tc>
          <w:tcPr>
            <w:tcW w:w="1262" w:type="dxa"/>
          </w:tcPr>
          <w:p w14:paraId="0427E376" w14:textId="77777777" w:rsidR="000A1090" w:rsidRPr="005B0796" w:rsidRDefault="000A1090" w:rsidP="00220382">
            <w:pPr>
              <w:pStyle w:val="TableText"/>
              <w:jc w:val="right"/>
              <w:rPr>
                <w:rFonts w:eastAsia="Times New Roman"/>
              </w:rPr>
            </w:pPr>
            <w:r w:rsidRPr="005B0796">
              <w:rPr>
                <w:rFonts w:eastAsia="Times New Roman"/>
              </w:rPr>
              <w:t>1.8</w:t>
            </w:r>
          </w:p>
        </w:tc>
      </w:tr>
      <w:tr w:rsidR="000A1090" w:rsidRPr="005B0796" w14:paraId="3E2A230C" w14:textId="77777777" w:rsidTr="00220382">
        <w:tc>
          <w:tcPr>
            <w:tcW w:w="2268" w:type="dxa"/>
          </w:tcPr>
          <w:p w14:paraId="0D01DAD7" w14:textId="3C646E99" w:rsidR="000A1090" w:rsidRPr="005B0796" w:rsidRDefault="000A1090" w:rsidP="00220382">
            <w:pPr>
              <w:pStyle w:val="TableText"/>
              <w:rPr>
                <w:rFonts w:eastAsia="Times New Roman"/>
              </w:rPr>
            </w:pPr>
            <w:r w:rsidRPr="005B0796">
              <w:rPr>
                <w:rFonts w:eastAsia="Times New Roman"/>
              </w:rPr>
              <w:t>Female | O</w:t>
            </w:r>
            <w:r w:rsidR="003E4D16">
              <w:rPr>
                <w:rFonts w:eastAsia="Times New Roman"/>
              </w:rPr>
              <w:t>fficer</w:t>
            </w:r>
            <w:r w:rsidRPr="005B0796">
              <w:rPr>
                <w:rFonts w:eastAsia="Times New Roman"/>
              </w:rPr>
              <w:t xml:space="preserve"> | unfit | Army</w:t>
            </w:r>
          </w:p>
        </w:tc>
        <w:tc>
          <w:tcPr>
            <w:tcW w:w="1261" w:type="dxa"/>
          </w:tcPr>
          <w:p w14:paraId="1B351976" w14:textId="77777777" w:rsidR="000A1090" w:rsidRPr="005B0796" w:rsidRDefault="000A1090" w:rsidP="00220382">
            <w:pPr>
              <w:pStyle w:val="TableText"/>
              <w:jc w:val="right"/>
              <w:rPr>
                <w:rFonts w:eastAsia="Times New Roman"/>
              </w:rPr>
            </w:pPr>
            <w:r w:rsidRPr="005B0796">
              <w:rPr>
                <w:rFonts w:eastAsia="Times New Roman"/>
              </w:rPr>
              <w:t>75</w:t>
            </w:r>
          </w:p>
        </w:tc>
        <w:tc>
          <w:tcPr>
            <w:tcW w:w="1262" w:type="dxa"/>
          </w:tcPr>
          <w:p w14:paraId="5F1E95E9" w14:textId="77777777" w:rsidR="000A1090" w:rsidRPr="005B0796" w:rsidRDefault="000A1090" w:rsidP="00220382">
            <w:pPr>
              <w:pStyle w:val="TableText"/>
              <w:jc w:val="right"/>
              <w:rPr>
                <w:rFonts w:eastAsia="Times New Roman"/>
              </w:rPr>
            </w:pPr>
            <w:r w:rsidRPr="005B0796">
              <w:rPr>
                <w:rFonts w:eastAsia="Times New Roman"/>
              </w:rPr>
              <w:t>39</w:t>
            </w:r>
          </w:p>
        </w:tc>
        <w:tc>
          <w:tcPr>
            <w:tcW w:w="1262" w:type="dxa"/>
          </w:tcPr>
          <w:p w14:paraId="336A07E0" w14:textId="77777777" w:rsidR="000A1090" w:rsidRPr="005B0796" w:rsidRDefault="000A1090" w:rsidP="00220382">
            <w:pPr>
              <w:pStyle w:val="TableText"/>
              <w:jc w:val="right"/>
            </w:pPr>
            <w:r w:rsidRPr="005B0796">
              <w:rPr>
                <w:rFonts w:eastAsia="Times New Roman"/>
              </w:rPr>
              <w:t>52.0</w:t>
            </w:r>
          </w:p>
        </w:tc>
        <w:tc>
          <w:tcPr>
            <w:tcW w:w="1262" w:type="dxa"/>
          </w:tcPr>
          <w:p w14:paraId="05BCFC5D" w14:textId="77777777" w:rsidR="000A1090" w:rsidRPr="005B0796" w:rsidRDefault="000A1090" w:rsidP="00220382">
            <w:pPr>
              <w:pStyle w:val="TableText"/>
              <w:jc w:val="right"/>
              <w:rPr>
                <w:rFonts w:eastAsia="Times New Roman"/>
              </w:rPr>
            </w:pPr>
            <w:r w:rsidRPr="005B0796">
              <w:rPr>
                <w:rFonts w:eastAsia="Times New Roman"/>
              </w:rPr>
              <w:t>1.9</w:t>
            </w:r>
          </w:p>
        </w:tc>
      </w:tr>
      <w:tr w:rsidR="000A1090" w:rsidRPr="005B0796" w14:paraId="1E8968A2"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718F6417" w14:textId="73F3B64D" w:rsidR="000A1090" w:rsidRPr="005B0796" w:rsidRDefault="000A1090" w:rsidP="00220382">
            <w:pPr>
              <w:pStyle w:val="TableText"/>
              <w:rPr>
                <w:rFonts w:eastAsia="Times New Roman"/>
              </w:rPr>
            </w:pPr>
            <w:r w:rsidRPr="005B0796">
              <w:rPr>
                <w:rFonts w:eastAsia="Times New Roman"/>
              </w:rPr>
              <w:t>Female | O</w:t>
            </w:r>
            <w:r w:rsidR="003E4D16">
              <w:rPr>
                <w:rFonts w:eastAsia="Times New Roman"/>
              </w:rPr>
              <w:t>fficer</w:t>
            </w:r>
            <w:r w:rsidRPr="005B0796">
              <w:rPr>
                <w:rFonts w:eastAsia="Times New Roman"/>
              </w:rPr>
              <w:t xml:space="preserve"> | unfit | Air Force</w:t>
            </w:r>
          </w:p>
        </w:tc>
        <w:tc>
          <w:tcPr>
            <w:tcW w:w="1261" w:type="dxa"/>
          </w:tcPr>
          <w:p w14:paraId="24FFB34E" w14:textId="77777777" w:rsidR="000A1090" w:rsidRPr="005B0796" w:rsidRDefault="000A1090" w:rsidP="00220382">
            <w:pPr>
              <w:pStyle w:val="TableText"/>
              <w:jc w:val="right"/>
              <w:rPr>
                <w:rFonts w:eastAsia="Times New Roman"/>
              </w:rPr>
            </w:pPr>
            <w:r w:rsidRPr="005B0796">
              <w:rPr>
                <w:rFonts w:eastAsia="Times New Roman"/>
              </w:rPr>
              <w:t>76</w:t>
            </w:r>
          </w:p>
        </w:tc>
        <w:tc>
          <w:tcPr>
            <w:tcW w:w="1262" w:type="dxa"/>
          </w:tcPr>
          <w:p w14:paraId="008E6F03" w14:textId="77777777" w:rsidR="000A1090" w:rsidRPr="005B0796" w:rsidRDefault="000A1090" w:rsidP="00220382">
            <w:pPr>
              <w:pStyle w:val="TableText"/>
              <w:jc w:val="right"/>
              <w:rPr>
                <w:rFonts w:eastAsia="Times New Roman"/>
              </w:rPr>
            </w:pPr>
            <w:r w:rsidRPr="005B0796">
              <w:rPr>
                <w:rFonts w:eastAsia="Times New Roman"/>
              </w:rPr>
              <w:t>34</w:t>
            </w:r>
          </w:p>
        </w:tc>
        <w:tc>
          <w:tcPr>
            <w:tcW w:w="1262" w:type="dxa"/>
          </w:tcPr>
          <w:p w14:paraId="734577FD" w14:textId="77777777" w:rsidR="000A1090" w:rsidRPr="005B0796" w:rsidRDefault="000A1090" w:rsidP="00220382">
            <w:pPr>
              <w:pStyle w:val="TableText"/>
              <w:jc w:val="right"/>
            </w:pPr>
            <w:r w:rsidRPr="005B0796">
              <w:rPr>
                <w:rFonts w:eastAsia="Times New Roman"/>
              </w:rPr>
              <w:t>44.7</w:t>
            </w:r>
          </w:p>
        </w:tc>
        <w:tc>
          <w:tcPr>
            <w:tcW w:w="1262" w:type="dxa"/>
          </w:tcPr>
          <w:p w14:paraId="4B192410" w14:textId="77777777" w:rsidR="000A1090" w:rsidRPr="005B0796" w:rsidRDefault="000A1090" w:rsidP="00220382">
            <w:pPr>
              <w:pStyle w:val="TableText"/>
              <w:jc w:val="right"/>
              <w:rPr>
                <w:rFonts w:eastAsia="Times New Roman"/>
              </w:rPr>
            </w:pPr>
            <w:r w:rsidRPr="005B0796">
              <w:rPr>
                <w:rFonts w:eastAsia="Times New Roman"/>
              </w:rPr>
              <w:t>2.2</w:t>
            </w:r>
          </w:p>
        </w:tc>
      </w:tr>
      <w:tr w:rsidR="000A1090" w:rsidRPr="005B0796" w14:paraId="63A90EF3" w14:textId="77777777" w:rsidTr="00220382">
        <w:tc>
          <w:tcPr>
            <w:tcW w:w="2268" w:type="dxa"/>
          </w:tcPr>
          <w:p w14:paraId="187FDB22" w14:textId="77777777" w:rsidR="000A1090" w:rsidRPr="005B0796" w:rsidRDefault="000A1090" w:rsidP="00220382">
            <w:pPr>
              <w:pStyle w:val="TableText"/>
              <w:rPr>
                <w:rFonts w:eastAsia="Times New Roman"/>
              </w:rPr>
            </w:pPr>
            <w:r w:rsidRPr="005B0796">
              <w:rPr>
                <w:rFonts w:eastAsia="Times New Roman"/>
              </w:rPr>
              <w:t>Female | NCO | fit | Navy</w:t>
            </w:r>
          </w:p>
        </w:tc>
        <w:tc>
          <w:tcPr>
            <w:tcW w:w="1261" w:type="dxa"/>
          </w:tcPr>
          <w:p w14:paraId="7C065761" w14:textId="77777777" w:rsidR="000A1090" w:rsidRPr="005B0796" w:rsidRDefault="000A1090" w:rsidP="00220382">
            <w:pPr>
              <w:pStyle w:val="TableText"/>
              <w:jc w:val="right"/>
              <w:rPr>
                <w:rFonts w:eastAsia="Times New Roman"/>
              </w:rPr>
            </w:pPr>
            <w:r w:rsidRPr="005B0796">
              <w:rPr>
                <w:rFonts w:eastAsia="Times New Roman"/>
              </w:rPr>
              <w:t>197</w:t>
            </w:r>
          </w:p>
        </w:tc>
        <w:tc>
          <w:tcPr>
            <w:tcW w:w="1262" w:type="dxa"/>
          </w:tcPr>
          <w:p w14:paraId="1A530EA4" w14:textId="77777777" w:rsidR="000A1090" w:rsidRPr="005B0796" w:rsidRDefault="000A1090" w:rsidP="00220382">
            <w:pPr>
              <w:pStyle w:val="TableText"/>
              <w:jc w:val="right"/>
              <w:rPr>
                <w:rFonts w:eastAsia="Times New Roman"/>
              </w:rPr>
            </w:pPr>
            <w:r w:rsidRPr="005B0796">
              <w:rPr>
                <w:rFonts w:eastAsia="Times New Roman"/>
              </w:rPr>
              <w:t>71</w:t>
            </w:r>
          </w:p>
        </w:tc>
        <w:tc>
          <w:tcPr>
            <w:tcW w:w="1262" w:type="dxa"/>
          </w:tcPr>
          <w:p w14:paraId="7F655A5A" w14:textId="77777777" w:rsidR="000A1090" w:rsidRPr="005B0796" w:rsidRDefault="000A1090" w:rsidP="00220382">
            <w:pPr>
              <w:pStyle w:val="TableText"/>
              <w:jc w:val="right"/>
            </w:pPr>
            <w:r w:rsidRPr="005B0796">
              <w:rPr>
                <w:rFonts w:eastAsia="Times New Roman"/>
              </w:rPr>
              <w:t>36.0</w:t>
            </w:r>
          </w:p>
        </w:tc>
        <w:tc>
          <w:tcPr>
            <w:tcW w:w="1262" w:type="dxa"/>
          </w:tcPr>
          <w:p w14:paraId="6E483869" w14:textId="77777777" w:rsidR="000A1090" w:rsidRPr="005B0796" w:rsidRDefault="000A1090" w:rsidP="00220382">
            <w:pPr>
              <w:pStyle w:val="TableText"/>
              <w:jc w:val="right"/>
              <w:rPr>
                <w:rFonts w:eastAsia="Times New Roman"/>
              </w:rPr>
            </w:pPr>
            <w:r w:rsidRPr="005B0796">
              <w:rPr>
                <w:rFonts w:eastAsia="Times New Roman"/>
              </w:rPr>
              <w:t>2.8</w:t>
            </w:r>
          </w:p>
        </w:tc>
      </w:tr>
      <w:tr w:rsidR="000A1090" w:rsidRPr="005B0796" w14:paraId="70AB8CB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7AF7563" w14:textId="77777777" w:rsidR="000A1090" w:rsidRPr="005B0796" w:rsidRDefault="000A1090" w:rsidP="00220382">
            <w:pPr>
              <w:pStyle w:val="TableText"/>
              <w:rPr>
                <w:rFonts w:eastAsia="Times New Roman"/>
              </w:rPr>
            </w:pPr>
            <w:r w:rsidRPr="005B0796">
              <w:rPr>
                <w:rFonts w:eastAsia="Times New Roman"/>
              </w:rPr>
              <w:t>Female | NCO | fit | Army</w:t>
            </w:r>
          </w:p>
        </w:tc>
        <w:tc>
          <w:tcPr>
            <w:tcW w:w="1261" w:type="dxa"/>
          </w:tcPr>
          <w:p w14:paraId="5137537F" w14:textId="77777777" w:rsidR="000A1090" w:rsidRPr="005B0796" w:rsidRDefault="000A1090" w:rsidP="00220382">
            <w:pPr>
              <w:pStyle w:val="TableText"/>
              <w:jc w:val="right"/>
              <w:rPr>
                <w:rFonts w:eastAsia="Times New Roman"/>
              </w:rPr>
            </w:pPr>
            <w:r w:rsidRPr="005B0796">
              <w:rPr>
                <w:rFonts w:eastAsia="Times New Roman"/>
              </w:rPr>
              <w:t>245</w:t>
            </w:r>
          </w:p>
        </w:tc>
        <w:tc>
          <w:tcPr>
            <w:tcW w:w="1262" w:type="dxa"/>
          </w:tcPr>
          <w:p w14:paraId="528B04A1" w14:textId="77777777" w:rsidR="000A1090" w:rsidRPr="005B0796" w:rsidRDefault="000A1090" w:rsidP="00220382">
            <w:pPr>
              <w:pStyle w:val="TableText"/>
              <w:jc w:val="right"/>
              <w:rPr>
                <w:rFonts w:eastAsia="Times New Roman"/>
              </w:rPr>
            </w:pPr>
            <w:r w:rsidRPr="005B0796">
              <w:rPr>
                <w:rFonts w:eastAsia="Times New Roman"/>
              </w:rPr>
              <w:t>99</w:t>
            </w:r>
          </w:p>
        </w:tc>
        <w:tc>
          <w:tcPr>
            <w:tcW w:w="1262" w:type="dxa"/>
          </w:tcPr>
          <w:p w14:paraId="3A3D77FE" w14:textId="77777777" w:rsidR="000A1090" w:rsidRPr="005B0796" w:rsidRDefault="000A1090" w:rsidP="00220382">
            <w:pPr>
              <w:pStyle w:val="TableText"/>
              <w:jc w:val="right"/>
            </w:pPr>
            <w:r w:rsidRPr="005B0796">
              <w:rPr>
                <w:rFonts w:eastAsia="Times New Roman"/>
              </w:rPr>
              <w:t>40.4</w:t>
            </w:r>
          </w:p>
        </w:tc>
        <w:tc>
          <w:tcPr>
            <w:tcW w:w="1262" w:type="dxa"/>
          </w:tcPr>
          <w:p w14:paraId="63312D81" w14:textId="77777777" w:rsidR="000A1090" w:rsidRPr="005B0796" w:rsidRDefault="000A1090" w:rsidP="00220382">
            <w:pPr>
              <w:pStyle w:val="TableText"/>
              <w:jc w:val="right"/>
              <w:rPr>
                <w:rFonts w:eastAsia="Times New Roman"/>
              </w:rPr>
            </w:pPr>
            <w:r w:rsidRPr="005B0796">
              <w:rPr>
                <w:rFonts w:eastAsia="Times New Roman"/>
              </w:rPr>
              <w:t>2.5</w:t>
            </w:r>
          </w:p>
        </w:tc>
      </w:tr>
      <w:tr w:rsidR="000A1090" w:rsidRPr="005B0796" w14:paraId="51A7331E" w14:textId="77777777" w:rsidTr="00220382">
        <w:tc>
          <w:tcPr>
            <w:tcW w:w="2268" w:type="dxa"/>
          </w:tcPr>
          <w:p w14:paraId="00426D67" w14:textId="77777777" w:rsidR="000A1090" w:rsidRPr="005B0796" w:rsidRDefault="000A1090" w:rsidP="00220382">
            <w:pPr>
              <w:pStyle w:val="TableText"/>
              <w:rPr>
                <w:rFonts w:eastAsia="Times New Roman"/>
              </w:rPr>
            </w:pPr>
            <w:r w:rsidRPr="005B0796">
              <w:rPr>
                <w:rFonts w:eastAsia="Times New Roman"/>
              </w:rPr>
              <w:t>Female | NCO | fit | Air Force</w:t>
            </w:r>
          </w:p>
        </w:tc>
        <w:tc>
          <w:tcPr>
            <w:tcW w:w="1261" w:type="dxa"/>
          </w:tcPr>
          <w:p w14:paraId="0F6BB3F4" w14:textId="77777777" w:rsidR="000A1090" w:rsidRPr="005B0796" w:rsidRDefault="000A1090" w:rsidP="00220382">
            <w:pPr>
              <w:pStyle w:val="TableText"/>
              <w:jc w:val="right"/>
              <w:rPr>
                <w:rFonts w:eastAsia="Times New Roman"/>
              </w:rPr>
            </w:pPr>
            <w:r w:rsidRPr="005B0796">
              <w:rPr>
                <w:rFonts w:eastAsia="Times New Roman"/>
              </w:rPr>
              <w:t>255</w:t>
            </w:r>
          </w:p>
        </w:tc>
        <w:tc>
          <w:tcPr>
            <w:tcW w:w="1262" w:type="dxa"/>
          </w:tcPr>
          <w:p w14:paraId="31E35F93" w14:textId="77777777" w:rsidR="000A1090" w:rsidRPr="005B0796" w:rsidRDefault="000A1090" w:rsidP="00220382">
            <w:pPr>
              <w:pStyle w:val="TableText"/>
              <w:jc w:val="right"/>
              <w:rPr>
                <w:rFonts w:eastAsia="Times New Roman"/>
              </w:rPr>
            </w:pPr>
            <w:r w:rsidRPr="005B0796">
              <w:rPr>
                <w:rFonts w:eastAsia="Times New Roman"/>
              </w:rPr>
              <w:t>110</w:t>
            </w:r>
          </w:p>
        </w:tc>
        <w:tc>
          <w:tcPr>
            <w:tcW w:w="1262" w:type="dxa"/>
          </w:tcPr>
          <w:p w14:paraId="7AD65AA1" w14:textId="77777777" w:rsidR="000A1090" w:rsidRPr="005B0796" w:rsidRDefault="000A1090" w:rsidP="00220382">
            <w:pPr>
              <w:pStyle w:val="TableText"/>
              <w:jc w:val="right"/>
            </w:pPr>
            <w:r w:rsidRPr="005B0796">
              <w:rPr>
                <w:rFonts w:eastAsia="Times New Roman"/>
              </w:rPr>
              <w:t>43.1</w:t>
            </w:r>
          </w:p>
        </w:tc>
        <w:tc>
          <w:tcPr>
            <w:tcW w:w="1262" w:type="dxa"/>
          </w:tcPr>
          <w:p w14:paraId="0C5FC8CE" w14:textId="77777777" w:rsidR="000A1090" w:rsidRPr="005B0796" w:rsidRDefault="000A1090" w:rsidP="00220382">
            <w:pPr>
              <w:pStyle w:val="TableText"/>
              <w:jc w:val="right"/>
              <w:rPr>
                <w:rFonts w:eastAsia="Times New Roman"/>
              </w:rPr>
            </w:pPr>
            <w:r w:rsidRPr="005B0796">
              <w:rPr>
                <w:rFonts w:eastAsia="Times New Roman"/>
              </w:rPr>
              <w:t>2.3</w:t>
            </w:r>
          </w:p>
        </w:tc>
      </w:tr>
      <w:tr w:rsidR="000A1090" w:rsidRPr="005B0796" w14:paraId="6850AB3A"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660ED27"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1F76B02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14:paraId="2751CBB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23</w:t>
            </w:r>
          </w:p>
        </w:tc>
        <w:tc>
          <w:tcPr>
            <w:tcW w:w="1262" w:type="dxa"/>
          </w:tcPr>
          <w:p w14:paraId="08005697"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35.4</w:t>
            </w:r>
          </w:p>
        </w:tc>
        <w:tc>
          <w:tcPr>
            <w:tcW w:w="1262" w:type="dxa"/>
          </w:tcPr>
          <w:p w14:paraId="10069A0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2.8</w:t>
            </w:r>
          </w:p>
        </w:tc>
      </w:tr>
      <w:tr w:rsidR="000A1090" w:rsidRPr="005B0796" w14:paraId="2FC30C67" w14:textId="77777777" w:rsidTr="00220382">
        <w:tc>
          <w:tcPr>
            <w:tcW w:w="2268" w:type="dxa"/>
          </w:tcPr>
          <w:p w14:paraId="79C5CD59" w14:textId="77777777" w:rsidR="000A1090" w:rsidRPr="005B0796" w:rsidRDefault="000A1090" w:rsidP="00220382">
            <w:pPr>
              <w:pStyle w:val="TableText"/>
              <w:rPr>
                <w:rFonts w:eastAsia="Times New Roman"/>
              </w:rPr>
            </w:pPr>
            <w:r w:rsidRPr="005B0796">
              <w:rPr>
                <w:rFonts w:eastAsia="Times New Roman"/>
              </w:rPr>
              <w:t>Female | NCO | unfit | Army</w:t>
            </w:r>
          </w:p>
        </w:tc>
        <w:tc>
          <w:tcPr>
            <w:tcW w:w="1261" w:type="dxa"/>
          </w:tcPr>
          <w:p w14:paraId="3463C425" w14:textId="77777777" w:rsidR="000A1090" w:rsidRPr="005B0796" w:rsidRDefault="000A1090" w:rsidP="00220382">
            <w:pPr>
              <w:pStyle w:val="TableText"/>
              <w:jc w:val="right"/>
              <w:rPr>
                <w:rFonts w:eastAsia="Times New Roman"/>
              </w:rPr>
            </w:pPr>
            <w:r w:rsidRPr="005B0796">
              <w:rPr>
                <w:rFonts w:eastAsia="Times New Roman"/>
              </w:rPr>
              <w:t>117</w:t>
            </w:r>
          </w:p>
        </w:tc>
        <w:tc>
          <w:tcPr>
            <w:tcW w:w="1262" w:type="dxa"/>
          </w:tcPr>
          <w:p w14:paraId="7268A02C" w14:textId="77777777" w:rsidR="000A1090" w:rsidRPr="005B0796" w:rsidRDefault="000A1090" w:rsidP="00220382">
            <w:pPr>
              <w:pStyle w:val="TableText"/>
              <w:jc w:val="right"/>
              <w:rPr>
                <w:rFonts w:eastAsia="Times New Roman"/>
              </w:rPr>
            </w:pPr>
            <w:r w:rsidRPr="005B0796">
              <w:rPr>
                <w:rFonts w:eastAsia="Times New Roman"/>
              </w:rPr>
              <w:t>49</w:t>
            </w:r>
          </w:p>
        </w:tc>
        <w:tc>
          <w:tcPr>
            <w:tcW w:w="1262" w:type="dxa"/>
          </w:tcPr>
          <w:p w14:paraId="32D5A4EE" w14:textId="77777777" w:rsidR="000A1090" w:rsidRPr="005B0796" w:rsidRDefault="000A1090" w:rsidP="00220382">
            <w:pPr>
              <w:pStyle w:val="TableText"/>
              <w:jc w:val="right"/>
            </w:pPr>
            <w:r w:rsidRPr="005B0796">
              <w:rPr>
                <w:rFonts w:eastAsia="Times New Roman"/>
              </w:rPr>
              <w:t>41.9</w:t>
            </w:r>
          </w:p>
        </w:tc>
        <w:tc>
          <w:tcPr>
            <w:tcW w:w="1262" w:type="dxa"/>
          </w:tcPr>
          <w:p w14:paraId="49251C7F" w14:textId="77777777" w:rsidR="000A1090" w:rsidRPr="005B0796" w:rsidRDefault="000A1090" w:rsidP="00220382">
            <w:pPr>
              <w:pStyle w:val="TableText"/>
              <w:jc w:val="right"/>
              <w:rPr>
                <w:rFonts w:eastAsia="Times New Roman"/>
              </w:rPr>
            </w:pPr>
            <w:r w:rsidRPr="005B0796">
              <w:rPr>
                <w:rFonts w:eastAsia="Times New Roman"/>
              </w:rPr>
              <w:t>2.4</w:t>
            </w:r>
          </w:p>
        </w:tc>
      </w:tr>
      <w:tr w:rsidR="000A1090" w:rsidRPr="005B0796" w14:paraId="3368C26B"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8BFA435"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1B0B687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100</w:t>
            </w:r>
          </w:p>
        </w:tc>
        <w:tc>
          <w:tcPr>
            <w:tcW w:w="1262" w:type="dxa"/>
          </w:tcPr>
          <w:p w14:paraId="1FB33D3A"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37</w:t>
            </w:r>
          </w:p>
        </w:tc>
        <w:tc>
          <w:tcPr>
            <w:tcW w:w="1262" w:type="dxa"/>
          </w:tcPr>
          <w:p w14:paraId="3A40A30D"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37.0</w:t>
            </w:r>
          </w:p>
        </w:tc>
        <w:tc>
          <w:tcPr>
            <w:tcW w:w="1262" w:type="dxa"/>
          </w:tcPr>
          <w:p w14:paraId="5CBC006A"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2.7</w:t>
            </w:r>
          </w:p>
        </w:tc>
      </w:tr>
      <w:tr w:rsidR="000A1090" w:rsidRPr="005B0796" w14:paraId="01E38974" w14:textId="77777777" w:rsidTr="00220382">
        <w:tc>
          <w:tcPr>
            <w:tcW w:w="2268" w:type="dxa"/>
          </w:tcPr>
          <w:p w14:paraId="54F74987"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2DCCA4E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41</w:t>
            </w:r>
          </w:p>
        </w:tc>
        <w:tc>
          <w:tcPr>
            <w:tcW w:w="1262" w:type="dxa"/>
          </w:tcPr>
          <w:p w14:paraId="1EDED1C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12</w:t>
            </w:r>
          </w:p>
        </w:tc>
        <w:tc>
          <w:tcPr>
            <w:tcW w:w="1262" w:type="dxa"/>
          </w:tcPr>
          <w:p w14:paraId="6522073F"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29.3</w:t>
            </w:r>
          </w:p>
        </w:tc>
        <w:tc>
          <w:tcPr>
            <w:tcW w:w="1262" w:type="dxa"/>
          </w:tcPr>
          <w:p w14:paraId="657CDAD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3.4</w:t>
            </w:r>
          </w:p>
        </w:tc>
      </w:tr>
      <w:tr w:rsidR="000A1090" w:rsidRPr="005B0796" w14:paraId="3ED3188E"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11CCE7B"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192A060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33</w:t>
            </w:r>
          </w:p>
        </w:tc>
        <w:tc>
          <w:tcPr>
            <w:tcW w:w="1262" w:type="dxa"/>
          </w:tcPr>
          <w:p w14:paraId="7C35EDA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w:t>
            </w:r>
          </w:p>
        </w:tc>
        <w:tc>
          <w:tcPr>
            <w:tcW w:w="1262" w:type="dxa"/>
          </w:tcPr>
          <w:p w14:paraId="3BEAA823"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12.1</w:t>
            </w:r>
          </w:p>
        </w:tc>
        <w:tc>
          <w:tcPr>
            <w:tcW w:w="1262" w:type="dxa"/>
          </w:tcPr>
          <w:p w14:paraId="34410E6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8.3</w:t>
            </w:r>
          </w:p>
        </w:tc>
      </w:tr>
      <w:tr w:rsidR="000A1090" w:rsidRPr="005B0796" w14:paraId="4C8233AA" w14:textId="77777777" w:rsidTr="00220382">
        <w:tc>
          <w:tcPr>
            <w:tcW w:w="2268" w:type="dxa"/>
          </w:tcPr>
          <w:p w14:paraId="4361D8D3"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1BC7FD4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14:paraId="624D6D5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18</w:t>
            </w:r>
          </w:p>
        </w:tc>
        <w:tc>
          <w:tcPr>
            <w:tcW w:w="1262" w:type="dxa"/>
          </w:tcPr>
          <w:p w14:paraId="4F68211B"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35.3</w:t>
            </w:r>
          </w:p>
        </w:tc>
        <w:tc>
          <w:tcPr>
            <w:tcW w:w="1262" w:type="dxa"/>
          </w:tcPr>
          <w:p w14:paraId="68CAF0B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2.8</w:t>
            </w:r>
          </w:p>
        </w:tc>
      </w:tr>
      <w:tr w:rsidR="000A1090" w:rsidRPr="005B0796" w14:paraId="1708FC92"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A04D2A8"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66123EF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14:paraId="65064B9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14:paraId="3D8ED318"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16.1</w:t>
            </w:r>
          </w:p>
        </w:tc>
        <w:tc>
          <w:tcPr>
            <w:tcW w:w="1262" w:type="dxa"/>
          </w:tcPr>
          <w:p w14:paraId="2B45277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6.2</w:t>
            </w:r>
          </w:p>
        </w:tc>
      </w:tr>
      <w:tr w:rsidR="000A1090" w:rsidRPr="005B0796" w14:paraId="71620AE8" w14:textId="77777777" w:rsidTr="00220382">
        <w:tc>
          <w:tcPr>
            <w:tcW w:w="2268" w:type="dxa"/>
          </w:tcPr>
          <w:p w14:paraId="4ECE20D0"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54CDB91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14:paraId="7343301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9</w:t>
            </w:r>
          </w:p>
        </w:tc>
        <w:tc>
          <w:tcPr>
            <w:tcW w:w="1262" w:type="dxa"/>
          </w:tcPr>
          <w:p w14:paraId="73983EFD"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47.4</w:t>
            </w:r>
          </w:p>
        </w:tc>
        <w:tc>
          <w:tcPr>
            <w:tcW w:w="1262" w:type="dxa"/>
          </w:tcPr>
          <w:p w14:paraId="32B553F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2.1</w:t>
            </w:r>
          </w:p>
        </w:tc>
      </w:tr>
      <w:tr w:rsidR="000A1090" w:rsidRPr="005B0796" w14:paraId="59C89A5F"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94955A0"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14:paraId="6D66B1F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14:paraId="17C63E9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14:paraId="2B5B7255"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16.1</w:t>
            </w:r>
          </w:p>
        </w:tc>
        <w:tc>
          <w:tcPr>
            <w:tcW w:w="1262" w:type="dxa"/>
          </w:tcPr>
          <w:p w14:paraId="6E3DF40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6.2</w:t>
            </w:r>
          </w:p>
        </w:tc>
      </w:tr>
      <w:tr w:rsidR="000A1090" w:rsidRPr="005B0796" w14:paraId="0492894C" w14:textId="77777777" w:rsidTr="00220382">
        <w:tc>
          <w:tcPr>
            <w:tcW w:w="2268" w:type="dxa"/>
          </w:tcPr>
          <w:p w14:paraId="7FD70DE4" w14:textId="67A59631"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fit | Navy</w:t>
            </w:r>
          </w:p>
        </w:tc>
        <w:tc>
          <w:tcPr>
            <w:tcW w:w="1261" w:type="dxa"/>
          </w:tcPr>
          <w:p w14:paraId="783CECC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902</w:t>
            </w:r>
          </w:p>
        </w:tc>
        <w:tc>
          <w:tcPr>
            <w:tcW w:w="1262" w:type="dxa"/>
          </w:tcPr>
          <w:p w14:paraId="5455297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418</w:t>
            </w:r>
          </w:p>
        </w:tc>
        <w:tc>
          <w:tcPr>
            <w:tcW w:w="1262" w:type="dxa"/>
          </w:tcPr>
          <w:p w14:paraId="6223E470"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46.3</w:t>
            </w:r>
          </w:p>
        </w:tc>
        <w:tc>
          <w:tcPr>
            <w:tcW w:w="1262" w:type="dxa"/>
          </w:tcPr>
          <w:p w14:paraId="15FF775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2.2</w:t>
            </w:r>
          </w:p>
        </w:tc>
      </w:tr>
      <w:tr w:rsidR="000A1090" w:rsidRPr="005B0796" w14:paraId="1D1775EF"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04A9D4AC" w14:textId="567FB722"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fit | Army</w:t>
            </w:r>
          </w:p>
        </w:tc>
        <w:tc>
          <w:tcPr>
            <w:tcW w:w="1261" w:type="dxa"/>
          </w:tcPr>
          <w:p w14:paraId="0250767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1585</w:t>
            </w:r>
          </w:p>
        </w:tc>
        <w:tc>
          <w:tcPr>
            <w:tcW w:w="1262" w:type="dxa"/>
          </w:tcPr>
          <w:p w14:paraId="63DDA4F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723</w:t>
            </w:r>
          </w:p>
        </w:tc>
        <w:tc>
          <w:tcPr>
            <w:tcW w:w="1262" w:type="dxa"/>
          </w:tcPr>
          <w:p w14:paraId="490EB3F5"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45.6</w:t>
            </w:r>
          </w:p>
        </w:tc>
        <w:tc>
          <w:tcPr>
            <w:tcW w:w="1262" w:type="dxa"/>
          </w:tcPr>
          <w:p w14:paraId="541AA42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2.2</w:t>
            </w:r>
          </w:p>
        </w:tc>
      </w:tr>
      <w:tr w:rsidR="000A1090" w:rsidRPr="005B0796" w14:paraId="0F051184" w14:textId="77777777" w:rsidTr="00220382">
        <w:tc>
          <w:tcPr>
            <w:tcW w:w="2268" w:type="dxa"/>
          </w:tcPr>
          <w:p w14:paraId="2814138A" w14:textId="7CA16B50"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fit | Air Force</w:t>
            </w:r>
          </w:p>
        </w:tc>
        <w:tc>
          <w:tcPr>
            <w:tcW w:w="1261" w:type="dxa"/>
          </w:tcPr>
          <w:p w14:paraId="253E541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1428</w:t>
            </w:r>
          </w:p>
        </w:tc>
        <w:tc>
          <w:tcPr>
            <w:tcW w:w="1262" w:type="dxa"/>
          </w:tcPr>
          <w:p w14:paraId="632C268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596</w:t>
            </w:r>
          </w:p>
        </w:tc>
        <w:tc>
          <w:tcPr>
            <w:tcW w:w="1262" w:type="dxa"/>
          </w:tcPr>
          <w:p w14:paraId="2FD004A2"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41.7</w:t>
            </w:r>
          </w:p>
        </w:tc>
        <w:tc>
          <w:tcPr>
            <w:tcW w:w="1262" w:type="dxa"/>
          </w:tcPr>
          <w:p w14:paraId="5A4E75A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2.4</w:t>
            </w:r>
          </w:p>
        </w:tc>
      </w:tr>
      <w:tr w:rsidR="000A1090" w:rsidRPr="005B0796" w14:paraId="53DDD10F"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07DBA1C" w14:textId="579EE5B4"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unfit | Navy</w:t>
            </w:r>
          </w:p>
        </w:tc>
        <w:tc>
          <w:tcPr>
            <w:tcW w:w="1261" w:type="dxa"/>
          </w:tcPr>
          <w:p w14:paraId="0259B71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81</w:t>
            </w:r>
          </w:p>
        </w:tc>
        <w:tc>
          <w:tcPr>
            <w:tcW w:w="1262" w:type="dxa"/>
          </w:tcPr>
          <w:p w14:paraId="46D29F7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54</w:t>
            </w:r>
          </w:p>
        </w:tc>
        <w:tc>
          <w:tcPr>
            <w:tcW w:w="1262" w:type="dxa"/>
          </w:tcPr>
          <w:p w14:paraId="193B659B" w14:textId="77777777" w:rsidR="000A1090" w:rsidRPr="005B0796" w:rsidRDefault="000A1090" w:rsidP="00220382">
            <w:pPr>
              <w:pStyle w:val="TableText"/>
              <w:jc w:val="right"/>
              <w:rPr>
                <w:color w:val="000000" w:themeColor="text1"/>
              </w:rPr>
            </w:pPr>
            <w:r w:rsidRPr="005B0796">
              <w:rPr>
                <w:rFonts w:eastAsia="Times New Roman"/>
                <w:color w:val="000000" w:themeColor="text1"/>
              </w:rPr>
              <w:t>66.7</w:t>
            </w:r>
          </w:p>
        </w:tc>
        <w:tc>
          <w:tcPr>
            <w:tcW w:w="1262" w:type="dxa"/>
          </w:tcPr>
          <w:p w14:paraId="16B5B49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1.5</w:t>
            </w:r>
          </w:p>
        </w:tc>
      </w:tr>
      <w:tr w:rsidR="000A1090" w:rsidRPr="005B0796" w14:paraId="2E741BB9" w14:textId="77777777" w:rsidTr="00220382">
        <w:tc>
          <w:tcPr>
            <w:tcW w:w="2268" w:type="dxa"/>
          </w:tcPr>
          <w:p w14:paraId="7FA9FBDF" w14:textId="05DF1E29"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unfit | Army</w:t>
            </w:r>
          </w:p>
        </w:tc>
        <w:tc>
          <w:tcPr>
            <w:tcW w:w="1261" w:type="dxa"/>
          </w:tcPr>
          <w:p w14:paraId="3730888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153</w:t>
            </w:r>
          </w:p>
        </w:tc>
        <w:tc>
          <w:tcPr>
            <w:tcW w:w="1262" w:type="dxa"/>
          </w:tcPr>
          <w:p w14:paraId="5BF2A03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14:paraId="05FA7EBC"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49.0</w:t>
            </w:r>
          </w:p>
        </w:tc>
        <w:tc>
          <w:tcPr>
            <w:tcW w:w="1262" w:type="dxa"/>
          </w:tcPr>
          <w:p w14:paraId="75DCB0B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2.0</w:t>
            </w:r>
          </w:p>
        </w:tc>
      </w:tr>
      <w:tr w:rsidR="000A1090" w:rsidRPr="005B0796" w14:paraId="04227F6D"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758475F" w14:textId="5B94B05B"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3E4D16">
              <w:rPr>
                <w:rFonts w:eastAsia="Times New Roman"/>
                <w:color w:val="000000" w:themeColor="text1"/>
              </w:rPr>
              <w:t>fficer</w:t>
            </w:r>
            <w:r w:rsidRPr="005B0796">
              <w:rPr>
                <w:rFonts w:eastAsia="Times New Roman"/>
                <w:color w:val="000000" w:themeColor="text1"/>
              </w:rPr>
              <w:t xml:space="preserve"> | unfit | Air Force</w:t>
            </w:r>
          </w:p>
        </w:tc>
        <w:tc>
          <w:tcPr>
            <w:tcW w:w="1261" w:type="dxa"/>
          </w:tcPr>
          <w:p w14:paraId="50B6E61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117</w:t>
            </w:r>
          </w:p>
        </w:tc>
        <w:tc>
          <w:tcPr>
            <w:tcW w:w="1262" w:type="dxa"/>
          </w:tcPr>
          <w:p w14:paraId="13A5233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58</w:t>
            </w:r>
          </w:p>
        </w:tc>
        <w:tc>
          <w:tcPr>
            <w:tcW w:w="1262" w:type="dxa"/>
          </w:tcPr>
          <w:p w14:paraId="4144FDA6"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49.6</w:t>
            </w:r>
          </w:p>
        </w:tc>
        <w:tc>
          <w:tcPr>
            <w:tcW w:w="1262" w:type="dxa"/>
          </w:tcPr>
          <w:p w14:paraId="0EC3AF2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2.0</w:t>
            </w:r>
          </w:p>
        </w:tc>
      </w:tr>
      <w:tr w:rsidR="000A1090" w:rsidRPr="005B0796" w14:paraId="58A6CDE1" w14:textId="77777777" w:rsidTr="00220382">
        <w:tc>
          <w:tcPr>
            <w:tcW w:w="2268" w:type="dxa"/>
          </w:tcPr>
          <w:p w14:paraId="3A7F246E"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3AA573C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1386</w:t>
            </w:r>
          </w:p>
        </w:tc>
        <w:tc>
          <w:tcPr>
            <w:tcW w:w="1262" w:type="dxa"/>
          </w:tcPr>
          <w:p w14:paraId="7856FDF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522</w:t>
            </w:r>
          </w:p>
        </w:tc>
        <w:tc>
          <w:tcPr>
            <w:tcW w:w="1262" w:type="dxa"/>
          </w:tcPr>
          <w:p w14:paraId="3C58FB4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37.7</w:t>
            </w:r>
          </w:p>
        </w:tc>
        <w:tc>
          <w:tcPr>
            <w:tcW w:w="1262" w:type="dxa"/>
          </w:tcPr>
          <w:p w14:paraId="3CAD1FB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2.7</w:t>
            </w:r>
          </w:p>
        </w:tc>
      </w:tr>
      <w:tr w:rsidR="000A1090" w:rsidRPr="005B0796" w14:paraId="3E739E53"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2350A2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17D2623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2629</w:t>
            </w:r>
          </w:p>
        </w:tc>
        <w:tc>
          <w:tcPr>
            <w:tcW w:w="1262" w:type="dxa"/>
          </w:tcPr>
          <w:p w14:paraId="7D0EA3B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1037</w:t>
            </w:r>
          </w:p>
        </w:tc>
        <w:tc>
          <w:tcPr>
            <w:tcW w:w="1262" w:type="dxa"/>
          </w:tcPr>
          <w:p w14:paraId="35AC2F46"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39.4</w:t>
            </w:r>
          </w:p>
        </w:tc>
        <w:tc>
          <w:tcPr>
            <w:tcW w:w="1262" w:type="dxa"/>
          </w:tcPr>
          <w:p w14:paraId="299E717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2.6</w:t>
            </w:r>
          </w:p>
        </w:tc>
      </w:tr>
      <w:tr w:rsidR="000A1090" w:rsidRPr="005B0796" w14:paraId="6A617293" w14:textId="77777777" w:rsidTr="00220382">
        <w:tc>
          <w:tcPr>
            <w:tcW w:w="2268" w:type="dxa"/>
          </w:tcPr>
          <w:p w14:paraId="748DA38D"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78C84A6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2153</w:t>
            </w:r>
          </w:p>
        </w:tc>
        <w:tc>
          <w:tcPr>
            <w:tcW w:w="1262" w:type="dxa"/>
          </w:tcPr>
          <w:p w14:paraId="36DB977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789</w:t>
            </w:r>
          </w:p>
        </w:tc>
        <w:tc>
          <w:tcPr>
            <w:tcW w:w="1262" w:type="dxa"/>
          </w:tcPr>
          <w:p w14:paraId="214E19FB"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36.6</w:t>
            </w:r>
          </w:p>
        </w:tc>
        <w:tc>
          <w:tcPr>
            <w:tcW w:w="1262" w:type="dxa"/>
          </w:tcPr>
          <w:p w14:paraId="4C4767A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2.7</w:t>
            </w:r>
          </w:p>
        </w:tc>
      </w:tr>
      <w:tr w:rsidR="000A1090" w:rsidRPr="005B0796" w14:paraId="7451E831"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7754E9D"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2A55B561" w14:textId="77777777" w:rsidR="000A1090" w:rsidRPr="005B0796" w:rsidRDefault="000A1090" w:rsidP="00220382">
            <w:pPr>
              <w:pStyle w:val="TableText"/>
              <w:jc w:val="right"/>
              <w:rPr>
                <w:rFonts w:eastAsia="Times New Roman"/>
                <w:color w:val="000000" w:themeColor="text1"/>
                <w:lang w:eastAsia="en-GB"/>
              </w:rPr>
            </w:pPr>
            <w:r w:rsidRPr="005B0796">
              <w:rPr>
                <w:rFonts w:eastAsia="Times New Roman"/>
                <w:color w:val="000000" w:themeColor="text1"/>
              </w:rPr>
              <w:t>214</w:t>
            </w:r>
          </w:p>
        </w:tc>
        <w:tc>
          <w:tcPr>
            <w:tcW w:w="1262" w:type="dxa"/>
          </w:tcPr>
          <w:p w14:paraId="351C03A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96</w:t>
            </w:r>
          </w:p>
        </w:tc>
        <w:tc>
          <w:tcPr>
            <w:tcW w:w="1262" w:type="dxa"/>
          </w:tcPr>
          <w:p w14:paraId="0EC43CF0"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44.9</w:t>
            </w:r>
          </w:p>
        </w:tc>
        <w:tc>
          <w:tcPr>
            <w:tcW w:w="1262" w:type="dxa"/>
          </w:tcPr>
          <w:p w14:paraId="196289E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2.2</w:t>
            </w:r>
          </w:p>
        </w:tc>
      </w:tr>
      <w:tr w:rsidR="000A1090" w:rsidRPr="005B0796" w14:paraId="48A0A754" w14:textId="77777777" w:rsidTr="00220382">
        <w:tc>
          <w:tcPr>
            <w:tcW w:w="2268" w:type="dxa"/>
          </w:tcPr>
          <w:p w14:paraId="0545884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5788E12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503</w:t>
            </w:r>
          </w:p>
        </w:tc>
        <w:tc>
          <w:tcPr>
            <w:tcW w:w="1262" w:type="dxa"/>
          </w:tcPr>
          <w:p w14:paraId="39338B1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244</w:t>
            </w:r>
          </w:p>
        </w:tc>
        <w:tc>
          <w:tcPr>
            <w:tcW w:w="1262" w:type="dxa"/>
          </w:tcPr>
          <w:p w14:paraId="096AA721"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48.5</w:t>
            </w:r>
          </w:p>
        </w:tc>
        <w:tc>
          <w:tcPr>
            <w:tcW w:w="1262" w:type="dxa"/>
          </w:tcPr>
          <w:p w14:paraId="5B9A46F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2.1</w:t>
            </w:r>
          </w:p>
        </w:tc>
      </w:tr>
      <w:tr w:rsidR="000A1090" w:rsidRPr="005B0796" w14:paraId="0A26B716"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6400D3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7246FC2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309</w:t>
            </w:r>
          </w:p>
        </w:tc>
        <w:tc>
          <w:tcPr>
            <w:tcW w:w="1262" w:type="dxa"/>
          </w:tcPr>
          <w:p w14:paraId="284508F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130</w:t>
            </w:r>
          </w:p>
        </w:tc>
        <w:tc>
          <w:tcPr>
            <w:tcW w:w="1262" w:type="dxa"/>
          </w:tcPr>
          <w:p w14:paraId="7B76A60D" w14:textId="77777777" w:rsidR="000A1090" w:rsidRPr="005B0796" w:rsidRDefault="000A1090" w:rsidP="00220382">
            <w:pPr>
              <w:pStyle w:val="TableText"/>
              <w:jc w:val="right"/>
              <w:rPr>
                <w:color w:val="000000" w:themeColor="text1"/>
              </w:rPr>
            </w:pPr>
            <w:r w:rsidRPr="005B0796">
              <w:rPr>
                <w:rFonts w:eastAsia="Times New Roman"/>
                <w:color w:val="000000" w:themeColor="text1"/>
              </w:rPr>
              <w:t>42.1</w:t>
            </w:r>
          </w:p>
        </w:tc>
        <w:tc>
          <w:tcPr>
            <w:tcW w:w="1262" w:type="dxa"/>
          </w:tcPr>
          <w:p w14:paraId="11CD404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2.4</w:t>
            </w:r>
          </w:p>
        </w:tc>
      </w:tr>
      <w:tr w:rsidR="000A1090" w:rsidRPr="005B0796" w14:paraId="64EC0FD9" w14:textId="77777777" w:rsidTr="00220382">
        <w:tc>
          <w:tcPr>
            <w:tcW w:w="2268" w:type="dxa"/>
          </w:tcPr>
          <w:p w14:paraId="0A4A86A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681DAA2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176</w:t>
            </w:r>
          </w:p>
        </w:tc>
        <w:tc>
          <w:tcPr>
            <w:tcW w:w="1262" w:type="dxa"/>
          </w:tcPr>
          <w:p w14:paraId="5516B945"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46</w:t>
            </w:r>
          </w:p>
        </w:tc>
        <w:tc>
          <w:tcPr>
            <w:tcW w:w="1262" w:type="dxa"/>
          </w:tcPr>
          <w:p w14:paraId="63CE70FE"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26.1</w:t>
            </w:r>
          </w:p>
        </w:tc>
        <w:tc>
          <w:tcPr>
            <w:tcW w:w="1262" w:type="dxa"/>
          </w:tcPr>
          <w:p w14:paraId="01D1B3D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3.8</w:t>
            </w:r>
          </w:p>
        </w:tc>
      </w:tr>
      <w:tr w:rsidR="000A1090" w:rsidRPr="005B0796" w14:paraId="555A2595"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4F28D72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6CD272B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433</w:t>
            </w:r>
          </w:p>
        </w:tc>
        <w:tc>
          <w:tcPr>
            <w:tcW w:w="1262" w:type="dxa"/>
          </w:tcPr>
          <w:p w14:paraId="6087D33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57</w:t>
            </w:r>
          </w:p>
        </w:tc>
        <w:tc>
          <w:tcPr>
            <w:tcW w:w="1262" w:type="dxa"/>
          </w:tcPr>
          <w:p w14:paraId="55BF8F45"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13.2</w:t>
            </w:r>
          </w:p>
        </w:tc>
        <w:tc>
          <w:tcPr>
            <w:tcW w:w="1262" w:type="dxa"/>
          </w:tcPr>
          <w:p w14:paraId="30E8282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7.6</w:t>
            </w:r>
          </w:p>
        </w:tc>
      </w:tr>
      <w:tr w:rsidR="000A1090" w:rsidRPr="005B0796" w14:paraId="55D98841" w14:textId="77777777" w:rsidTr="00220382">
        <w:tc>
          <w:tcPr>
            <w:tcW w:w="2268" w:type="dxa"/>
          </w:tcPr>
          <w:p w14:paraId="7E6099CB"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5AF90AB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320</w:t>
            </w:r>
          </w:p>
        </w:tc>
        <w:tc>
          <w:tcPr>
            <w:tcW w:w="1262" w:type="dxa"/>
          </w:tcPr>
          <w:p w14:paraId="1F1BEB3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14:paraId="0D1B5854"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23.4</w:t>
            </w:r>
          </w:p>
        </w:tc>
        <w:tc>
          <w:tcPr>
            <w:tcW w:w="1262" w:type="dxa"/>
          </w:tcPr>
          <w:p w14:paraId="6D183C9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4.3</w:t>
            </w:r>
          </w:p>
        </w:tc>
      </w:tr>
      <w:tr w:rsidR="000A1090" w:rsidRPr="005B0796" w14:paraId="6AAEF39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54D1B54" w14:textId="5CC782B3"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Navy</w:t>
            </w:r>
          </w:p>
        </w:tc>
        <w:tc>
          <w:tcPr>
            <w:tcW w:w="1261" w:type="dxa"/>
          </w:tcPr>
          <w:p w14:paraId="4A1E26B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39</w:t>
            </w:r>
          </w:p>
        </w:tc>
        <w:tc>
          <w:tcPr>
            <w:tcW w:w="1262" w:type="dxa"/>
          </w:tcPr>
          <w:p w14:paraId="01BFA24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11</w:t>
            </w:r>
          </w:p>
        </w:tc>
        <w:tc>
          <w:tcPr>
            <w:tcW w:w="1262" w:type="dxa"/>
          </w:tcPr>
          <w:p w14:paraId="2FC1644C"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28.2</w:t>
            </w:r>
          </w:p>
        </w:tc>
        <w:tc>
          <w:tcPr>
            <w:tcW w:w="1262" w:type="dxa"/>
          </w:tcPr>
          <w:p w14:paraId="29317DA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3.5</w:t>
            </w:r>
          </w:p>
        </w:tc>
      </w:tr>
      <w:tr w:rsidR="000A1090" w:rsidRPr="005B0796" w14:paraId="39A89F58" w14:textId="77777777" w:rsidTr="00220382">
        <w:tc>
          <w:tcPr>
            <w:tcW w:w="2268" w:type="dxa"/>
          </w:tcPr>
          <w:p w14:paraId="54C3EC5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7B4E31B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14:paraId="01D7676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14:paraId="3FA7579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23.8</w:t>
            </w:r>
          </w:p>
        </w:tc>
        <w:tc>
          <w:tcPr>
            <w:tcW w:w="1262" w:type="dxa"/>
          </w:tcPr>
          <w:p w14:paraId="11D87FB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4.2</w:t>
            </w:r>
          </w:p>
        </w:tc>
      </w:tr>
      <w:tr w:rsidR="000A1090" w:rsidRPr="005B0796" w14:paraId="57E3209E"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4F5C338" w14:textId="031798AA"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 xml:space="preserve">Male | Other </w:t>
            </w:r>
            <w:r w:rsidR="003E4D16">
              <w:rPr>
                <w:rFonts w:eastAsia="Times New Roman"/>
                <w:color w:val="000000" w:themeColor="text1"/>
              </w:rPr>
              <w:t xml:space="preserve">Rank </w:t>
            </w:r>
            <w:r w:rsidRPr="005B0796">
              <w:rPr>
                <w:rFonts w:eastAsia="Times New Roman"/>
                <w:color w:val="000000" w:themeColor="text1"/>
              </w:rPr>
              <w:t>| unfit | Air Force</w:t>
            </w:r>
          </w:p>
        </w:tc>
        <w:tc>
          <w:tcPr>
            <w:tcW w:w="1261" w:type="dxa"/>
          </w:tcPr>
          <w:p w14:paraId="334F036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43</w:t>
            </w:r>
          </w:p>
        </w:tc>
        <w:tc>
          <w:tcPr>
            <w:tcW w:w="1262" w:type="dxa"/>
          </w:tcPr>
          <w:p w14:paraId="79433C65"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13</w:t>
            </w:r>
          </w:p>
        </w:tc>
        <w:tc>
          <w:tcPr>
            <w:tcW w:w="1262" w:type="dxa"/>
          </w:tcPr>
          <w:p w14:paraId="2370D9B1"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30.2</w:t>
            </w:r>
          </w:p>
        </w:tc>
        <w:tc>
          <w:tcPr>
            <w:tcW w:w="1262" w:type="dxa"/>
          </w:tcPr>
          <w:p w14:paraId="3B5C1D7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3.3</w:t>
            </w:r>
          </w:p>
        </w:tc>
      </w:tr>
    </w:tbl>
    <w:p w14:paraId="3F6724B1" w14:textId="0682A383" w:rsidR="000A1090" w:rsidRPr="005B0796" w:rsidRDefault="003E4D16" w:rsidP="000A1090">
      <w:pPr>
        <w:pStyle w:val="TableNotes"/>
      </w:pPr>
      <w:r>
        <w:t>NCO = Non-Commissioned Officer</w:t>
      </w:r>
    </w:p>
    <w:p w14:paraId="72F7653A" w14:textId="6FB448D9" w:rsidR="000A1090" w:rsidRPr="005B0796" w:rsidRDefault="000A1090" w:rsidP="000A1090">
      <w:pPr>
        <w:pStyle w:val="TableName"/>
      </w:pPr>
      <w:bookmarkStart w:id="677" w:name="_Toc511900514"/>
      <w:bookmarkStart w:id="678" w:name="_Toc532473628"/>
      <w:r w:rsidRPr="005B0796">
        <w:t xml:space="preserve">Table </w:t>
      </w:r>
      <w:r>
        <w:t>A.10</w:t>
      </w:r>
      <w:r>
        <w:tab/>
        <w:t>Strata description</w:t>
      </w:r>
      <w:r w:rsidR="007D4D7B">
        <w:t xml:space="preserve"> – </w:t>
      </w:r>
      <w:r>
        <w:t>n</w:t>
      </w:r>
      <w:r w:rsidRPr="005B0796">
        <w:t>on-MiLHOP Regular ADF</w:t>
      </w:r>
      <w:bookmarkEnd w:id="677"/>
      <w:bookmarkEnd w:id="678"/>
    </w:p>
    <w:tbl>
      <w:tblPr>
        <w:tblStyle w:val="TWRPTable"/>
        <w:tblW w:w="5000" w:type="pct"/>
        <w:tblLayout w:type="fixed"/>
        <w:tblLook w:val="04A0" w:firstRow="1" w:lastRow="0" w:firstColumn="1" w:lastColumn="0" w:noHBand="0" w:noVBand="1"/>
        <w:tblDescription w:val="Table A.10 Strata description – non-MiLHOP Regular ADF"/>
      </w:tblPr>
      <w:tblGrid>
        <w:gridCol w:w="2268"/>
        <w:gridCol w:w="1261"/>
        <w:gridCol w:w="1262"/>
        <w:gridCol w:w="1262"/>
        <w:gridCol w:w="1262"/>
      </w:tblGrid>
      <w:tr w:rsidR="000A1090" w:rsidRPr="005B0796" w14:paraId="49D39BB3"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17F3547D" w14:textId="77777777" w:rsidR="000A1090" w:rsidRPr="005B0796" w:rsidRDefault="000A1090" w:rsidP="00220382">
            <w:pPr>
              <w:pStyle w:val="TableText"/>
            </w:pPr>
            <w:r w:rsidRPr="005B0796">
              <w:t>Strata</w:t>
            </w:r>
          </w:p>
          <w:p w14:paraId="6CFD00F8" w14:textId="77777777" w:rsidR="000A1090" w:rsidRPr="005B0796" w:rsidRDefault="000A1090" w:rsidP="00220382">
            <w:pPr>
              <w:pStyle w:val="TableText"/>
            </w:pPr>
            <w:r w:rsidRPr="005B0796">
              <w:rPr>
                <w:rFonts w:eastAsia="Times New Roman"/>
              </w:rPr>
              <w:t>Sex | Rank | Medical fitness | Service</w:t>
            </w:r>
          </w:p>
        </w:tc>
        <w:tc>
          <w:tcPr>
            <w:tcW w:w="5047" w:type="dxa"/>
            <w:gridSpan w:val="4"/>
          </w:tcPr>
          <w:p w14:paraId="411B27D3" w14:textId="77777777" w:rsidR="000A1090" w:rsidRPr="005B0796" w:rsidRDefault="000A1090" w:rsidP="00220382">
            <w:pPr>
              <w:pStyle w:val="TableText"/>
              <w:jc w:val="center"/>
            </w:pPr>
            <w:r w:rsidRPr="005B0796">
              <w:rPr>
                <w:color w:val="000000" w:themeColor="text1"/>
              </w:rPr>
              <w:t>2015 Regular ADF</w:t>
            </w:r>
          </w:p>
        </w:tc>
      </w:tr>
      <w:tr w:rsidR="000A1090" w:rsidRPr="005B0796" w14:paraId="2E5F2F5C"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5608F7E5" w14:textId="77777777" w:rsidR="000A1090" w:rsidRPr="005B0796" w:rsidRDefault="000A1090" w:rsidP="00220382">
            <w:pPr>
              <w:pStyle w:val="TableText"/>
            </w:pPr>
          </w:p>
        </w:tc>
        <w:tc>
          <w:tcPr>
            <w:tcW w:w="1261" w:type="dxa"/>
          </w:tcPr>
          <w:p w14:paraId="311AEC2D" w14:textId="77777777" w:rsidR="000A1090" w:rsidRPr="005B0796" w:rsidRDefault="000A1090" w:rsidP="00220382">
            <w:pPr>
              <w:pStyle w:val="TableText"/>
              <w:jc w:val="right"/>
            </w:pPr>
            <w:r w:rsidRPr="005B0796">
              <w:rPr>
                <w:rFonts w:eastAsia="Times New Roman"/>
              </w:rPr>
              <w:t>Population</w:t>
            </w:r>
          </w:p>
        </w:tc>
        <w:tc>
          <w:tcPr>
            <w:tcW w:w="1262" w:type="dxa"/>
          </w:tcPr>
          <w:p w14:paraId="70E347F9" w14:textId="04F8CB4D" w:rsidR="000A1090" w:rsidRPr="005B0796" w:rsidRDefault="000A1090" w:rsidP="00220382">
            <w:pPr>
              <w:pStyle w:val="TableText"/>
              <w:jc w:val="right"/>
            </w:pPr>
            <w:r w:rsidRPr="005B0796">
              <w:rPr>
                <w:rFonts w:eastAsia="Times New Roman"/>
              </w:rPr>
              <w:t>Responder</w:t>
            </w:r>
            <w:r w:rsidR="007D4D7B">
              <w:rPr>
                <w:rFonts w:eastAsia="Times New Roman"/>
              </w:rPr>
              <w:t>s</w:t>
            </w:r>
          </w:p>
        </w:tc>
        <w:tc>
          <w:tcPr>
            <w:tcW w:w="1262" w:type="dxa"/>
          </w:tcPr>
          <w:p w14:paraId="5A4CFC30" w14:textId="77777777" w:rsidR="000A1090" w:rsidRPr="005B0796" w:rsidRDefault="000A1090" w:rsidP="00220382">
            <w:pPr>
              <w:pStyle w:val="TableText"/>
              <w:jc w:val="right"/>
            </w:pPr>
            <w:r w:rsidRPr="005B0796">
              <w:rPr>
                <w:rFonts w:eastAsia="Times New Roman"/>
              </w:rPr>
              <w:t>%</w:t>
            </w:r>
          </w:p>
        </w:tc>
        <w:tc>
          <w:tcPr>
            <w:tcW w:w="1262" w:type="dxa"/>
          </w:tcPr>
          <w:p w14:paraId="5673AA75" w14:textId="77777777" w:rsidR="000A1090" w:rsidRPr="005B0796" w:rsidRDefault="000A1090" w:rsidP="00220382">
            <w:pPr>
              <w:pStyle w:val="TableText"/>
              <w:jc w:val="right"/>
            </w:pPr>
            <w:r w:rsidRPr="005B0796">
              <w:t>No. of persons in population each responder represents</w:t>
            </w:r>
          </w:p>
        </w:tc>
      </w:tr>
      <w:tr w:rsidR="000A1090" w:rsidRPr="005B0796" w14:paraId="2F476B8C"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4A8A2A2" w14:textId="77777777" w:rsidR="000A1090" w:rsidRPr="005B0796" w:rsidRDefault="000A1090" w:rsidP="00220382">
            <w:pPr>
              <w:pStyle w:val="TableText"/>
              <w:rPr>
                <w:rFonts w:eastAsia="Times New Roman"/>
                <w:b/>
              </w:rPr>
            </w:pPr>
            <w:r w:rsidRPr="005B0796">
              <w:rPr>
                <w:rFonts w:eastAsia="Times New Roman"/>
                <w:b/>
              </w:rPr>
              <w:t>Non-MilHOP</w:t>
            </w:r>
          </w:p>
        </w:tc>
        <w:tc>
          <w:tcPr>
            <w:tcW w:w="1261" w:type="dxa"/>
          </w:tcPr>
          <w:p w14:paraId="2473DBE6" w14:textId="77777777" w:rsidR="000A1090" w:rsidRPr="005B0796" w:rsidRDefault="000A1090" w:rsidP="00220382">
            <w:pPr>
              <w:pStyle w:val="TableText"/>
              <w:jc w:val="right"/>
              <w:rPr>
                <w:rFonts w:eastAsia="Times New Roman"/>
              </w:rPr>
            </w:pPr>
          </w:p>
        </w:tc>
        <w:tc>
          <w:tcPr>
            <w:tcW w:w="1262" w:type="dxa"/>
          </w:tcPr>
          <w:p w14:paraId="0BC7BF21" w14:textId="77777777" w:rsidR="000A1090" w:rsidRPr="005B0796" w:rsidRDefault="000A1090" w:rsidP="00220382">
            <w:pPr>
              <w:pStyle w:val="TableText"/>
              <w:jc w:val="right"/>
              <w:rPr>
                <w:rFonts w:eastAsia="Times New Roman"/>
              </w:rPr>
            </w:pPr>
          </w:p>
        </w:tc>
        <w:tc>
          <w:tcPr>
            <w:tcW w:w="1262" w:type="dxa"/>
          </w:tcPr>
          <w:p w14:paraId="08FC0DCA" w14:textId="77777777" w:rsidR="000A1090" w:rsidRPr="005B0796" w:rsidRDefault="000A1090" w:rsidP="00220382">
            <w:pPr>
              <w:pStyle w:val="TableText"/>
              <w:jc w:val="right"/>
              <w:rPr>
                <w:rFonts w:eastAsia="Times New Roman"/>
              </w:rPr>
            </w:pPr>
          </w:p>
        </w:tc>
        <w:tc>
          <w:tcPr>
            <w:tcW w:w="1262" w:type="dxa"/>
          </w:tcPr>
          <w:p w14:paraId="48A9A5B8" w14:textId="77777777" w:rsidR="000A1090" w:rsidRPr="005B0796" w:rsidRDefault="000A1090" w:rsidP="00220382">
            <w:pPr>
              <w:pStyle w:val="TableText"/>
              <w:jc w:val="right"/>
              <w:rPr>
                <w:rFonts w:eastAsia="Times New Roman"/>
              </w:rPr>
            </w:pPr>
          </w:p>
        </w:tc>
      </w:tr>
      <w:tr w:rsidR="000A1090" w:rsidRPr="005B0796" w14:paraId="57D33AE9" w14:textId="77777777" w:rsidTr="00220382">
        <w:tc>
          <w:tcPr>
            <w:tcW w:w="2268" w:type="dxa"/>
          </w:tcPr>
          <w:p w14:paraId="61F59C52" w14:textId="17B7D479"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fit | Navy</w:t>
            </w:r>
          </w:p>
        </w:tc>
        <w:tc>
          <w:tcPr>
            <w:tcW w:w="1261" w:type="dxa"/>
          </w:tcPr>
          <w:p w14:paraId="267AD40D" w14:textId="77777777" w:rsidR="000A1090" w:rsidRPr="005B0796" w:rsidRDefault="000A1090" w:rsidP="00220382">
            <w:pPr>
              <w:pStyle w:val="TableText"/>
              <w:jc w:val="right"/>
              <w:rPr>
                <w:rFonts w:eastAsia="Times New Roman"/>
              </w:rPr>
            </w:pPr>
            <w:r w:rsidRPr="005B0796">
              <w:rPr>
                <w:rFonts w:eastAsia="Times New Roman"/>
              </w:rPr>
              <w:t>305</w:t>
            </w:r>
          </w:p>
        </w:tc>
        <w:tc>
          <w:tcPr>
            <w:tcW w:w="1262" w:type="dxa"/>
          </w:tcPr>
          <w:p w14:paraId="5125BD87" w14:textId="77777777" w:rsidR="000A1090" w:rsidRPr="005B0796" w:rsidRDefault="000A1090" w:rsidP="00220382">
            <w:pPr>
              <w:pStyle w:val="TableText"/>
              <w:jc w:val="right"/>
              <w:rPr>
                <w:rFonts w:eastAsia="Times New Roman"/>
              </w:rPr>
            </w:pPr>
            <w:r w:rsidRPr="005B0796">
              <w:rPr>
                <w:rFonts w:eastAsia="Times New Roman"/>
              </w:rPr>
              <w:t>114</w:t>
            </w:r>
          </w:p>
        </w:tc>
        <w:tc>
          <w:tcPr>
            <w:tcW w:w="1262" w:type="dxa"/>
          </w:tcPr>
          <w:p w14:paraId="2FE4D6D6" w14:textId="77777777" w:rsidR="000A1090" w:rsidRPr="005B0796" w:rsidRDefault="000A1090" w:rsidP="00220382">
            <w:pPr>
              <w:pStyle w:val="TableText"/>
              <w:jc w:val="right"/>
            </w:pPr>
            <w:r w:rsidRPr="005B0796">
              <w:rPr>
                <w:rFonts w:eastAsia="Times New Roman"/>
              </w:rPr>
              <w:t>37.4</w:t>
            </w:r>
          </w:p>
        </w:tc>
        <w:tc>
          <w:tcPr>
            <w:tcW w:w="1262" w:type="dxa"/>
          </w:tcPr>
          <w:p w14:paraId="79128DB4" w14:textId="77777777" w:rsidR="000A1090" w:rsidRPr="005B0796" w:rsidRDefault="000A1090" w:rsidP="00220382">
            <w:pPr>
              <w:pStyle w:val="TableText"/>
              <w:jc w:val="right"/>
              <w:rPr>
                <w:rFonts w:eastAsia="Times New Roman"/>
              </w:rPr>
            </w:pPr>
            <w:r w:rsidRPr="005B0796">
              <w:rPr>
                <w:rFonts w:eastAsia="Times New Roman"/>
              </w:rPr>
              <w:t>2.7</w:t>
            </w:r>
          </w:p>
        </w:tc>
      </w:tr>
      <w:tr w:rsidR="000A1090" w:rsidRPr="005B0796" w14:paraId="3052500C"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D87D4AF" w14:textId="025EE294" w:rsidR="000A1090" w:rsidRPr="005B0796" w:rsidRDefault="000A1090" w:rsidP="00220382">
            <w:pPr>
              <w:pStyle w:val="TableText"/>
              <w:rPr>
                <w:rFonts w:eastAsia="Times New Roman"/>
                <w:lang w:eastAsia="en-GB"/>
              </w:rPr>
            </w:pPr>
            <w:r w:rsidRPr="005B0796">
              <w:rPr>
                <w:rFonts w:eastAsia="Times New Roman"/>
              </w:rPr>
              <w:t>Female | O</w:t>
            </w:r>
            <w:r w:rsidR="002C1B09">
              <w:rPr>
                <w:rFonts w:eastAsia="Times New Roman"/>
              </w:rPr>
              <w:t>fficer</w:t>
            </w:r>
            <w:r w:rsidRPr="005B0796">
              <w:rPr>
                <w:rFonts w:eastAsia="Times New Roman"/>
              </w:rPr>
              <w:t xml:space="preserve"> | fit | Army</w:t>
            </w:r>
          </w:p>
        </w:tc>
        <w:tc>
          <w:tcPr>
            <w:tcW w:w="1261" w:type="dxa"/>
          </w:tcPr>
          <w:p w14:paraId="3EF727D3" w14:textId="77777777" w:rsidR="000A1090" w:rsidRPr="005B0796" w:rsidRDefault="000A1090" w:rsidP="00220382">
            <w:pPr>
              <w:pStyle w:val="TableText"/>
              <w:jc w:val="right"/>
              <w:rPr>
                <w:rFonts w:eastAsia="Times New Roman"/>
                <w:lang w:eastAsia="en-GB"/>
              </w:rPr>
            </w:pPr>
            <w:r w:rsidRPr="005B0796">
              <w:rPr>
                <w:rFonts w:eastAsia="Times New Roman"/>
              </w:rPr>
              <w:t>374</w:t>
            </w:r>
          </w:p>
        </w:tc>
        <w:tc>
          <w:tcPr>
            <w:tcW w:w="1262" w:type="dxa"/>
          </w:tcPr>
          <w:p w14:paraId="2ABF92DC" w14:textId="77777777" w:rsidR="000A1090" w:rsidRPr="005B0796" w:rsidRDefault="000A1090" w:rsidP="00220382">
            <w:pPr>
              <w:pStyle w:val="TableText"/>
              <w:jc w:val="right"/>
              <w:rPr>
                <w:rFonts w:eastAsia="Times New Roman"/>
              </w:rPr>
            </w:pPr>
            <w:r w:rsidRPr="005B0796">
              <w:rPr>
                <w:rFonts w:eastAsia="Times New Roman"/>
              </w:rPr>
              <w:t>112</w:t>
            </w:r>
          </w:p>
        </w:tc>
        <w:tc>
          <w:tcPr>
            <w:tcW w:w="1262" w:type="dxa"/>
          </w:tcPr>
          <w:p w14:paraId="1271C729" w14:textId="77777777" w:rsidR="000A1090" w:rsidRPr="005B0796" w:rsidRDefault="000A1090" w:rsidP="00220382">
            <w:pPr>
              <w:pStyle w:val="TableText"/>
              <w:jc w:val="right"/>
            </w:pPr>
            <w:r w:rsidRPr="005B0796">
              <w:rPr>
                <w:rFonts w:eastAsia="Times New Roman"/>
              </w:rPr>
              <w:t xml:space="preserve"> 29.9</w:t>
            </w:r>
          </w:p>
        </w:tc>
        <w:tc>
          <w:tcPr>
            <w:tcW w:w="1262" w:type="dxa"/>
          </w:tcPr>
          <w:p w14:paraId="31F21D14" w14:textId="5954384C" w:rsidR="000A1090" w:rsidRPr="005B0796" w:rsidRDefault="000A1090" w:rsidP="00220382">
            <w:pPr>
              <w:pStyle w:val="TableText"/>
              <w:jc w:val="right"/>
              <w:rPr>
                <w:rFonts w:eastAsia="Times New Roman"/>
              </w:rPr>
            </w:pPr>
            <w:r w:rsidRPr="005B0796">
              <w:rPr>
                <w:rFonts w:eastAsia="Times New Roman"/>
              </w:rPr>
              <w:t>3.3</w:t>
            </w:r>
          </w:p>
        </w:tc>
      </w:tr>
      <w:tr w:rsidR="000A1090" w:rsidRPr="005B0796" w14:paraId="74851FF4" w14:textId="77777777" w:rsidTr="00220382">
        <w:tc>
          <w:tcPr>
            <w:tcW w:w="2268" w:type="dxa"/>
          </w:tcPr>
          <w:p w14:paraId="60D5B6A5" w14:textId="0D26F939"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fit | Air Force</w:t>
            </w:r>
          </w:p>
        </w:tc>
        <w:tc>
          <w:tcPr>
            <w:tcW w:w="1261" w:type="dxa"/>
          </w:tcPr>
          <w:p w14:paraId="01CCD36D" w14:textId="77777777" w:rsidR="000A1090" w:rsidRPr="005B0796" w:rsidRDefault="000A1090" w:rsidP="00220382">
            <w:pPr>
              <w:pStyle w:val="TableText"/>
              <w:jc w:val="right"/>
              <w:rPr>
                <w:rFonts w:eastAsia="Times New Roman"/>
              </w:rPr>
            </w:pPr>
            <w:r w:rsidRPr="005B0796">
              <w:rPr>
                <w:rFonts w:eastAsia="Times New Roman"/>
              </w:rPr>
              <w:t>406</w:t>
            </w:r>
          </w:p>
        </w:tc>
        <w:tc>
          <w:tcPr>
            <w:tcW w:w="1262" w:type="dxa"/>
          </w:tcPr>
          <w:p w14:paraId="29D7BD43" w14:textId="77777777" w:rsidR="000A1090" w:rsidRPr="005B0796" w:rsidRDefault="000A1090" w:rsidP="00220382">
            <w:pPr>
              <w:pStyle w:val="TableText"/>
              <w:jc w:val="right"/>
              <w:rPr>
                <w:rFonts w:eastAsia="Times New Roman"/>
              </w:rPr>
            </w:pPr>
            <w:r w:rsidRPr="005B0796">
              <w:rPr>
                <w:rFonts w:eastAsia="Times New Roman"/>
              </w:rPr>
              <w:t>139</w:t>
            </w:r>
          </w:p>
        </w:tc>
        <w:tc>
          <w:tcPr>
            <w:tcW w:w="1262" w:type="dxa"/>
          </w:tcPr>
          <w:p w14:paraId="548483D0" w14:textId="77777777" w:rsidR="000A1090" w:rsidRPr="005B0796" w:rsidRDefault="000A1090" w:rsidP="00220382">
            <w:pPr>
              <w:pStyle w:val="TableText"/>
              <w:jc w:val="right"/>
            </w:pPr>
            <w:r w:rsidRPr="005B0796">
              <w:rPr>
                <w:rFonts w:eastAsia="Times New Roman"/>
              </w:rPr>
              <w:t>34.2</w:t>
            </w:r>
          </w:p>
        </w:tc>
        <w:tc>
          <w:tcPr>
            <w:tcW w:w="1262" w:type="dxa"/>
          </w:tcPr>
          <w:p w14:paraId="7AC1B68C" w14:textId="77777777" w:rsidR="000A1090" w:rsidRPr="005B0796" w:rsidRDefault="000A1090" w:rsidP="00220382">
            <w:pPr>
              <w:pStyle w:val="TableText"/>
              <w:jc w:val="right"/>
              <w:rPr>
                <w:rFonts w:eastAsia="Times New Roman"/>
              </w:rPr>
            </w:pPr>
            <w:r w:rsidRPr="005B0796">
              <w:rPr>
                <w:rFonts w:eastAsia="Times New Roman"/>
              </w:rPr>
              <w:t>2.9</w:t>
            </w:r>
          </w:p>
        </w:tc>
      </w:tr>
      <w:tr w:rsidR="000A1090" w:rsidRPr="005B0796" w14:paraId="00FBA34C"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227C0AA" w14:textId="2B33AEB1"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Navy</w:t>
            </w:r>
          </w:p>
        </w:tc>
        <w:tc>
          <w:tcPr>
            <w:tcW w:w="1261" w:type="dxa"/>
          </w:tcPr>
          <w:p w14:paraId="3A16F853" w14:textId="77777777" w:rsidR="000A1090" w:rsidRPr="005B0796" w:rsidRDefault="000A1090" w:rsidP="00220382">
            <w:pPr>
              <w:pStyle w:val="TableText"/>
              <w:jc w:val="right"/>
              <w:rPr>
                <w:rFonts w:eastAsia="Times New Roman"/>
              </w:rPr>
            </w:pPr>
            <w:r w:rsidRPr="005B0796">
              <w:rPr>
                <w:rFonts w:eastAsia="Times New Roman"/>
              </w:rPr>
              <w:t>66</w:t>
            </w:r>
          </w:p>
        </w:tc>
        <w:tc>
          <w:tcPr>
            <w:tcW w:w="1262" w:type="dxa"/>
          </w:tcPr>
          <w:p w14:paraId="1E415555" w14:textId="77777777" w:rsidR="000A1090" w:rsidRPr="005B0796" w:rsidRDefault="000A1090" w:rsidP="00220382">
            <w:pPr>
              <w:pStyle w:val="TableText"/>
              <w:jc w:val="right"/>
              <w:rPr>
                <w:rFonts w:eastAsia="Times New Roman"/>
              </w:rPr>
            </w:pPr>
            <w:r w:rsidRPr="005B0796">
              <w:rPr>
                <w:rFonts w:eastAsia="Times New Roman"/>
              </w:rPr>
              <w:t>23</w:t>
            </w:r>
          </w:p>
        </w:tc>
        <w:tc>
          <w:tcPr>
            <w:tcW w:w="1262" w:type="dxa"/>
          </w:tcPr>
          <w:p w14:paraId="4B7354CD" w14:textId="77777777" w:rsidR="000A1090" w:rsidRPr="005B0796" w:rsidRDefault="000A1090" w:rsidP="00220382">
            <w:pPr>
              <w:pStyle w:val="TableText"/>
              <w:jc w:val="right"/>
            </w:pPr>
            <w:r w:rsidRPr="005B0796">
              <w:rPr>
                <w:rFonts w:eastAsia="Times New Roman"/>
              </w:rPr>
              <w:t>34.8</w:t>
            </w:r>
          </w:p>
        </w:tc>
        <w:tc>
          <w:tcPr>
            <w:tcW w:w="1262" w:type="dxa"/>
          </w:tcPr>
          <w:p w14:paraId="22891BC9" w14:textId="77777777" w:rsidR="000A1090" w:rsidRPr="005B0796" w:rsidRDefault="000A1090" w:rsidP="00220382">
            <w:pPr>
              <w:pStyle w:val="TableText"/>
              <w:jc w:val="right"/>
              <w:rPr>
                <w:rFonts w:eastAsia="Times New Roman"/>
              </w:rPr>
            </w:pPr>
            <w:r w:rsidRPr="005B0796">
              <w:rPr>
                <w:rFonts w:eastAsia="Times New Roman"/>
              </w:rPr>
              <w:t>2.9</w:t>
            </w:r>
          </w:p>
        </w:tc>
      </w:tr>
      <w:tr w:rsidR="000A1090" w:rsidRPr="005B0796" w14:paraId="5525F061" w14:textId="77777777" w:rsidTr="00220382">
        <w:tc>
          <w:tcPr>
            <w:tcW w:w="2268" w:type="dxa"/>
          </w:tcPr>
          <w:p w14:paraId="50B453B4" w14:textId="78C1827F"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Army</w:t>
            </w:r>
          </w:p>
        </w:tc>
        <w:tc>
          <w:tcPr>
            <w:tcW w:w="1261" w:type="dxa"/>
          </w:tcPr>
          <w:p w14:paraId="30FC09F8" w14:textId="77777777" w:rsidR="000A1090" w:rsidRPr="005B0796" w:rsidRDefault="000A1090" w:rsidP="00220382">
            <w:pPr>
              <w:pStyle w:val="TableText"/>
              <w:jc w:val="right"/>
              <w:rPr>
                <w:rFonts w:eastAsia="Times New Roman"/>
              </w:rPr>
            </w:pPr>
            <w:r w:rsidRPr="005B0796">
              <w:rPr>
                <w:rFonts w:eastAsia="Times New Roman"/>
              </w:rPr>
              <w:t>87</w:t>
            </w:r>
          </w:p>
        </w:tc>
        <w:tc>
          <w:tcPr>
            <w:tcW w:w="1262" w:type="dxa"/>
          </w:tcPr>
          <w:p w14:paraId="50172B69" w14:textId="77777777" w:rsidR="000A1090" w:rsidRPr="005B0796" w:rsidRDefault="000A1090" w:rsidP="00220382">
            <w:pPr>
              <w:pStyle w:val="TableText"/>
              <w:jc w:val="right"/>
              <w:rPr>
                <w:rFonts w:eastAsia="Times New Roman"/>
              </w:rPr>
            </w:pPr>
            <w:r w:rsidRPr="005B0796">
              <w:rPr>
                <w:rFonts w:eastAsia="Times New Roman"/>
              </w:rPr>
              <w:t>31</w:t>
            </w:r>
          </w:p>
        </w:tc>
        <w:tc>
          <w:tcPr>
            <w:tcW w:w="1262" w:type="dxa"/>
          </w:tcPr>
          <w:p w14:paraId="23E93D74" w14:textId="77777777" w:rsidR="000A1090" w:rsidRPr="005B0796" w:rsidRDefault="000A1090" w:rsidP="00220382">
            <w:pPr>
              <w:pStyle w:val="TableText"/>
              <w:jc w:val="right"/>
            </w:pPr>
            <w:r w:rsidRPr="005B0796">
              <w:rPr>
                <w:rFonts w:eastAsia="Times New Roman"/>
              </w:rPr>
              <w:t>35.6</w:t>
            </w:r>
          </w:p>
        </w:tc>
        <w:tc>
          <w:tcPr>
            <w:tcW w:w="1262" w:type="dxa"/>
          </w:tcPr>
          <w:p w14:paraId="45E74A9B" w14:textId="77777777" w:rsidR="000A1090" w:rsidRPr="005B0796" w:rsidRDefault="000A1090" w:rsidP="00220382">
            <w:pPr>
              <w:pStyle w:val="TableText"/>
              <w:jc w:val="right"/>
              <w:rPr>
                <w:rFonts w:eastAsia="Times New Roman"/>
              </w:rPr>
            </w:pPr>
            <w:r w:rsidRPr="005B0796">
              <w:rPr>
                <w:rFonts w:eastAsia="Times New Roman"/>
              </w:rPr>
              <w:t>2.8</w:t>
            </w:r>
          </w:p>
        </w:tc>
      </w:tr>
      <w:tr w:rsidR="000A1090" w:rsidRPr="005B0796" w14:paraId="674D8FF4"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B838B70" w14:textId="32B83AA9"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Air Force</w:t>
            </w:r>
          </w:p>
        </w:tc>
        <w:tc>
          <w:tcPr>
            <w:tcW w:w="1261" w:type="dxa"/>
          </w:tcPr>
          <w:p w14:paraId="70890520" w14:textId="77777777" w:rsidR="000A1090" w:rsidRPr="005B0796" w:rsidRDefault="000A1090" w:rsidP="00220382">
            <w:pPr>
              <w:pStyle w:val="TableText"/>
              <w:jc w:val="right"/>
              <w:rPr>
                <w:rFonts w:eastAsia="Times New Roman"/>
              </w:rPr>
            </w:pPr>
            <w:r w:rsidRPr="005B0796">
              <w:rPr>
                <w:rFonts w:eastAsia="Times New Roman"/>
              </w:rPr>
              <w:t>70</w:t>
            </w:r>
          </w:p>
        </w:tc>
        <w:tc>
          <w:tcPr>
            <w:tcW w:w="1262" w:type="dxa"/>
          </w:tcPr>
          <w:p w14:paraId="53969ABA" w14:textId="77777777" w:rsidR="000A1090" w:rsidRPr="005B0796" w:rsidRDefault="000A1090" w:rsidP="00220382">
            <w:pPr>
              <w:pStyle w:val="TableText"/>
              <w:jc w:val="right"/>
              <w:rPr>
                <w:rFonts w:eastAsia="Times New Roman"/>
              </w:rPr>
            </w:pPr>
            <w:r w:rsidRPr="005B0796">
              <w:rPr>
                <w:rFonts w:eastAsia="Times New Roman"/>
              </w:rPr>
              <w:t>28</w:t>
            </w:r>
          </w:p>
        </w:tc>
        <w:tc>
          <w:tcPr>
            <w:tcW w:w="1262" w:type="dxa"/>
          </w:tcPr>
          <w:p w14:paraId="53BAC662" w14:textId="77777777" w:rsidR="000A1090" w:rsidRPr="005B0796" w:rsidRDefault="000A1090" w:rsidP="00220382">
            <w:pPr>
              <w:pStyle w:val="TableText"/>
              <w:jc w:val="right"/>
            </w:pPr>
            <w:r w:rsidRPr="005B0796">
              <w:rPr>
                <w:rFonts w:eastAsia="Times New Roman"/>
              </w:rPr>
              <w:t>40.0</w:t>
            </w:r>
          </w:p>
        </w:tc>
        <w:tc>
          <w:tcPr>
            <w:tcW w:w="1262" w:type="dxa"/>
          </w:tcPr>
          <w:p w14:paraId="3F597E42" w14:textId="77777777" w:rsidR="000A1090" w:rsidRPr="005B0796" w:rsidRDefault="000A1090" w:rsidP="00220382">
            <w:pPr>
              <w:pStyle w:val="TableText"/>
              <w:jc w:val="right"/>
              <w:rPr>
                <w:rFonts w:eastAsia="Times New Roman"/>
              </w:rPr>
            </w:pPr>
            <w:r w:rsidRPr="005B0796">
              <w:rPr>
                <w:rFonts w:eastAsia="Times New Roman"/>
              </w:rPr>
              <w:t>2.5</w:t>
            </w:r>
          </w:p>
        </w:tc>
      </w:tr>
      <w:tr w:rsidR="000A1090" w:rsidRPr="005B0796" w14:paraId="2838308D" w14:textId="77777777" w:rsidTr="00220382">
        <w:tc>
          <w:tcPr>
            <w:tcW w:w="2268" w:type="dxa"/>
          </w:tcPr>
          <w:p w14:paraId="259865A6" w14:textId="77777777" w:rsidR="000A1090" w:rsidRPr="005B0796" w:rsidRDefault="000A1090" w:rsidP="00220382">
            <w:pPr>
              <w:pStyle w:val="TableText"/>
              <w:rPr>
                <w:rFonts w:eastAsia="Times New Roman"/>
              </w:rPr>
            </w:pPr>
            <w:r w:rsidRPr="005B0796">
              <w:rPr>
                <w:rFonts w:eastAsia="Times New Roman"/>
              </w:rPr>
              <w:t>Female | NCO | fit | Navy</w:t>
            </w:r>
          </w:p>
        </w:tc>
        <w:tc>
          <w:tcPr>
            <w:tcW w:w="1261" w:type="dxa"/>
          </w:tcPr>
          <w:p w14:paraId="62805B42" w14:textId="77777777" w:rsidR="000A1090" w:rsidRPr="005B0796" w:rsidRDefault="000A1090" w:rsidP="00220382">
            <w:pPr>
              <w:pStyle w:val="TableText"/>
              <w:jc w:val="right"/>
              <w:rPr>
                <w:rFonts w:eastAsia="Times New Roman"/>
              </w:rPr>
            </w:pPr>
            <w:r w:rsidRPr="005B0796">
              <w:rPr>
                <w:rFonts w:eastAsia="Times New Roman"/>
              </w:rPr>
              <w:t>120</w:t>
            </w:r>
          </w:p>
        </w:tc>
        <w:tc>
          <w:tcPr>
            <w:tcW w:w="1262" w:type="dxa"/>
          </w:tcPr>
          <w:p w14:paraId="7139D787" w14:textId="77777777" w:rsidR="000A1090" w:rsidRPr="005B0796" w:rsidRDefault="000A1090" w:rsidP="00220382">
            <w:pPr>
              <w:pStyle w:val="TableText"/>
              <w:jc w:val="right"/>
              <w:rPr>
                <w:rFonts w:eastAsia="Times New Roman"/>
              </w:rPr>
            </w:pPr>
            <w:r w:rsidRPr="005B0796">
              <w:rPr>
                <w:rFonts w:eastAsia="Times New Roman"/>
              </w:rPr>
              <w:t>50</w:t>
            </w:r>
          </w:p>
        </w:tc>
        <w:tc>
          <w:tcPr>
            <w:tcW w:w="1262" w:type="dxa"/>
          </w:tcPr>
          <w:p w14:paraId="530E4D1A" w14:textId="77777777" w:rsidR="000A1090" w:rsidRPr="005B0796" w:rsidRDefault="000A1090" w:rsidP="00220382">
            <w:pPr>
              <w:pStyle w:val="TableText"/>
              <w:jc w:val="right"/>
            </w:pPr>
            <w:r w:rsidRPr="005B0796">
              <w:rPr>
                <w:rFonts w:eastAsia="Times New Roman"/>
              </w:rPr>
              <w:t>41.7</w:t>
            </w:r>
          </w:p>
        </w:tc>
        <w:tc>
          <w:tcPr>
            <w:tcW w:w="1262" w:type="dxa"/>
          </w:tcPr>
          <w:p w14:paraId="66B0D069" w14:textId="77777777" w:rsidR="000A1090" w:rsidRPr="005B0796" w:rsidRDefault="000A1090" w:rsidP="00220382">
            <w:pPr>
              <w:pStyle w:val="TableText"/>
              <w:jc w:val="right"/>
              <w:rPr>
                <w:rFonts w:eastAsia="Times New Roman"/>
              </w:rPr>
            </w:pPr>
            <w:r w:rsidRPr="005B0796">
              <w:rPr>
                <w:rFonts w:eastAsia="Times New Roman"/>
              </w:rPr>
              <w:t>2.4</w:t>
            </w:r>
          </w:p>
        </w:tc>
      </w:tr>
      <w:tr w:rsidR="000A1090" w:rsidRPr="005B0796" w14:paraId="0E8553A3"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0EAB53FD" w14:textId="77777777" w:rsidR="000A1090" w:rsidRPr="005B0796" w:rsidRDefault="000A1090" w:rsidP="00220382">
            <w:pPr>
              <w:pStyle w:val="TableText"/>
              <w:rPr>
                <w:rFonts w:eastAsia="Times New Roman"/>
              </w:rPr>
            </w:pPr>
            <w:r w:rsidRPr="005B0796">
              <w:rPr>
                <w:rFonts w:eastAsia="Times New Roman"/>
              </w:rPr>
              <w:t>Female | NCO | fit | Army</w:t>
            </w:r>
          </w:p>
        </w:tc>
        <w:tc>
          <w:tcPr>
            <w:tcW w:w="1261" w:type="dxa"/>
          </w:tcPr>
          <w:p w14:paraId="5DC1BE51" w14:textId="77777777" w:rsidR="000A1090" w:rsidRPr="005B0796" w:rsidRDefault="000A1090" w:rsidP="00220382">
            <w:pPr>
              <w:pStyle w:val="TableText"/>
              <w:jc w:val="right"/>
              <w:rPr>
                <w:rFonts w:eastAsia="Times New Roman"/>
              </w:rPr>
            </w:pPr>
            <w:r w:rsidRPr="005B0796">
              <w:rPr>
                <w:rFonts w:eastAsia="Times New Roman"/>
              </w:rPr>
              <w:t>138</w:t>
            </w:r>
          </w:p>
        </w:tc>
        <w:tc>
          <w:tcPr>
            <w:tcW w:w="1262" w:type="dxa"/>
          </w:tcPr>
          <w:p w14:paraId="6CAF061C" w14:textId="77777777" w:rsidR="000A1090" w:rsidRPr="005B0796" w:rsidRDefault="000A1090" w:rsidP="00220382">
            <w:pPr>
              <w:pStyle w:val="TableText"/>
              <w:jc w:val="right"/>
              <w:rPr>
                <w:rFonts w:eastAsia="Times New Roman"/>
              </w:rPr>
            </w:pPr>
            <w:r w:rsidRPr="005B0796">
              <w:rPr>
                <w:rFonts w:eastAsia="Times New Roman"/>
              </w:rPr>
              <w:t>70</w:t>
            </w:r>
          </w:p>
        </w:tc>
        <w:tc>
          <w:tcPr>
            <w:tcW w:w="1262" w:type="dxa"/>
          </w:tcPr>
          <w:p w14:paraId="118A5477" w14:textId="77777777" w:rsidR="000A1090" w:rsidRPr="005B0796" w:rsidRDefault="000A1090" w:rsidP="00220382">
            <w:pPr>
              <w:pStyle w:val="TableText"/>
              <w:jc w:val="right"/>
            </w:pPr>
            <w:r w:rsidRPr="005B0796">
              <w:rPr>
                <w:rFonts w:eastAsia="Times New Roman"/>
              </w:rPr>
              <w:t>50.7</w:t>
            </w:r>
          </w:p>
        </w:tc>
        <w:tc>
          <w:tcPr>
            <w:tcW w:w="1262" w:type="dxa"/>
          </w:tcPr>
          <w:p w14:paraId="02D7091D" w14:textId="77777777" w:rsidR="000A1090" w:rsidRPr="005B0796" w:rsidRDefault="000A1090" w:rsidP="00220382">
            <w:pPr>
              <w:pStyle w:val="TableText"/>
              <w:jc w:val="right"/>
              <w:rPr>
                <w:rFonts w:eastAsia="Times New Roman"/>
              </w:rPr>
            </w:pPr>
            <w:r w:rsidRPr="005B0796">
              <w:rPr>
                <w:rFonts w:eastAsia="Times New Roman"/>
              </w:rPr>
              <w:t>2.0</w:t>
            </w:r>
          </w:p>
        </w:tc>
      </w:tr>
      <w:tr w:rsidR="000A1090" w:rsidRPr="005B0796" w14:paraId="29F1ED3A" w14:textId="77777777" w:rsidTr="00220382">
        <w:tc>
          <w:tcPr>
            <w:tcW w:w="2268" w:type="dxa"/>
          </w:tcPr>
          <w:p w14:paraId="2BE64D3D" w14:textId="77777777" w:rsidR="000A1090" w:rsidRPr="005B0796" w:rsidRDefault="000A1090" w:rsidP="00220382">
            <w:pPr>
              <w:pStyle w:val="TableText"/>
              <w:rPr>
                <w:rFonts w:eastAsia="Times New Roman"/>
              </w:rPr>
            </w:pPr>
            <w:r w:rsidRPr="005B0796">
              <w:rPr>
                <w:rFonts w:eastAsia="Times New Roman"/>
              </w:rPr>
              <w:t>Female | NCO | fit | Air Force</w:t>
            </w:r>
          </w:p>
        </w:tc>
        <w:tc>
          <w:tcPr>
            <w:tcW w:w="1261" w:type="dxa"/>
          </w:tcPr>
          <w:p w14:paraId="3D2DF068" w14:textId="77777777" w:rsidR="000A1090" w:rsidRPr="005B0796" w:rsidRDefault="000A1090" w:rsidP="00220382">
            <w:pPr>
              <w:pStyle w:val="TableText"/>
              <w:jc w:val="right"/>
              <w:rPr>
                <w:rFonts w:eastAsia="Times New Roman"/>
              </w:rPr>
            </w:pPr>
            <w:r w:rsidRPr="005B0796">
              <w:rPr>
                <w:rFonts w:eastAsia="Times New Roman"/>
              </w:rPr>
              <w:t>157</w:t>
            </w:r>
          </w:p>
        </w:tc>
        <w:tc>
          <w:tcPr>
            <w:tcW w:w="1262" w:type="dxa"/>
          </w:tcPr>
          <w:p w14:paraId="266C980E" w14:textId="77777777" w:rsidR="000A1090" w:rsidRPr="005B0796" w:rsidRDefault="000A1090" w:rsidP="00220382">
            <w:pPr>
              <w:pStyle w:val="TableText"/>
              <w:jc w:val="right"/>
              <w:rPr>
                <w:rFonts w:eastAsia="Times New Roman"/>
              </w:rPr>
            </w:pPr>
            <w:r w:rsidRPr="005B0796">
              <w:rPr>
                <w:rFonts w:eastAsia="Times New Roman"/>
              </w:rPr>
              <w:t>79</w:t>
            </w:r>
          </w:p>
        </w:tc>
        <w:tc>
          <w:tcPr>
            <w:tcW w:w="1262" w:type="dxa"/>
          </w:tcPr>
          <w:p w14:paraId="2F12157F" w14:textId="77777777" w:rsidR="000A1090" w:rsidRPr="005B0796" w:rsidRDefault="000A1090" w:rsidP="00220382">
            <w:pPr>
              <w:pStyle w:val="TableText"/>
              <w:jc w:val="right"/>
            </w:pPr>
            <w:r w:rsidRPr="005B0796">
              <w:rPr>
                <w:rFonts w:eastAsia="Times New Roman"/>
              </w:rPr>
              <w:t>50.3</w:t>
            </w:r>
          </w:p>
        </w:tc>
        <w:tc>
          <w:tcPr>
            <w:tcW w:w="1262" w:type="dxa"/>
          </w:tcPr>
          <w:p w14:paraId="63CF7CC1" w14:textId="77777777" w:rsidR="000A1090" w:rsidRPr="005B0796" w:rsidRDefault="000A1090" w:rsidP="00220382">
            <w:pPr>
              <w:pStyle w:val="TableText"/>
              <w:jc w:val="right"/>
              <w:rPr>
                <w:rFonts w:eastAsia="Times New Roman"/>
              </w:rPr>
            </w:pPr>
            <w:r w:rsidRPr="005B0796">
              <w:rPr>
                <w:rFonts w:eastAsia="Times New Roman"/>
              </w:rPr>
              <w:t>2.0</w:t>
            </w:r>
          </w:p>
        </w:tc>
      </w:tr>
      <w:tr w:rsidR="000A1090" w:rsidRPr="005B0796" w14:paraId="47BE799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4126A03D"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01DE19A8" w14:textId="77777777" w:rsidR="000A1090" w:rsidRPr="005B0796" w:rsidRDefault="000A1090" w:rsidP="00220382">
            <w:pPr>
              <w:pStyle w:val="TableText"/>
              <w:jc w:val="right"/>
              <w:rPr>
                <w:rFonts w:eastAsia="Times New Roman"/>
                <w:color w:val="000000" w:themeColor="text1"/>
              </w:rPr>
            </w:pPr>
            <w:r w:rsidRPr="005B0796">
              <w:rPr>
                <w:rFonts w:eastAsia="Times New Roman"/>
              </w:rPr>
              <w:t>48</w:t>
            </w:r>
          </w:p>
        </w:tc>
        <w:tc>
          <w:tcPr>
            <w:tcW w:w="1262" w:type="dxa"/>
          </w:tcPr>
          <w:p w14:paraId="408AFF2C" w14:textId="77777777" w:rsidR="000A1090" w:rsidRPr="005B0796" w:rsidRDefault="000A1090" w:rsidP="00220382">
            <w:pPr>
              <w:pStyle w:val="TableText"/>
              <w:jc w:val="right"/>
              <w:rPr>
                <w:rFonts w:eastAsia="Times New Roman"/>
                <w:color w:val="000000" w:themeColor="text1"/>
              </w:rPr>
            </w:pPr>
            <w:r w:rsidRPr="005B0796">
              <w:rPr>
                <w:rFonts w:eastAsia="Times New Roman"/>
              </w:rPr>
              <w:t>24</w:t>
            </w:r>
          </w:p>
        </w:tc>
        <w:tc>
          <w:tcPr>
            <w:tcW w:w="1262" w:type="dxa"/>
          </w:tcPr>
          <w:p w14:paraId="2F6C1D38" w14:textId="77777777" w:rsidR="000A1090" w:rsidRPr="005B0796" w:rsidRDefault="000A1090" w:rsidP="00220382">
            <w:pPr>
              <w:pStyle w:val="TableText"/>
              <w:jc w:val="right"/>
              <w:rPr>
                <w:color w:val="000000" w:themeColor="text1"/>
              </w:rPr>
            </w:pPr>
            <w:r w:rsidRPr="005B0796">
              <w:rPr>
                <w:rFonts w:eastAsia="Times New Roman"/>
              </w:rPr>
              <w:t>50.0</w:t>
            </w:r>
          </w:p>
        </w:tc>
        <w:tc>
          <w:tcPr>
            <w:tcW w:w="1262" w:type="dxa"/>
          </w:tcPr>
          <w:p w14:paraId="61A9BCD7" w14:textId="77777777" w:rsidR="000A1090" w:rsidRPr="005B0796" w:rsidRDefault="000A1090" w:rsidP="00220382">
            <w:pPr>
              <w:pStyle w:val="TableText"/>
              <w:jc w:val="right"/>
              <w:rPr>
                <w:rFonts w:eastAsia="Times New Roman"/>
                <w:color w:val="000000" w:themeColor="text1"/>
              </w:rPr>
            </w:pPr>
            <w:r w:rsidRPr="005B0796">
              <w:rPr>
                <w:rFonts w:eastAsia="Times New Roman"/>
              </w:rPr>
              <w:t>2.0</w:t>
            </w:r>
          </w:p>
        </w:tc>
      </w:tr>
      <w:tr w:rsidR="000A1090" w:rsidRPr="005B0796" w14:paraId="5E43B80A" w14:textId="77777777" w:rsidTr="00220382">
        <w:tc>
          <w:tcPr>
            <w:tcW w:w="2268" w:type="dxa"/>
          </w:tcPr>
          <w:p w14:paraId="714B8EDD" w14:textId="77777777" w:rsidR="000A1090" w:rsidRPr="005B0796" w:rsidRDefault="000A1090" w:rsidP="00220382">
            <w:pPr>
              <w:pStyle w:val="TableText"/>
              <w:rPr>
                <w:rFonts w:eastAsia="Times New Roman"/>
              </w:rPr>
            </w:pPr>
            <w:r w:rsidRPr="005B0796">
              <w:rPr>
                <w:rFonts w:eastAsia="Times New Roman"/>
              </w:rPr>
              <w:t>Female | NCO | unfit | Army</w:t>
            </w:r>
          </w:p>
        </w:tc>
        <w:tc>
          <w:tcPr>
            <w:tcW w:w="1261" w:type="dxa"/>
          </w:tcPr>
          <w:p w14:paraId="7AB49B88" w14:textId="77777777" w:rsidR="000A1090" w:rsidRPr="005B0796" w:rsidRDefault="000A1090" w:rsidP="00220382">
            <w:pPr>
              <w:pStyle w:val="TableText"/>
              <w:jc w:val="right"/>
              <w:rPr>
                <w:rFonts w:eastAsia="Times New Roman"/>
              </w:rPr>
            </w:pPr>
            <w:r w:rsidRPr="005B0796">
              <w:rPr>
                <w:rFonts w:eastAsia="Times New Roman"/>
              </w:rPr>
              <w:t>50</w:t>
            </w:r>
          </w:p>
        </w:tc>
        <w:tc>
          <w:tcPr>
            <w:tcW w:w="1262" w:type="dxa"/>
          </w:tcPr>
          <w:p w14:paraId="7DBFBC4B" w14:textId="77777777" w:rsidR="000A1090" w:rsidRPr="005B0796" w:rsidRDefault="000A1090" w:rsidP="00220382">
            <w:pPr>
              <w:pStyle w:val="TableText"/>
              <w:jc w:val="right"/>
              <w:rPr>
                <w:rFonts w:eastAsia="Times New Roman"/>
              </w:rPr>
            </w:pPr>
            <w:r w:rsidRPr="005B0796">
              <w:rPr>
                <w:rFonts w:eastAsia="Times New Roman"/>
              </w:rPr>
              <w:t>32</w:t>
            </w:r>
          </w:p>
        </w:tc>
        <w:tc>
          <w:tcPr>
            <w:tcW w:w="1262" w:type="dxa"/>
          </w:tcPr>
          <w:p w14:paraId="3FA78E3F" w14:textId="77777777" w:rsidR="000A1090" w:rsidRPr="005B0796" w:rsidRDefault="000A1090" w:rsidP="00220382">
            <w:pPr>
              <w:pStyle w:val="TableText"/>
              <w:jc w:val="right"/>
            </w:pPr>
            <w:r w:rsidRPr="005B0796">
              <w:rPr>
                <w:rFonts w:eastAsia="Times New Roman"/>
              </w:rPr>
              <w:t>64.0</w:t>
            </w:r>
          </w:p>
        </w:tc>
        <w:tc>
          <w:tcPr>
            <w:tcW w:w="1262" w:type="dxa"/>
          </w:tcPr>
          <w:p w14:paraId="1A08CA40" w14:textId="77777777" w:rsidR="000A1090" w:rsidRPr="005B0796" w:rsidRDefault="000A1090" w:rsidP="00220382">
            <w:pPr>
              <w:pStyle w:val="TableText"/>
              <w:jc w:val="right"/>
              <w:rPr>
                <w:rFonts w:eastAsia="Times New Roman"/>
              </w:rPr>
            </w:pPr>
            <w:r w:rsidRPr="005B0796">
              <w:rPr>
                <w:rFonts w:eastAsia="Times New Roman"/>
              </w:rPr>
              <w:t>1.6</w:t>
            </w:r>
          </w:p>
        </w:tc>
      </w:tr>
      <w:tr w:rsidR="000A1090" w:rsidRPr="005B0796" w14:paraId="6AA55DBB"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6F839B6"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5BCAF267" w14:textId="77777777" w:rsidR="000A1090" w:rsidRPr="005B0796" w:rsidRDefault="000A1090" w:rsidP="00220382">
            <w:pPr>
              <w:pStyle w:val="TableText"/>
              <w:jc w:val="right"/>
              <w:rPr>
                <w:rFonts w:eastAsia="Times New Roman"/>
                <w:color w:val="000000" w:themeColor="text1"/>
              </w:rPr>
            </w:pPr>
            <w:r w:rsidRPr="005B0796">
              <w:rPr>
                <w:rFonts w:eastAsia="Times New Roman"/>
              </w:rPr>
              <w:t>69</w:t>
            </w:r>
          </w:p>
        </w:tc>
        <w:tc>
          <w:tcPr>
            <w:tcW w:w="1262" w:type="dxa"/>
          </w:tcPr>
          <w:p w14:paraId="13C239DB" w14:textId="77777777" w:rsidR="000A1090" w:rsidRPr="005B0796" w:rsidRDefault="000A1090" w:rsidP="00220382">
            <w:pPr>
              <w:pStyle w:val="TableText"/>
              <w:jc w:val="right"/>
              <w:rPr>
                <w:rFonts w:eastAsia="Times New Roman"/>
                <w:color w:val="000000" w:themeColor="text1"/>
              </w:rPr>
            </w:pPr>
            <w:r w:rsidRPr="005B0796">
              <w:rPr>
                <w:rFonts w:eastAsia="Times New Roman"/>
              </w:rPr>
              <w:t>36</w:t>
            </w:r>
          </w:p>
        </w:tc>
        <w:tc>
          <w:tcPr>
            <w:tcW w:w="1262" w:type="dxa"/>
          </w:tcPr>
          <w:p w14:paraId="1D323145" w14:textId="77777777" w:rsidR="000A1090" w:rsidRPr="005B0796" w:rsidRDefault="000A1090" w:rsidP="00220382">
            <w:pPr>
              <w:pStyle w:val="TableText"/>
              <w:jc w:val="right"/>
              <w:rPr>
                <w:color w:val="000000" w:themeColor="text1"/>
              </w:rPr>
            </w:pPr>
            <w:r w:rsidRPr="005B0796">
              <w:rPr>
                <w:rFonts w:eastAsia="Times New Roman"/>
              </w:rPr>
              <w:t>52.2</w:t>
            </w:r>
          </w:p>
        </w:tc>
        <w:tc>
          <w:tcPr>
            <w:tcW w:w="1262" w:type="dxa"/>
          </w:tcPr>
          <w:p w14:paraId="2998EC13" w14:textId="77777777" w:rsidR="000A1090" w:rsidRPr="005B0796" w:rsidRDefault="000A1090" w:rsidP="00220382">
            <w:pPr>
              <w:pStyle w:val="TableText"/>
              <w:jc w:val="right"/>
              <w:rPr>
                <w:rFonts w:eastAsia="Times New Roman"/>
                <w:color w:val="000000" w:themeColor="text1"/>
              </w:rPr>
            </w:pPr>
            <w:r w:rsidRPr="005B0796">
              <w:rPr>
                <w:rFonts w:eastAsia="Times New Roman"/>
              </w:rPr>
              <w:t>1.9</w:t>
            </w:r>
          </w:p>
        </w:tc>
      </w:tr>
      <w:tr w:rsidR="000A1090" w:rsidRPr="005B0796" w14:paraId="4D44D5BD" w14:textId="77777777" w:rsidTr="00220382">
        <w:tc>
          <w:tcPr>
            <w:tcW w:w="2268" w:type="dxa"/>
          </w:tcPr>
          <w:p w14:paraId="6509BE0D"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41CCE0E0" w14:textId="77777777" w:rsidR="000A1090" w:rsidRPr="005B0796" w:rsidRDefault="000A1090" w:rsidP="00220382">
            <w:pPr>
              <w:pStyle w:val="TableText"/>
              <w:jc w:val="right"/>
              <w:rPr>
                <w:rFonts w:eastAsia="Times New Roman"/>
                <w:color w:val="000000" w:themeColor="text1"/>
              </w:rPr>
            </w:pPr>
            <w:r w:rsidRPr="005B0796">
              <w:rPr>
                <w:rFonts w:eastAsia="Times New Roman"/>
              </w:rPr>
              <w:t>256</w:t>
            </w:r>
          </w:p>
        </w:tc>
        <w:tc>
          <w:tcPr>
            <w:tcW w:w="1262" w:type="dxa"/>
          </w:tcPr>
          <w:p w14:paraId="6BDBB748" w14:textId="77777777" w:rsidR="000A1090" w:rsidRPr="005B0796" w:rsidRDefault="000A1090" w:rsidP="00220382">
            <w:pPr>
              <w:pStyle w:val="TableText"/>
              <w:jc w:val="right"/>
              <w:rPr>
                <w:rFonts w:eastAsia="Times New Roman"/>
                <w:color w:val="000000" w:themeColor="text1"/>
              </w:rPr>
            </w:pPr>
            <w:r w:rsidRPr="005B0796">
              <w:rPr>
                <w:rFonts w:eastAsia="Times New Roman"/>
              </w:rPr>
              <w:t>39</w:t>
            </w:r>
          </w:p>
        </w:tc>
        <w:tc>
          <w:tcPr>
            <w:tcW w:w="1262" w:type="dxa"/>
          </w:tcPr>
          <w:p w14:paraId="6713310D" w14:textId="77777777" w:rsidR="000A1090" w:rsidRPr="005B0796" w:rsidRDefault="000A1090" w:rsidP="00220382">
            <w:pPr>
              <w:pStyle w:val="TableText"/>
              <w:jc w:val="right"/>
              <w:rPr>
                <w:color w:val="000000" w:themeColor="text1"/>
              </w:rPr>
            </w:pPr>
            <w:r w:rsidRPr="005B0796">
              <w:rPr>
                <w:rFonts w:eastAsia="Times New Roman"/>
              </w:rPr>
              <w:t>15.2</w:t>
            </w:r>
          </w:p>
        </w:tc>
        <w:tc>
          <w:tcPr>
            <w:tcW w:w="1262" w:type="dxa"/>
          </w:tcPr>
          <w:p w14:paraId="664DAF24" w14:textId="77777777" w:rsidR="000A1090" w:rsidRPr="005B0796" w:rsidRDefault="000A1090" w:rsidP="00220382">
            <w:pPr>
              <w:pStyle w:val="TableText"/>
              <w:jc w:val="right"/>
              <w:rPr>
                <w:rFonts w:eastAsia="Times New Roman"/>
                <w:color w:val="000000" w:themeColor="text1"/>
              </w:rPr>
            </w:pPr>
            <w:r w:rsidRPr="005B0796">
              <w:rPr>
                <w:rFonts w:eastAsia="Times New Roman"/>
              </w:rPr>
              <w:t>6.6</w:t>
            </w:r>
          </w:p>
        </w:tc>
      </w:tr>
      <w:tr w:rsidR="000A1090" w:rsidRPr="005B0796" w14:paraId="689A2A1C"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4C88F72"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7D33F5CE" w14:textId="77777777" w:rsidR="000A1090" w:rsidRPr="005B0796" w:rsidRDefault="000A1090" w:rsidP="00220382">
            <w:pPr>
              <w:pStyle w:val="TableText"/>
              <w:jc w:val="right"/>
              <w:rPr>
                <w:rFonts w:eastAsia="Times New Roman"/>
                <w:color w:val="000000" w:themeColor="text1"/>
              </w:rPr>
            </w:pPr>
            <w:r w:rsidRPr="005B0796">
              <w:rPr>
                <w:rFonts w:eastAsia="Times New Roman"/>
              </w:rPr>
              <w:t>271</w:t>
            </w:r>
          </w:p>
        </w:tc>
        <w:tc>
          <w:tcPr>
            <w:tcW w:w="1262" w:type="dxa"/>
          </w:tcPr>
          <w:p w14:paraId="4D69E788" w14:textId="77777777" w:rsidR="000A1090" w:rsidRPr="005B0796" w:rsidRDefault="000A1090" w:rsidP="00220382">
            <w:pPr>
              <w:pStyle w:val="TableText"/>
              <w:jc w:val="right"/>
              <w:rPr>
                <w:rFonts w:eastAsia="Times New Roman"/>
                <w:color w:val="000000" w:themeColor="text1"/>
              </w:rPr>
            </w:pPr>
            <w:r w:rsidRPr="005B0796">
              <w:rPr>
                <w:rFonts w:eastAsia="Times New Roman"/>
              </w:rPr>
              <w:t>33</w:t>
            </w:r>
          </w:p>
        </w:tc>
        <w:tc>
          <w:tcPr>
            <w:tcW w:w="1262" w:type="dxa"/>
          </w:tcPr>
          <w:p w14:paraId="72E42472" w14:textId="77777777" w:rsidR="000A1090" w:rsidRPr="005B0796" w:rsidRDefault="000A1090" w:rsidP="00220382">
            <w:pPr>
              <w:pStyle w:val="TableText"/>
              <w:jc w:val="right"/>
              <w:rPr>
                <w:color w:val="000000" w:themeColor="text1"/>
              </w:rPr>
            </w:pPr>
            <w:r w:rsidRPr="005B0796">
              <w:rPr>
                <w:rFonts w:eastAsia="Times New Roman"/>
              </w:rPr>
              <w:t>12.2</w:t>
            </w:r>
          </w:p>
        </w:tc>
        <w:tc>
          <w:tcPr>
            <w:tcW w:w="1262" w:type="dxa"/>
          </w:tcPr>
          <w:p w14:paraId="355713AA" w14:textId="77777777" w:rsidR="000A1090" w:rsidRPr="005B0796" w:rsidRDefault="000A1090" w:rsidP="00220382">
            <w:pPr>
              <w:pStyle w:val="TableText"/>
              <w:jc w:val="right"/>
              <w:rPr>
                <w:rFonts w:eastAsia="Times New Roman"/>
                <w:color w:val="000000" w:themeColor="text1"/>
              </w:rPr>
            </w:pPr>
            <w:r w:rsidRPr="005B0796">
              <w:rPr>
                <w:rFonts w:eastAsia="Times New Roman"/>
              </w:rPr>
              <w:t>8.2</w:t>
            </w:r>
          </w:p>
        </w:tc>
      </w:tr>
      <w:tr w:rsidR="000A1090" w:rsidRPr="005B0796" w14:paraId="4D734ADF" w14:textId="77777777" w:rsidTr="00220382">
        <w:tc>
          <w:tcPr>
            <w:tcW w:w="2268" w:type="dxa"/>
          </w:tcPr>
          <w:p w14:paraId="7D4E6DB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44D3840F" w14:textId="77777777" w:rsidR="000A1090" w:rsidRPr="005B0796" w:rsidRDefault="000A1090" w:rsidP="00220382">
            <w:pPr>
              <w:pStyle w:val="TableText"/>
              <w:jc w:val="right"/>
              <w:rPr>
                <w:rFonts w:eastAsia="Times New Roman"/>
                <w:color w:val="000000" w:themeColor="text1"/>
              </w:rPr>
            </w:pPr>
            <w:r w:rsidRPr="005B0796">
              <w:rPr>
                <w:rFonts w:eastAsia="Times New Roman"/>
              </w:rPr>
              <w:t>226</w:t>
            </w:r>
          </w:p>
        </w:tc>
        <w:tc>
          <w:tcPr>
            <w:tcW w:w="1262" w:type="dxa"/>
          </w:tcPr>
          <w:p w14:paraId="017DFC0F" w14:textId="77777777" w:rsidR="000A1090" w:rsidRPr="005B0796" w:rsidRDefault="000A1090" w:rsidP="00220382">
            <w:pPr>
              <w:pStyle w:val="TableText"/>
              <w:jc w:val="right"/>
              <w:rPr>
                <w:rFonts w:eastAsia="Times New Roman"/>
                <w:color w:val="000000" w:themeColor="text1"/>
              </w:rPr>
            </w:pPr>
            <w:r w:rsidRPr="005B0796">
              <w:rPr>
                <w:rFonts w:eastAsia="Times New Roman"/>
              </w:rPr>
              <w:t>58</w:t>
            </w:r>
          </w:p>
        </w:tc>
        <w:tc>
          <w:tcPr>
            <w:tcW w:w="1262" w:type="dxa"/>
          </w:tcPr>
          <w:p w14:paraId="593B7F4C" w14:textId="77777777" w:rsidR="000A1090" w:rsidRPr="005B0796" w:rsidRDefault="000A1090" w:rsidP="00220382">
            <w:pPr>
              <w:pStyle w:val="TableText"/>
              <w:jc w:val="right"/>
              <w:rPr>
                <w:color w:val="000000" w:themeColor="text1"/>
              </w:rPr>
            </w:pPr>
            <w:r w:rsidRPr="005B0796">
              <w:rPr>
                <w:rFonts w:eastAsia="Times New Roman"/>
              </w:rPr>
              <w:t>25.7</w:t>
            </w:r>
          </w:p>
        </w:tc>
        <w:tc>
          <w:tcPr>
            <w:tcW w:w="1262" w:type="dxa"/>
          </w:tcPr>
          <w:p w14:paraId="5A8F7B1F" w14:textId="77777777" w:rsidR="000A1090" w:rsidRPr="005B0796" w:rsidRDefault="000A1090" w:rsidP="00220382">
            <w:pPr>
              <w:pStyle w:val="TableText"/>
              <w:jc w:val="right"/>
              <w:rPr>
                <w:rFonts w:eastAsia="Times New Roman"/>
                <w:color w:val="000000" w:themeColor="text1"/>
              </w:rPr>
            </w:pPr>
            <w:r w:rsidRPr="005B0796">
              <w:rPr>
                <w:rFonts w:eastAsia="Times New Roman"/>
              </w:rPr>
              <w:t>3.9</w:t>
            </w:r>
          </w:p>
        </w:tc>
      </w:tr>
      <w:tr w:rsidR="000A1090" w:rsidRPr="005B0796" w14:paraId="1C2CC3F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B0C3B7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7F51C74D" w14:textId="77777777" w:rsidR="000A1090" w:rsidRPr="005B0796" w:rsidRDefault="000A1090" w:rsidP="00220382">
            <w:pPr>
              <w:pStyle w:val="TableText"/>
              <w:jc w:val="right"/>
              <w:rPr>
                <w:rFonts w:eastAsia="Times New Roman"/>
                <w:color w:val="000000" w:themeColor="text1"/>
              </w:rPr>
            </w:pPr>
            <w:r w:rsidRPr="005B0796">
              <w:rPr>
                <w:rFonts w:eastAsia="Times New Roman"/>
              </w:rPr>
              <w:t>59</w:t>
            </w:r>
          </w:p>
        </w:tc>
        <w:tc>
          <w:tcPr>
            <w:tcW w:w="1262" w:type="dxa"/>
          </w:tcPr>
          <w:p w14:paraId="7F57BFF7" w14:textId="77777777" w:rsidR="000A1090" w:rsidRPr="005B0796" w:rsidRDefault="000A1090" w:rsidP="00220382">
            <w:pPr>
              <w:pStyle w:val="TableText"/>
              <w:jc w:val="right"/>
              <w:rPr>
                <w:rFonts w:eastAsia="Times New Roman"/>
                <w:color w:val="000000" w:themeColor="text1"/>
              </w:rPr>
            </w:pPr>
            <w:r w:rsidRPr="005B0796">
              <w:rPr>
                <w:rFonts w:eastAsia="Times New Roman"/>
              </w:rPr>
              <w:t>14</w:t>
            </w:r>
          </w:p>
        </w:tc>
        <w:tc>
          <w:tcPr>
            <w:tcW w:w="1262" w:type="dxa"/>
          </w:tcPr>
          <w:p w14:paraId="646C759E" w14:textId="77777777" w:rsidR="000A1090" w:rsidRPr="005B0796" w:rsidRDefault="000A1090" w:rsidP="00220382">
            <w:pPr>
              <w:pStyle w:val="TableText"/>
              <w:jc w:val="right"/>
              <w:rPr>
                <w:color w:val="000000" w:themeColor="text1"/>
              </w:rPr>
            </w:pPr>
            <w:r w:rsidRPr="005B0796">
              <w:rPr>
                <w:rFonts w:eastAsia="Times New Roman"/>
              </w:rPr>
              <w:t>23.7</w:t>
            </w:r>
          </w:p>
        </w:tc>
        <w:tc>
          <w:tcPr>
            <w:tcW w:w="1262" w:type="dxa"/>
          </w:tcPr>
          <w:p w14:paraId="2FE91739" w14:textId="77777777" w:rsidR="000A1090" w:rsidRPr="005B0796" w:rsidRDefault="000A1090" w:rsidP="00220382">
            <w:pPr>
              <w:pStyle w:val="TableText"/>
              <w:jc w:val="right"/>
              <w:rPr>
                <w:rFonts w:eastAsia="Times New Roman"/>
                <w:color w:val="000000" w:themeColor="text1"/>
              </w:rPr>
            </w:pPr>
            <w:r w:rsidRPr="005B0796">
              <w:rPr>
                <w:rFonts w:eastAsia="Times New Roman"/>
              </w:rPr>
              <w:t>4.2</w:t>
            </w:r>
          </w:p>
        </w:tc>
      </w:tr>
      <w:tr w:rsidR="000A1090" w:rsidRPr="005B0796" w14:paraId="3957C608" w14:textId="77777777" w:rsidTr="00220382">
        <w:tc>
          <w:tcPr>
            <w:tcW w:w="2268" w:type="dxa"/>
          </w:tcPr>
          <w:p w14:paraId="7C66C7E6"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0E0FB559" w14:textId="77777777" w:rsidR="000A1090" w:rsidRPr="005B0796" w:rsidRDefault="000A1090" w:rsidP="00220382">
            <w:pPr>
              <w:pStyle w:val="TableText"/>
              <w:jc w:val="right"/>
              <w:rPr>
                <w:rFonts w:eastAsia="Times New Roman"/>
                <w:color w:val="000000" w:themeColor="text1"/>
              </w:rPr>
            </w:pPr>
            <w:r w:rsidRPr="005B0796">
              <w:rPr>
                <w:rFonts w:eastAsia="Times New Roman"/>
              </w:rPr>
              <w:t>58</w:t>
            </w:r>
          </w:p>
        </w:tc>
        <w:tc>
          <w:tcPr>
            <w:tcW w:w="1262" w:type="dxa"/>
          </w:tcPr>
          <w:p w14:paraId="0BACD54D" w14:textId="77777777" w:rsidR="000A1090" w:rsidRPr="005B0796" w:rsidRDefault="000A1090" w:rsidP="00220382">
            <w:pPr>
              <w:pStyle w:val="TableText"/>
              <w:jc w:val="right"/>
              <w:rPr>
                <w:rFonts w:eastAsia="Times New Roman"/>
                <w:color w:val="000000" w:themeColor="text1"/>
              </w:rPr>
            </w:pPr>
            <w:r w:rsidRPr="005B0796">
              <w:rPr>
                <w:rFonts w:eastAsia="Times New Roman"/>
              </w:rPr>
              <w:t>14</w:t>
            </w:r>
          </w:p>
        </w:tc>
        <w:tc>
          <w:tcPr>
            <w:tcW w:w="1262" w:type="dxa"/>
          </w:tcPr>
          <w:p w14:paraId="007FA6C5" w14:textId="77777777" w:rsidR="000A1090" w:rsidRPr="005B0796" w:rsidRDefault="000A1090" w:rsidP="00220382">
            <w:pPr>
              <w:pStyle w:val="TableText"/>
              <w:jc w:val="right"/>
              <w:rPr>
                <w:color w:val="000000" w:themeColor="text1"/>
              </w:rPr>
            </w:pPr>
            <w:r w:rsidRPr="005B0796">
              <w:rPr>
                <w:rFonts w:eastAsia="Times New Roman"/>
              </w:rPr>
              <w:t>24.1</w:t>
            </w:r>
          </w:p>
        </w:tc>
        <w:tc>
          <w:tcPr>
            <w:tcW w:w="1262" w:type="dxa"/>
          </w:tcPr>
          <w:p w14:paraId="3C2D8518" w14:textId="77777777" w:rsidR="000A1090" w:rsidRPr="005B0796" w:rsidRDefault="000A1090" w:rsidP="00220382">
            <w:pPr>
              <w:pStyle w:val="TableText"/>
              <w:jc w:val="right"/>
              <w:rPr>
                <w:rFonts w:eastAsia="Times New Roman"/>
                <w:color w:val="000000" w:themeColor="text1"/>
              </w:rPr>
            </w:pPr>
            <w:r w:rsidRPr="005B0796">
              <w:rPr>
                <w:rFonts w:eastAsia="Times New Roman"/>
              </w:rPr>
              <w:t>4.1</w:t>
            </w:r>
          </w:p>
        </w:tc>
      </w:tr>
      <w:tr w:rsidR="000A1090" w:rsidRPr="005B0796" w14:paraId="47AB6332"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7754FDD0"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14:paraId="129A1DC2" w14:textId="77777777" w:rsidR="000A1090" w:rsidRPr="005B0796" w:rsidRDefault="000A1090" w:rsidP="00220382">
            <w:pPr>
              <w:pStyle w:val="TableText"/>
              <w:jc w:val="right"/>
              <w:rPr>
                <w:rFonts w:eastAsia="Times New Roman"/>
                <w:color w:val="000000" w:themeColor="text1"/>
              </w:rPr>
            </w:pPr>
            <w:r w:rsidRPr="005B0796">
              <w:rPr>
                <w:rFonts w:eastAsia="Times New Roman"/>
              </w:rPr>
              <w:t>55</w:t>
            </w:r>
          </w:p>
        </w:tc>
        <w:tc>
          <w:tcPr>
            <w:tcW w:w="1262" w:type="dxa"/>
          </w:tcPr>
          <w:p w14:paraId="3D74656E" w14:textId="77777777" w:rsidR="000A1090" w:rsidRPr="005B0796" w:rsidRDefault="000A1090" w:rsidP="00220382">
            <w:pPr>
              <w:pStyle w:val="TableText"/>
              <w:jc w:val="right"/>
              <w:rPr>
                <w:rFonts w:eastAsia="Times New Roman"/>
                <w:color w:val="000000" w:themeColor="text1"/>
              </w:rPr>
            </w:pPr>
            <w:r w:rsidRPr="005B0796">
              <w:rPr>
                <w:rFonts w:eastAsia="Times New Roman"/>
              </w:rPr>
              <w:t>20</w:t>
            </w:r>
          </w:p>
        </w:tc>
        <w:tc>
          <w:tcPr>
            <w:tcW w:w="1262" w:type="dxa"/>
          </w:tcPr>
          <w:p w14:paraId="35641184" w14:textId="77777777" w:rsidR="000A1090" w:rsidRPr="005B0796" w:rsidRDefault="000A1090" w:rsidP="00220382">
            <w:pPr>
              <w:pStyle w:val="TableText"/>
              <w:jc w:val="right"/>
              <w:rPr>
                <w:color w:val="000000" w:themeColor="text1"/>
              </w:rPr>
            </w:pPr>
            <w:r w:rsidRPr="005B0796">
              <w:rPr>
                <w:rFonts w:eastAsia="Times New Roman"/>
              </w:rPr>
              <w:t>36.4</w:t>
            </w:r>
          </w:p>
        </w:tc>
        <w:tc>
          <w:tcPr>
            <w:tcW w:w="1262" w:type="dxa"/>
          </w:tcPr>
          <w:p w14:paraId="5B00C5A6" w14:textId="77777777" w:rsidR="000A1090" w:rsidRPr="005B0796" w:rsidRDefault="000A1090" w:rsidP="00220382">
            <w:pPr>
              <w:pStyle w:val="TableText"/>
              <w:jc w:val="right"/>
              <w:rPr>
                <w:rFonts w:eastAsia="Times New Roman"/>
                <w:color w:val="000000" w:themeColor="text1"/>
              </w:rPr>
            </w:pPr>
            <w:r w:rsidRPr="005B0796">
              <w:rPr>
                <w:rFonts w:eastAsia="Times New Roman"/>
              </w:rPr>
              <w:t>2.8</w:t>
            </w:r>
          </w:p>
        </w:tc>
      </w:tr>
      <w:tr w:rsidR="000A1090" w:rsidRPr="005B0796" w14:paraId="33D96071" w14:textId="77777777" w:rsidTr="00220382">
        <w:tc>
          <w:tcPr>
            <w:tcW w:w="2268" w:type="dxa"/>
          </w:tcPr>
          <w:p w14:paraId="1509529A" w14:textId="60AF32A5"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Navy</w:t>
            </w:r>
          </w:p>
        </w:tc>
        <w:tc>
          <w:tcPr>
            <w:tcW w:w="1261" w:type="dxa"/>
          </w:tcPr>
          <w:p w14:paraId="21B2A4D4" w14:textId="77777777" w:rsidR="000A1090" w:rsidRPr="005B0796" w:rsidRDefault="000A1090" w:rsidP="00220382">
            <w:pPr>
              <w:pStyle w:val="TableText"/>
              <w:jc w:val="right"/>
              <w:rPr>
                <w:rFonts w:eastAsia="Times New Roman"/>
                <w:color w:val="000000" w:themeColor="text1"/>
              </w:rPr>
            </w:pPr>
            <w:r w:rsidRPr="005B0796">
              <w:rPr>
                <w:rFonts w:eastAsia="Times New Roman"/>
              </w:rPr>
              <w:t>1450</w:t>
            </w:r>
          </w:p>
        </w:tc>
        <w:tc>
          <w:tcPr>
            <w:tcW w:w="1262" w:type="dxa"/>
          </w:tcPr>
          <w:p w14:paraId="5D6A2C69" w14:textId="77777777" w:rsidR="000A1090" w:rsidRPr="005B0796" w:rsidRDefault="000A1090" w:rsidP="00220382">
            <w:pPr>
              <w:pStyle w:val="TableText"/>
              <w:jc w:val="right"/>
              <w:rPr>
                <w:rFonts w:eastAsia="Times New Roman"/>
                <w:color w:val="000000" w:themeColor="text1"/>
              </w:rPr>
            </w:pPr>
            <w:r w:rsidRPr="005B0796">
              <w:rPr>
                <w:rFonts w:eastAsia="Times New Roman"/>
              </w:rPr>
              <w:t>188</w:t>
            </w:r>
          </w:p>
        </w:tc>
        <w:tc>
          <w:tcPr>
            <w:tcW w:w="1262" w:type="dxa"/>
          </w:tcPr>
          <w:p w14:paraId="4D36985A" w14:textId="77777777" w:rsidR="000A1090" w:rsidRPr="005B0796" w:rsidRDefault="000A1090" w:rsidP="00220382">
            <w:pPr>
              <w:pStyle w:val="TableText"/>
              <w:jc w:val="right"/>
              <w:rPr>
                <w:color w:val="000000" w:themeColor="text1"/>
              </w:rPr>
            </w:pPr>
            <w:r w:rsidRPr="005B0796">
              <w:rPr>
                <w:rFonts w:eastAsia="Times New Roman"/>
              </w:rPr>
              <w:t>13.0</w:t>
            </w:r>
          </w:p>
        </w:tc>
        <w:tc>
          <w:tcPr>
            <w:tcW w:w="1262" w:type="dxa"/>
          </w:tcPr>
          <w:p w14:paraId="427F973A" w14:textId="77777777" w:rsidR="000A1090" w:rsidRPr="005B0796" w:rsidRDefault="000A1090" w:rsidP="00220382">
            <w:pPr>
              <w:pStyle w:val="TableText"/>
              <w:jc w:val="right"/>
              <w:rPr>
                <w:rFonts w:eastAsia="Times New Roman"/>
                <w:color w:val="000000" w:themeColor="text1"/>
              </w:rPr>
            </w:pPr>
            <w:r w:rsidRPr="005B0796">
              <w:rPr>
                <w:rFonts w:eastAsia="Times New Roman"/>
              </w:rPr>
              <w:t>7.7</w:t>
            </w:r>
          </w:p>
        </w:tc>
      </w:tr>
      <w:tr w:rsidR="000A1090" w:rsidRPr="005B0796" w14:paraId="63FD80B9"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55596C2" w14:textId="3C36C832"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Army</w:t>
            </w:r>
          </w:p>
        </w:tc>
        <w:tc>
          <w:tcPr>
            <w:tcW w:w="1261" w:type="dxa"/>
          </w:tcPr>
          <w:p w14:paraId="2F8563CC" w14:textId="77777777" w:rsidR="000A1090" w:rsidRPr="005B0796" w:rsidRDefault="000A1090" w:rsidP="00220382">
            <w:pPr>
              <w:pStyle w:val="TableText"/>
              <w:jc w:val="right"/>
              <w:rPr>
                <w:rFonts w:eastAsia="Times New Roman"/>
                <w:color w:val="000000" w:themeColor="text1"/>
              </w:rPr>
            </w:pPr>
            <w:r w:rsidRPr="005B0796">
              <w:rPr>
                <w:rFonts w:eastAsia="Times New Roman"/>
              </w:rPr>
              <w:t>2977</w:t>
            </w:r>
          </w:p>
        </w:tc>
        <w:tc>
          <w:tcPr>
            <w:tcW w:w="1262" w:type="dxa"/>
          </w:tcPr>
          <w:p w14:paraId="2B52625A" w14:textId="77777777" w:rsidR="000A1090" w:rsidRPr="005B0796" w:rsidRDefault="000A1090" w:rsidP="00220382">
            <w:pPr>
              <w:pStyle w:val="TableText"/>
              <w:jc w:val="right"/>
              <w:rPr>
                <w:rFonts w:eastAsia="Times New Roman"/>
                <w:color w:val="000000" w:themeColor="text1"/>
              </w:rPr>
            </w:pPr>
            <w:r w:rsidRPr="005B0796">
              <w:rPr>
                <w:rFonts w:eastAsia="Times New Roman"/>
              </w:rPr>
              <w:t>269</w:t>
            </w:r>
          </w:p>
        </w:tc>
        <w:tc>
          <w:tcPr>
            <w:tcW w:w="1262" w:type="dxa"/>
          </w:tcPr>
          <w:p w14:paraId="1293D6FD" w14:textId="77777777" w:rsidR="000A1090" w:rsidRPr="005B0796" w:rsidRDefault="000A1090" w:rsidP="00220382">
            <w:pPr>
              <w:pStyle w:val="TableText"/>
              <w:jc w:val="right"/>
              <w:rPr>
                <w:color w:val="000000" w:themeColor="text1"/>
              </w:rPr>
            </w:pPr>
            <w:r w:rsidRPr="005B0796">
              <w:rPr>
                <w:rFonts w:eastAsia="Times New Roman"/>
              </w:rPr>
              <w:t>9.0</w:t>
            </w:r>
          </w:p>
        </w:tc>
        <w:tc>
          <w:tcPr>
            <w:tcW w:w="1262" w:type="dxa"/>
          </w:tcPr>
          <w:p w14:paraId="4CAB558B" w14:textId="77777777" w:rsidR="000A1090" w:rsidRPr="005B0796" w:rsidRDefault="000A1090" w:rsidP="00220382">
            <w:pPr>
              <w:pStyle w:val="TableText"/>
              <w:jc w:val="right"/>
              <w:rPr>
                <w:rFonts w:eastAsia="Times New Roman"/>
                <w:color w:val="000000" w:themeColor="text1"/>
              </w:rPr>
            </w:pPr>
            <w:r w:rsidRPr="005B0796">
              <w:rPr>
                <w:rFonts w:eastAsia="Times New Roman"/>
              </w:rPr>
              <w:t>11.1</w:t>
            </w:r>
          </w:p>
        </w:tc>
      </w:tr>
      <w:tr w:rsidR="000A1090" w:rsidRPr="005B0796" w14:paraId="32EB8987" w14:textId="77777777" w:rsidTr="00220382">
        <w:tc>
          <w:tcPr>
            <w:tcW w:w="2268" w:type="dxa"/>
          </w:tcPr>
          <w:p w14:paraId="0F402123" w14:textId="1CAB015B"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Air Force</w:t>
            </w:r>
          </w:p>
        </w:tc>
        <w:tc>
          <w:tcPr>
            <w:tcW w:w="1261" w:type="dxa"/>
          </w:tcPr>
          <w:p w14:paraId="2A43ECB8" w14:textId="77777777" w:rsidR="000A1090" w:rsidRPr="005B0796" w:rsidRDefault="000A1090" w:rsidP="00220382">
            <w:pPr>
              <w:pStyle w:val="TableText"/>
              <w:jc w:val="right"/>
              <w:rPr>
                <w:rFonts w:eastAsia="Times New Roman"/>
                <w:color w:val="000000" w:themeColor="text1"/>
              </w:rPr>
            </w:pPr>
            <w:r w:rsidRPr="005B0796">
              <w:rPr>
                <w:rFonts w:eastAsia="Times New Roman"/>
              </w:rPr>
              <w:t>2098</w:t>
            </w:r>
          </w:p>
        </w:tc>
        <w:tc>
          <w:tcPr>
            <w:tcW w:w="1262" w:type="dxa"/>
          </w:tcPr>
          <w:p w14:paraId="0ADD20BE" w14:textId="77777777" w:rsidR="000A1090" w:rsidRPr="005B0796" w:rsidRDefault="000A1090" w:rsidP="00220382">
            <w:pPr>
              <w:pStyle w:val="TableText"/>
              <w:jc w:val="right"/>
              <w:rPr>
                <w:rFonts w:eastAsia="Times New Roman"/>
                <w:color w:val="000000" w:themeColor="text1"/>
              </w:rPr>
            </w:pPr>
            <w:r w:rsidRPr="005B0796">
              <w:rPr>
                <w:rFonts w:eastAsia="Times New Roman"/>
              </w:rPr>
              <w:t>213</w:t>
            </w:r>
          </w:p>
        </w:tc>
        <w:tc>
          <w:tcPr>
            <w:tcW w:w="1262" w:type="dxa"/>
          </w:tcPr>
          <w:p w14:paraId="603DE0F4" w14:textId="77777777" w:rsidR="000A1090" w:rsidRPr="005B0796" w:rsidRDefault="000A1090" w:rsidP="00220382">
            <w:pPr>
              <w:pStyle w:val="TableText"/>
              <w:jc w:val="right"/>
              <w:rPr>
                <w:color w:val="000000" w:themeColor="text1"/>
              </w:rPr>
            </w:pPr>
            <w:r w:rsidRPr="005B0796">
              <w:rPr>
                <w:rFonts w:eastAsia="Times New Roman"/>
              </w:rPr>
              <w:t>10.2</w:t>
            </w:r>
          </w:p>
        </w:tc>
        <w:tc>
          <w:tcPr>
            <w:tcW w:w="1262" w:type="dxa"/>
          </w:tcPr>
          <w:p w14:paraId="40EBD8DE" w14:textId="77777777" w:rsidR="000A1090" w:rsidRPr="005B0796" w:rsidRDefault="000A1090" w:rsidP="00220382">
            <w:pPr>
              <w:pStyle w:val="TableText"/>
              <w:jc w:val="right"/>
              <w:rPr>
                <w:rFonts w:eastAsia="Times New Roman"/>
                <w:color w:val="000000" w:themeColor="text1"/>
              </w:rPr>
            </w:pPr>
            <w:r w:rsidRPr="005B0796">
              <w:rPr>
                <w:rFonts w:eastAsia="Times New Roman"/>
              </w:rPr>
              <w:t>9.8</w:t>
            </w:r>
          </w:p>
        </w:tc>
      </w:tr>
      <w:tr w:rsidR="000A1090" w:rsidRPr="005B0796" w14:paraId="1B4BD9A0"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107C175" w14:textId="675FB5B5"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Navy</w:t>
            </w:r>
          </w:p>
        </w:tc>
        <w:tc>
          <w:tcPr>
            <w:tcW w:w="1261" w:type="dxa"/>
          </w:tcPr>
          <w:p w14:paraId="71956EEE" w14:textId="77777777" w:rsidR="000A1090" w:rsidRPr="005B0796" w:rsidRDefault="000A1090" w:rsidP="00220382">
            <w:pPr>
              <w:pStyle w:val="TableText"/>
              <w:jc w:val="right"/>
              <w:rPr>
                <w:rFonts w:eastAsia="Times New Roman"/>
                <w:color w:val="000000" w:themeColor="text1"/>
              </w:rPr>
            </w:pPr>
            <w:r w:rsidRPr="005B0796">
              <w:rPr>
                <w:rFonts w:eastAsia="Times New Roman"/>
              </w:rPr>
              <w:t>95</w:t>
            </w:r>
          </w:p>
        </w:tc>
        <w:tc>
          <w:tcPr>
            <w:tcW w:w="1262" w:type="dxa"/>
          </w:tcPr>
          <w:p w14:paraId="0CCDA0F7" w14:textId="77777777" w:rsidR="000A1090" w:rsidRPr="005B0796" w:rsidRDefault="000A1090" w:rsidP="00220382">
            <w:pPr>
              <w:pStyle w:val="TableText"/>
              <w:jc w:val="right"/>
              <w:rPr>
                <w:rFonts w:eastAsia="Times New Roman"/>
                <w:color w:val="000000" w:themeColor="text1"/>
              </w:rPr>
            </w:pPr>
            <w:r w:rsidRPr="005B0796">
              <w:rPr>
                <w:rFonts w:eastAsia="Times New Roman"/>
              </w:rPr>
              <w:t>11</w:t>
            </w:r>
          </w:p>
        </w:tc>
        <w:tc>
          <w:tcPr>
            <w:tcW w:w="1262" w:type="dxa"/>
          </w:tcPr>
          <w:p w14:paraId="47A4EAFD" w14:textId="77777777" w:rsidR="000A1090" w:rsidRPr="005B0796" w:rsidRDefault="000A1090" w:rsidP="00220382">
            <w:pPr>
              <w:pStyle w:val="TableText"/>
              <w:jc w:val="right"/>
              <w:rPr>
                <w:color w:val="000000" w:themeColor="text1"/>
              </w:rPr>
            </w:pPr>
            <w:r w:rsidRPr="005B0796">
              <w:rPr>
                <w:rFonts w:eastAsia="Times New Roman"/>
              </w:rPr>
              <w:t>11.6</w:t>
            </w:r>
          </w:p>
        </w:tc>
        <w:tc>
          <w:tcPr>
            <w:tcW w:w="1262" w:type="dxa"/>
          </w:tcPr>
          <w:p w14:paraId="1CD7BBC9" w14:textId="77777777" w:rsidR="000A1090" w:rsidRPr="005B0796" w:rsidRDefault="000A1090" w:rsidP="00220382">
            <w:pPr>
              <w:pStyle w:val="TableText"/>
              <w:jc w:val="right"/>
              <w:rPr>
                <w:rFonts w:eastAsia="Times New Roman"/>
                <w:color w:val="000000" w:themeColor="text1"/>
              </w:rPr>
            </w:pPr>
            <w:r w:rsidRPr="005B0796">
              <w:rPr>
                <w:rFonts w:eastAsia="Times New Roman"/>
              </w:rPr>
              <w:t>8.6</w:t>
            </w:r>
          </w:p>
        </w:tc>
      </w:tr>
      <w:tr w:rsidR="000A1090" w:rsidRPr="005B0796" w14:paraId="6E84CF61" w14:textId="77777777" w:rsidTr="00220382">
        <w:tc>
          <w:tcPr>
            <w:tcW w:w="2268" w:type="dxa"/>
          </w:tcPr>
          <w:p w14:paraId="47E88D2A" w14:textId="5DCABCB0"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Army</w:t>
            </w:r>
          </w:p>
        </w:tc>
        <w:tc>
          <w:tcPr>
            <w:tcW w:w="1261" w:type="dxa"/>
          </w:tcPr>
          <w:p w14:paraId="3F7C6D62" w14:textId="77777777" w:rsidR="000A1090" w:rsidRPr="005B0796" w:rsidRDefault="000A1090" w:rsidP="00220382">
            <w:pPr>
              <w:pStyle w:val="TableText"/>
              <w:jc w:val="right"/>
              <w:rPr>
                <w:rFonts w:eastAsia="Times New Roman"/>
                <w:color w:val="000000" w:themeColor="text1"/>
              </w:rPr>
            </w:pPr>
            <w:r w:rsidRPr="005B0796">
              <w:rPr>
                <w:rFonts w:eastAsia="Times New Roman"/>
              </w:rPr>
              <w:t>238</w:t>
            </w:r>
          </w:p>
        </w:tc>
        <w:tc>
          <w:tcPr>
            <w:tcW w:w="1262" w:type="dxa"/>
          </w:tcPr>
          <w:p w14:paraId="237D1C60" w14:textId="77777777" w:rsidR="000A1090" w:rsidRPr="005B0796" w:rsidRDefault="000A1090" w:rsidP="00220382">
            <w:pPr>
              <w:pStyle w:val="TableText"/>
              <w:jc w:val="right"/>
              <w:rPr>
                <w:rFonts w:eastAsia="Times New Roman"/>
                <w:color w:val="000000" w:themeColor="text1"/>
              </w:rPr>
            </w:pPr>
            <w:r w:rsidRPr="005B0796">
              <w:rPr>
                <w:rFonts w:eastAsia="Times New Roman"/>
              </w:rPr>
              <w:t>31</w:t>
            </w:r>
          </w:p>
        </w:tc>
        <w:tc>
          <w:tcPr>
            <w:tcW w:w="1262" w:type="dxa"/>
          </w:tcPr>
          <w:p w14:paraId="11B64533" w14:textId="77777777" w:rsidR="000A1090" w:rsidRPr="005B0796" w:rsidRDefault="000A1090" w:rsidP="00220382">
            <w:pPr>
              <w:pStyle w:val="TableText"/>
              <w:jc w:val="right"/>
              <w:rPr>
                <w:color w:val="000000" w:themeColor="text1"/>
              </w:rPr>
            </w:pPr>
            <w:r w:rsidRPr="005B0796">
              <w:rPr>
                <w:rFonts w:eastAsia="Times New Roman"/>
              </w:rPr>
              <w:t>13.0</w:t>
            </w:r>
          </w:p>
        </w:tc>
        <w:tc>
          <w:tcPr>
            <w:tcW w:w="1262" w:type="dxa"/>
          </w:tcPr>
          <w:p w14:paraId="18898375" w14:textId="77777777" w:rsidR="000A1090" w:rsidRPr="005B0796" w:rsidRDefault="000A1090" w:rsidP="00220382">
            <w:pPr>
              <w:pStyle w:val="TableText"/>
              <w:jc w:val="right"/>
              <w:rPr>
                <w:rFonts w:eastAsia="Times New Roman"/>
                <w:color w:val="000000" w:themeColor="text1"/>
              </w:rPr>
            </w:pPr>
            <w:r w:rsidRPr="005B0796">
              <w:rPr>
                <w:rFonts w:eastAsia="Times New Roman"/>
              </w:rPr>
              <w:t>7.7</w:t>
            </w:r>
          </w:p>
        </w:tc>
      </w:tr>
      <w:tr w:rsidR="000A1090" w:rsidRPr="005B0796" w14:paraId="7F488A4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7814BF0F" w14:textId="45B5A745"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Air Force</w:t>
            </w:r>
          </w:p>
        </w:tc>
        <w:tc>
          <w:tcPr>
            <w:tcW w:w="1261" w:type="dxa"/>
          </w:tcPr>
          <w:p w14:paraId="4EF2A858" w14:textId="77777777" w:rsidR="000A1090" w:rsidRPr="005B0796" w:rsidRDefault="000A1090" w:rsidP="00220382">
            <w:pPr>
              <w:pStyle w:val="TableText"/>
              <w:jc w:val="right"/>
              <w:rPr>
                <w:rFonts w:eastAsia="Times New Roman"/>
                <w:color w:val="000000" w:themeColor="text1"/>
              </w:rPr>
            </w:pPr>
            <w:r w:rsidRPr="005B0796">
              <w:rPr>
                <w:rFonts w:eastAsia="Times New Roman"/>
              </w:rPr>
              <w:t>157</w:t>
            </w:r>
          </w:p>
        </w:tc>
        <w:tc>
          <w:tcPr>
            <w:tcW w:w="1262" w:type="dxa"/>
          </w:tcPr>
          <w:p w14:paraId="4E312896" w14:textId="77777777" w:rsidR="000A1090" w:rsidRPr="005B0796" w:rsidRDefault="000A1090" w:rsidP="00220382">
            <w:pPr>
              <w:pStyle w:val="TableText"/>
              <w:jc w:val="right"/>
              <w:rPr>
                <w:rFonts w:eastAsia="Times New Roman"/>
                <w:color w:val="000000" w:themeColor="text1"/>
              </w:rPr>
            </w:pPr>
            <w:r w:rsidRPr="005B0796">
              <w:rPr>
                <w:rFonts w:eastAsia="Times New Roman"/>
              </w:rPr>
              <w:t>26</w:t>
            </w:r>
          </w:p>
        </w:tc>
        <w:tc>
          <w:tcPr>
            <w:tcW w:w="1262" w:type="dxa"/>
          </w:tcPr>
          <w:p w14:paraId="4EEEDC8E" w14:textId="77777777" w:rsidR="000A1090" w:rsidRPr="005B0796" w:rsidRDefault="000A1090" w:rsidP="00220382">
            <w:pPr>
              <w:pStyle w:val="TableText"/>
              <w:jc w:val="right"/>
              <w:rPr>
                <w:color w:val="000000" w:themeColor="text1"/>
              </w:rPr>
            </w:pPr>
            <w:r w:rsidRPr="005B0796">
              <w:rPr>
                <w:rFonts w:eastAsia="Times New Roman"/>
              </w:rPr>
              <w:t>16.6</w:t>
            </w:r>
          </w:p>
        </w:tc>
        <w:tc>
          <w:tcPr>
            <w:tcW w:w="1262" w:type="dxa"/>
          </w:tcPr>
          <w:p w14:paraId="3C901A2A" w14:textId="77777777" w:rsidR="000A1090" w:rsidRPr="005B0796" w:rsidRDefault="000A1090" w:rsidP="00220382">
            <w:pPr>
              <w:pStyle w:val="TableText"/>
              <w:jc w:val="right"/>
              <w:rPr>
                <w:rFonts w:eastAsia="Times New Roman"/>
                <w:color w:val="000000" w:themeColor="text1"/>
              </w:rPr>
            </w:pPr>
            <w:r w:rsidRPr="005B0796">
              <w:rPr>
                <w:rFonts w:eastAsia="Times New Roman"/>
              </w:rPr>
              <w:t>6.0</w:t>
            </w:r>
          </w:p>
        </w:tc>
      </w:tr>
      <w:tr w:rsidR="000A1090" w:rsidRPr="005B0796" w14:paraId="2CFC6A6D" w14:textId="77777777" w:rsidTr="00220382">
        <w:tc>
          <w:tcPr>
            <w:tcW w:w="2268" w:type="dxa"/>
          </w:tcPr>
          <w:p w14:paraId="1CEDE1D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6CFEE946" w14:textId="77777777" w:rsidR="000A1090" w:rsidRPr="005B0796" w:rsidRDefault="000A1090" w:rsidP="00220382">
            <w:pPr>
              <w:pStyle w:val="TableText"/>
              <w:jc w:val="right"/>
              <w:rPr>
                <w:rFonts w:eastAsia="Times New Roman"/>
                <w:color w:val="000000" w:themeColor="text1"/>
              </w:rPr>
            </w:pPr>
            <w:r w:rsidRPr="005B0796">
              <w:rPr>
                <w:rFonts w:eastAsia="Times New Roman"/>
              </w:rPr>
              <w:t>2257</w:t>
            </w:r>
          </w:p>
        </w:tc>
        <w:tc>
          <w:tcPr>
            <w:tcW w:w="1262" w:type="dxa"/>
          </w:tcPr>
          <w:p w14:paraId="0A48044A" w14:textId="77777777" w:rsidR="000A1090" w:rsidRPr="005B0796" w:rsidRDefault="000A1090" w:rsidP="00220382">
            <w:pPr>
              <w:pStyle w:val="TableText"/>
              <w:jc w:val="right"/>
              <w:rPr>
                <w:rFonts w:eastAsia="Times New Roman"/>
                <w:color w:val="000000" w:themeColor="text1"/>
              </w:rPr>
            </w:pPr>
            <w:r w:rsidRPr="005B0796">
              <w:rPr>
                <w:rFonts w:eastAsia="Times New Roman"/>
              </w:rPr>
              <w:t>149</w:t>
            </w:r>
          </w:p>
        </w:tc>
        <w:tc>
          <w:tcPr>
            <w:tcW w:w="1262" w:type="dxa"/>
          </w:tcPr>
          <w:p w14:paraId="07D9470E" w14:textId="77777777" w:rsidR="000A1090" w:rsidRPr="005B0796" w:rsidRDefault="000A1090" w:rsidP="00220382">
            <w:pPr>
              <w:pStyle w:val="TableText"/>
              <w:jc w:val="right"/>
              <w:rPr>
                <w:color w:val="000000" w:themeColor="text1"/>
              </w:rPr>
            </w:pPr>
            <w:r w:rsidRPr="005B0796">
              <w:rPr>
                <w:rFonts w:eastAsia="Times New Roman"/>
              </w:rPr>
              <w:t>6.6</w:t>
            </w:r>
          </w:p>
        </w:tc>
        <w:tc>
          <w:tcPr>
            <w:tcW w:w="1262" w:type="dxa"/>
          </w:tcPr>
          <w:p w14:paraId="35879218" w14:textId="77777777" w:rsidR="000A1090" w:rsidRPr="005B0796" w:rsidRDefault="000A1090" w:rsidP="00220382">
            <w:pPr>
              <w:pStyle w:val="TableText"/>
              <w:jc w:val="right"/>
              <w:rPr>
                <w:rFonts w:eastAsia="Times New Roman"/>
                <w:color w:val="000000" w:themeColor="text1"/>
              </w:rPr>
            </w:pPr>
            <w:r w:rsidRPr="005B0796">
              <w:rPr>
                <w:rFonts w:eastAsia="Times New Roman"/>
              </w:rPr>
              <w:t>15.1</w:t>
            </w:r>
          </w:p>
        </w:tc>
      </w:tr>
      <w:tr w:rsidR="000A1090" w:rsidRPr="005B0796" w14:paraId="065CBCD6"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A8BAAEA"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0B28D29D" w14:textId="77777777" w:rsidR="000A1090" w:rsidRPr="005B0796" w:rsidRDefault="000A1090" w:rsidP="00220382">
            <w:pPr>
              <w:pStyle w:val="TableText"/>
              <w:jc w:val="right"/>
              <w:rPr>
                <w:rFonts w:eastAsia="Times New Roman"/>
                <w:color w:val="000000" w:themeColor="text1"/>
              </w:rPr>
            </w:pPr>
            <w:r w:rsidRPr="005B0796">
              <w:rPr>
                <w:rFonts w:eastAsia="Times New Roman"/>
              </w:rPr>
              <w:t>3447</w:t>
            </w:r>
          </w:p>
        </w:tc>
        <w:tc>
          <w:tcPr>
            <w:tcW w:w="1262" w:type="dxa"/>
          </w:tcPr>
          <w:p w14:paraId="38249153" w14:textId="77777777" w:rsidR="000A1090" w:rsidRPr="005B0796" w:rsidRDefault="000A1090" w:rsidP="00220382">
            <w:pPr>
              <w:pStyle w:val="TableText"/>
              <w:jc w:val="right"/>
              <w:rPr>
                <w:rFonts w:eastAsia="Times New Roman"/>
                <w:color w:val="000000" w:themeColor="text1"/>
              </w:rPr>
            </w:pPr>
            <w:r w:rsidRPr="005B0796">
              <w:rPr>
                <w:rFonts w:eastAsia="Times New Roman"/>
              </w:rPr>
              <w:t>311</w:t>
            </w:r>
          </w:p>
        </w:tc>
        <w:tc>
          <w:tcPr>
            <w:tcW w:w="1262" w:type="dxa"/>
          </w:tcPr>
          <w:p w14:paraId="6DE7F125" w14:textId="77777777" w:rsidR="000A1090" w:rsidRPr="005B0796" w:rsidRDefault="000A1090" w:rsidP="00220382">
            <w:pPr>
              <w:pStyle w:val="TableText"/>
              <w:jc w:val="right"/>
              <w:rPr>
                <w:color w:val="000000" w:themeColor="text1"/>
              </w:rPr>
            </w:pPr>
            <w:r w:rsidRPr="005B0796">
              <w:rPr>
                <w:rFonts w:eastAsia="Times New Roman"/>
              </w:rPr>
              <w:t>9.0</w:t>
            </w:r>
          </w:p>
        </w:tc>
        <w:tc>
          <w:tcPr>
            <w:tcW w:w="1262" w:type="dxa"/>
          </w:tcPr>
          <w:p w14:paraId="761B0A08" w14:textId="77777777" w:rsidR="000A1090" w:rsidRPr="005B0796" w:rsidRDefault="000A1090" w:rsidP="00220382">
            <w:pPr>
              <w:pStyle w:val="TableText"/>
              <w:jc w:val="right"/>
              <w:rPr>
                <w:rFonts w:eastAsia="Times New Roman"/>
                <w:color w:val="000000" w:themeColor="text1"/>
              </w:rPr>
            </w:pPr>
            <w:r w:rsidRPr="005B0796">
              <w:rPr>
                <w:rFonts w:eastAsia="Times New Roman"/>
              </w:rPr>
              <w:t>11.1</w:t>
            </w:r>
          </w:p>
        </w:tc>
      </w:tr>
      <w:tr w:rsidR="000A1090" w:rsidRPr="005B0796" w14:paraId="41B9A8D8" w14:textId="77777777" w:rsidTr="00220382">
        <w:tc>
          <w:tcPr>
            <w:tcW w:w="2268" w:type="dxa"/>
          </w:tcPr>
          <w:p w14:paraId="2EC50ED2"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58D66727" w14:textId="77777777" w:rsidR="000A1090" w:rsidRPr="005B0796" w:rsidRDefault="000A1090" w:rsidP="00220382">
            <w:pPr>
              <w:pStyle w:val="TableText"/>
              <w:jc w:val="right"/>
              <w:rPr>
                <w:rFonts w:eastAsia="Times New Roman"/>
                <w:color w:val="000000" w:themeColor="text1"/>
              </w:rPr>
            </w:pPr>
            <w:r w:rsidRPr="005B0796">
              <w:rPr>
                <w:rFonts w:eastAsia="Times New Roman"/>
              </w:rPr>
              <w:t>1866</w:t>
            </w:r>
          </w:p>
        </w:tc>
        <w:tc>
          <w:tcPr>
            <w:tcW w:w="1262" w:type="dxa"/>
          </w:tcPr>
          <w:p w14:paraId="34402D58" w14:textId="77777777" w:rsidR="000A1090" w:rsidRPr="005B0796" w:rsidRDefault="000A1090" w:rsidP="00220382">
            <w:pPr>
              <w:pStyle w:val="TableText"/>
              <w:jc w:val="right"/>
              <w:rPr>
                <w:rFonts w:eastAsia="Times New Roman"/>
                <w:color w:val="000000" w:themeColor="text1"/>
              </w:rPr>
            </w:pPr>
            <w:r w:rsidRPr="005B0796">
              <w:rPr>
                <w:rFonts w:eastAsia="Times New Roman"/>
              </w:rPr>
              <w:t>268</w:t>
            </w:r>
          </w:p>
        </w:tc>
        <w:tc>
          <w:tcPr>
            <w:tcW w:w="1262" w:type="dxa"/>
          </w:tcPr>
          <w:p w14:paraId="1D184B35" w14:textId="77777777" w:rsidR="000A1090" w:rsidRPr="005B0796" w:rsidRDefault="000A1090" w:rsidP="00220382">
            <w:pPr>
              <w:pStyle w:val="TableText"/>
              <w:jc w:val="right"/>
              <w:rPr>
                <w:color w:val="000000" w:themeColor="text1"/>
              </w:rPr>
            </w:pPr>
            <w:r w:rsidRPr="005B0796">
              <w:rPr>
                <w:rFonts w:eastAsia="Times New Roman"/>
              </w:rPr>
              <w:t>14.4</w:t>
            </w:r>
          </w:p>
        </w:tc>
        <w:tc>
          <w:tcPr>
            <w:tcW w:w="1262" w:type="dxa"/>
          </w:tcPr>
          <w:p w14:paraId="4809F99C" w14:textId="77777777" w:rsidR="000A1090" w:rsidRPr="005B0796" w:rsidRDefault="000A1090" w:rsidP="00220382">
            <w:pPr>
              <w:pStyle w:val="TableText"/>
              <w:jc w:val="right"/>
              <w:rPr>
                <w:rFonts w:eastAsia="Times New Roman"/>
                <w:color w:val="000000" w:themeColor="text1"/>
              </w:rPr>
            </w:pPr>
            <w:r w:rsidRPr="005B0796">
              <w:rPr>
                <w:rFonts w:eastAsia="Times New Roman"/>
              </w:rPr>
              <w:t>7.0</w:t>
            </w:r>
          </w:p>
        </w:tc>
      </w:tr>
      <w:tr w:rsidR="000A1090" w:rsidRPr="005B0796" w14:paraId="3E67CE4B"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0A8F31C6"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32754176" w14:textId="77777777" w:rsidR="000A1090" w:rsidRPr="005B0796" w:rsidRDefault="000A1090" w:rsidP="00220382">
            <w:pPr>
              <w:pStyle w:val="TableText"/>
              <w:jc w:val="right"/>
              <w:rPr>
                <w:rFonts w:eastAsia="Times New Roman"/>
                <w:color w:val="000000" w:themeColor="text1"/>
                <w:lang w:eastAsia="en-GB"/>
              </w:rPr>
            </w:pPr>
            <w:r w:rsidRPr="005B0796">
              <w:rPr>
                <w:rFonts w:eastAsia="Times New Roman"/>
              </w:rPr>
              <w:t>334</w:t>
            </w:r>
          </w:p>
        </w:tc>
        <w:tc>
          <w:tcPr>
            <w:tcW w:w="1262" w:type="dxa"/>
          </w:tcPr>
          <w:p w14:paraId="575D1F1D" w14:textId="77777777" w:rsidR="000A1090" w:rsidRPr="005B0796" w:rsidRDefault="000A1090" w:rsidP="00220382">
            <w:pPr>
              <w:pStyle w:val="TableText"/>
              <w:jc w:val="right"/>
              <w:rPr>
                <w:rFonts w:eastAsia="Times New Roman"/>
                <w:color w:val="000000" w:themeColor="text1"/>
              </w:rPr>
            </w:pPr>
            <w:r w:rsidRPr="005B0796">
              <w:rPr>
                <w:rFonts w:eastAsia="Times New Roman"/>
              </w:rPr>
              <w:t>23</w:t>
            </w:r>
          </w:p>
        </w:tc>
        <w:tc>
          <w:tcPr>
            <w:tcW w:w="1262" w:type="dxa"/>
          </w:tcPr>
          <w:p w14:paraId="2A7F6DCF" w14:textId="77777777" w:rsidR="000A1090" w:rsidRPr="005B0796" w:rsidRDefault="000A1090" w:rsidP="00220382">
            <w:pPr>
              <w:pStyle w:val="TableText"/>
              <w:jc w:val="right"/>
              <w:rPr>
                <w:color w:val="000000" w:themeColor="text1"/>
              </w:rPr>
            </w:pPr>
            <w:r w:rsidRPr="005B0796">
              <w:rPr>
                <w:rFonts w:eastAsia="Times New Roman"/>
              </w:rPr>
              <w:t>6.9</w:t>
            </w:r>
          </w:p>
        </w:tc>
        <w:tc>
          <w:tcPr>
            <w:tcW w:w="1262" w:type="dxa"/>
          </w:tcPr>
          <w:p w14:paraId="75A4629B" w14:textId="77777777" w:rsidR="000A1090" w:rsidRPr="005B0796" w:rsidRDefault="000A1090" w:rsidP="00220382">
            <w:pPr>
              <w:pStyle w:val="TableText"/>
              <w:jc w:val="right"/>
              <w:rPr>
                <w:rFonts w:eastAsia="Times New Roman"/>
                <w:color w:val="000000" w:themeColor="text1"/>
              </w:rPr>
            </w:pPr>
            <w:r w:rsidRPr="005B0796">
              <w:rPr>
                <w:rFonts w:eastAsia="Times New Roman"/>
              </w:rPr>
              <w:t>14.5</w:t>
            </w:r>
          </w:p>
        </w:tc>
      </w:tr>
      <w:tr w:rsidR="000A1090" w:rsidRPr="005B0796" w14:paraId="04F5EC39" w14:textId="77777777" w:rsidTr="00220382">
        <w:tc>
          <w:tcPr>
            <w:tcW w:w="2268" w:type="dxa"/>
          </w:tcPr>
          <w:p w14:paraId="2F61E1F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5927C9CE" w14:textId="77777777" w:rsidR="000A1090" w:rsidRPr="005B0796" w:rsidRDefault="000A1090" w:rsidP="00220382">
            <w:pPr>
              <w:pStyle w:val="TableText"/>
              <w:jc w:val="right"/>
              <w:rPr>
                <w:rFonts w:eastAsia="Times New Roman"/>
                <w:color w:val="000000" w:themeColor="text1"/>
              </w:rPr>
            </w:pPr>
            <w:r w:rsidRPr="005B0796">
              <w:rPr>
                <w:rFonts w:eastAsia="Times New Roman"/>
              </w:rPr>
              <w:t>575</w:t>
            </w:r>
          </w:p>
        </w:tc>
        <w:tc>
          <w:tcPr>
            <w:tcW w:w="1262" w:type="dxa"/>
          </w:tcPr>
          <w:p w14:paraId="6675B954" w14:textId="77777777" w:rsidR="000A1090" w:rsidRPr="005B0796" w:rsidRDefault="000A1090" w:rsidP="00220382">
            <w:pPr>
              <w:pStyle w:val="TableText"/>
              <w:jc w:val="right"/>
              <w:rPr>
                <w:rFonts w:eastAsia="Times New Roman"/>
                <w:color w:val="000000" w:themeColor="text1"/>
              </w:rPr>
            </w:pPr>
            <w:r w:rsidRPr="005B0796">
              <w:rPr>
                <w:rFonts w:eastAsia="Times New Roman"/>
              </w:rPr>
              <w:t>59</w:t>
            </w:r>
          </w:p>
        </w:tc>
        <w:tc>
          <w:tcPr>
            <w:tcW w:w="1262" w:type="dxa"/>
          </w:tcPr>
          <w:p w14:paraId="4D53AF05" w14:textId="77777777" w:rsidR="000A1090" w:rsidRPr="005B0796" w:rsidRDefault="000A1090" w:rsidP="00220382">
            <w:pPr>
              <w:pStyle w:val="TableText"/>
              <w:jc w:val="right"/>
              <w:rPr>
                <w:color w:val="000000" w:themeColor="text1"/>
              </w:rPr>
            </w:pPr>
            <w:r w:rsidRPr="005B0796">
              <w:rPr>
                <w:rFonts w:eastAsia="Times New Roman"/>
              </w:rPr>
              <w:t>10.3</w:t>
            </w:r>
          </w:p>
        </w:tc>
        <w:tc>
          <w:tcPr>
            <w:tcW w:w="1262" w:type="dxa"/>
          </w:tcPr>
          <w:p w14:paraId="1E6E350D" w14:textId="77777777" w:rsidR="000A1090" w:rsidRPr="005B0796" w:rsidRDefault="000A1090" w:rsidP="00220382">
            <w:pPr>
              <w:pStyle w:val="TableText"/>
              <w:jc w:val="right"/>
              <w:rPr>
                <w:rFonts w:eastAsia="Times New Roman"/>
                <w:color w:val="000000" w:themeColor="text1"/>
              </w:rPr>
            </w:pPr>
            <w:r w:rsidRPr="005B0796">
              <w:rPr>
                <w:rFonts w:eastAsia="Times New Roman"/>
              </w:rPr>
              <w:t>9.7</w:t>
            </w:r>
          </w:p>
        </w:tc>
      </w:tr>
      <w:tr w:rsidR="000A1090" w:rsidRPr="005B0796" w14:paraId="6B9D5693"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973F888"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21127198" w14:textId="77777777" w:rsidR="000A1090" w:rsidRPr="005B0796" w:rsidRDefault="000A1090" w:rsidP="00220382">
            <w:pPr>
              <w:pStyle w:val="TableText"/>
              <w:jc w:val="right"/>
              <w:rPr>
                <w:rFonts w:eastAsia="Times New Roman"/>
                <w:color w:val="000000" w:themeColor="text1"/>
              </w:rPr>
            </w:pPr>
            <w:r w:rsidRPr="005B0796">
              <w:rPr>
                <w:rFonts w:eastAsia="Times New Roman"/>
              </w:rPr>
              <w:t>257</w:t>
            </w:r>
          </w:p>
        </w:tc>
        <w:tc>
          <w:tcPr>
            <w:tcW w:w="1262" w:type="dxa"/>
          </w:tcPr>
          <w:p w14:paraId="5B9C952E" w14:textId="77777777" w:rsidR="000A1090" w:rsidRPr="005B0796" w:rsidRDefault="000A1090" w:rsidP="00220382">
            <w:pPr>
              <w:pStyle w:val="TableText"/>
              <w:jc w:val="right"/>
              <w:rPr>
                <w:rFonts w:eastAsia="Times New Roman"/>
                <w:color w:val="000000" w:themeColor="text1"/>
              </w:rPr>
            </w:pPr>
            <w:r w:rsidRPr="005B0796">
              <w:rPr>
                <w:rFonts w:eastAsia="Times New Roman"/>
              </w:rPr>
              <w:t>28</w:t>
            </w:r>
          </w:p>
        </w:tc>
        <w:tc>
          <w:tcPr>
            <w:tcW w:w="1262" w:type="dxa"/>
          </w:tcPr>
          <w:p w14:paraId="2113F20F" w14:textId="77777777" w:rsidR="000A1090" w:rsidRPr="005B0796" w:rsidRDefault="000A1090" w:rsidP="00220382">
            <w:pPr>
              <w:pStyle w:val="TableText"/>
              <w:jc w:val="right"/>
              <w:rPr>
                <w:color w:val="000000" w:themeColor="text1"/>
              </w:rPr>
            </w:pPr>
            <w:r w:rsidRPr="005B0796">
              <w:rPr>
                <w:rFonts w:eastAsia="Times New Roman"/>
              </w:rPr>
              <w:t>10.9</w:t>
            </w:r>
          </w:p>
        </w:tc>
        <w:tc>
          <w:tcPr>
            <w:tcW w:w="1262" w:type="dxa"/>
          </w:tcPr>
          <w:p w14:paraId="1539F5F4" w14:textId="77777777" w:rsidR="000A1090" w:rsidRPr="005B0796" w:rsidRDefault="000A1090" w:rsidP="00220382">
            <w:pPr>
              <w:pStyle w:val="TableText"/>
              <w:jc w:val="right"/>
              <w:rPr>
                <w:rFonts w:eastAsia="Times New Roman"/>
                <w:color w:val="000000" w:themeColor="text1"/>
              </w:rPr>
            </w:pPr>
            <w:r w:rsidRPr="005B0796">
              <w:rPr>
                <w:rFonts w:eastAsia="Times New Roman"/>
              </w:rPr>
              <w:t>9.2</w:t>
            </w:r>
          </w:p>
        </w:tc>
      </w:tr>
      <w:tr w:rsidR="000A1090" w:rsidRPr="005B0796" w14:paraId="2FFDB751" w14:textId="77777777" w:rsidTr="00220382">
        <w:tc>
          <w:tcPr>
            <w:tcW w:w="2268" w:type="dxa"/>
          </w:tcPr>
          <w:p w14:paraId="0E0F237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75CF5806" w14:textId="77777777" w:rsidR="000A1090" w:rsidRPr="005B0796" w:rsidRDefault="000A1090" w:rsidP="00220382">
            <w:pPr>
              <w:pStyle w:val="TableText"/>
              <w:jc w:val="right"/>
              <w:rPr>
                <w:rFonts w:eastAsia="Times New Roman"/>
                <w:color w:val="000000" w:themeColor="text1"/>
              </w:rPr>
            </w:pPr>
            <w:r w:rsidRPr="005B0796">
              <w:rPr>
                <w:rFonts w:eastAsia="Times New Roman"/>
              </w:rPr>
              <w:t>4451</w:t>
            </w:r>
          </w:p>
        </w:tc>
        <w:tc>
          <w:tcPr>
            <w:tcW w:w="1262" w:type="dxa"/>
          </w:tcPr>
          <w:p w14:paraId="2E70E44E" w14:textId="77777777" w:rsidR="000A1090" w:rsidRPr="005B0796" w:rsidRDefault="000A1090" w:rsidP="00220382">
            <w:pPr>
              <w:pStyle w:val="TableText"/>
              <w:jc w:val="right"/>
              <w:rPr>
                <w:rFonts w:eastAsia="Times New Roman"/>
                <w:color w:val="000000" w:themeColor="text1"/>
              </w:rPr>
            </w:pPr>
            <w:r w:rsidRPr="005B0796">
              <w:rPr>
                <w:rFonts w:eastAsia="Times New Roman"/>
              </w:rPr>
              <w:t>28</w:t>
            </w:r>
          </w:p>
        </w:tc>
        <w:tc>
          <w:tcPr>
            <w:tcW w:w="1262" w:type="dxa"/>
          </w:tcPr>
          <w:p w14:paraId="3BF33D35" w14:textId="77777777" w:rsidR="000A1090" w:rsidRPr="005B0796" w:rsidRDefault="000A1090" w:rsidP="00220382">
            <w:pPr>
              <w:pStyle w:val="TableText"/>
              <w:jc w:val="right"/>
              <w:rPr>
                <w:color w:val="000000" w:themeColor="text1"/>
              </w:rPr>
            </w:pPr>
            <w:r w:rsidRPr="005B0796">
              <w:rPr>
                <w:rFonts w:eastAsia="Times New Roman"/>
              </w:rPr>
              <w:t>0.6</w:t>
            </w:r>
          </w:p>
        </w:tc>
        <w:tc>
          <w:tcPr>
            <w:tcW w:w="1262" w:type="dxa"/>
          </w:tcPr>
          <w:p w14:paraId="7D7FEEEB" w14:textId="77777777" w:rsidR="000A1090" w:rsidRPr="005B0796" w:rsidRDefault="000A1090" w:rsidP="00220382">
            <w:pPr>
              <w:pStyle w:val="TableText"/>
              <w:jc w:val="right"/>
              <w:rPr>
                <w:rFonts w:eastAsia="Times New Roman"/>
                <w:color w:val="000000" w:themeColor="text1"/>
              </w:rPr>
            </w:pPr>
            <w:r w:rsidRPr="005B0796">
              <w:rPr>
                <w:rFonts w:eastAsia="Times New Roman"/>
              </w:rPr>
              <w:t>159.0</w:t>
            </w:r>
          </w:p>
        </w:tc>
      </w:tr>
      <w:tr w:rsidR="000A1090" w:rsidRPr="005B0796" w14:paraId="12EF4297"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36E6156"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2C9901F3" w14:textId="77777777" w:rsidR="000A1090" w:rsidRPr="005B0796" w:rsidRDefault="000A1090" w:rsidP="00220382">
            <w:pPr>
              <w:pStyle w:val="TableText"/>
              <w:jc w:val="right"/>
              <w:rPr>
                <w:rFonts w:eastAsia="Times New Roman"/>
                <w:color w:val="000000" w:themeColor="text1"/>
              </w:rPr>
            </w:pPr>
            <w:r w:rsidRPr="005B0796">
              <w:rPr>
                <w:rFonts w:eastAsia="Times New Roman"/>
              </w:rPr>
              <w:t>10074</w:t>
            </w:r>
          </w:p>
        </w:tc>
        <w:tc>
          <w:tcPr>
            <w:tcW w:w="1262" w:type="dxa"/>
          </w:tcPr>
          <w:p w14:paraId="04EC9BBA" w14:textId="77777777" w:rsidR="000A1090" w:rsidRPr="005B0796" w:rsidRDefault="000A1090" w:rsidP="00220382">
            <w:pPr>
              <w:pStyle w:val="TableText"/>
              <w:jc w:val="right"/>
              <w:rPr>
                <w:rFonts w:eastAsia="Times New Roman"/>
                <w:color w:val="000000" w:themeColor="text1"/>
              </w:rPr>
            </w:pPr>
            <w:r w:rsidRPr="005B0796">
              <w:rPr>
                <w:rFonts w:eastAsia="Times New Roman"/>
              </w:rPr>
              <w:t>43</w:t>
            </w:r>
          </w:p>
        </w:tc>
        <w:tc>
          <w:tcPr>
            <w:tcW w:w="1262" w:type="dxa"/>
          </w:tcPr>
          <w:p w14:paraId="041ED6E3" w14:textId="77777777" w:rsidR="000A1090" w:rsidRPr="005B0796" w:rsidRDefault="000A1090" w:rsidP="00220382">
            <w:pPr>
              <w:pStyle w:val="TableText"/>
              <w:jc w:val="right"/>
              <w:rPr>
                <w:color w:val="000000" w:themeColor="text1"/>
              </w:rPr>
            </w:pPr>
            <w:r w:rsidRPr="005B0796">
              <w:rPr>
                <w:rFonts w:eastAsia="Times New Roman"/>
              </w:rPr>
              <w:t>0.4</w:t>
            </w:r>
          </w:p>
        </w:tc>
        <w:tc>
          <w:tcPr>
            <w:tcW w:w="1262" w:type="dxa"/>
          </w:tcPr>
          <w:p w14:paraId="2E266B4D" w14:textId="77777777" w:rsidR="000A1090" w:rsidRPr="005B0796" w:rsidRDefault="000A1090" w:rsidP="00220382">
            <w:pPr>
              <w:pStyle w:val="TableText"/>
              <w:jc w:val="right"/>
              <w:rPr>
                <w:rFonts w:eastAsia="Times New Roman"/>
                <w:color w:val="000000" w:themeColor="text1"/>
              </w:rPr>
            </w:pPr>
            <w:r w:rsidRPr="005B0796">
              <w:rPr>
                <w:rFonts w:eastAsia="Times New Roman"/>
              </w:rPr>
              <w:t>234.3</w:t>
            </w:r>
          </w:p>
        </w:tc>
      </w:tr>
      <w:tr w:rsidR="000A1090" w:rsidRPr="005B0796" w14:paraId="652A5864" w14:textId="77777777" w:rsidTr="00220382">
        <w:tc>
          <w:tcPr>
            <w:tcW w:w="2268" w:type="dxa"/>
          </w:tcPr>
          <w:p w14:paraId="7FDA579E"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76605483" w14:textId="77777777" w:rsidR="000A1090" w:rsidRPr="005B0796" w:rsidRDefault="000A1090" w:rsidP="00220382">
            <w:pPr>
              <w:pStyle w:val="TableText"/>
              <w:jc w:val="right"/>
              <w:rPr>
                <w:rFonts w:eastAsia="Times New Roman"/>
                <w:color w:val="000000" w:themeColor="text1"/>
              </w:rPr>
            </w:pPr>
            <w:r w:rsidRPr="005B0796">
              <w:rPr>
                <w:rFonts w:eastAsia="Times New Roman"/>
              </w:rPr>
              <w:t>2659</w:t>
            </w:r>
          </w:p>
        </w:tc>
        <w:tc>
          <w:tcPr>
            <w:tcW w:w="1262" w:type="dxa"/>
          </w:tcPr>
          <w:p w14:paraId="68971934" w14:textId="77777777" w:rsidR="000A1090" w:rsidRPr="005B0796" w:rsidRDefault="000A1090" w:rsidP="00220382">
            <w:pPr>
              <w:pStyle w:val="TableText"/>
              <w:jc w:val="right"/>
              <w:rPr>
                <w:rFonts w:eastAsia="Times New Roman"/>
                <w:color w:val="000000" w:themeColor="text1"/>
              </w:rPr>
            </w:pPr>
            <w:r w:rsidRPr="005B0796">
              <w:rPr>
                <w:rFonts w:eastAsia="Times New Roman"/>
              </w:rPr>
              <w:t>47</w:t>
            </w:r>
          </w:p>
        </w:tc>
        <w:tc>
          <w:tcPr>
            <w:tcW w:w="1262" w:type="dxa"/>
          </w:tcPr>
          <w:p w14:paraId="07AEC439" w14:textId="77777777" w:rsidR="000A1090" w:rsidRPr="005B0796" w:rsidRDefault="000A1090" w:rsidP="00220382">
            <w:pPr>
              <w:pStyle w:val="TableText"/>
              <w:jc w:val="right"/>
              <w:rPr>
                <w:color w:val="000000" w:themeColor="text1"/>
              </w:rPr>
            </w:pPr>
            <w:r w:rsidRPr="005B0796">
              <w:rPr>
                <w:rFonts w:eastAsia="Times New Roman"/>
              </w:rPr>
              <w:t>1.8</w:t>
            </w:r>
          </w:p>
        </w:tc>
        <w:tc>
          <w:tcPr>
            <w:tcW w:w="1262" w:type="dxa"/>
          </w:tcPr>
          <w:p w14:paraId="56AA7A80" w14:textId="77777777" w:rsidR="000A1090" w:rsidRPr="005B0796" w:rsidRDefault="000A1090" w:rsidP="00220382">
            <w:pPr>
              <w:pStyle w:val="TableText"/>
              <w:jc w:val="right"/>
              <w:rPr>
                <w:rFonts w:eastAsia="Times New Roman"/>
                <w:color w:val="000000" w:themeColor="text1"/>
              </w:rPr>
            </w:pPr>
            <w:r w:rsidRPr="005B0796">
              <w:rPr>
                <w:rFonts w:eastAsia="Times New Roman"/>
              </w:rPr>
              <w:t>56.6</w:t>
            </w:r>
          </w:p>
        </w:tc>
      </w:tr>
      <w:tr w:rsidR="000A1090" w:rsidRPr="005B0796" w14:paraId="1600DA83"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48DD0A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Navy</w:t>
            </w:r>
          </w:p>
        </w:tc>
        <w:tc>
          <w:tcPr>
            <w:tcW w:w="1261" w:type="dxa"/>
          </w:tcPr>
          <w:p w14:paraId="6F89F506" w14:textId="77777777" w:rsidR="000A1090" w:rsidRPr="005B0796" w:rsidRDefault="000A1090" w:rsidP="00220382">
            <w:pPr>
              <w:pStyle w:val="TableText"/>
              <w:jc w:val="right"/>
              <w:rPr>
                <w:rFonts w:eastAsia="Times New Roman"/>
                <w:color w:val="000000" w:themeColor="text1"/>
              </w:rPr>
            </w:pPr>
            <w:r w:rsidRPr="005B0796">
              <w:rPr>
                <w:rFonts w:eastAsia="Times New Roman"/>
              </w:rPr>
              <w:t>491</w:t>
            </w:r>
          </w:p>
        </w:tc>
        <w:tc>
          <w:tcPr>
            <w:tcW w:w="1262" w:type="dxa"/>
          </w:tcPr>
          <w:p w14:paraId="1A89D208" w14:textId="77777777" w:rsidR="000A1090" w:rsidRPr="005B0796" w:rsidRDefault="000A1090" w:rsidP="00220382">
            <w:pPr>
              <w:pStyle w:val="TableText"/>
              <w:jc w:val="right"/>
              <w:rPr>
                <w:rFonts w:eastAsia="Times New Roman"/>
                <w:color w:val="000000" w:themeColor="text1"/>
              </w:rPr>
            </w:pPr>
            <w:r w:rsidRPr="005B0796">
              <w:rPr>
                <w:rFonts w:eastAsia="Times New Roman"/>
              </w:rPr>
              <w:t>4</w:t>
            </w:r>
          </w:p>
        </w:tc>
        <w:tc>
          <w:tcPr>
            <w:tcW w:w="1262" w:type="dxa"/>
          </w:tcPr>
          <w:p w14:paraId="344B3148" w14:textId="77777777" w:rsidR="000A1090" w:rsidRPr="005B0796" w:rsidRDefault="000A1090" w:rsidP="00220382">
            <w:pPr>
              <w:pStyle w:val="TableText"/>
              <w:jc w:val="right"/>
              <w:rPr>
                <w:color w:val="000000" w:themeColor="text1"/>
              </w:rPr>
            </w:pPr>
            <w:r w:rsidRPr="005B0796">
              <w:rPr>
                <w:rFonts w:eastAsia="Times New Roman"/>
              </w:rPr>
              <w:t>0.8</w:t>
            </w:r>
          </w:p>
        </w:tc>
        <w:tc>
          <w:tcPr>
            <w:tcW w:w="1262" w:type="dxa"/>
          </w:tcPr>
          <w:p w14:paraId="43AE6FB9" w14:textId="77777777" w:rsidR="000A1090" w:rsidRPr="005B0796" w:rsidRDefault="000A1090" w:rsidP="00220382">
            <w:pPr>
              <w:pStyle w:val="TableText"/>
              <w:jc w:val="right"/>
              <w:rPr>
                <w:rFonts w:eastAsia="Times New Roman"/>
                <w:color w:val="000000" w:themeColor="text1"/>
              </w:rPr>
            </w:pPr>
            <w:r w:rsidRPr="005B0796">
              <w:rPr>
                <w:rFonts w:eastAsia="Times New Roman"/>
              </w:rPr>
              <w:t>122.8</w:t>
            </w:r>
          </w:p>
        </w:tc>
      </w:tr>
      <w:tr w:rsidR="000A1090" w:rsidRPr="005B0796" w14:paraId="1693A7A2" w14:textId="77777777" w:rsidTr="00220382">
        <w:tc>
          <w:tcPr>
            <w:tcW w:w="2268" w:type="dxa"/>
          </w:tcPr>
          <w:p w14:paraId="39CB7FF3"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4EF85522" w14:textId="77777777" w:rsidR="000A1090" w:rsidRPr="005B0796" w:rsidRDefault="000A1090" w:rsidP="00220382">
            <w:pPr>
              <w:pStyle w:val="TableText"/>
              <w:jc w:val="right"/>
              <w:rPr>
                <w:rFonts w:eastAsia="Times New Roman"/>
                <w:color w:val="000000" w:themeColor="text1"/>
              </w:rPr>
            </w:pPr>
            <w:r w:rsidRPr="005B0796">
              <w:rPr>
                <w:rFonts w:eastAsia="Times New Roman"/>
              </w:rPr>
              <w:t>1375</w:t>
            </w:r>
          </w:p>
        </w:tc>
        <w:tc>
          <w:tcPr>
            <w:tcW w:w="1262" w:type="dxa"/>
          </w:tcPr>
          <w:p w14:paraId="27E6DA9C" w14:textId="77777777" w:rsidR="000A1090" w:rsidRPr="005B0796" w:rsidRDefault="000A1090" w:rsidP="00220382">
            <w:pPr>
              <w:pStyle w:val="TableText"/>
              <w:jc w:val="right"/>
              <w:rPr>
                <w:rFonts w:eastAsia="Times New Roman"/>
                <w:color w:val="000000" w:themeColor="text1"/>
              </w:rPr>
            </w:pPr>
            <w:r w:rsidRPr="005B0796">
              <w:rPr>
                <w:rFonts w:eastAsia="Times New Roman"/>
              </w:rPr>
              <w:t>14</w:t>
            </w:r>
          </w:p>
        </w:tc>
        <w:tc>
          <w:tcPr>
            <w:tcW w:w="1262" w:type="dxa"/>
          </w:tcPr>
          <w:p w14:paraId="5E5D63AB" w14:textId="77777777" w:rsidR="000A1090" w:rsidRPr="005B0796" w:rsidRDefault="000A1090" w:rsidP="00220382">
            <w:pPr>
              <w:pStyle w:val="TableText"/>
              <w:jc w:val="right"/>
              <w:rPr>
                <w:color w:val="000000" w:themeColor="text1"/>
              </w:rPr>
            </w:pPr>
            <w:r w:rsidRPr="005B0796">
              <w:rPr>
                <w:rFonts w:eastAsia="Times New Roman"/>
              </w:rPr>
              <w:t>1.0</w:t>
            </w:r>
          </w:p>
        </w:tc>
        <w:tc>
          <w:tcPr>
            <w:tcW w:w="1262" w:type="dxa"/>
          </w:tcPr>
          <w:p w14:paraId="3FC57E86" w14:textId="77777777" w:rsidR="000A1090" w:rsidRPr="005B0796" w:rsidRDefault="000A1090" w:rsidP="00220382">
            <w:pPr>
              <w:pStyle w:val="TableText"/>
              <w:jc w:val="right"/>
              <w:rPr>
                <w:rFonts w:eastAsia="Times New Roman"/>
                <w:color w:val="000000" w:themeColor="text1"/>
              </w:rPr>
            </w:pPr>
            <w:r w:rsidRPr="005B0796">
              <w:rPr>
                <w:rFonts w:eastAsia="Times New Roman"/>
              </w:rPr>
              <w:t>98.2</w:t>
            </w:r>
          </w:p>
        </w:tc>
      </w:tr>
      <w:tr w:rsidR="000A1090" w:rsidRPr="005B0796" w14:paraId="76167E89"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992BA3C" w14:textId="320DA11B"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 xml:space="preserve">Male | Other </w:t>
            </w:r>
            <w:r w:rsidR="007D4D7B">
              <w:rPr>
                <w:rFonts w:eastAsia="Times New Roman"/>
                <w:color w:val="000000" w:themeColor="text1"/>
              </w:rPr>
              <w:t xml:space="preserve">Rank </w:t>
            </w:r>
            <w:r w:rsidRPr="005B0796">
              <w:rPr>
                <w:rFonts w:eastAsia="Times New Roman"/>
                <w:color w:val="000000" w:themeColor="text1"/>
              </w:rPr>
              <w:t>| unfit | Air Force</w:t>
            </w:r>
          </w:p>
        </w:tc>
        <w:tc>
          <w:tcPr>
            <w:tcW w:w="1261" w:type="dxa"/>
          </w:tcPr>
          <w:p w14:paraId="4CFF551B" w14:textId="77777777" w:rsidR="000A1090" w:rsidRPr="005B0796" w:rsidRDefault="000A1090" w:rsidP="00220382">
            <w:pPr>
              <w:pStyle w:val="TableText"/>
              <w:jc w:val="right"/>
              <w:rPr>
                <w:rFonts w:eastAsia="Times New Roman"/>
                <w:color w:val="000000" w:themeColor="text1"/>
              </w:rPr>
            </w:pPr>
            <w:r w:rsidRPr="005B0796">
              <w:rPr>
                <w:rFonts w:eastAsia="Times New Roman"/>
              </w:rPr>
              <w:t>268</w:t>
            </w:r>
          </w:p>
        </w:tc>
        <w:tc>
          <w:tcPr>
            <w:tcW w:w="1262" w:type="dxa"/>
          </w:tcPr>
          <w:p w14:paraId="7A70C752" w14:textId="77777777" w:rsidR="000A1090" w:rsidRPr="005B0796" w:rsidRDefault="000A1090" w:rsidP="00220382">
            <w:pPr>
              <w:pStyle w:val="TableText"/>
              <w:jc w:val="right"/>
              <w:rPr>
                <w:rFonts w:eastAsia="Times New Roman"/>
                <w:color w:val="000000" w:themeColor="text1"/>
              </w:rPr>
            </w:pPr>
            <w:r w:rsidRPr="005B0796">
              <w:rPr>
                <w:rFonts w:eastAsia="Times New Roman"/>
              </w:rPr>
              <w:t>12</w:t>
            </w:r>
          </w:p>
        </w:tc>
        <w:tc>
          <w:tcPr>
            <w:tcW w:w="1262" w:type="dxa"/>
          </w:tcPr>
          <w:p w14:paraId="539B7ED0" w14:textId="77777777" w:rsidR="000A1090" w:rsidRPr="005B0796" w:rsidRDefault="000A1090" w:rsidP="00220382">
            <w:pPr>
              <w:pStyle w:val="TableText"/>
              <w:jc w:val="right"/>
              <w:rPr>
                <w:color w:val="000000" w:themeColor="text1"/>
              </w:rPr>
            </w:pPr>
            <w:r w:rsidRPr="005B0796">
              <w:rPr>
                <w:rFonts w:eastAsia="Times New Roman"/>
              </w:rPr>
              <w:t>4.5</w:t>
            </w:r>
          </w:p>
        </w:tc>
        <w:tc>
          <w:tcPr>
            <w:tcW w:w="1262" w:type="dxa"/>
          </w:tcPr>
          <w:p w14:paraId="0F5CCC4E" w14:textId="77777777" w:rsidR="000A1090" w:rsidRPr="005B0796" w:rsidRDefault="000A1090" w:rsidP="00220382">
            <w:pPr>
              <w:pStyle w:val="TableText"/>
              <w:jc w:val="right"/>
              <w:rPr>
                <w:rFonts w:eastAsia="Times New Roman"/>
                <w:color w:val="000000" w:themeColor="text1"/>
              </w:rPr>
            </w:pPr>
            <w:r w:rsidRPr="005B0796">
              <w:rPr>
                <w:rFonts w:eastAsia="Times New Roman"/>
              </w:rPr>
              <w:t>22.3</w:t>
            </w:r>
          </w:p>
        </w:tc>
      </w:tr>
    </w:tbl>
    <w:p w14:paraId="5801426F" w14:textId="3F58FEF5" w:rsidR="000A1090" w:rsidRPr="005B0796" w:rsidRDefault="007D4D7B" w:rsidP="000A1090">
      <w:pPr>
        <w:pStyle w:val="TableNotes"/>
      </w:pPr>
      <w:r>
        <w:t>NCO = Non-Commissioned Officer</w:t>
      </w:r>
    </w:p>
    <w:p w14:paraId="435E6F1F" w14:textId="725BAC5B" w:rsidR="000A1090" w:rsidRPr="005B0796" w:rsidRDefault="000A1090" w:rsidP="000A1090">
      <w:pPr>
        <w:pStyle w:val="TableName"/>
      </w:pPr>
      <w:bookmarkStart w:id="679" w:name="_Toc511900515"/>
      <w:bookmarkStart w:id="680" w:name="_Toc532473629"/>
      <w:r w:rsidRPr="005B0796">
        <w:t xml:space="preserve">Table </w:t>
      </w:r>
      <w:r>
        <w:t>A.11</w:t>
      </w:r>
      <w:r w:rsidRPr="005B0796">
        <w:tab/>
        <w:t>Strata description</w:t>
      </w:r>
      <w:r w:rsidR="007D4D7B">
        <w:t xml:space="preserve"> –</w:t>
      </w:r>
      <w:r w:rsidRPr="005B0796">
        <w:t xml:space="preserve"> Transitioned ADF</w:t>
      </w:r>
      <w:bookmarkEnd w:id="679"/>
      <w:bookmarkEnd w:id="680"/>
    </w:p>
    <w:tbl>
      <w:tblPr>
        <w:tblStyle w:val="TWRPTable"/>
        <w:tblW w:w="5000" w:type="pct"/>
        <w:tblLayout w:type="fixed"/>
        <w:tblLook w:val="04A0" w:firstRow="1" w:lastRow="0" w:firstColumn="1" w:lastColumn="0" w:noHBand="0" w:noVBand="1"/>
        <w:tblDescription w:val="Table A.11 Strata description – Transitioned ADF"/>
      </w:tblPr>
      <w:tblGrid>
        <w:gridCol w:w="2268"/>
        <w:gridCol w:w="1261"/>
        <w:gridCol w:w="1262"/>
        <w:gridCol w:w="1262"/>
        <w:gridCol w:w="1262"/>
      </w:tblGrid>
      <w:tr w:rsidR="000A1090" w:rsidRPr="005B0796" w14:paraId="19EEE75D"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18D9C717" w14:textId="77777777" w:rsidR="000A1090" w:rsidRPr="005B0796" w:rsidRDefault="000A1090" w:rsidP="00220382">
            <w:pPr>
              <w:pStyle w:val="TableText"/>
            </w:pPr>
            <w:r w:rsidRPr="005B0796">
              <w:t>Strata</w:t>
            </w:r>
            <w:r w:rsidRPr="005B0796">
              <w:br/>
            </w:r>
            <w:r w:rsidRPr="005B0796">
              <w:rPr>
                <w:rFonts w:eastAsia="Times New Roman"/>
              </w:rPr>
              <w:t>Sex | Rank | Medical fitness | Service</w:t>
            </w:r>
          </w:p>
        </w:tc>
        <w:tc>
          <w:tcPr>
            <w:tcW w:w="5047" w:type="dxa"/>
            <w:gridSpan w:val="4"/>
          </w:tcPr>
          <w:p w14:paraId="75B77420" w14:textId="77777777" w:rsidR="000A1090" w:rsidRPr="005B0796" w:rsidRDefault="000A1090" w:rsidP="00220382">
            <w:pPr>
              <w:pStyle w:val="TableText"/>
              <w:jc w:val="center"/>
            </w:pPr>
            <w:r w:rsidRPr="005B0796">
              <w:rPr>
                <w:color w:val="000000" w:themeColor="text1"/>
              </w:rPr>
              <w:t>Transitioned ADF</w:t>
            </w:r>
          </w:p>
        </w:tc>
      </w:tr>
      <w:tr w:rsidR="000A1090" w:rsidRPr="005B0796" w14:paraId="11AB729B" w14:textId="77777777" w:rsidTr="00220382">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7D2E9873" w14:textId="77777777" w:rsidR="000A1090" w:rsidRPr="005B0796" w:rsidRDefault="000A1090" w:rsidP="00220382">
            <w:pPr>
              <w:pStyle w:val="TableText"/>
            </w:pPr>
          </w:p>
        </w:tc>
        <w:tc>
          <w:tcPr>
            <w:tcW w:w="1261" w:type="dxa"/>
          </w:tcPr>
          <w:p w14:paraId="7F9B606B" w14:textId="77777777" w:rsidR="000A1090" w:rsidRPr="005B0796" w:rsidRDefault="000A1090" w:rsidP="00220382">
            <w:pPr>
              <w:pStyle w:val="TableText"/>
              <w:jc w:val="right"/>
            </w:pPr>
            <w:r w:rsidRPr="005B0796">
              <w:t>Population</w:t>
            </w:r>
          </w:p>
        </w:tc>
        <w:tc>
          <w:tcPr>
            <w:tcW w:w="1262" w:type="dxa"/>
          </w:tcPr>
          <w:p w14:paraId="06CEF7C3" w14:textId="4FEA639F" w:rsidR="000A1090" w:rsidRPr="005B0796" w:rsidRDefault="000A1090" w:rsidP="00220382">
            <w:pPr>
              <w:pStyle w:val="TableText"/>
              <w:jc w:val="right"/>
            </w:pPr>
            <w:r w:rsidRPr="005B0796">
              <w:t>Responder</w:t>
            </w:r>
            <w:r w:rsidR="007D4D7B">
              <w:t>s</w:t>
            </w:r>
          </w:p>
        </w:tc>
        <w:tc>
          <w:tcPr>
            <w:tcW w:w="1262" w:type="dxa"/>
          </w:tcPr>
          <w:p w14:paraId="4D03B64D" w14:textId="77777777" w:rsidR="000A1090" w:rsidRPr="005B0796" w:rsidRDefault="000A1090" w:rsidP="00220382">
            <w:pPr>
              <w:pStyle w:val="TableText"/>
              <w:jc w:val="right"/>
            </w:pPr>
            <w:r w:rsidRPr="005B0796">
              <w:t>%</w:t>
            </w:r>
          </w:p>
        </w:tc>
        <w:tc>
          <w:tcPr>
            <w:tcW w:w="1262" w:type="dxa"/>
          </w:tcPr>
          <w:p w14:paraId="2275863C" w14:textId="77777777" w:rsidR="000A1090" w:rsidRPr="005B0796" w:rsidRDefault="000A1090" w:rsidP="00220382">
            <w:pPr>
              <w:pStyle w:val="TableText"/>
              <w:jc w:val="right"/>
            </w:pPr>
            <w:r w:rsidRPr="005B0796">
              <w:t>No. of persons in population each responder represents</w:t>
            </w:r>
          </w:p>
        </w:tc>
      </w:tr>
      <w:tr w:rsidR="000A1090" w:rsidRPr="005B0796" w14:paraId="788C2E22"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795870BB" w14:textId="7FC8B738"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fit | Navy</w:t>
            </w:r>
          </w:p>
        </w:tc>
        <w:tc>
          <w:tcPr>
            <w:tcW w:w="1261" w:type="dxa"/>
          </w:tcPr>
          <w:p w14:paraId="50E9C0A0" w14:textId="77777777" w:rsidR="000A1090" w:rsidRPr="005B0796" w:rsidRDefault="000A1090" w:rsidP="00220382">
            <w:pPr>
              <w:pStyle w:val="TableText"/>
              <w:jc w:val="right"/>
              <w:rPr>
                <w:rFonts w:eastAsia="Times New Roman"/>
              </w:rPr>
            </w:pPr>
            <w:r w:rsidRPr="005B0796">
              <w:rPr>
                <w:rFonts w:eastAsia="Times New Roman"/>
              </w:rPr>
              <w:t>122</w:t>
            </w:r>
          </w:p>
        </w:tc>
        <w:tc>
          <w:tcPr>
            <w:tcW w:w="1262" w:type="dxa"/>
          </w:tcPr>
          <w:p w14:paraId="328F9C5B" w14:textId="77777777" w:rsidR="000A1090" w:rsidRPr="005B0796" w:rsidRDefault="000A1090" w:rsidP="00220382">
            <w:pPr>
              <w:pStyle w:val="TableText"/>
              <w:jc w:val="right"/>
              <w:rPr>
                <w:rFonts w:eastAsia="Times New Roman"/>
              </w:rPr>
            </w:pPr>
            <w:r w:rsidRPr="005B0796">
              <w:rPr>
                <w:rFonts w:eastAsia="Times New Roman"/>
              </w:rPr>
              <w:t>32</w:t>
            </w:r>
          </w:p>
        </w:tc>
        <w:tc>
          <w:tcPr>
            <w:tcW w:w="1262" w:type="dxa"/>
          </w:tcPr>
          <w:p w14:paraId="4A6E2DEB" w14:textId="77777777" w:rsidR="000A1090" w:rsidRPr="005B0796" w:rsidRDefault="000A1090" w:rsidP="00220382">
            <w:pPr>
              <w:pStyle w:val="TableText"/>
              <w:jc w:val="right"/>
            </w:pPr>
            <w:r w:rsidRPr="005B0796">
              <w:rPr>
                <w:rFonts w:eastAsia="Times New Roman"/>
              </w:rPr>
              <w:t>26.2</w:t>
            </w:r>
          </w:p>
        </w:tc>
        <w:tc>
          <w:tcPr>
            <w:tcW w:w="1262" w:type="dxa"/>
          </w:tcPr>
          <w:p w14:paraId="7FE4688F" w14:textId="77777777" w:rsidR="000A1090" w:rsidRPr="005B0796" w:rsidRDefault="000A1090" w:rsidP="00220382">
            <w:pPr>
              <w:pStyle w:val="TableText"/>
              <w:jc w:val="right"/>
              <w:rPr>
                <w:rFonts w:eastAsia="Times New Roman"/>
              </w:rPr>
            </w:pPr>
            <w:r w:rsidRPr="005B0796">
              <w:rPr>
                <w:rFonts w:eastAsia="Times New Roman"/>
              </w:rPr>
              <w:t>3.8</w:t>
            </w:r>
          </w:p>
        </w:tc>
      </w:tr>
      <w:tr w:rsidR="000A1090" w:rsidRPr="005B0796" w14:paraId="28BB88E6" w14:textId="77777777" w:rsidTr="00220382">
        <w:tc>
          <w:tcPr>
            <w:tcW w:w="2268" w:type="dxa"/>
          </w:tcPr>
          <w:p w14:paraId="34D2B5AE" w14:textId="5229E218" w:rsidR="000A1090" w:rsidRPr="005B0796" w:rsidRDefault="000A1090" w:rsidP="00220382">
            <w:pPr>
              <w:pStyle w:val="TableText"/>
              <w:rPr>
                <w:rFonts w:eastAsia="Times New Roman"/>
                <w:lang w:eastAsia="en-GB"/>
              </w:rPr>
            </w:pPr>
            <w:r w:rsidRPr="005B0796">
              <w:rPr>
                <w:rFonts w:eastAsia="Times New Roman"/>
              </w:rPr>
              <w:t>Female | O</w:t>
            </w:r>
            <w:r w:rsidR="002C1B09">
              <w:rPr>
                <w:rFonts w:eastAsia="Times New Roman"/>
              </w:rPr>
              <w:t>fficer</w:t>
            </w:r>
            <w:r w:rsidRPr="005B0796">
              <w:rPr>
                <w:rFonts w:eastAsia="Times New Roman"/>
              </w:rPr>
              <w:t xml:space="preserve"> | fit | Army</w:t>
            </w:r>
          </w:p>
        </w:tc>
        <w:tc>
          <w:tcPr>
            <w:tcW w:w="1261" w:type="dxa"/>
          </w:tcPr>
          <w:p w14:paraId="12909A46" w14:textId="77777777" w:rsidR="000A1090" w:rsidRPr="005B0796" w:rsidRDefault="000A1090" w:rsidP="00220382">
            <w:pPr>
              <w:pStyle w:val="TableText"/>
              <w:jc w:val="right"/>
              <w:rPr>
                <w:rFonts w:eastAsia="Times New Roman"/>
                <w:lang w:eastAsia="en-GB"/>
              </w:rPr>
            </w:pPr>
            <w:r w:rsidRPr="005B0796">
              <w:rPr>
                <w:rFonts w:eastAsia="Times New Roman"/>
              </w:rPr>
              <w:t>224</w:t>
            </w:r>
          </w:p>
        </w:tc>
        <w:tc>
          <w:tcPr>
            <w:tcW w:w="1262" w:type="dxa"/>
          </w:tcPr>
          <w:p w14:paraId="507B1C89" w14:textId="77777777" w:rsidR="000A1090" w:rsidRPr="005B0796" w:rsidRDefault="000A1090" w:rsidP="00220382">
            <w:pPr>
              <w:pStyle w:val="TableText"/>
              <w:jc w:val="right"/>
              <w:rPr>
                <w:rFonts w:eastAsia="Times New Roman"/>
              </w:rPr>
            </w:pPr>
            <w:r w:rsidRPr="005B0796">
              <w:rPr>
                <w:rFonts w:eastAsia="Times New Roman"/>
              </w:rPr>
              <w:t>68</w:t>
            </w:r>
          </w:p>
        </w:tc>
        <w:tc>
          <w:tcPr>
            <w:tcW w:w="1262" w:type="dxa"/>
          </w:tcPr>
          <w:p w14:paraId="1E029AF3" w14:textId="77777777" w:rsidR="000A1090" w:rsidRPr="005B0796" w:rsidRDefault="000A1090" w:rsidP="00220382">
            <w:pPr>
              <w:pStyle w:val="TableText"/>
              <w:jc w:val="right"/>
            </w:pPr>
            <w:r w:rsidRPr="005B0796">
              <w:rPr>
                <w:rFonts w:eastAsia="Times New Roman"/>
              </w:rPr>
              <w:t>30.4</w:t>
            </w:r>
          </w:p>
        </w:tc>
        <w:tc>
          <w:tcPr>
            <w:tcW w:w="1262" w:type="dxa"/>
          </w:tcPr>
          <w:p w14:paraId="64FF1452" w14:textId="77777777" w:rsidR="000A1090" w:rsidRPr="005B0796" w:rsidRDefault="000A1090" w:rsidP="00220382">
            <w:pPr>
              <w:pStyle w:val="TableText"/>
              <w:jc w:val="right"/>
              <w:rPr>
                <w:rFonts w:eastAsia="Times New Roman"/>
              </w:rPr>
            </w:pPr>
            <w:r w:rsidRPr="005B0796">
              <w:rPr>
                <w:rFonts w:eastAsia="Times New Roman"/>
              </w:rPr>
              <w:t>3.3</w:t>
            </w:r>
          </w:p>
        </w:tc>
      </w:tr>
      <w:tr w:rsidR="000A1090" w:rsidRPr="005B0796" w14:paraId="04F53B8D"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D7FA3BD" w14:textId="2BD38B36"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fit | Air Force</w:t>
            </w:r>
          </w:p>
        </w:tc>
        <w:tc>
          <w:tcPr>
            <w:tcW w:w="1261" w:type="dxa"/>
          </w:tcPr>
          <w:p w14:paraId="64B96EBD" w14:textId="77777777" w:rsidR="000A1090" w:rsidRPr="005B0796" w:rsidRDefault="000A1090" w:rsidP="00220382">
            <w:pPr>
              <w:pStyle w:val="TableText"/>
              <w:jc w:val="right"/>
              <w:rPr>
                <w:rFonts w:eastAsia="Times New Roman"/>
              </w:rPr>
            </w:pPr>
            <w:r w:rsidRPr="005B0796">
              <w:rPr>
                <w:rFonts w:eastAsia="Times New Roman"/>
              </w:rPr>
              <w:t>133</w:t>
            </w:r>
          </w:p>
        </w:tc>
        <w:tc>
          <w:tcPr>
            <w:tcW w:w="1262" w:type="dxa"/>
          </w:tcPr>
          <w:p w14:paraId="38DA23C6" w14:textId="77777777" w:rsidR="000A1090" w:rsidRPr="005B0796" w:rsidRDefault="000A1090" w:rsidP="00220382">
            <w:pPr>
              <w:pStyle w:val="TableText"/>
              <w:jc w:val="right"/>
              <w:rPr>
                <w:rFonts w:eastAsia="Times New Roman"/>
              </w:rPr>
            </w:pPr>
            <w:r w:rsidRPr="005B0796">
              <w:rPr>
                <w:rFonts w:eastAsia="Times New Roman"/>
              </w:rPr>
              <w:t>41</w:t>
            </w:r>
          </w:p>
        </w:tc>
        <w:tc>
          <w:tcPr>
            <w:tcW w:w="1262" w:type="dxa"/>
          </w:tcPr>
          <w:p w14:paraId="239B37FA" w14:textId="77777777" w:rsidR="000A1090" w:rsidRPr="005B0796" w:rsidRDefault="000A1090" w:rsidP="00220382">
            <w:pPr>
              <w:pStyle w:val="TableText"/>
              <w:jc w:val="right"/>
            </w:pPr>
            <w:r w:rsidRPr="005B0796">
              <w:rPr>
                <w:rFonts w:eastAsia="Times New Roman"/>
              </w:rPr>
              <w:t>30.8</w:t>
            </w:r>
          </w:p>
        </w:tc>
        <w:tc>
          <w:tcPr>
            <w:tcW w:w="1262" w:type="dxa"/>
          </w:tcPr>
          <w:p w14:paraId="14BF2B85" w14:textId="77777777" w:rsidR="000A1090" w:rsidRPr="005B0796" w:rsidRDefault="000A1090" w:rsidP="00220382">
            <w:pPr>
              <w:pStyle w:val="TableText"/>
              <w:jc w:val="right"/>
              <w:rPr>
                <w:rFonts w:eastAsia="Times New Roman"/>
              </w:rPr>
            </w:pPr>
            <w:r w:rsidRPr="005B0796">
              <w:rPr>
                <w:rFonts w:eastAsia="Times New Roman"/>
              </w:rPr>
              <w:t>3.2</w:t>
            </w:r>
          </w:p>
        </w:tc>
      </w:tr>
      <w:tr w:rsidR="000A1090" w:rsidRPr="005B0796" w14:paraId="0EC2950B" w14:textId="77777777" w:rsidTr="00220382">
        <w:tc>
          <w:tcPr>
            <w:tcW w:w="2268" w:type="dxa"/>
          </w:tcPr>
          <w:p w14:paraId="4EFA4678" w14:textId="56710A1E"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Navy</w:t>
            </w:r>
          </w:p>
        </w:tc>
        <w:tc>
          <w:tcPr>
            <w:tcW w:w="1261" w:type="dxa"/>
          </w:tcPr>
          <w:p w14:paraId="726E56E9" w14:textId="77777777" w:rsidR="000A1090" w:rsidRPr="005B0796" w:rsidRDefault="000A1090" w:rsidP="00220382">
            <w:pPr>
              <w:pStyle w:val="TableText"/>
              <w:jc w:val="right"/>
              <w:rPr>
                <w:rFonts w:eastAsia="Times New Roman"/>
              </w:rPr>
            </w:pPr>
            <w:r w:rsidRPr="005B0796">
              <w:rPr>
                <w:rFonts w:eastAsia="Times New Roman"/>
              </w:rPr>
              <w:t>63</w:t>
            </w:r>
          </w:p>
        </w:tc>
        <w:tc>
          <w:tcPr>
            <w:tcW w:w="1262" w:type="dxa"/>
          </w:tcPr>
          <w:p w14:paraId="0E092960" w14:textId="77777777" w:rsidR="000A1090" w:rsidRPr="005B0796" w:rsidRDefault="000A1090" w:rsidP="00220382">
            <w:pPr>
              <w:pStyle w:val="TableText"/>
              <w:jc w:val="right"/>
              <w:rPr>
                <w:rFonts w:eastAsia="Times New Roman"/>
              </w:rPr>
            </w:pPr>
            <w:r w:rsidRPr="005B0796">
              <w:rPr>
                <w:rFonts w:eastAsia="Times New Roman"/>
              </w:rPr>
              <w:t>21</w:t>
            </w:r>
          </w:p>
        </w:tc>
        <w:tc>
          <w:tcPr>
            <w:tcW w:w="1262" w:type="dxa"/>
          </w:tcPr>
          <w:p w14:paraId="1084FDC0" w14:textId="77777777" w:rsidR="000A1090" w:rsidRPr="005B0796" w:rsidRDefault="000A1090" w:rsidP="00220382">
            <w:pPr>
              <w:pStyle w:val="TableText"/>
              <w:jc w:val="right"/>
            </w:pPr>
            <w:r w:rsidRPr="005B0796">
              <w:rPr>
                <w:rFonts w:eastAsia="Times New Roman"/>
              </w:rPr>
              <w:t>33.3</w:t>
            </w:r>
          </w:p>
        </w:tc>
        <w:tc>
          <w:tcPr>
            <w:tcW w:w="1262" w:type="dxa"/>
          </w:tcPr>
          <w:p w14:paraId="5907793A" w14:textId="77777777" w:rsidR="000A1090" w:rsidRPr="005B0796" w:rsidRDefault="000A1090" w:rsidP="00220382">
            <w:pPr>
              <w:pStyle w:val="TableText"/>
              <w:jc w:val="right"/>
              <w:rPr>
                <w:rFonts w:eastAsia="Times New Roman"/>
              </w:rPr>
            </w:pPr>
            <w:r w:rsidRPr="005B0796">
              <w:rPr>
                <w:rFonts w:eastAsia="Times New Roman"/>
              </w:rPr>
              <w:t>3.0</w:t>
            </w:r>
          </w:p>
        </w:tc>
      </w:tr>
      <w:tr w:rsidR="000A1090" w:rsidRPr="005B0796" w14:paraId="36345557"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9DC7AD8" w14:textId="499E0ED1"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Army</w:t>
            </w:r>
          </w:p>
        </w:tc>
        <w:tc>
          <w:tcPr>
            <w:tcW w:w="1261" w:type="dxa"/>
          </w:tcPr>
          <w:p w14:paraId="7A61A4FB" w14:textId="77777777" w:rsidR="000A1090" w:rsidRPr="005B0796" w:rsidRDefault="000A1090" w:rsidP="00220382">
            <w:pPr>
              <w:pStyle w:val="TableText"/>
              <w:jc w:val="right"/>
              <w:rPr>
                <w:rFonts w:eastAsia="Times New Roman"/>
              </w:rPr>
            </w:pPr>
            <w:r w:rsidRPr="005B0796">
              <w:rPr>
                <w:rFonts w:eastAsia="Times New Roman"/>
              </w:rPr>
              <w:t>90</w:t>
            </w:r>
          </w:p>
        </w:tc>
        <w:tc>
          <w:tcPr>
            <w:tcW w:w="1262" w:type="dxa"/>
          </w:tcPr>
          <w:p w14:paraId="0F031C56" w14:textId="77777777" w:rsidR="000A1090" w:rsidRPr="005B0796" w:rsidRDefault="000A1090" w:rsidP="00220382">
            <w:pPr>
              <w:pStyle w:val="TableText"/>
              <w:jc w:val="right"/>
              <w:rPr>
                <w:rFonts w:eastAsia="Times New Roman"/>
              </w:rPr>
            </w:pPr>
            <w:r w:rsidRPr="005B0796">
              <w:rPr>
                <w:rFonts w:eastAsia="Times New Roman"/>
              </w:rPr>
              <w:t>31</w:t>
            </w:r>
          </w:p>
        </w:tc>
        <w:tc>
          <w:tcPr>
            <w:tcW w:w="1262" w:type="dxa"/>
          </w:tcPr>
          <w:p w14:paraId="0562B922" w14:textId="77777777" w:rsidR="000A1090" w:rsidRPr="005B0796" w:rsidRDefault="000A1090" w:rsidP="00220382">
            <w:pPr>
              <w:pStyle w:val="TableText"/>
              <w:jc w:val="right"/>
            </w:pPr>
            <w:r w:rsidRPr="005B0796">
              <w:rPr>
                <w:rFonts w:eastAsia="Times New Roman"/>
              </w:rPr>
              <w:t>34.4</w:t>
            </w:r>
          </w:p>
        </w:tc>
        <w:tc>
          <w:tcPr>
            <w:tcW w:w="1262" w:type="dxa"/>
          </w:tcPr>
          <w:p w14:paraId="3764EF12" w14:textId="77777777" w:rsidR="000A1090" w:rsidRPr="005B0796" w:rsidRDefault="000A1090" w:rsidP="00220382">
            <w:pPr>
              <w:pStyle w:val="TableText"/>
              <w:jc w:val="right"/>
              <w:rPr>
                <w:rFonts w:eastAsia="Times New Roman"/>
              </w:rPr>
            </w:pPr>
            <w:r w:rsidRPr="005B0796">
              <w:rPr>
                <w:rFonts w:eastAsia="Times New Roman"/>
              </w:rPr>
              <w:t>2.9</w:t>
            </w:r>
          </w:p>
        </w:tc>
      </w:tr>
      <w:tr w:rsidR="000A1090" w:rsidRPr="005B0796" w14:paraId="70F79405" w14:textId="77777777" w:rsidTr="00220382">
        <w:tc>
          <w:tcPr>
            <w:tcW w:w="2268" w:type="dxa"/>
          </w:tcPr>
          <w:p w14:paraId="10BAAF3E" w14:textId="4FAB53AC" w:rsidR="000A1090" w:rsidRPr="005B0796" w:rsidRDefault="000A1090" w:rsidP="00220382">
            <w:pPr>
              <w:pStyle w:val="TableText"/>
              <w:rPr>
                <w:rFonts w:eastAsia="Times New Roman"/>
              </w:rPr>
            </w:pPr>
            <w:r w:rsidRPr="005B0796">
              <w:rPr>
                <w:rFonts w:eastAsia="Times New Roman"/>
              </w:rPr>
              <w:t>Female | O</w:t>
            </w:r>
            <w:r w:rsidR="002C1B09">
              <w:rPr>
                <w:rFonts w:eastAsia="Times New Roman"/>
              </w:rPr>
              <w:t>fficer</w:t>
            </w:r>
            <w:r w:rsidRPr="005B0796">
              <w:rPr>
                <w:rFonts w:eastAsia="Times New Roman"/>
              </w:rPr>
              <w:t xml:space="preserve"> | unfit | Air Force</w:t>
            </w:r>
          </w:p>
        </w:tc>
        <w:tc>
          <w:tcPr>
            <w:tcW w:w="1261" w:type="dxa"/>
          </w:tcPr>
          <w:p w14:paraId="64E19FAF" w14:textId="77777777" w:rsidR="000A1090" w:rsidRPr="005B0796" w:rsidRDefault="000A1090" w:rsidP="00220382">
            <w:pPr>
              <w:pStyle w:val="TableText"/>
              <w:jc w:val="right"/>
              <w:rPr>
                <w:rFonts w:eastAsia="Times New Roman"/>
              </w:rPr>
            </w:pPr>
            <w:r w:rsidRPr="005B0796">
              <w:rPr>
                <w:rFonts w:eastAsia="Times New Roman"/>
              </w:rPr>
              <w:t>59</w:t>
            </w:r>
          </w:p>
        </w:tc>
        <w:tc>
          <w:tcPr>
            <w:tcW w:w="1262" w:type="dxa"/>
          </w:tcPr>
          <w:p w14:paraId="3EB7E553" w14:textId="77777777" w:rsidR="000A1090" w:rsidRPr="005B0796" w:rsidRDefault="000A1090" w:rsidP="00220382">
            <w:pPr>
              <w:pStyle w:val="TableText"/>
              <w:jc w:val="right"/>
              <w:rPr>
                <w:rFonts w:eastAsia="Times New Roman"/>
              </w:rPr>
            </w:pPr>
            <w:r w:rsidRPr="005B0796">
              <w:rPr>
                <w:rFonts w:eastAsia="Times New Roman"/>
              </w:rPr>
              <w:t>25</w:t>
            </w:r>
          </w:p>
        </w:tc>
        <w:tc>
          <w:tcPr>
            <w:tcW w:w="1262" w:type="dxa"/>
          </w:tcPr>
          <w:p w14:paraId="2FE57872" w14:textId="77777777" w:rsidR="000A1090" w:rsidRPr="005B0796" w:rsidRDefault="000A1090" w:rsidP="00220382">
            <w:pPr>
              <w:pStyle w:val="TableText"/>
              <w:jc w:val="right"/>
            </w:pPr>
            <w:r w:rsidRPr="005B0796">
              <w:rPr>
                <w:rFonts w:eastAsia="Times New Roman"/>
              </w:rPr>
              <w:t>42.4</w:t>
            </w:r>
          </w:p>
        </w:tc>
        <w:tc>
          <w:tcPr>
            <w:tcW w:w="1262" w:type="dxa"/>
          </w:tcPr>
          <w:p w14:paraId="114A7858" w14:textId="77777777" w:rsidR="000A1090" w:rsidRPr="005B0796" w:rsidRDefault="000A1090" w:rsidP="00220382">
            <w:pPr>
              <w:pStyle w:val="TableText"/>
              <w:jc w:val="right"/>
              <w:rPr>
                <w:rFonts w:eastAsia="Times New Roman"/>
              </w:rPr>
            </w:pPr>
            <w:r w:rsidRPr="005B0796">
              <w:rPr>
                <w:rFonts w:eastAsia="Times New Roman"/>
              </w:rPr>
              <w:t>2.4</w:t>
            </w:r>
          </w:p>
        </w:tc>
      </w:tr>
      <w:tr w:rsidR="000A1090" w:rsidRPr="005B0796" w14:paraId="025C97C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4F66BAA" w14:textId="77777777" w:rsidR="000A1090" w:rsidRPr="005B0796" w:rsidRDefault="000A1090" w:rsidP="00220382">
            <w:pPr>
              <w:pStyle w:val="TableText"/>
              <w:rPr>
                <w:rFonts w:eastAsia="Times New Roman"/>
              </w:rPr>
            </w:pPr>
            <w:r w:rsidRPr="005B0796">
              <w:rPr>
                <w:rFonts w:eastAsia="Times New Roman"/>
              </w:rPr>
              <w:t>Female | NCO | fit | Navy</w:t>
            </w:r>
          </w:p>
        </w:tc>
        <w:tc>
          <w:tcPr>
            <w:tcW w:w="1261" w:type="dxa"/>
          </w:tcPr>
          <w:p w14:paraId="5C8D4FAB" w14:textId="77777777" w:rsidR="000A1090" w:rsidRPr="005B0796" w:rsidRDefault="000A1090" w:rsidP="00220382">
            <w:pPr>
              <w:pStyle w:val="TableText"/>
              <w:jc w:val="right"/>
              <w:rPr>
                <w:rFonts w:eastAsia="Times New Roman"/>
              </w:rPr>
            </w:pPr>
            <w:r w:rsidRPr="005B0796">
              <w:rPr>
                <w:rFonts w:eastAsia="Times New Roman"/>
              </w:rPr>
              <w:t>198</w:t>
            </w:r>
          </w:p>
        </w:tc>
        <w:tc>
          <w:tcPr>
            <w:tcW w:w="1262" w:type="dxa"/>
          </w:tcPr>
          <w:p w14:paraId="34363714" w14:textId="77777777" w:rsidR="000A1090" w:rsidRPr="005B0796" w:rsidRDefault="000A1090" w:rsidP="00220382">
            <w:pPr>
              <w:pStyle w:val="TableText"/>
              <w:jc w:val="right"/>
              <w:rPr>
                <w:rFonts w:eastAsia="Times New Roman"/>
              </w:rPr>
            </w:pPr>
            <w:r w:rsidRPr="005B0796">
              <w:rPr>
                <w:rFonts w:eastAsia="Times New Roman"/>
              </w:rPr>
              <w:t>49</w:t>
            </w:r>
          </w:p>
        </w:tc>
        <w:tc>
          <w:tcPr>
            <w:tcW w:w="1262" w:type="dxa"/>
          </w:tcPr>
          <w:p w14:paraId="1EEBB995" w14:textId="77777777" w:rsidR="000A1090" w:rsidRPr="005B0796" w:rsidRDefault="000A1090" w:rsidP="00220382">
            <w:pPr>
              <w:pStyle w:val="TableText"/>
              <w:jc w:val="right"/>
            </w:pPr>
            <w:r w:rsidRPr="005B0796">
              <w:rPr>
                <w:rFonts w:eastAsia="Times New Roman"/>
              </w:rPr>
              <w:t>24.7</w:t>
            </w:r>
          </w:p>
        </w:tc>
        <w:tc>
          <w:tcPr>
            <w:tcW w:w="1262" w:type="dxa"/>
          </w:tcPr>
          <w:p w14:paraId="543B4F43" w14:textId="77777777" w:rsidR="000A1090" w:rsidRPr="005B0796" w:rsidRDefault="000A1090" w:rsidP="00220382">
            <w:pPr>
              <w:pStyle w:val="TableText"/>
              <w:jc w:val="right"/>
              <w:rPr>
                <w:rFonts w:eastAsia="Times New Roman"/>
              </w:rPr>
            </w:pPr>
            <w:r w:rsidRPr="005B0796">
              <w:rPr>
                <w:rFonts w:eastAsia="Times New Roman"/>
              </w:rPr>
              <w:t>4.0</w:t>
            </w:r>
          </w:p>
        </w:tc>
      </w:tr>
      <w:tr w:rsidR="000A1090" w:rsidRPr="005B0796" w14:paraId="21C35B3A" w14:textId="77777777" w:rsidTr="00220382">
        <w:tc>
          <w:tcPr>
            <w:tcW w:w="2268" w:type="dxa"/>
          </w:tcPr>
          <w:p w14:paraId="35379059" w14:textId="77777777" w:rsidR="000A1090" w:rsidRPr="005B0796" w:rsidRDefault="000A1090" w:rsidP="00220382">
            <w:pPr>
              <w:pStyle w:val="TableText"/>
              <w:rPr>
                <w:rFonts w:eastAsia="Times New Roman"/>
              </w:rPr>
            </w:pPr>
            <w:r w:rsidRPr="005B0796">
              <w:rPr>
                <w:rFonts w:eastAsia="Times New Roman"/>
              </w:rPr>
              <w:t>Female | NCO | fit | Army</w:t>
            </w:r>
          </w:p>
        </w:tc>
        <w:tc>
          <w:tcPr>
            <w:tcW w:w="1261" w:type="dxa"/>
          </w:tcPr>
          <w:p w14:paraId="2FA9851F" w14:textId="77777777" w:rsidR="000A1090" w:rsidRPr="005B0796" w:rsidRDefault="000A1090" w:rsidP="00220382">
            <w:pPr>
              <w:pStyle w:val="TableText"/>
              <w:jc w:val="right"/>
              <w:rPr>
                <w:rFonts w:eastAsia="Times New Roman"/>
              </w:rPr>
            </w:pPr>
            <w:r w:rsidRPr="005B0796">
              <w:rPr>
                <w:rFonts w:eastAsia="Times New Roman"/>
              </w:rPr>
              <w:t>263</w:t>
            </w:r>
          </w:p>
        </w:tc>
        <w:tc>
          <w:tcPr>
            <w:tcW w:w="1262" w:type="dxa"/>
          </w:tcPr>
          <w:p w14:paraId="1564B820" w14:textId="77777777" w:rsidR="000A1090" w:rsidRPr="005B0796" w:rsidRDefault="000A1090" w:rsidP="00220382">
            <w:pPr>
              <w:pStyle w:val="TableText"/>
              <w:jc w:val="right"/>
              <w:rPr>
                <w:rFonts w:eastAsia="Times New Roman"/>
              </w:rPr>
            </w:pPr>
            <w:r w:rsidRPr="005B0796">
              <w:rPr>
                <w:rFonts w:eastAsia="Times New Roman"/>
              </w:rPr>
              <w:t>80</w:t>
            </w:r>
          </w:p>
        </w:tc>
        <w:tc>
          <w:tcPr>
            <w:tcW w:w="1262" w:type="dxa"/>
          </w:tcPr>
          <w:p w14:paraId="53F87080" w14:textId="77777777" w:rsidR="000A1090" w:rsidRPr="005B0796" w:rsidRDefault="000A1090" w:rsidP="00220382">
            <w:pPr>
              <w:pStyle w:val="TableText"/>
              <w:jc w:val="right"/>
            </w:pPr>
            <w:r w:rsidRPr="005B0796">
              <w:rPr>
                <w:rFonts w:eastAsia="Times New Roman"/>
              </w:rPr>
              <w:t>30.4</w:t>
            </w:r>
          </w:p>
        </w:tc>
        <w:tc>
          <w:tcPr>
            <w:tcW w:w="1262" w:type="dxa"/>
          </w:tcPr>
          <w:p w14:paraId="7D00C646" w14:textId="77777777" w:rsidR="000A1090" w:rsidRPr="005B0796" w:rsidRDefault="000A1090" w:rsidP="00220382">
            <w:pPr>
              <w:pStyle w:val="TableText"/>
              <w:jc w:val="right"/>
              <w:rPr>
                <w:rFonts w:eastAsia="Times New Roman"/>
              </w:rPr>
            </w:pPr>
            <w:r w:rsidRPr="005B0796">
              <w:rPr>
                <w:rFonts w:eastAsia="Times New Roman"/>
              </w:rPr>
              <w:t>3.3</w:t>
            </w:r>
          </w:p>
        </w:tc>
      </w:tr>
      <w:tr w:rsidR="000A1090" w:rsidRPr="005B0796" w14:paraId="77C5C93D"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5E8F73D8" w14:textId="77777777" w:rsidR="000A1090" w:rsidRPr="005B0796" w:rsidRDefault="000A1090" w:rsidP="00220382">
            <w:pPr>
              <w:pStyle w:val="TableText"/>
              <w:rPr>
                <w:rFonts w:eastAsia="Times New Roman"/>
              </w:rPr>
            </w:pPr>
            <w:r w:rsidRPr="005B0796">
              <w:rPr>
                <w:rFonts w:eastAsia="Times New Roman"/>
              </w:rPr>
              <w:t>Female | NCO | fit | Air Force</w:t>
            </w:r>
          </w:p>
        </w:tc>
        <w:tc>
          <w:tcPr>
            <w:tcW w:w="1261" w:type="dxa"/>
          </w:tcPr>
          <w:p w14:paraId="405C1304" w14:textId="77777777" w:rsidR="000A1090" w:rsidRPr="005B0796" w:rsidRDefault="000A1090" w:rsidP="00220382">
            <w:pPr>
              <w:pStyle w:val="TableText"/>
              <w:jc w:val="right"/>
              <w:rPr>
                <w:rFonts w:eastAsia="Times New Roman"/>
              </w:rPr>
            </w:pPr>
            <w:r w:rsidRPr="005B0796">
              <w:rPr>
                <w:rFonts w:eastAsia="Times New Roman"/>
              </w:rPr>
              <w:t>188</w:t>
            </w:r>
          </w:p>
        </w:tc>
        <w:tc>
          <w:tcPr>
            <w:tcW w:w="1262" w:type="dxa"/>
          </w:tcPr>
          <w:p w14:paraId="2752495C" w14:textId="77777777" w:rsidR="000A1090" w:rsidRPr="005B0796" w:rsidRDefault="000A1090" w:rsidP="00220382">
            <w:pPr>
              <w:pStyle w:val="TableText"/>
              <w:jc w:val="right"/>
              <w:rPr>
                <w:rFonts w:eastAsia="Times New Roman"/>
              </w:rPr>
            </w:pPr>
            <w:r w:rsidRPr="005B0796">
              <w:rPr>
                <w:rFonts w:eastAsia="Times New Roman"/>
              </w:rPr>
              <w:t>56</w:t>
            </w:r>
          </w:p>
        </w:tc>
        <w:tc>
          <w:tcPr>
            <w:tcW w:w="1262" w:type="dxa"/>
          </w:tcPr>
          <w:p w14:paraId="1AD51E26" w14:textId="77777777" w:rsidR="000A1090" w:rsidRPr="005B0796" w:rsidRDefault="000A1090" w:rsidP="00220382">
            <w:pPr>
              <w:pStyle w:val="TableText"/>
              <w:jc w:val="right"/>
            </w:pPr>
            <w:r w:rsidRPr="005B0796">
              <w:rPr>
                <w:rFonts w:eastAsia="Times New Roman"/>
              </w:rPr>
              <w:t>29.8</w:t>
            </w:r>
          </w:p>
        </w:tc>
        <w:tc>
          <w:tcPr>
            <w:tcW w:w="1262" w:type="dxa"/>
          </w:tcPr>
          <w:p w14:paraId="7CF25578" w14:textId="77777777" w:rsidR="000A1090" w:rsidRPr="005B0796" w:rsidRDefault="000A1090" w:rsidP="00220382">
            <w:pPr>
              <w:pStyle w:val="TableText"/>
              <w:jc w:val="right"/>
              <w:rPr>
                <w:rFonts w:eastAsia="Times New Roman"/>
              </w:rPr>
            </w:pPr>
            <w:r w:rsidRPr="005B0796">
              <w:rPr>
                <w:rFonts w:eastAsia="Times New Roman"/>
              </w:rPr>
              <w:t>3.4</w:t>
            </w:r>
          </w:p>
        </w:tc>
      </w:tr>
      <w:tr w:rsidR="000A1090" w:rsidRPr="005B0796" w14:paraId="06191D3E" w14:textId="77777777" w:rsidTr="00220382">
        <w:tc>
          <w:tcPr>
            <w:tcW w:w="2268" w:type="dxa"/>
          </w:tcPr>
          <w:p w14:paraId="79C611A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3EA14F6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101</w:t>
            </w:r>
          </w:p>
        </w:tc>
        <w:tc>
          <w:tcPr>
            <w:tcW w:w="1262" w:type="dxa"/>
          </w:tcPr>
          <w:p w14:paraId="4D6FDA6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26</w:t>
            </w:r>
          </w:p>
        </w:tc>
        <w:tc>
          <w:tcPr>
            <w:tcW w:w="1262" w:type="dxa"/>
          </w:tcPr>
          <w:p w14:paraId="5719FC1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25.7</w:t>
            </w:r>
          </w:p>
        </w:tc>
        <w:tc>
          <w:tcPr>
            <w:tcW w:w="1262" w:type="dxa"/>
          </w:tcPr>
          <w:p w14:paraId="1AE9601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3.9</w:t>
            </w:r>
          </w:p>
        </w:tc>
      </w:tr>
      <w:tr w:rsidR="000A1090" w:rsidRPr="005B0796" w14:paraId="65D4AA17"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0C838BCC" w14:textId="77777777" w:rsidR="000A1090" w:rsidRPr="005B0796" w:rsidRDefault="000A1090" w:rsidP="00220382">
            <w:pPr>
              <w:pStyle w:val="TableText"/>
              <w:rPr>
                <w:rFonts w:eastAsia="Times New Roman"/>
              </w:rPr>
            </w:pPr>
            <w:r w:rsidRPr="005B0796">
              <w:rPr>
                <w:rFonts w:eastAsia="Times New Roman"/>
              </w:rPr>
              <w:t>Female | NCO | unfit | Army</w:t>
            </w:r>
          </w:p>
        </w:tc>
        <w:tc>
          <w:tcPr>
            <w:tcW w:w="1261" w:type="dxa"/>
          </w:tcPr>
          <w:p w14:paraId="2D96D465" w14:textId="77777777" w:rsidR="000A1090" w:rsidRPr="005B0796" w:rsidRDefault="000A1090" w:rsidP="00220382">
            <w:pPr>
              <w:pStyle w:val="TableText"/>
              <w:jc w:val="right"/>
              <w:rPr>
                <w:rFonts w:eastAsia="Times New Roman"/>
              </w:rPr>
            </w:pPr>
            <w:r w:rsidRPr="005B0796">
              <w:rPr>
                <w:rFonts w:eastAsia="Times New Roman"/>
              </w:rPr>
              <w:t>139</w:t>
            </w:r>
          </w:p>
        </w:tc>
        <w:tc>
          <w:tcPr>
            <w:tcW w:w="1262" w:type="dxa"/>
          </w:tcPr>
          <w:p w14:paraId="0E5F04E1" w14:textId="77777777" w:rsidR="000A1090" w:rsidRPr="005B0796" w:rsidRDefault="000A1090" w:rsidP="00220382">
            <w:pPr>
              <w:pStyle w:val="TableText"/>
              <w:jc w:val="right"/>
              <w:rPr>
                <w:rFonts w:eastAsia="Times New Roman"/>
              </w:rPr>
            </w:pPr>
            <w:r w:rsidRPr="005B0796">
              <w:rPr>
                <w:rFonts w:eastAsia="Times New Roman"/>
              </w:rPr>
              <w:t>48</w:t>
            </w:r>
          </w:p>
        </w:tc>
        <w:tc>
          <w:tcPr>
            <w:tcW w:w="1262" w:type="dxa"/>
          </w:tcPr>
          <w:p w14:paraId="6E4AEB93" w14:textId="77777777" w:rsidR="000A1090" w:rsidRPr="005B0796" w:rsidRDefault="000A1090" w:rsidP="00220382">
            <w:pPr>
              <w:pStyle w:val="TableText"/>
              <w:jc w:val="right"/>
            </w:pPr>
            <w:r w:rsidRPr="005B0796">
              <w:rPr>
                <w:rFonts w:eastAsia="Times New Roman"/>
              </w:rPr>
              <w:t>34.5</w:t>
            </w:r>
          </w:p>
        </w:tc>
        <w:tc>
          <w:tcPr>
            <w:tcW w:w="1262" w:type="dxa"/>
          </w:tcPr>
          <w:p w14:paraId="4B3C5D50" w14:textId="77777777" w:rsidR="000A1090" w:rsidRPr="005B0796" w:rsidRDefault="000A1090" w:rsidP="00220382">
            <w:pPr>
              <w:pStyle w:val="TableText"/>
              <w:jc w:val="right"/>
              <w:rPr>
                <w:rFonts w:eastAsia="Times New Roman"/>
              </w:rPr>
            </w:pPr>
            <w:r w:rsidRPr="005B0796">
              <w:rPr>
                <w:rFonts w:eastAsia="Times New Roman"/>
              </w:rPr>
              <w:t>2.9</w:t>
            </w:r>
          </w:p>
        </w:tc>
      </w:tr>
      <w:tr w:rsidR="000A1090" w:rsidRPr="005B0796" w14:paraId="698B6AF5" w14:textId="77777777" w:rsidTr="00220382">
        <w:tc>
          <w:tcPr>
            <w:tcW w:w="2268" w:type="dxa"/>
          </w:tcPr>
          <w:p w14:paraId="2A8E210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2994E56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14:paraId="50306EB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30</w:t>
            </w:r>
          </w:p>
        </w:tc>
        <w:tc>
          <w:tcPr>
            <w:tcW w:w="1262" w:type="dxa"/>
          </w:tcPr>
          <w:p w14:paraId="6D133578"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32.6</w:t>
            </w:r>
          </w:p>
        </w:tc>
        <w:tc>
          <w:tcPr>
            <w:tcW w:w="1262" w:type="dxa"/>
          </w:tcPr>
          <w:p w14:paraId="14F72D2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r>
      <w:tr w:rsidR="000A1090" w:rsidRPr="005B0796" w14:paraId="1E5B5165"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49331A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3DE424F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411</w:t>
            </w:r>
          </w:p>
        </w:tc>
        <w:tc>
          <w:tcPr>
            <w:tcW w:w="1262" w:type="dxa"/>
          </w:tcPr>
          <w:p w14:paraId="746BD18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14:paraId="67521D27" w14:textId="77777777" w:rsidR="000A1090" w:rsidRPr="005B0796" w:rsidRDefault="000A1090" w:rsidP="00220382">
            <w:pPr>
              <w:pStyle w:val="TableText"/>
              <w:jc w:val="right"/>
              <w:rPr>
                <w:color w:val="000000" w:themeColor="text1"/>
              </w:rPr>
            </w:pPr>
            <w:r w:rsidRPr="005B0796">
              <w:rPr>
                <w:rFonts w:eastAsia="Times New Roman"/>
                <w:color w:val="000000" w:themeColor="text1"/>
              </w:rPr>
              <w:t>6.1</w:t>
            </w:r>
          </w:p>
        </w:tc>
        <w:tc>
          <w:tcPr>
            <w:tcW w:w="1262" w:type="dxa"/>
          </w:tcPr>
          <w:p w14:paraId="54355DC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16.4</w:t>
            </w:r>
          </w:p>
        </w:tc>
      </w:tr>
      <w:tr w:rsidR="000A1090" w:rsidRPr="005B0796" w14:paraId="0EED0EE5" w14:textId="77777777" w:rsidTr="00220382">
        <w:tc>
          <w:tcPr>
            <w:tcW w:w="2268" w:type="dxa"/>
          </w:tcPr>
          <w:p w14:paraId="304E48B7"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464850B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421</w:t>
            </w:r>
          </w:p>
        </w:tc>
        <w:tc>
          <w:tcPr>
            <w:tcW w:w="1262" w:type="dxa"/>
          </w:tcPr>
          <w:p w14:paraId="5F4DA48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14:paraId="40AE5272" w14:textId="77777777" w:rsidR="000A1090" w:rsidRPr="005B0796" w:rsidRDefault="000A1090" w:rsidP="00220382">
            <w:pPr>
              <w:pStyle w:val="TableText"/>
              <w:jc w:val="right"/>
              <w:rPr>
                <w:color w:val="000000" w:themeColor="text1"/>
              </w:rPr>
            </w:pPr>
            <w:r w:rsidRPr="005B0796">
              <w:rPr>
                <w:rFonts w:eastAsia="Times New Roman"/>
                <w:color w:val="000000" w:themeColor="text1"/>
              </w:rPr>
              <w:t>8.1</w:t>
            </w:r>
          </w:p>
        </w:tc>
        <w:tc>
          <w:tcPr>
            <w:tcW w:w="1262" w:type="dxa"/>
          </w:tcPr>
          <w:p w14:paraId="7A9DB31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12.4</w:t>
            </w:r>
          </w:p>
        </w:tc>
      </w:tr>
      <w:tr w:rsidR="000A1090" w:rsidRPr="005B0796" w14:paraId="13860B1F"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76112E0"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221DF13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156</w:t>
            </w:r>
          </w:p>
        </w:tc>
        <w:tc>
          <w:tcPr>
            <w:tcW w:w="1262" w:type="dxa"/>
          </w:tcPr>
          <w:p w14:paraId="71BCB78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21</w:t>
            </w:r>
          </w:p>
        </w:tc>
        <w:tc>
          <w:tcPr>
            <w:tcW w:w="1262" w:type="dxa"/>
          </w:tcPr>
          <w:p w14:paraId="6FD8C3D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13.5</w:t>
            </w:r>
          </w:p>
        </w:tc>
        <w:tc>
          <w:tcPr>
            <w:tcW w:w="1262" w:type="dxa"/>
          </w:tcPr>
          <w:p w14:paraId="69DE62E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7.4</w:t>
            </w:r>
          </w:p>
        </w:tc>
      </w:tr>
      <w:tr w:rsidR="000A1090" w:rsidRPr="005B0796" w14:paraId="11CB663A" w14:textId="77777777" w:rsidTr="00220382">
        <w:tc>
          <w:tcPr>
            <w:tcW w:w="2268" w:type="dxa"/>
          </w:tcPr>
          <w:p w14:paraId="186562C1"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048A4C5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226</w:t>
            </w:r>
          </w:p>
        </w:tc>
        <w:tc>
          <w:tcPr>
            <w:tcW w:w="1262" w:type="dxa"/>
          </w:tcPr>
          <w:p w14:paraId="489EC73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14:paraId="0E4CA81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15.0</w:t>
            </w:r>
          </w:p>
        </w:tc>
        <w:tc>
          <w:tcPr>
            <w:tcW w:w="1262" w:type="dxa"/>
          </w:tcPr>
          <w:p w14:paraId="2DD9A63E"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6.6</w:t>
            </w:r>
          </w:p>
        </w:tc>
      </w:tr>
      <w:tr w:rsidR="000A1090" w:rsidRPr="005B0796" w14:paraId="58CC2A4F"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431D8068"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5DD3FE9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270</w:t>
            </w:r>
          </w:p>
        </w:tc>
        <w:tc>
          <w:tcPr>
            <w:tcW w:w="1262" w:type="dxa"/>
          </w:tcPr>
          <w:p w14:paraId="28DB5E9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40</w:t>
            </w:r>
          </w:p>
        </w:tc>
        <w:tc>
          <w:tcPr>
            <w:tcW w:w="1262" w:type="dxa"/>
          </w:tcPr>
          <w:p w14:paraId="02C7CDD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14.8</w:t>
            </w:r>
          </w:p>
        </w:tc>
        <w:tc>
          <w:tcPr>
            <w:tcW w:w="1262" w:type="dxa"/>
          </w:tcPr>
          <w:p w14:paraId="4630CA4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6.8</w:t>
            </w:r>
          </w:p>
        </w:tc>
      </w:tr>
      <w:tr w:rsidR="000A1090" w:rsidRPr="005B0796" w14:paraId="672C458E" w14:textId="77777777" w:rsidTr="00220382">
        <w:tc>
          <w:tcPr>
            <w:tcW w:w="2268" w:type="dxa"/>
          </w:tcPr>
          <w:p w14:paraId="2B7FEB7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Female| Other Rank | unfit | Air Force</w:t>
            </w:r>
          </w:p>
        </w:tc>
        <w:tc>
          <w:tcPr>
            <w:tcW w:w="1261" w:type="dxa"/>
          </w:tcPr>
          <w:p w14:paraId="657A35F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14:paraId="1C74FB8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14:paraId="4EE1553C"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18.1</w:t>
            </w:r>
          </w:p>
        </w:tc>
        <w:tc>
          <w:tcPr>
            <w:tcW w:w="1262" w:type="dxa"/>
          </w:tcPr>
          <w:p w14:paraId="358FC2A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5.5</w:t>
            </w:r>
          </w:p>
        </w:tc>
      </w:tr>
      <w:tr w:rsidR="000A1090" w:rsidRPr="005B0796" w14:paraId="4F692379"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8754934" w14:textId="7AB5CEF6"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Navy</w:t>
            </w:r>
          </w:p>
        </w:tc>
        <w:tc>
          <w:tcPr>
            <w:tcW w:w="1261" w:type="dxa"/>
          </w:tcPr>
          <w:p w14:paraId="368629F5"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583</w:t>
            </w:r>
          </w:p>
        </w:tc>
        <w:tc>
          <w:tcPr>
            <w:tcW w:w="1262" w:type="dxa"/>
          </w:tcPr>
          <w:p w14:paraId="54045C3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173</w:t>
            </w:r>
          </w:p>
        </w:tc>
        <w:tc>
          <w:tcPr>
            <w:tcW w:w="1262" w:type="dxa"/>
          </w:tcPr>
          <w:p w14:paraId="46529D5F"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29.7</w:t>
            </w:r>
          </w:p>
        </w:tc>
        <w:tc>
          <w:tcPr>
            <w:tcW w:w="1262" w:type="dxa"/>
          </w:tcPr>
          <w:p w14:paraId="6A6C14D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3.4</w:t>
            </w:r>
          </w:p>
        </w:tc>
      </w:tr>
      <w:tr w:rsidR="000A1090" w:rsidRPr="005B0796" w14:paraId="7CEEB44B" w14:textId="77777777" w:rsidTr="00220382">
        <w:tc>
          <w:tcPr>
            <w:tcW w:w="2268" w:type="dxa"/>
          </w:tcPr>
          <w:p w14:paraId="0F82B3D9" w14:textId="2BD1BFA2"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Army</w:t>
            </w:r>
          </w:p>
        </w:tc>
        <w:tc>
          <w:tcPr>
            <w:tcW w:w="1261" w:type="dxa"/>
          </w:tcPr>
          <w:p w14:paraId="243A4BF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1409</w:t>
            </w:r>
          </w:p>
        </w:tc>
        <w:tc>
          <w:tcPr>
            <w:tcW w:w="1262" w:type="dxa"/>
          </w:tcPr>
          <w:p w14:paraId="6B81558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401</w:t>
            </w:r>
          </w:p>
        </w:tc>
        <w:tc>
          <w:tcPr>
            <w:tcW w:w="1262" w:type="dxa"/>
          </w:tcPr>
          <w:p w14:paraId="5BBA7C6C"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28.5</w:t>
            </w:r>
          </w:p>
        </w:tc>
        <w:tc>
          <w:tcPr>
            <w:tcW w:w="1262" w:type="dxa"/>
          </w:tcPr>
          <w:p w14:paraId="1C44229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3.5</w:t>
            </w:r>
          </w:p>
        </w:tc>
      </w:tr>
      <w:tr w:rsidR="000A1090" w:rsidRPr="005B0796" w14:paraId="137982B3"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6C87941C" w14:textId="28B184E4"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fit | Air Force</w:t>
            </w:r>
          </w:p>
        </w:tc>
        <w:tc>
          <w:tcPr>
            <w:tcW w:w="1261" w:type="dxa"/>
          </w:tcPr>
          <w:p w14:paraId="2849E18C"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772</w:t>
            </w:r>
          </w:p>
        </w:tc>
        <w:tc>
          <w:tcPr>
            <w:tcW w:w="1262" w:type="dxa"/>
          </w:tcPr>
          <w:p w14:paraId="355E769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253</w:t>
            </w:r>
          </w:p>
        </w:tc>
        <w:tc>
          <w:tcPr>
            <w:tcW w:w="1262" w:type="dxa"/>
          </w:tcPr>
          <w:p w14:paraId="03F7C085"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32.8</w:t>
            </w:r>
          </w:p>
        </w:tc>
        <w:tc>
          <w:tcPr>
            <w:tcW w:w="1262" w:type="dxa"/>
          </w:tcPr>
          <w:p w14:paraId="52A15CF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r>
      <w:tr w:rsidR="000A1090" w:rsidRPr="005B0796" w14:paraId="12EFB3FC" w14:textId="77777777" w:rsidTr="00220382">
        <w:tc>
          <w:tcPr>
            <w:tcW w:w="2268" w:type="dxa"/>
          </w:tcPr>
          <w:p w14:paraId="3797BB42" w14:textId="3D43ECE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Navy</w:t>
            </w:r>
          </w:p>
        </w:tc>
        <w:tc>
          <w:tcPr>
            <w:tcW w:w="1261" w:type="dxa"/>
          </w:tcPr>
          <w:p w14:paraId="52F7AF9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124</w:t>
            </w:r>
          </w:p>
        </w:tc>
        <w:tc>
          <w:tcPr>
            <w:tcW w:w="1262" w:type="dxa"/>
          </w:tcPr>
          <w:p w14:paraId="0317FAD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47</w:t>
            </w:r>
          </w:p>
        </w:tc>
        <w:tc>
          <w:tcPr>
            <w:tcW w:w="1262" w:type="dxa"/>
          </w:tcPr>
          <w:p w14:paraId="49FDD7ED"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37.9</w:t>
            </w:r>
          </w:p>
        </w:tc>
        <w:tc>
          <w:tcPr>
            <w:tcW w:w="1262" w:type="dxa"/>
          </w:tcPr>
          <w:p w14:paraId="2A517B3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2.6</w:t>
            </w:r>
          </w:p>
        </w:tc>
      </w:tr>
      <w:tr w:rsidR="000A1090" w:rsidRPr="005B0796" w14:paraId="44A9DC5B"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10D89255" w14:textId="71E43E18"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Army</w:t>
            </w:r>
          </w:p>
        </w:tc>
        <w:tc>
          <w:tcPr>
            <w:tcW w:w="1261" w:type="dxa"/>
          </w:tcPr>
          <w:p w14:paraId="5F727AC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350</w:t>
            </w:r>
          </w:p>
        </w:tc>
        <w:tc>
          <w:tcPr>
            <w:tcW w:w="1262" w:type="dxa"/>
          </w:tcPr>
          <w:p w14:paraId="45DE05F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114</w:t>
            </w:r>
          </w:p>
        </w:tc>
        <w:tc>
          <w:tcPr>
            <w:tcW w:w="1262" w:type="dxa"/>
          </w:tcPr>
          <w:p w14:paraId="719748AA"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32.6</w:t>
            </w:r>
          </w:p>
        </w:tc>
        <w:tc>
          <w:tcPr>
            <w:tcW w:w="1262" w:type="dxa"/>
          </w:tcPr>
          <w:p w14:paraId="53CB989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r>
      <w:tr w:rsidR="000A1090" w:rsidRPr="005B0796" w14:paraId="41217182" w14:textId="77777777" w:rsidTr="00220382">
        <w:tc>
          <w:tcPr>
            <w:tcW w:w="2268" w:type="dxa"/>
          </w:tcPr>
          <w:p w14:paraId="4377606E" w14:textId="5C2F194D"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w:t>
            </w:r>
            <w:r w:rsidR="002C1B09">
              <w:rPr>
                <w:rFonts w:eastAsia="Times New Roman"/>
                <w:color w:val="000000" w:themeColor="text1"/>
              </w:rPr>
              <w:t>fficer</w:t>
            </w:r>
            <w:r w:rsidRPr="005B0796">
              <w:rPr>
                <w:rFonts w:eastAsia="Times New Roman"/>
                <w:color w:val="000000" w:themeColor="text1"/>
              </w:rPr>
              <w:t xml:space="preserve"> | unfit | Air Force</w:t>
            </w:r>
          </w:p>
        </w:tc>
        <w:tc>
          <w:tcPr>
            <w:tcW w:w="1261" w:type="dxa"/>
          </w:tcPr>
          <w:p w14:paraId="55BB3FD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134</w:t>
            </w:r>
          </w:p>
        </w:tc>
        <w:tc>
          <w:tcPr>
            <w:tcW w:w="1262" w:type="dxa"/>
          </w:tcPr>
          <w:p w14:paraId="0B8CF9D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53</w:t>
            </w:r>
          </w:p>
        </w:tc>
        <w:tc>
          <w:tcPr>
            <w:tcW w:w="1262" w:type="dxa"/>
          </w:tcPr>
          <w:p w14:paraId="3A58912E"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39.6</w:t>
            </w:r>
          </w:p>
        </w:tc>
        <w:tc>
          <w:tcPr>
            <w:tcW w:w="1262" w:type="dxa"/>
          </w:tcPr>
          <w:p w14:paraId="72C66BC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2.5</w:t>
            </w:r>
          </w:p>
        </w:tc>
      </w:tr>
      <w:tr w:rsidR="000A1090" w:rsidRPr="005B0796" w14:paraId="047CCCA7"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B0C5554"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63324DD5"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1285</w:t>
            </w:r>
          </w:p>
        </w:tc>
        <w:tc>
          <w:tcPr>
            <w:tcW w:w="1262" w:type="dxa"/>
          </w:tcPr>
          <w:p w14:paraId="1BE0C7D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225</w:t>
            </w:r>
          </w:p>
        </w:tc>
        <w:tc>
          <w:tcPr>
            <w:tcW w:w="1262" w:type="dxa"/>
          </w:tcPr>
          <w:p w14:paraId="195E2B77" w14:textId="77777777" w:rsidR="000A1090" w:rsidRPr="005B0796" w:rsidRDefault="000A1090" w:rsidP="00220382">
            <w:pPr>
              <w:pStyle w:val="TableText"/>
              <w:jc w:val="right"/>
              <w:rPr>
                <w:color w:val="000000" w:themeColor="text1"/>
              </w:rPr>
            </w:pPr>
            <w:r w:rsidRPr="005B0796">
              <w:rPr>
                <w:rFonts w:eastAsia="Times New Roman"/>
                <w:color w:val="000000" w:themeColor="text1"/>
              </w:rPr>
              <w:t>17.5</w:t>
            </w:r>
          </w:p>
        </w:tc>
        <w:tc>
          <w:tcPr>
            <w:tcW w:w="1262" w:type="dxa"/>
          </w:tcPr>
          <w:p w14:paraId="4CB630D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5.7</w:t>
            </w:r>
          </w:p>
        </w:tc>
      </w:tr>
      <w:tr w:rsidR="000A1090" w:rsidRPr="005B0796" w14:paraId="6663FCA2" w14:textId="77777777" w:rsidTr="00220382">
        <w:tc>
          <w:tcPr>
            <w:tcW w:w="2268" w:type="dxa"/>
          </w:tcPr>
          <w:p w14:paraId="42C3D1A6"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6D4EA2DF"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2735</w:t>
            </w:r>
          </w:p>
        </w:tc>
        <w:tc>
          <w:tcPr>
            <w:tcW w:w="1262" w:type="dxa"/>
          </w:tcPr>
          <w:p w14:paraId="7CCB2F7B"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752</w:t>
            </w:r>
          </w:p>
        </w:tc>
        <w:tc>
          <w:tcPr>
            <w:tcW w:w="1262" w:type="dxa"/>
          </w:tcPr>
          <w:p w14:paraId="19E9863C"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27.5</w:t>
            </w:r>
          </w:p>
        </w:tc>
        <w:tc>
          <w:tcPr>
            <w:tcW w:w="1262" w:type="dxa"/>
          </w:tcPr>
          <w:p w14:paraId="2ECF6BB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3.6</w:t>
            </w:r>
          </w:p>
        </w:tc>
      </w:tr>
      <w:tr w:rsidR="000A1090" w:rsidRPr="005B0796" w14:paraId="3483B976"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24DFB2B0"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34D6C9A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1148</w:t>
            </w:r>
          </w:p>
        </w:tc>
        <w:tc>
          <w:tcPr>
            <w:tcW w:w="1262" w:type="dxa"/>
          </w:tcPr>
          <w:p w14:paraId="2F01E81A"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291</w:t>
            </w:r>
          </w:p>
        </w:tc>
        <w:tc>
          <w:tcPr>
            <w:tcW w:w="1262" w:type="dxa"/>
          </w:tcPr>
          <w:p w14:paraId="7731F347"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25.3</w:t>
            </w:r>
          </w:p>
        </w:tc>
        <w:tc>
          <w:tcPr>
            <w:tcW w:w="1262" w:type="dxa"/>
          </w:tcPr>
          <w:p w14:paraId="524ECFB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3.9</w:t>
            </w:r>
          </w:p>
        </w:tc>
      </w:tr>
      <w:tr w:rsidR="000A1090" w:rsidRPr="005B0796" w14:paraId="0C3BE558" w14:textId="77777777" w:rsidTr="00220382">
        <w:tc>
          <w:tcPr>
            <w:tcW w:w="2268" w:type="dxa"/>
          </w:tcPr>
          <w:p w14:paraId="3C6EA1C2"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7B406AA9" w14:textId="77777777" w:rsidR="000A1090" w:rsidRPr="005B0796" w:rsidRDefault="000A1090" w:rsidP="00220382">
            <w:pPr>
              <w:pStyle w:val="TableText"/>
              <w:jc w:val="right"/>
              <w:rPr>
                <w:rFonts w:eastAsia="Times New Roman"/>
                <w:color w:val="000000" w:themeColor="text1"/>
                <w:lang w:eastAsia="en-GB"/>
              </w:rPr>
            </w:pPr>
            <w:r w:rsidRPr="005B0796">
              <w:rPr>
                <w:rFonts w:eastAsia="Times New Roman"/>
                <w:color w:val="000000" w:themeColor="text1"/>
              </w:rPr>
              <w:t>343</w:t>
            </w:r>
          </w:p>
        </w:tc>
        <w:tc>
          <w:tcPr>
            <w:tcW w:w="1262" w:type="dxa"/>
          </w:tcPr>
          <w:p w14:paraId="7148D7C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14:paraId="128A7C82" w14:textId="77777777" w:rsidR="000A1090" w:rsidRPr="005B0796" w:rsidRDefault="000A1090" w:rsidP="00220382">
            <w:pPr>
              <w:pStyle w:val="TableText"/>
              <w:jc w:val="right"/>
              <w:rPr>
                <w:color w:val="000000" w:themeColor="text1"/>
              </w:rPr>
            </w:pPr>
            <w:r w:rsidRPr="005B0796">
              <w:rPr>
                <w:rFonts w:eastAsia="Times New Roman"/>
                <w:color w:val="000000" w:themeColor="text1"/>
              </w:rPr>
              <w:t>26.8</w:t>
            </w:r>
          </w:p>
        </w:tc>
        <w:tc>
          <w:tcPr>
            <w:tcW w:w="1262" w:type="dxa"/>
          </w:tcPr>
          <w:p w14:paraId="65D735E8"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3.7</w:t>
            </w:r>
          </w:p>
        </w:tc>
      </w:tr>
      <w:tr w:rsidR="000A1090" w:rsidRPr="005B0796" w14:paraId="7810B8FB"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70DA0F32"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7885F42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1055</w:t>
            </w:r>
          </w:p>
        </w:tc>
        <w:tc>
          <w:tcPr>
            <w:tcW w:w="1262" w:type="dxa"/>
          </w:tcPr>
          <w:p w14:paraId="45F3D00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337</w:t>
            </w:r>
          </w:p>
        </w:tc>
        <w:tc>
          <w:tcPr>
            <w:tcW w:w="1262" w:type="dxa"/>
          </w:tcPr>
          <w:p w14:paraId="3580C3B5"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31.9</w:t>
            </w:r>
          </w:p>
        </w:tc>
        <w:tc>
          <w:tcPr>
            <w:tcW w:w="1262" w:type="dxa"/>
          </w:tcPr>
          <w:p w14:paraId="27E0D9D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w:t>
            </w:r>
          </w:p>
        </w:tc>
      </w:tr>
      <w:tr w:rsidR="000A1090" w:rsidRPr="005B0796" w14:paraId="344B274A" w14:textId="77777777" w:rsidTr="00220382">
        <w:tc>
          <w:tcPr>
            <w:tcW w:w="2268" w:type="dxa"/>
          </w:tcPr>
          <w:p w14:paraId="34956CC5"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637A978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319</w:t>
            </w:r>
          </w:p>
        </w:tc>
        <w:tc>
          <w:tcPr>
            <w:tcW w:w="1262" w:type="dxa"/>
          </w:tcPr>
          <w:p w14:paraId="71133D2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111</w:t>
            </w:r>
          </w:p>
        </w:tc>
        <w:tc>
          <w:tcPr>
            <w:tcW w:w="1262" w:type="dxa"/>
          </w:tcPr>
          <w:p w14:paraId="0A1ED738" w14:textId="77777777" w:rsidR="000A1090" w:rsidRPr="005B0796" w:rsidRDefault="000A1090" w:rsidP="00220382">
            <w:pPr>
              <w:pStyle w:val="TableText"/>
              <w:jc w:val="right"/>
              <w:rPr>
                <w:color w:val="000000" w:themeColor="text1"/>
              </w:rPr>
            </w:pPr>
            <w:r w:rsidRPr="005B0796">
              <w:rPr>
                <w:rFonts w:eastAsia="Times New Roman"/>
                <w:color w:val="000000" w:themeColor="text1"/>
              </w:rPr>
              <w:t>34.8</w:t>
            </w:r>
          </w:p>
        </w:tc>
        <w:tc>
          <w:tcPr>
            <w:tcW w:w="1262" w:type="dxa"/>
          </w:tcPr>
          <w:p w14:paraId="5C333A2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2.9</w:t>
            </w:r>
          </w:p>
        </w:tc>
      </w:tr>
      <w:tr w:rsidR="000A1090" w:rsidRPr="005B0796" w14:paraId="7DD25918"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422F070B"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212DFD93"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1697</w:t>
            </w:r>
          </w:p>
        </w:tc>
        <w:tc>
          <w:tcPr>
            <w:tcW w:w="1262" w:type="dxa"/>
          </w:tcPr>
          <w:p w14:paraId="7C65BC4D"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88</w:t>
            </w:r>
          </w:p>
        </w:tc>
        <w:tc>
          <w:tcPr>
            <w:tcW w:w="1262" w:type="dxa"/>
          </w:tcPr>
          <w:p w14:paraId="65F5D63F" w14:textId="77777777" w:rsidR="000A1090" w:rsidRPr="005B0796" w:rsidRDefault="000A1090" w:rsidP="00220382">
            <w:pPr>
              <w:pStyle w:val="TableText"/>
              <w:jc w:val="right"/>
              <w:rPr>
                <w:color w:val="000000" w:themeColor="text1"/>
              </w:rPr>
            </w:pPr>
            <w:r w:rsidRPr="005B0796">
              <w:rPr>
                <w:rFonts w:eastAsia="Times New Roman"/>
                <w:color w:val="000000" w:themeColor="text1"/>
              </w:rPr>
              <w:t>5.2</w:t>
            </w:r>
          </w:p>
        </w:tc>
        <w:tc>
          <w:tcPr>
            <w:tcW w:w="1262" w:type="dxa"/>
          </w:tcPr>
          <w:p w14:paraId="23292DE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19.3</w:t>
            </w:r>
          </w:p>
        </w:tc>
      </w:tr>
      <w:tr w:rsidR="000A1090" w:rsidRPr="005B0796" w14:paraId="01FF2BE5" w14:textId="77777777" w:rsidTr="00220382">
        <w:tc>
          <w:tcPr>
            <w:tcW w:w="2268" w:type="dxa"/>
          </w:tcPr>
          <w:p w14:paraId="09B0E2AF"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61F51BE1"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5639</w:t>
            </w:r>
          </w:p>
        </w:tc>
        <w:tc>
          <w:tcPr>
            <w:tcW w:w="1262" w:type="dxa"/>
          </w:tcPr>
          <w:p w14:paraId="133B6B72"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327</w:t>
            </w:r>
          </w:p>
        </w:tc>
        <w:tc>
          <w:tcPr>
            <w:tcW w:w="1262" w:type="dxa"/>
          </w:tcPr>
          <w:p w14:paraId="6995ACAF" w14:textId="77777777" w:rsidR="000A1090" w:rsidRPr="005B0796" w:rsidRDefault="000A1090" w:rsidP="00220382">
            <w:pPr>
              <w:pStyle w:val="TableText"/>
              <w:jc w:val="right"/>
              <w:rPr>
                <w:color w:val="000000" w:themeColor="text1"/>
              </w:rPr>
            </w:pPr>
            <w:r w:rsidRPr="005B0796">
              <w:rPr>
                <w:rFonts w:eastAsia="Times New Roman"/>
                <w:color w:val="000000" w:themeColor="text1"/>
              </w:rPr>
              <w:t>5.8</w:t>
            </w:r>
          </w:p>
        </w:tc>
        <w:tc>
          <w:tcPr>
            <w:tcW w:w="1262" w:type="dxa"/>
          </w:tcPr>
          <w:p w14:paraId="2E0E9F3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17.2</w:t>
            </w:r>
          </w:p>
        </w:tc>
      </w:tr>
      <w:tr w:rsidR="000A1090" w:rsidRPr="005B0796" w14:paraId="228C9850"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3543B008"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00C4F37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889</w:t>
            </w:r>
          </w:p>
        </w:tc>
        <w:tc>
          <w:tcPr>
            <w:tcW w:w="1262" w:type="dxa"/>
          </w:tcPr>
          <w:p w14:paraId="1EBCA41A"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14:paraId="45F02FB2" w14:textId="77777777" w:rsidR="000A1090" w:rsidRPr="005B0796" w:rsidRDefault="000A1090" w:rsidP="00220382">
            <w:pPr>
              <w:pStyle w:val="TableText"/>
              <w:jc w:val="right"/>
              <w:rPr>
                <w:color w:val="000000" w:themeColor="text1"/>
              </w:rPr>
            </w:pPr>
            <w:r w:rsidRPr="005B0796">
              <w:rPr>
                <w:rFonts w:eastAsia="Times New Roman"/>
                <w:color w:val="000000" w:themeColor="text1"/>
              </w:rPr>
              <w:t>7.3</w:t>
            </w:r>
          </w:p>
        </w:tc>
        <w:tc>
          <w:tcPr>
            <w:tcW w:w="1262" w:type="dxa"/>
          </w:tcPr>
          <w:p w14:paraId="2A62922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13.7</w:t>
            </w:r>
          </w:p>
        </w:tc>
      </w:tr>
      <w:tr w:rsidR="000A1090" w:rsidRPr="005B0796" w14:paraId="352E5508" w14:textId="77777777" w:rsidTr="00220382">
        <w:tc>
          <w:tcPr>
            <w:tcW w:w="2268" w:type="dxa"/>
          </w:tcPr>
          <w:p w14:paraId="06BC01DE" w14:textId="59E36491"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Navy</w:t>
            </w:r>
          </w:p>
        </w:tc>
        <w:tc>
          <w:tcPr>
            <w:tcW w:w="1261" w:type="dxa"/>
          </w:tcPr>
          <w:p w14:paraId="75A05C17"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518</w:t>
            </w:r>
          </w:p>
        </w:tc>
        <w:tc>
          <w:tcPr>
            <w:tcW w:w="1262" w:type="dxa"/>
          </w:tcPr>
          <w:p w14:paraId="23F9D246"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14:paraId="42047AE8" w14:textId="77777777" w:rsidR="000A1090" w:rsidRPr="005B0796" w:rsidRDefault="000A1090" w:rsidP="00220382">
            <w:pPr>
              <w:pStyle w:val="TableText"/>
              <w:jc w:val="right"/>
              <w:rPr>
                <w:color w:val="000000" w:themeColor="text1"/>
              </w:rPr>
            </w:pPr>
            <w:r w:rsidRPr="005B0796">
              <w:rPr>
                <w:rFonts w:eastAsia="Times New Roman"/>
                <w:color w:val="000000" w:themeColor="text1"/>
              </w:rPr>
              <w:t>9.8</w:t>
            </w:r>
          </w:p>
        </w:tc>
        <w:tc>
          <w:tcPr>
            <w:tcW w:w="1262" w:type="dxa"/>
          </w:tcPr>
          <w:p w14:paraId="40EBE7F4"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10.2</w:t>
            </w:r>
          </w:p>
        </w:tc>
      </w:tr>
      <w:tr w:rsidR="000A1090" w:rsidRPr="005B0796" w14:paraId="0D37D055" w14:textId="77777777" w:rsidTr="00220382">
        <w:trPr>
          <w:cnfStyle w:val="000000100000" w:firstRow="0" w:lastRow="0" w:firstColumn="0" w:lastColumn="0" w:oddVBand="0" w:evenVBand="0" w:oddHBand="1" w:evenHBand="0" w:firstRowFirstColumn="0" w:firstRowLastColumn="0" w:lastRowFirstColumn="0" w:lastRowLastColumn="0"/>
        </w:trPr>
        <w:tc>
          <w:tcPr>
            <w:tcW w:w="2268" w:type="dxa"/>
          </w:tcPr>
          <w:p w14:paraId="4D80E222" w14:textId="77777777" w:rsidR="000A1090" w:rsidRPr="005B0796" w:rsidRDefault="000A1090" w:rsidP="00220382">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646FFE1A"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2443</w:t>
            </w:r>
          </w:p>
        </w:tc>
        <w:tc>
          <w:tcPr>
            <w:tcW w:w="1262" w:type="dxa"/>
          </w:tcPr>
          <w:p w14:paraId="37741DC9"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231</w:t>
            </w:r>
          </w:p>
        </w:tc>
        <w:tc>
          <w:tcPr>
            <w:tcW w:w="1262" w:type="dxa"/>
          </w:tcPr>
          <w:p w14:paraId="7CA788E6" w14:textId="77777777" w:rsidR="000A1090" w:rsidRPr="005B0796" w:rsidRDefault="000A1090" w:rsidP="00220382">
            <w:pPr>
              <w:pStyle w:val="TableText"/>
              <w:jc w:val="right"/>
              <w:rPr>
                <w:color w:val="000000" w:themeColor="text1"/>
              </w:rPr>
            </w:pPr>
            <w:r w:rsidRPr="005B0796">
              <w:rPr>
                <w:rFonts w:eastAsia="Times New Roman"/>
                <w:color w:val="000000" w:themeColor="text1"/>
              </w:rPr>
              <w:t>9.5</w:t>
            </w:r>
          </w:p>
        </w:tc>
        <w:tc>
          <w:tcPr>
            <w:tcW w:w="1262" w:type="dxa"/>
          </w:tcPr>
          <w:p w14:paraId="423BDA70" w14:textId="77777777" w:rsidR="000A1090" w:rsidRPr="005B0796" w:rsidRDefault="000A1090" w:rsidP="00220382">
            <w:pPr>
              <w:pStyle w:val="TableText"/>
              <w:jc w:val="right"/>
              <w:rPr>
                <w:rFonts w:eastAsia="Times New Roman"/>
                <w:color w:val="000000" w:themeColor="text1"/>
              </w:rPr>
            </w:pPr>
            <w:r w:rsidRPr="005B0796">
              <w:rPr>
                <w:rFonts w:eastAsia="Times New Roman"/>
                <w:color w:val="000000" w:themeColor="text1"/>
              </w:rPr>
              <w:t>10.6</w:t>
            </w:r>
          </w:p>
        </w:tc>
      </w:tr>
    </w:tbl>
    <w:p w14:paraId="314017F5" w14:textId="10098FEE" w:rsidR="000A1090" w:rsidRDefault="00E13CCE" w:rsidP="000A1090">
      <w:pPr>
        <w:pStyle w:val="TableNotes"/>
      </w:pPr>
      <w:r>
        <w:t>NCO = Non-Commissioned Officer</w:t>
      </w:r>
    </w:p>
    <w:p w14:paraId="02E3EBFF" w14:textId="77777777" w:rsidR="00160459" w:rsidRPr="0047058F" w:rsidRDefault="00160459" w:rsidP="00160459">
      <w:pPr>
        <w:pStyle w:val="Heading3b"/>
      </w:pPr>
      <w:r w:rsidRPr="0047058F">
        <w:t>Reclassification of Medical Employment Classification for study</w:t>
      </w:r>
    </w:p>
    <w:p w14:paraId="7CE14EE1" w14:textId="77777777" w:rsidR="00160459" w:rsidRPr="0047058F" w:rsidRDefault="00160459" w:rsidP="00160459">
      <w:pPr>
        <w:rPr>
          <w:rFonts w:asciiTheme="minorHAnsi" w:hAnsiTheme="minorHAnsi"/>
        </w:rPr>
      </w:pPr>
      <w:r w:rsidRPr="0047058F">
        <w:t xml:space="preserve">The Medical Employment Classification (MEC) system is an administrative process designed to monitor physical fitness and medical standards in the ADF, and is </w:t>
      </w:r>
      <w:r w:rsidRPr="0047058F">
        <w:rPr>
          <w:szCs w:val="22"/>
        </w:rPr>
        <w:t>divided into the following four levels (either current or on discharge from the Regular ADF):</w:t>
      </w:r>
    </w:p>
    <w:p w14:paraId="6A9C0540" w14:textId="77777777" w:rsidR="00160459" w:rsidRPr="0047058F" w:rsidRDefault="00160459" w:rsidP="00160459">
      <w:pPr>
        <w:pStyle w:val="Bullet"/>
        <w:numPr>
          <w:ilvl w:val="0"/>
          <w:numId w:val="1"/>
        </w:numPr>
        <w:ind w:left="360"/>
        <w:rPr>
          <w:lang w:eastAsia="en-AU"/>
        </w:rPr>
      </w:pPr>
      <w:r w:rsidRPr="0047058F">
        <w:rPr>
          <w:b/>
          <w:lang w:eastAsia="en-AU"/>
        </w:rPr>
        <w:t>MEC 1</w:t>
      </w:r>
      <w:r w:rsidRPr="0047058F">
        <w:rPr>
          <w:lang w:eastAsia="en-AU"/>
        </w:rPr>
        <w:t xml:space="preserve"> – members are medically fit for employment in a deployed or seagoing environment without restriction.</w:t>
      </w:r>
    </w:p>
    <w:p w14:paraId="7E824E39" w14:textId="77777777" w:rsidR="00160459" w:rsidRPr="0047058F" w:rsidRDefault="00160459" w:rsidP="00160459">
      <w:pPr>
        <w:pStyle w:val="Bullet"/>
        <w:numPr>
          <w:ilvl w:val="0"/>
          <w:numId w:val="1"/>
        </w:numPr>
        <w:ind w:left="360"/>
        <w:rPr>
          <w:lang w:eastAsia="en-AU"/>
        </w:rPr>
      </w:pPr>
      <w:r w:rsidRPr="0047058F">
        <w:rPr>
          <w:b/>
          <w:lang w:eastAsia="en-AU"/>
        </w:rPr>
        <w:t>MEC 2</w:t>
      </w:r>
      <w:r w:rsidRPr="0047058F">
        <w:rPr>
          <w:lang w:eastAsia="en-AU"/>
        </w:rPr>
        <w:t xml:space="preserve"> – members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w:t>
      </w:r>
    </w:p>
    <w:p w14:paraId="67FFE913" w14:textId="77777777" w:rsidR="00160459" w:rsidRPr="0047058F" w:rsidRDefault="00160459" w:rsidP="00160459">
      <w:pPr>
        <w:pStyle w:val="Bullet"/>
        <w:numPr>
          <w:ilvl w:val="0"/>
          <w:numId w:val="1"/>
        </w:numPr>
        <w:ind w:left="360"/>
      </w:pPr>
      <w:r w:rsidRPr="0047058F">
        <w:rPr>
          <w:b/>
          <w:lang w:eastAsia="en-AU"/>
        </w:rPr>
        <w:t>MEC 3</w:t>
      </w:r>
      <w:r w:rsidRPr="0047058F">
        <w:rPr>
          <w:lang w:eastAsia="en-AU"/>
        </w:rPr>
        <w:t xml:space="preserve"> – members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at MEC 3.</w:t>
      </w:r>
    </w:p>
    <w:p w14:paraId="5F9D6E38" w14:textId="77777777" w:rsidR="00160459" w:rsidRPr="0047058F" w:rsidRDefault="00160459" w:rsidP="00160459">
      <w:pPr>
        <w:pStyle w:val="Bullet"/>
        <w:numPr>
          <w:ilvl w:val="0"/>
          <w:numId w:val="1"/>
        </w:numPr>
        <w:ind w:left="360"/>
      </w:pPr>
      <w:r w:rsidRPr="0047058F">
        <w:rPr>
          <w:b/>
        </w:rPr>
        <w:t>MEC 4</w:t>
      </w:r>
      <w:r w:rsidRPr="0047058F">
        <w:t xml:space="preserve"> – members who are medically unfit for deployment or seagoing service in the long term. Members who are classified as MEC 4 for their military occupation will be subject to review and confirmation of their classification by an MECRB.</w:t>
      </w:r>
    </w:p>
    <w:p w14:paraId="359A3EE6" w14:textId="77777777" w:rsidR="00160459" w:rsidRPr="0047058F" w:rsidRDefault="00160459" w:rsidP="00160459">
      <w:r w:rsidRPr="0047058F">
        <w:t>MEC status was collapsed to create a new variable ‘medical fitness’, which was used in the current Programme of research. Medical fitness was defined accordingly:</w:t>
      </w:r>
    </w:p>
    <w:p w14:paraId="796BCE40" w14:textId="77777777" w:rsidR="00160459" w:rsidRPr="0047058F" w:rsidRDefault="00160459" w:rsidP="00160459">
      <w:pPr>
        <w:pStyle w:val="Bullet"/>
        <w:numPr>
          <w:ilvl w:val="0"/>
          <w:numId w:val="1"/>
        </w:numPr>
        <w:ind w:left="360"/>
      </w:pPr>
      <w:r w:rsidRPr="0047058F">
        <w:rPr>
          <w:b/>
        </w:rPr>
        <w:t>Fit</w:t>
      </w:r>
      <w:r w:rsidRPr="0047058F">
        <w:t xml:space="preserve"> – those who are categorised as fully employable and deployable, or deployable with restrictions. Participants are classified as fit if they fall into MEC 1 or MEC 2, or are assigned a perturbed MEC value of ‘fit’.</w:t>
      </w:r>
    </w:p>
    <w:p w14:paraId="37D45F24" w14:textId="77777777" w:rsidR="00160459" w:rsidRPr="0047058F" w:rsidRDefault="00160459" w:rsidP="00160459">
      <w:pPr>
        <w:pStyle w:val="Bullet"/>
        <w:numPr>
          <w:ilvl w:val="0"/>
          <w:numId w:val="1"/>
        </w:numPr>
        <w:ind w:left="360"/>
        <w:rPr>
          <w:szCs w:val="22"/>
        </w:rPr>
      </w:pPr>
      <w:r w:rsidRPr="0047058F">
        <w:rPr>
          <w:b/>
          <w:szCs w:val="22"/>
        </w:rPr>
        <w:t>Unfit</w:t>
      </w:r>
      <w:r w:rsidRPr="0047058F">
        <w:rPr>
          <w:szCs w:val="22"/>
        </w:rPr>
        <w:t xml:space="preserve"> – </w:t>
      </w:r>
      <w:r w:rsidRPr="0047058F">
        <w:t xml:space="preserve">those who are not fit for deployment, original occupation and/or further service. ‘Unfit’ can include those who are undergoing rehabilitation, transitioning to alternative return-to-work arrangements, or are in the process of being medically discharged from the ADF. </w:t>
      </w:r>
      <w:r w:rsidRPr="0047058F">
        <w:rPr>
          <w:szCs w:val="22"/>
        </w:rPr>
        <w:t xml:space="preserve">Participants are classified as unfit if they fall into MEC 3 or MEC 4, </w:t>
      </w:r>
      <w:r w:rsidRPr="0047058F">
        <w:t>or</w:t>
      </w:r>
      <w:r w:rsidRPr="0047058F">
        <w:rPr>
          <w:szCs w:val="22"/>
        </w:rPr>
        <w:t xml:space="preserve"> are assigned a perturbed MEC value of ‘unfit’.</w:t>
      </w:r>
    </w:p>
    <w:p w14:paraId="6952C583" w14:textId="77777777" w:rsidR="00160459" w:rsidRPr="0047058F" w:rsidRDefault="00160459" w:rsidP="00160459">
      <w:pPr>
        <w:pStyle w:val="Heading3b"/>
      </w:pPr>
      <w:bookmarkStart w:id="681" w:name="_Toc487011303"/>
      <w:bookmarkStart w:id="682" w:name="_Toc493663198"/>
      <w:r w:rsidRPr="0047058F">
        <w:t>Estimates from survey</w:t>
      </w:r>
      <w:bookmarkEnd w:id="681"/>
      <w:bookmarkEnd w:id="682"/>
    </w:p>
    <w:p w14:paraId="27701FD6" w14:textId="77777777" w:rsidR="00160459" w:rsidRPr="0047058F" w:rsidRDefault="00160459" w:rsidP="00160459">
      <w:r w:rsidRPr="0047058F">
        <w:t xml:space="preserve">To maximise the actual real data available for analysis, </w:t>
      </w:r>
      <w:r w:rsidRPr="0047058F">
        <w:rPr>
          <w:i/>
        </w:rPr>
        <w:t>survey</w:t>
      </w:r>
      <w:r w:rsidRPr="0047058F">
        <w:t xml:space="preserve"> weights were calculated for each section of the survey separately. This addressed the issue of differential response to various sections of the survey, whereby individuals potentially completed some but not all parts of the survey. A ‘survey section responder’ was defined as anyone who answered at least one question in that particular section of the survey. There was a total of 29 section responder weight variables. For the purpose of analysis, the weights used were always for the primary outcome variable of interest.</w:t>
      </w:r>
    </w:p>
    <w:p w14:paraId="13822824" w14:textId="77777777" w:rsidR="00160459" w:rsidRPr="0047058F" w:rsidRDefault="00160459" w:rsidP="00160459">
      <w:pPr>
        <w:pStyle w:val="Heading3b"/>
      </w:pPr>
      <w:bookmarkStart w:id="683" w:name="_Toc487011304"/>
      <w:bookmarkStart w:id="684" w:name="_Toc493663199"/>
      <w:r w:rsidRPr="0047058F">
        <w:t>Estimates from Composite International Diagnostic I</w:t>
      </w:r>
      <w:bookmarkEnd w:id="683"/>
      <w:bookmarkEnd w:id="684"/>
      <w:r w:rsidRPr="0047058F">
        <w:t>nterview</w:t>
      </w:r>
    </w:p>
    <w:p w14:paraId="034AA6ED" w14:textId="77777777" w:rsidR="00160459" w:rsidRPr="0047058F" w:rsidRDefault="00160459" w:rsidP="00160459">
      <w:pPr>
        <w:rPr>
          <w:rFonts w:eastAsia="MS Mincho"/>
        </w:rPr>
      </w:pPr>
      <w:r w:rsidRPr="0047058F">
        <w:t>CIDI weights were derived for the Transitioned ADF based on strata including band (cut-offs based on PCL-C and AUDIT), sex and Service. These strata were used to weight the CIDI responses to the entire population. Within each stratum, the weight was calculated as the population size divided by the number of CIDI respondents for that stratum. As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in each stratum.</w:t>
      </w:r>
    </w:p>
    <w:p w14:paraId="61F28E43" w14:textId="77777777" w:rsidR="00160459" w:rsidRPr="0047058F" w:rsidRDefault="00160459" w:rsidP="00160459">
      <w:pPr>
        <w:rPr>
          <w:lang w:eastAsia="en-AU"/>
        </w:rPr>
      </w:pPr>
      <w:r w:rsidRPr="0047058F">
        <w:t>Post-stratification by the variables of sex, Service and rank was used to adjust the weights so that the estimates reproduced the known population totals, and to correct for differential non-response by rank.</w:t>
      </w:r>
    </w:p>
    <w:p w14:paraId="31489B13" w14:textId="77777777" w:rsidR="00160459" w:rsidRPr="0047058F" w:rsidRDefault="00160459" w:rsidP="000A1090">
      <w:pPr>
        <w:pStyle w:val="Heading2b"/>
        <w:ind w:left="720" w:hanging="720"/>
      </w:pPr>
      <w:bookmarkStart w:id="685" w:name="_Toc341700584"/>
      <w:bookmarkStart w:id="686" w:name="_Toc482021452"/>
      <w:bookmarkStart w:id="687" w:name="_Toc482024543"/>
      <w:bookmarkStart w:id="688" w:name="_Toc484594363"/>
      <w:bookmarkStart w:id="689" w:name="_Toc487011305"/>
      <w:bookmarkStart w:id="690" w:name="_Toc493663200"/>
      <w:bookmarkStart w:id="691" w:name="_Toc494449815"/>
      <w:bookmarkStart w:id="692" w:name="_Toc341700587"/>
      <w:r w:rsidRPr="0047058F">
        <w:t>Unit-level perturbation of Medical Employment Classification values</w:t>
      </w:r>
      <w:bookmarkEnd w:id="685"/>
      <w:bookmarkEnd w:id="686"/>
      <w:bookmarkEnd w:id="687"/>
      <w:bookmarkEnd w:id="688"/>
      <w:bookmarkEnd w:id="689"/>
      <w:bookmarkEnd w:id="690"/>
      <w:bookmarkEnd w:id="691"/>
    </w:p>
    <w:p w14:paraId="4972069D" w14:textId="77777777" w:rsidR="00160459" w:rsidRPr="0047058F" w:rsidRDefault="00160459" w:rsidP="00160459">
      <w:pPr>
        <w:pStyle w:val="Heading3b"/>
      </w:pPr>
      <w:bookmarkStart w:id="693" w:name="_Toc487011306"/>
      <w:bookmarkStart w:id="694" w:name="_Toc493663201"/>
      <w:r w:rsidRPr="0047058F">
        <w:t>Methodology</w:t>
      </w:r>
      <w:bookmarkEnd w:id="693"/>
      <w:bookmarkEnd w:id="694"/>
    </w:p>
    <w:p w14:paraId="36747F4A" w14:textId="15B20278" w:rsidR="00160459" w:rsidRPr="0047058F" w:rsidRDefault="00160459" w:rsidP="00160459">
      <w:r w:rsidRPr="0047058F">
        <w:t>Due to the nature of the consent provided for individuals on the Study Roll, access to identified data for weighting purposes required the consent of the individual participants. The Australian Institute of Health and Welfare carried out a perturbation approach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The model used was a logistic regression model. This resulted in a set of probabilities of each record taking on MEC values. A Monte Carlo approach used these probabilities to randomly assign a synthetic MEC value to each record. These synthetic MEC values reflect each individual’s characteristics. The generation was constrained so that aggregate totals remained consistent with totals of unperturbed values.</w:t>
      </w:r>
    </w:p>
    <w:p w14:paraId="2E4413F3" w14:textId="77777777" w:rsidR="00160459" w:rsidRPr="0047058F" w:rsidRDefault="00160459" w:rsidP="00160459">
      <w:r w:rsidRPr="0047058F">
        <w:t>The perturbation approach allowed the unit records to better reflect the MEC status of individuals. This allowed researchers to use the unit records to undertake more accurate analyses and tabulations.</w:t>
      </w:r>
    </w:p>
    <w:p w14:paraId="04BE117F" w14:textId="77777777" w:rsidR="00160459" w:rsidRPr="0047058F" w:rsidRDefault="00160459" w:rsidP="00160459">
      <w:r w:rsidRPr="0047058F">
        <w:t>The unit record perturbation allowed for tabulation and analyses. The perturbed values did not assume a broad level of homogeneity within the combinations of variables as an aggregate weighting approach, but rather allowed the individual characteristic of each person to inform the perturbed value that they were assigned.</w:t>
      </w:r>
    </w:p>
    <w:p w14:paraId="0AB1DBCE" w14:textId="77777777" w:rsidR="00160459" w:rsidRPr="0047058F" w:rsidRDefault="00160459" w:rsidP="00160459">
      <w:pPr>
        <w:pStyle w:val="Heading3b"/>
      </w:pPr>
      <w:bookmarkStart w:id="695" w:name="_Toc487011307"/>
      <w:bookmarkStart w:id="696" w:name="_Toc493663202"/>
      <w:r w:rsidRPr="0047058F">
        <w:t>Results</w:t>
      </w:r>
      <w:bookmarkEnd w:id="695"/>
      <w:bookmarkEnd w:id="696"/>
    </w:p>
    <w:p w14:paraId="644A16D2" w14:textId="601B0A5F" w:rsidR="00160459" w:rsidRPr="0047058F" w:rsidRDefault="00160459" w:rsidP="00160459">
      <w:r w:rsidRPr="0047058F">
        <w:t>The perturbation process was constrained at the source level. Tables A.</w:t>
      </w:r>
      <w:r w:rsidR="001F4FEF">
        <w:t>12</w:t>
      </w:r>
      <w:r w:rsidRPr="0047058F">
        <w:t xml:space="preserve"> and A.1</w:t>
      </w:r>
      <w:r w:rsidR="001F4FEF">
        <w:t>3</w:t>
      </w:r>
      <w:r w:rsidRPr="0047058F">
        <w:t xml:space="preserve"> show that this was achieved, as the counts of ‘fit’, ‘unfit’ and ‘missing’ were the same for both the original and perturbed values.</w:t>
      </w:r>
    </w:p>
    <w:p w14:paraId="095A5DD8" w14:textId="0869B701" w:rsidR="00160459" w:rsidRPr="0047058F" w:rsidRDefault="00160459" w:rsidP="00160459">
      <w:r w:rsidRPr="0047058F">
        <w:t xml:space="preserve">The missing values were assumed to happen at random within the source file. This meant that a participant’s original missing value could be given to any other participant, regardless of their </w:t>
      </w:r>
      <w:bookmarkStart w:id="697" w:name="_Hlk490642542"/>
      <w:r w:rsidRPr="0047058F">
        <w:t>sex, Service, rank or age</w:t>
      </w:r>
      <w:bookmarkEnd w:id="697"/>
      <w:r w:rsidRPr="0047058F">
        <w:t>. As such, the number of ‘fit’ and ‘unfit’ totals at these constraining levels for the perturbed data do not exactly line up with the original totals (see Table A.1</w:t>
      </w:r>
      <w:r w:rsidR="00BE6D1E">
        <w:t>3</w:t>
      </w:r>
      <w:r w:rsidRPr="0047058F">
        <w:t xml:space="preserve"> for totals by Service type).</w:t>
      </w:r>
    </w:p>
    <w:p w14:paraId="6ACEDBFE" w14:textId="77777777" w:rsidR="00160459" w:rsidRPr="0047058F" w:rsidRDefault="00160459" w:rsidP="00160459">
      <w:pPr>
        <w:pStyle w:val="TableName"/>
      </w:pPr>
      <w:bookmarkStart w:id="698" w:name="_Toc486936022"/>
      <w:bookmarkStart w:id="699" w:name="_Toc487014346"/>
      <w:bookmarkStart w:id="700" w:name="_Toc492995649"/>
      <w:bookmarkStart w:id="701" w:name="_Toc497383348"/>
      <w:bookmarkStart w:id="702" w:name="_Toc529117557"/>
      <w:bookmarkStart w:id="703" w:name="_Toc532473630"/>
      <w:r w:rsidRPr="0047058F">
        <w:t>Table A.12</w:t>
      </w:r>
      <w:r w:rsidRPr="0047058F">
        <w:tab/>
        <w:t>Counts of categories by source</w:t>
      </w:r>
      <w:bookmarkEnd w:id="698"/>
      <w:bookmarkEnd w:id="699"/>
      <w:bookmarkEnd w:id="700"/>
      <w:bookmarkEnd w:id="701"/>
      <w:bookmarkEnd w:id="702"/>
      <w:bookmarkEnd w:id="703"/>
    </w:p>
    <w:tbl>
      <w:tblPr>
        <w:tblStyle w:val="TWRPTable"/>
        <w:tblW w:w="5000" w:type="pct"/>
        <w:tblLayout w:type="fixed"/>
        <w:tblLook w:val="04A0" w:firstRow="1" w:lastRow="0" w:firstColumn="1" w:lastColumn="0" w:noHBand="0" w:noVBand="1"/>
        <w:tblDescription w:val="Table A.12 Counts of categories by source"/>
      </w:tblPr>
      <w:tblGrid>
        <w:gridCol w:w="1553"/>
        <w:gridCol w:w="960"/>
        <w:gridCol w:w="960"/>
        <w:gridCol w:w="961"/>
        <w:gridCol w:w="960"/>
        <w:gridCol w:w="960"/>
        <w:gridCol w:w="961"/>
      </w:tblGrid>
      <w:tr w:rsidR="00160459" w:rsidRPr="000A1090" w14:paraId="7158336E"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val="restart"/>
          </w:tcPr>
          <w:p w14:paraId="1CDA85C7" w14:textId="77777777" w:rsidR="00160459" w:rsidRPr="000A1090" w:rsidRDefault="00160459" w:rsidP="000A1090">
            <w:pPr>
              <w:pStyle w:val="TableText"/>
            </w:pPr>
            <w:r w:rsidRPr="000A1090">
              <w:t>Source</w:t>
            </w:r>
          </w:p>
        </w:tc>
        <w:tc>
          <w:tcPr>
            <w:tcW w:w="2881" w:type="dxa"/>
            <w:gridSpan w:val="3"/>
          </w:tcPr>
          <w:p w14:paraId="064AE95B" w14:textId="77777777" w:rsidR="00160459" w:rsidRPr="000A1090" w:rsidRDefault="00160459" w:rsidP="000A1090">
            <w:pPr>
              <w:pStyle w:val="TableText"/>
              <w:jc w:val="center"/>
            </w:pPr>
            <w:r w:rsidRPr="000A1090">
              <w:t>Original MEC value</w:t>
            </w:r>
          </w:p>
        </w:tc>
        <w:tc>
          <w:tcPr>
            <w:tcW w:w="2881" w:type="dxa"/>
            <w:gridSpan w:val="3"/>
          </w:tcPr>
          <w:p w14:paraId="02E6F52B" w14:textId="77777777" w:rsidR="00160459" w:rsidRPr="000A1090" w:rsidRDefault="00160459" w:rsidP="000A1090">
            <w:pPr>
              <w:pStyle w:val="TableText"/>
              <w:jc w:val="center"/>
            </w:pPr>
            <w:r w:rsidRPr="000A1090">
              <w:t>Perturbed MEC value</w:t>
            </w:r>
          </w:p>
        </w:tc>
      </w:tr>
      <w:tr w:rsidR="00160459" w:rsidRPr="000A1090" w14:paraId="6F217878"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tcPr>
          <w:p w14:paraId="5FBA07BC" w14:textId="77777777" w:rsidR="00160459" w:rsidRPr="000A1090" w:rsidRDefault="00160459" w:rsidP="000A1090">
            <w:pPr>
              <w:pStyle w:val="TableText"/>
            </w:pPr>
          </w:p>
        </w:tc>
        <w:tc>
          <w:tcPr>
            <w:tcW w:w="960" w:type="dxa"/>
          </w:tcPr>
          <w:p w14:paraId="7EC7A31D" w14:textId="77777777" w:rsidR="00160459" w:rsidRPr="000A1090" w:rsidRDefault="00160459" w:rsidP="000A1090">
            <w:pPr>
              <w:pStyle w:val="TableText"/>
              <w:jc w:val="right"/>
            </w:pPr>
            <w:r w:rsidRPr="000A1090">
              <w:t>Fit</w:t>
            </w:r>
          </w:p>
        </w:tc>
        <w:tc>
          <w:tcPr>
            <w:tcW w:w="960" w:type="dxa"/>
          </w:tcPr>
          <w:p w14:paraId="4BC99E59" w14:textId="77777777" w:rsidR="00160459" w:rsidRPr="000A1090" w:rsidRDefault="00160459" w:rsidP="000A1090">
            <w:pPr>
              <w:pStyle w:val="TableText"/>
              <w:jc w:val="right"/>
            </w:pPr>
            <w:r w:rsidRPr="000A1090">
              <w:t>Unfit</w:t>
            </w:r>
          </w:p>
        </w:tc>
        <w:tc>
          <w:tcPr>
            <w:tcW w:w="961" w:type="dxa"/>
          </w:tcPr>
          <w:p w14:paraId="10CC9E44" w14:textId="77777777" w:rsidR="00160459" w:rsidRPr="000A1090" w:rsidRDefault="00160459" w:rsidP="000A1090">
            <w:pPr>
              <w:pStyle w:val="TableText"/>
              <w:jc w:val="right"/>
            </w:pPr>
            <w:r w:rsidRPr="000A1090">
              <w:t>Missing</w:t>
            </w:r>
          </w:p>
        </w:tc>
        <w:tc>
          <w:tcPr>
            <w:tcW w:w="960" w:type="dxa"/>
          </w:tcPr>
          <w:p w14:paraId="14E059B1" w14:textId="77777777" w:rsidR="00160459" w:rsidRPr="000A1090" w:rsidRDefault="00160459" w:rsidP="000A1090">
            <w:pPr>
              <w:pStyle w:val="TableText"/>
              <w:jc w:val="right"/>
            </w:pPr>
            <w:r w:rsidRPr="000A1090">
              <w:t>Fit</w:t>
            </w:r>
          </w:p>
        </w:tc>
        <w:tc>
          <w:tcPr>
            <w:tcW w:w="960" w:type="dxa"/>
          </w:tcPr>
          <w:p w14:paraId="7DDD9D9C" w14:textId="77777777" w:rsidR="00160459" w:rsidRPr="000A1090" w:rsidRDefault="00160459" w:rsidP="000A1090">
            <w:pPr>
              <w:pStyle w:val="TableText"/>
              <w:jc w:val="right"/>
            </w:pPr>
            <w:r w:rsidRPr="000A1090">
              <w:t>Unfit</w:t>
            </w:r>
          </w:p>
        </w:tc>
        <w:tc>
          <w:tcPr>
            <w:tcW w:w="961" w:type="dxa"/>
          </w:tcPr>
          <w:p w14:paraId="39F4605C" w14:textId="77777777" w:rsidR="00160459" w:rsidRPr="000A1090" w:rsidRDefault="00160459" w:rsidP="000A1090">
            <w:pPr>
              <w:pStyle w:val="TableText"/>
              <w:jc w:val="right"/>
            </w:pPr>
            <w:r w:rsidRPr="000A1090">
              <w:t>Missing</w:t>
            </w:r>
          </w:p>
        </w:tc>
      </w:tr>
      <w:tr w:rsidR="00160459" w:rsidRPr="000A1090" w14:paraId="627859E3"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1553" w:type="dxa"/>
          </w:tcPr>
          <w:p w14:paraId="721785A2" w14:textId="0A234B82" w:rsidR="00160459" w:rsidRPr="000A1090" w:rsidRDefault="00160459" w:rsidP="000A1090">
            <w:pPr>
              <w:pStyle w:val="TableText"/>
            </w:pPr>
            <w:r w:rsidRPr="000A1090">
              <w:t>A</w:t>
            </w:r>
            <w:r w:rsidR="00FA015A">
              <w:t>b initio Reservists</w:t>
            </w:r>
          </w:p>
        </w:tc>
        <w:tc>
          <w:tcPr>
            <w:tcW w:w="960" w:type="dxa"/>
          </w:tcPr>
          <w:p w14:paraId="0B6E8361" w14:textId="77777777" w:rsidR="00160459" w:rsidRPr="000A1090" w:rsidRDefault="00160459" w:rsidP="000A1090">
            <w:pPr>
              <w:pStyle w:val="TableText"/>
              <w:jc w:val="right"/>
            </w:pPr>
            <w:r w:rsidRPr="000A1090">
              <w:t>138</w:t>
            </w:r>
          </w:p>
        </w:tc>
        <w:tc>
          <w:tcPr>
            <w:tcW w:w="960" w:type="dxa"/>
          </w:tcPr>
          <w:p w14:paraId="29B2C687" w14:textId="77777777" w:rsidR="00160459" w:rsidRPr="000A1090" w:rsidRDefault="00160459" w:rsidP="000A1090">
            <w:pPr>
              <w:pStyle w:val="TableText"/>
              <w:jc w:val="right"/>
            </w:pPr>
            <w:r w:rsidRPr="000A1090">
              <w:t>7</w:t>
            </w:r>
          </w:p>
        </w:tc>
        <w:tc>
          <w:tcPr>
            <w:tcW w:w="961" w:type="dxa"/>
          </w:tcPr>
          <w:p w14:paraId="4A76FBEA" w14:textId="77777777" w:rsidR="00160459" w:rsidRPr="000A1090" w:rsidRDefault="00160459" w:rsidP="000A1090">
            <w:pPr>
              <w:pStyle w:val="TableText"/>
              <w:jc w:val="right"/>
            </w:pPr>
            <w:r w:rsidRPr="000A1090">
              <w:t>0</w:t>
            </w:r>
          </w:p>
        </w:tc>
        <w:tc>
          <w:tcPr>
            <w:tcW w:w="960" w:type="dxa"/>
          </w:tcPr>
          <w:p w14:paraId="51AB15CD" w14:textId="77777777" w:rsidR="00160459" w:rsidRPr="000A1090" w:rsidRDefault="00160459" w:rsidP="000A1090">
            <w:pPr>
              <w:pStyle w:val="TableText"/>
              <w:jc w:val="right"/>
            </w:pPr>
            <w:r w:rsidRPr="000A1090">
              <w:t>138</w:t>
            </w:r>
          </w:p>
        </w:tc>
        <w:tc>
          <w:tcPr>
            <w:tcW w:w="960" w:type="dxa"/>
          </w:tcPr>
          <w:p w14:paraId="2B70327D" w14:textId="77777777" w:rsidR="00160459" w:rsidRPr="000A1090" w:rsidRDefault="00160459" w:rsidP="000A1090">
            <w:pPr>
              <w:pStyle w:val="TableText"/>
              <w:jc w:val="right"/>
            </w:pPr>
            <w:r w:rsidRPr="000A1090">
              <w:t>7</w:t>
            </w:r>
          </w:p>
        </w:tc>
        <w:tc>
          <w:tcPr>
            <w:tcW w:w="961" w:type="dxa"/>
          </w:tcPr>
          <w:p w14:paraId="0A4DB729" w14:textId="77777777" w:rsidR="00160459" w:rsidRPr="000A1090" w:rsidRDefault="00160459" w:rsidP="000A1090">
            <w:pPr>
              <w:pStyle w:val="TableText"/>
              <w:jc w:val="right"/>
            </w:pPr>
            <w:r w:rsidRPr="000A1090">
              <w:t>0</w:t>
            </w:r>
          </w:p>
        </w:tc>
      </w:tr>
      <w:tr w:rsidR="00160459" w:rsidRPr="000A1090" w14:paraId="26A87395" w14:textId="77777777" w:rsidTr="000A1090">
        <w:trPr>
          <w:cantSplit/>
        </w:trPr>
        <w:tc>
          <w:tcPr>
            <w:tcW w:w="1553" w:type="dxa"/>
          </w:tcPr>
          <w:p w14:paraId="3E1D49EF" w14:textId="071481B6" w:rsidR="00160459" w:rsidRPr="000A1090" w:rsidRDefault="00160459" w:rsidP="000A1090">
            <w:pPr>
              <w:pStyle w:val="TableText"/>
            </w:pPr>
            <w:r w:rsidRPr="000A1090">
              <w:t>C</w:t>
            </w:r>
            <w:r w:rsidR="00FA015A">
              <w:t>urrent serving</w:t>
            </w:r>
          </w:p>
        </w:tc>
        <w:tc>
          <w:tcPr>
            <w:tcW w:w="960" w:type="dxa"/>
          </w:tcPr>
          <w:p w14:paraId="04AA21F5" w14:textId="77777777" w:rsidR="00160459" w:rsidRPr="000A1090" w:rsidRDefault="00160459" w:rsidP="000A1090">
            <w:pPr>
              <w:pStyle w:val="TableText"/>
              <w:jc w:val="right"/>
            </w:pPr>
            <w:r w:rsidRPr="000A1090">
              <w:t>891</w:t>
            </w:r>
          </w:p>
        </w:tc>
        <w:tc>
          <w:tcPr>
            <w:tcW w:w="960" w:type="dxa"/>
          </w:tcPr>
          <w:p w14:paraId="0DE5561A" w14:textId="77777777" w:rsidR="00160459" w:rsidRPr="000A1090" w:rsidRDefault="00160459" w:rsidP="000A1090">
            <w:pPr>
              <w:pStyle w:val="TableText"/>
              <w:jc w:val="right"/>
            </w:pPr>
            <w:r w:rsidRPr="000A1090">
              <w:t>196</w:t>
            </w:r>
          </w:p>
        </w:tc>
        <w:tc>
          <w:tcPr>
            <w:tcW w:w="961" w:type="dxa"/>
          </w:tcPr>
          <w:p w14:paraId="3224C95C" w14:textId="77777777" w:rsidR="00160459" w:rsidRPr="000A1090" w:rsidRDefault="00160459" w:rsidP="000A1090">
            <w:pPr>
              <w:pStyle w:val="TableText"/>
              <w:jc w:val="right"/>
            </w:pPr>
            <w:r w:rsidRPr="000A1090">
              <w:t>2</w:t>
            </w:r>
          </w:p>
        </w:tc>
        <w:tc>
          <w:tcPr>
            <w:tcW w:w="960" w:type="dxa"/>
          </w:tcPr>
          <w:p w14:paraId="484DA4D0" w14:textId="77777777" w:rsidR="00160459" w:rsidRPr="000A1090" w:rsidRDefault="00160459" w:rsidP="000A1090">
            <w:pPr>
              <w:pStyle w:val="TableText"/>
              <w:jc w:val="right"/>
            </w:pPr>
            <w:r w:rsidRPr="000A1090">
              <w:t>891</w:t>
            </w:r>
          </w:p>
        </w:tc>
        <w:tc>
          <w:tcPr>
            <w:tcW w:w="960" w:type="dxa"/>
          </w:tcPr>
          <w:p w14:paraId="65B8A9F5" w14:textId="77777777" w:rsidR="00160459" w:rsidRPr="000A1090" w:rsidRDefault="00160459" w:rsidP="000A1090">
            <w:pPr>
              <w:pStyle w:val="TableText"/>
              <w:jc w:val="right"/>
            </w:pPr>
            <w:r w:rsidRPr="000A1090">
              <w:t>196</w:t>
            </w:r>
          </w:p>
        </w:tc>
        <w:tc>
          <w:tcPr>
            <w:tcW w:w="961" w:type="dxa"/>
          </w:tcPr>
          <w:p w14:paraId="785D1981" w14:textId="77777777" w:rsidR="00160459" w:rsidRPr="000A1090" w:rsidRDefault="00160459" w:rsidP="000A1090">
            <w:pPr>
              <w:pStyle w:val="TableText"/>
              <w:jc w:val="right"/>
            </w:pPr>
            <w:r w:rsidRPr="000A1090">
              <w:t>2</w:t>
            </w:r>
          </w:p>
        </w:tc>
      </w:tr>
      <w:tr w:rsidR="00160459" w:rsidRPr="000A1090" w14:paraId="72922B49"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1553" w:type="dxa"/>
          </w:tcPr>
          <w:p w14:paraId="2766EF93" w14:textId="38C0E189" w:rsidR="00160459" w:rsidRPr="000A1090" w:rsidRDefault="00160459" w:rsidP="000A1090">
            <w:pPr>
              <w:pStyle w:val="TableText"/>
            </w:pPr>
            <w:r w:rsidRPr="000A1090">
              <w:t>T</w:t>
            </w:r>
            <w:r w:rsidR="00FA015A">
              <w:t>ransitioned</w:t>
            </w:r>
          </w:p>
        </w:tc>
        <w:tc>
          <w:tcPr>
            <w:tcW w:w="960" w:type="dxa"/>
          </w:tcPr>
          <w:p w14:paraId="3301A914" w14:textId="77777777" w:rsidR="00160459" w:rsidRPr="000A1090" w:rsidRDefault="00160459" w:rsidP="000A1090">
            <w:pPr>
              <w:pStyle w:val="TableText"/>
              <w:jc w:val="right"/>
            </w:pPr>
            <w:r w:rsidRPr="000A1090">
              <w:t>271</w:t>
            </w:r>
          </w:p>
        </w:tc>
        <w:tc>
          <w:tcPr>
            <w:tcW w:w="960" w:type="dxa"/>
          </w:tcPr>
          <w:p w14:paraId="61C03377" w14:textId="77777777" w:rsidR="00160459" w:rsidRPr="000A1090" w:rsidRDefault="00160459" w:rsidP="000A1090">
            <w:pPr>
              <w:pStyle w:val="TableText"/>
              <w:jc w:val="right"/>
            </w:pPr>
            <w:r w:rsidRPr="000A1090">
              <w:t>159</w:t>
            </w:r>
          </w:p>
        </w:tc>
        <w:tc>
          <w:tcPr>
            <w:tcW w:w="961" w:type="dxa"/>
          </w:tcPr>
          <w:p w14:paraId="258335D9" w14:textId="77777777" w:rsidR="00160459" w:rsidRPr="000A1090" w:rsidRDefault="00160459" w:rsidP="000A1090">
            <w:pPr>
              <w:pStyle w:val="TableText"/>
              <w:jc w:val="right"/>
            </w:pPr>
            <w:r w:rsidRPr="000A1090">
              <w:t>1</w:t>
            </w:r>
          </w:p>
        </w:tc>
        <w:tc>
          <w:tcPr>
            <w:tcW w:w="960" w:type="dxa"/>
          </w:tcPr>
          <w:p w14:paraId="35B5829A" w14:textId="77777777" w:rsidR="00160459" w:rsidRPr="000A1090" w:rsidRDefault="00160459" w:rsidP="000A1090">
            <w:pPr>
              <w:pStyle w:val="TableText"/>
              <w:jc w:val="right"/>
            </w:pPr>
            <w:r w:rsidRPr="000A1090">
              <w:t>271</w:t>
            </w:r>
          </w:p>
        </w:tc>
        <w:tc>
          <w:tcPr>
            <w:tcW w:w="960" w:type="dxa"/>
          </w:tcPr>
          <w:p w14:paraId="0F600D57" w14:textId="77777777" w:rsidR="00160459" w:rsidRPr="000A1090" w:rsidRDefault="00160459" w:rsidP="000A1090">
            <w:pPr>
              <w:pStyle w:val="TableText"/>
              <w:jc w:val="right"/>
            </w:pPr>
            <w:r w:rsidRPr="000A1090">
              <w:t>159</w:t>
            </w:r>
          </w:p>
        </w:tc>
        <w:tc>
          <w:tcPr>
            <w:tcW w:w="961" w:type="dxa"/>
          </w:tcPr>
          <w:p w14:paraId="72EC6957" w14:textId="77777777" w:rsidR="00160459" w:rsidRPr="000A1090" w:rsidRDefault="00160459" w:rsidP="000A1090">
            <w:pPr>
              <w:pStyle w:val="TableText"/>
              <w:jc w:val="right"/>
            </w:pPr>
            <w:r w:rsidRPr="000A1090">
              <w:t>1</w:t>
            </w:r>
          </w:p>
        </w:tc>
      </w:tr>
    </w:tbl>
    <w:p w14:paraId="6C9372F2" w14:textId="539CEA92" w:rsidR="00160459" w:rsidRPr="0047058F" w:rsidRDefault="00FF720D" w:rsidP="00160459">
      <w:pPr>
        <w:pStyle w:val="TableNotes"/>
      </w:pPr>
      <w:r>
        <w:t>MEC = Medical Employment Classification</w:t>
      </w:r>
    </w:p>
    <w:p w14:paraId="6FADAF9D" w14:textId="77777777" w:rsidR="00160459" w:rsidRPr="0047058F" w:rsidRDefault="00160459" w:rsidP="00160459">
      <w:pPr>
        <w:pStyle w:val="TableName"/>
        <w:rPr>
          <w:rFonts w:eastAsia="MS ??"/>
        </w:rPr>
      </w:pPr>
      <w:bookmarkStart w:id="704" w:name="_Toc486936023"/>
      <w:bookmarkStart w:id="705" w:name="_Toc487014347"/>
      <w:bookmarkStart w:id="706" w:name="_Toc492995650"/>
      <w:bookmarkStart w:id="707" w:name="_Toc497383349"/>
      <w:bookmarkStart w:id="708" w:name="_Toc529117558"/>
      <w:bookmarkStart w:id="709" w:name="_Toc532473631"/>
      <w:r w:rsidRPr="0047058F">
        <w:t>Table A.13</w:t>
      </w:r>
      <w:r w:rsidRPr="0047058F">
        <w:tab/>
        <w:t>Counts of categories by service type</w:t>
      </w:r>
      <w:bookmarkEnd w:id="704"/>
      <w:bookmarkEnd w:id="705"/>
      <w:bookmarkEnd w:id="706"/>
      <w:bookmarkEnd w:id="707"/>
      <w:bookmarkEnd w:id="708"/>
      <w:bookmarkEnd w:id="709"/>
    </w:p>
    <w:tbl>
      <w:tblPr>
        <w:tblStyle w:val="TWRPTable"/>
        <w:tblW w:w="5000" w:type="pct"/>
        <w:tblLayout w:type="fixed"/>
        <w:tblLook w:val="04A0" w:firstRow="1" w:lastRow="0" w:firstColumn="1" w:lastColumn="0" w:noHBand="0" w:noVBand="1"/>
        <w:tblDescription w:val="Table A.13 Counts of categories by service type"/>
      </w:tblPr>
      <w:tblGrid>
        <w:gridCol w:w="1548"/>
        <w:gridCol w:w="961"/>
        <w:gridCol w:w="961"/>
        <w:gridCol w:w="961"/>
        <w:gridCol w:w="961"/>
        <w:gridCol w:w="961"/>
        <w:gridCol w:w="962"/>
      </w:tblGrid>
      <w:tr w:rsidR="00160459" w:rsidRPr="000A1090" w14:paraId="4713F489"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14:paraId="7537040E" w14:textId="77777777" w:rsidR="00160459" w:rsidRPr="000A1090" w:rsidRDefault="00160459" w:rsidP="000A1090">
            <w:pPr>
              <w:pStyle w:val="TableText"/>
            </w:pPr>
            <w:bookmarkStart w:id="710" w:name="_Toc482021453"/>
            <w:bookmarkStart w:id="711" w:name="_Toc482024544"/>
            <w:bookmarkEnd w:id="710"/>
            <w:bookmarkEnd w:id="711"/>
            <w:r w:rsidRPr="000A1090">
              <w:t>Service</w:t>
            </w:r>
          </w:p>
        </w:tc>
        <w:tc>
          <w:tcPr>
            <w:tcW w:w="2883" w:type="dxa"/>
            <w:gridSpan w:val="3"/>
          </w:tcPr>
          <w:p w14:paraId="5AA38E30" w14:textId="77777777" w:rsidR="00160459" w:rsidRPr="000A1090" w:rsidRDefault="00160459" w:rsidP="000A1090">
            <w:pPr>
              <w:pStyle w:val="TableText"/>
              <w:jc w:val="center"/>
            </w:pPr>
            <w:r w:rsidRPr="000A1090">
              <w:t>Original MEC value</w:t>
            </w:r>
          </w:p>
        </w:tc>
        <w:tc>
          <w:tcPr>
            <w:tcW w:w="2884" w:type="dxa"/>
            <w:gridSpan w:val="3"/>
          </w:tcPr>
          <w:p w14:paraId="4F92A014" w14:textId="77777777" w:rsidR="00160459" w:rsidRPr="000A1090" w:rsidRDefault="00160459" w:rsidP="000A1090">
            <w:pPr>
              <w:pStyle w:val="TableText"/>
              <w:jc w:val="center"/>
            </w:pPr>
            <w:r w:rsidRPr="000A1090">
              <w:t>Perturbed MEC value</w:t>
            </w:r>
          </w:p>
        </w:tc>
      </w:tr>
      <w:tr w:rsidR="00160459" w:rsidRPr="000A1090" w14:paraId="13AA4C1C" w14:textId="77777777" w:rsidTr="000A1090">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14:paraId="6398FA5E" w14:textId="77777777" w:rsidR="00160459" w:rsidRPr="000A1090" w:rsidRDefault="00160459" w:rsidP="000A1090">
            <w:pPr>
              <w:pStyle w:val="TableText"/>
            </w:pPr>
          </w:p>
        </w:tc>
        <w:tc>
          <w:tcPr>
            <w:tcW w:w="961" w:type="dxa"/>
          </w:tcPr>
          <w:p w14:paraId="7EC9D6BD" w14:textId="77777777" w:rsidR="00160459" w:rsidRPr="000A1090" w:rsidRDefault="00160459" w:rsidP="000A1090">
            <w:pPr>
              <w:pStyle w:val="TableText"/>
              <w:jc w:val="right"/>
            </w:pPr>
            <w:r w:rsidRPr="000A1090">
              <w:t>Fit</w:t>
            </w:r>
          </w:p>
        </w:tc>
        <w:tc>
          <w:tcPr>
            <w:tcW w:w="961" w:type="dxa"/>
          </w:tcPr>
          <w:p w14:paraId="204014C3" w14:textId="77777777" w:rsidR="00160459" w:rsidRPr="000A1090" w:rsidRDefault="00160459" w:rsidP="000A1090">
            <w:pPr>
              <w:pStyle w:val="TableText"/>
              <w:jc w:val="right"/>
            </w:pPr>
            <w:r w:rsidRPr="000A1090">
              <w:t>Unfit</w:t>
            </w:r>
          </w:p>
        </w:tc>
        <w:tc>
          <w:tcPr>
            <w:tcW w:w="961" w:type="dxa"/>
          </w:tcPr>
          <w:p w14:paraId="5569394E" w14:textId="77777777" w:rsidR="00160459" w:rsidRPr="000A1090" w:rsidRDefault="00160459" w:rsidP="000A1090">
            <w:pPr>
              <w:pStyle w:val="TableText"/>
              <w:jc w:val="right"/>
            </w:pPr>
            <w:r w:rsidRPr="000A1090">
              <w:t>Missing</w:t>
            </w:r>
          </w:p>
        </w:tc>
        <w:tc>
          <w:tcPr>
            <w:tcW w:w="961" w:type="dxa"/>
          </w:tcPr>
          <w:p w14:paraId="40C85594" w14:textId="77777777" w:rsidR="00160459" w:rsidRPr="000A1090" w:rsidRDefault="00160459" w:rsidP="000A1090">
            <w:pPr>
              <w:pStyle w:val="TableText"/>
              <w:jc w:val="right"/>
            </w:pPr>
            <w:r w:rsidRPr="000A1090">
              <w:t>Fit</w:t>
            </w:r>
          </w:p>
        </w:tc>
        <w:tc>
          <w:tcPr>
            <w:tcW w:w="961" w:type="dxa"/>
          </w:tcPr>
          <w:p w14:paraId="6087EC59" w14:textId="77777777" w:rsidR="00160459" w:rsidRPr="000A1090" w:rsidRDefault="00160459" w:rsidP="000A1090">
            <w:pPr>
              <w:pStyle w:val="TableText"/>
              <w:jc w:val="right"/>
            </w:pPr>
            <w:r w:rsidRPr="000A1090">
              <w:t>Unfit</w:t>
            </w:r>
          </w:p>
        </w:tc>
        <w:tc>
          <w:tcPr>
            <w:tcW w:w="962" w:type="dxa"/>
          </w:tcPr>
          <w:p w14:paraId="59830D83" w14:textId="77777777" w:rsidR="00160459" w:rsidRPr="000A1090" w:rsidRDefault="00160459" w:rsidP="000A1090">
            <w:pPr>
              <w:pStyle w:val="TableText"/>
              <w:jc w:val="right"/>
            </w:pPr>
            <w:r w:rsidRPr="000A1090">
              <w:t>Missing</w:t>
            </w:r>
          </w:p>
        </w:tc>
      </w:tr>
      <w:tr w:rsidR="00160459" w:rsidRPr="000A1090" w14:paraId="63CBE95E"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1548" w:type="dxa"/>
          </w:tcPr>
          <w:p w14:paraId="073688C5" w14:textId="77777777" w:rsidR="00160459" w:rsidRPr="000A1090" w:rsidRDefault="00160459" w:rsidP="000A1090">
            <w:pPr>
              <w:pStyle w:val="TableText"/>
            </w:pPr>
            <w:r w:rsidRPr="000A1090">
              <w:t>Navy</w:t>
            </w:r>
          </w:p>
        </w:tc>
        <w:tc>
          <w:tcPr>
            <w:tcW w:w="961" w:type="dxa"/>
          </w:tcPr>
          <w:p w14:paraId="5229A2B1" w14:textId="77777777" w:rsidR="00160459" w:rsidRPr="000A1090" w:rsidRDefault="00160459" w:rsidP="000A1090">
            <w:pPr>
              <w:pStyle w:val="TableText"/>
              <w:jc w:val="right"/>
            </w:pPr>
            <w:r w:rsidRPr="000A1090">
              <w:t>613</w:t>
            </w:r>
          </w:p>
        </w:tc>
        <w:tc>
          <w:tcPr>
            <w:tcW w:w="961" w:type="dxa"/>
          </w:tcPr>
          <w:p w14:paraId="225331D3" w14:textId="77777777" w:rsidR="00160459" w:rsidRPr="000A1090" w:rsidRDefault="00160459" w:rsidP="000A1090">
            <w:pPr>
              <w:pStyle w:val="TableText"/>
              <w:jc w:val="right"/>
            </w:pPr>
            <w:r w:rsidRPr="000A1090">
              <w:t>191</w:t>
            </w:r>
          </w:p>
        </w:tc>
        <w:tc>
          <w:tcPr>
            <w:tcW w:w="961" w:type="dxa"/>
          </w:tcPr>
          <w:p w14:paraId="6CAB371A" w14:textId="77777777" w:rsidR="00160459" w:rsidRPr="000A1090" w:rsidRDefault="00160459" w:rsidP="000A1090">
            <w:pPr>
              <w:pStyle w:val="TableText"/>
              <w:jc w:val="right"/>
            </w:pPr>
            <w:r w:rsidRPr="000A1090">
              <w:t>3</w:t>
            </w:r>
          </w:p>
        </w:tc>
        <w:tc>
          <w:tcPr>
            <w:tcW w:w="961" w:type="dxa"/>
          </w:tcPr>
          <w:p w14:paraId="7F6DDD46" w14:textId="77777777" w:rsidR="00160459" w:rsidRPr="000A1090" w:rsidRDefault="00160459" w:rsidP="000A1090">
            <w:pPr>
              <w:pStyle w:val="TableText"/>
              <w:jc w:val="right"/>
            </w:pPr>
            <w:r w:rsidRPr="000A1090">
              <w:t>614</w:t>
            </w:r>
          </w:p>
        </w:tc>
        <w:tc>
          <w:tcPr>
            <w:tcW w:w="961" w:type="dxa"/>
          </w:tcPr>
          <w:p w14:paraId="34CEB7F2" w14:textId="77777777" w:rsidR="00160459" w:rsidRPr="000A1090" w:rsidRDefault="00160459" w:rsidP="000A1090">
            <w:pPr>
              <w:pStyle w:val="TableText"/>
              <w:jc w:val="right"/>
            </w:pPr>
            <w:r w:rsidRPr="000A1090">
              <w:t>193</w:t>
            </w:r>
          </w:p>
        </w:tc>
        <w:tc>
          <w:tcPr>
            <w:tcW w:w="962" w:type="dxa"/>
          </w:tcPr>
          <w:p w14:paraId="79739FF1" w14:textId="77777777" w:rsidR="00160459" w:rsidRPr="000A1090" w:rsidRDefault="00160459" w:rsidP="000A1090">
            <w:pPr>
              <w:pStyle w:val="TableText"/>
              <w:jc w:val="right"/>
            </w:pPr>
            <w:r w:rsidRPr="000A1090">
              <w:t>0</w:t>
            </w:r>
          </w:p>
        </w:tc>
      </w:tr>
      <w:tr w:rsidR="00160459" w:rsidRPr="000A1090" w14:paraId="40D98A7A" w14:textId="77777777" w:rsidTr="000A1090">
        <w:trPr>
          <w:cantSplit/>
        </w:trPr>
        <w:tc>
          <w:tcPr>
            <w:tcW w:w="1548" w:type="dxa"/>
          </w:tcPr>
          <w:p w14:paraId="20C4AF11" w14:textId="77777777" w:rsidR="00160459" w:rsidRPr="000A1090" w:rsidRDefault="00160459" w:rsidP="000A1090">
            <w:pPr>
              <w:pStyle w:val="TableText"/>
            </w:pPr>
            <w:r w:rsidRPr="000A1090">
              <w:t>Army</w:t>
            </w:r>
          </w:p>
        </w:tc>
        <w:tc>
          <w:tcPr>
            <w:tcW w:w="961" w:type="dxa"/>
          </w:tcPr>
          <w:p w14:paraId="347CD294" w14:textId="77777777" w:rsidR="00160459" w:rsidRPr="000A1090" w:rsidRDefault="00160459" w:rsidP="000A1090">
            <w:pPr>
              <w:pStyle w:val="TableText"/>
              <w:jc w:val="right"/>
            </w:pPr>
            <w:r w:rsidRPr="000A1090">
              <w:t>254</w:t>
            </w:r>
          </w:p>
        </w:tc>
        <w:tc>
          <w:tcPr>
            <w:tcW w:w="961" w:type="dxa"/>
          </w:tcPr>
          <w:p w14:paraId="33A74278" w14:textId="77777777" w:rsidR="00160459" w:rsidRPr="000A1090" w:rsidRDefault="00160459" w:rsidP="000A1090">
            <w:pPr>
              <w:pStyle w:val="TableText"/>
              <w:jc w:val="right"/>
            </w:pPr>
            <w:r w:rsidRPr="000A1090">
              <w:t>63</w:t>
            </w:r>
          </w:p>
        </w:tc>
        <w:tc>
          <w:tcPr>
            <w:tcW w:w="961" w:type="dxa"/>
          </w:tcPr>
          <w:p w14:paraId="32ADD31B" w14:textId="77777777" w:rsidR="00160459" w:rsidRPr="000A1090" w:rsidRDefault="00160459" w:rsidP="000A1090">
            <w:pPr>
              <w:pStyle w:val="TableText"/>
              <w:jc w:val="right"/>
            </w:pPr>
            <w:r w:rsidRPr="000A1090">
              <w:t>0</w:t>
            </w:r>
          </w:p>
        </w:tc>
        <w:tc>
          <w:tcPr>
            <w:tcW w:w="961" w:type="dxa"/>
          </w:tcPr>
          <w:p w14:paraId="518880A9" w14:textId="77777777" w:rsidR="00160459" w:rsidRPr="000A1090" w:rsidRDefault="00160459" w:rsidP="000A1090">
            <w:pPr>
              <w:pStyle w:val="TableText"/>
              <w:jc w:val="right"/>
            </w:pPr>
            <w:r w:rsidRPr="000A1090">
              <w:t>255</w:t>
            </w:r>
          </w:p>
        </w:tc>
        <w:tc>
          <w:tcPr>
            <w:tcW w:w="961" w:type="dxa"/>
          </w:tcPr>
          <w:p w14:paraId="7CBCA2AA" w14:textId="77777777" w:rsidR="00160459" w:rsidRPr="000A1090" w:rsidRDefault="00160459" w:rsidP="000A1090">
            <w:pPr>
              <w:pStyle w:val="TableText"/>
              <w:jc w:val="right"/>
            </w:pPr>
            <w:r w:rsidRPr="000A1090">
              <w:t>60</w:t>
            </w:r>
          </w:p>
        </w:tc>
        <w:tc>
          <w:tcPr>
            <w:tcW w:w="962" w:type="dxa"/>
          </w:tcPr>
          <w:p w14:paraId="6BB95AB4" w14:textId="77777777" w:rsidR="00160459" w:rsidRPr="000A1090" w:rsidRDefault="00160459" w:rsidP="000A1090">
            <w:pPr>
              <w:pStyle w:val="TableText"/>
              <w:jc w:val="right"/>
            </w:pPr>
            <w:r w:rsidRPr="000A1090">
              <w:t>2</w:t>
            </w:r>
          </w:p>
        </w:tc>
      </w:tr>
      <w:tr w:rsidR="00160459" w:rsidRPr="000A1090" w14:paraId="30D38818" w14:textId="77777777" w:rsidTr="000A1090">
        <w:trPr>
          <w:cnfStyle w:val="000000100000" w:firstRow="0" w:lastRow="0" w:firstColumn="0" w:lastColumn="0" w:oddVBand="0" w:evenVBand="0" w:oddHBand="1" w:evenHBand="0" w:firstRowFirstColumn="0" w:firstRowLastColumn="0" w:lastRowFirstColumn="0" w:lastRowLastColumn="0"/>
          <w:cantSplit/>
        </w:trPr>
        <w:tc>
          <w:tcPr>
            <w:tcW w:w="1548" w:type="dxa"/>
          </w:tcPr>
          <w:p w14:paraId="74A23120" w14:textId="77777777" w:rsidR="00160459" w:rsidRPr="000A1090" w:rsidRDefault="00160459" w:rsidP="000A1090">
            <w:pPr>
              <w:pStyle w:val="TableText"/>
            </w:pPr>
            <w:r w:rsidRPr="000A1090">
              <w:t>Air Force</w:t>
            </w:r>
          </w:p>
        </w:tc>
        <w:tc>
          <w:tcPr>
            <w:tcW w:w="961" w:type="dxa"/>
          </w:tcPr>
          <w:p w14:paraId="0D438B6B" w14:textId="77777777" w:rsidR="00160459" w:rsidRPr="000A1090" w:rsidRDefault="00160459" w:rsidP="000A1090">
            <w:pPr>
              <w:pStyle w:val="TableText"/>
              <w:jc w:val="right"/>
            </w:pPr>
            <w:r w:rsidRPr="000A1090">
              <w:t>433</w:t>
            </w:r>
          </w:p>
        </w:tc>
        <w:tc>
          <w:tcPr>
            <w:tcW w:w="961" w:type="dxa"/>
          </w:tcPr>
          <w:p w14:paraId="734845D6" w14:textId="77777777" w:rsidR="00160459" w:rsidRPr="000A1090" w:rsidRDefault="00160459" w:rsidP="000A1090">
            <w:pPr>
              <w:pStyle w:val="TableText"/>
              <w:jc w:val="right"/>
            </w:pPr>
            <w:r w:rsidRPr="000A1090">
              <w:t>108</w:t>
            </w:r>
          </w:p>
        </w:tc>
        <w:tc>
          <w:tcPr>
            <w:tcW w:w="961" w:type="dxa"/>
          </w:tcPr>
          <w:p w14:paraId="36AC04E6" w14:textId="77777777" w:rsidR="00160459" w:rsidRPr="000A1090" w:rsidRDefault="00160459" w:rsidP="000A1090">
            <w:pPr>
              <w:pStyle w:val="TableText"/>
              <w:jc w:val="right"/>
            </w:pPr>
            <w:r w:rsidRPr="000A1090">
              <w:t>0</w:t>
            </w:r>
          </w:p>
        </w:tc>
        <w:tc>
          <w:tcPr>
            <w:tcW w:w="961" w:type="dxa"/>
          </w:tcPr>
          <w:p w14:paraId="0044C39A" w14:textId="77777777" w:rsidR="00160459" w:rsidRPr="000A1090" w:rsidRDefault="00160459" w:rsidP="000A1090">
            <w:pPr>
              <w:pStyle w:val="TableText"/>
              <w:jc w:val="right"/>
            </w:pPr>
            <w:r w:rsidRPr="000A1090">
              <w:t>431</w:t>
            </w:r>
          </w:p>
        </w:tc>
        <w:tc>
          <w:tcPr>
            <w:tcW w:w="961" w:type="dxa"/>
          </w:tcPr>
          <w:p w14:paraId="69108877" w14:textId="77777777" w:rsidR="00160459" w:rsidRPr="000A1090" w:rsidRDefault="00160459" w:rsidP="000A1090">
            <w:pPr>
              <w:pStyle w:val="TableText"/>
              <w:jc w:val="right"/>
            </w:pPr>
            <w:r w:rsidRPr="000A1090">
              <w:t>109</w:t>
            </w:r>
          </w:p>
        </w:tc>
        <w:tc>
          <w:tcPr>
            <w:tcW w:w="962" w:type="dxa"/>
          </w:tcPr>
          <w:p w14:paraId="3A502CCD" w14:textId="77777777" w:rsidR="00160459" w:rsidRPr="000A1090" w:rsidRDefault="00160459" w:rsidP="000A1090">
            <w:pPr>
              <w:pStyle w:val="TableText"/>
              <w:jc w:val="right"/>
            </w:pPr>
            <w:r w:rsidRPr="000A1090">
              <w:t>1</w:t>
            </w:r>
          </w:p>
        </w:tc>
      </w:tr>
    </w:tbl>
    <w:p w14:paraId="3E18CF78" w14:textId="0909439F" w:rsidR="00160459" w:rsidRPr="0047058F" w:rsidRDefault="00FF720D" w:rsidP="00160459">
      <w:pPr>
        <w:pStyle w:val="TableNotes"/>
      </w:pPr>
      <w:r>
        <w:t>MEC = Medical Employment Classification</w:t>
      </w:r>
    </w:p>
    <w:p w14:paraId="58DC04C3" w14:textId="77777777" w:rsidR="00160459" w:rsidRPr="0047058F" w:rsidRDefault="00160459" w:rsidP="00160459">
      <w:pPr>
        <w:pStyle w:val="Heading2b"/>
      </w:pPr>
      <w:bookmarkStart w:id="712" w:name="_Toc482021454"/>
      <w:bookmarkStart w:id="713" w:name="_Toc482024545"/>
      <w:bookmarkStart w:id="714" w:name="_Toc484594364"/>
      <w:bookmarkStart w:id="715" w:name="_Toc487011308"/>
      <w:bookmarkStart w:id="716" w:name="_Toc493663203"/>
      <w:bookmarkStart w:id="717" w:name="_Toc494449816"/>
      <w:r w:rsidRPr="0047058F">
        <w:t>Contact strategy and recruitment methods</w:t>
      </w:r>
      <w:bookmarkEnd w:id="692"/>
      <w:bookmarkEnd w:id="712"/>
      <w:bookmarkEnd w:id="713"/>
      <w:bookmarkEnd w:id="714"/>
      <w:bookmarkEnd w:id="715"/>
      <w:bookmarkEnd w:id="716"/>
      <w:bookmarkEnd w:id="717"/>
    </w:p>
    <w:p w14:paraId="0BAF8256" w14:textId="77777777" w:rsidR="00160459" w:rsidRPr="0047058F" w:rsidRDefault="00160459" w:rsidP="00160459">
      <w:pPr>
        <w:pStyle w:val="Heading3b"/>
      </w:pPr>
      <w:bookmarkStart w:id="718" w:name="_Toc297295802"/>
      <w:bookmarkStart w:id="719" w:name="_Toc389230262"/>
      <w:bookmarkStart w:id="720" w:name="_Toc386805675"/>
      <w:bookmarkStart w:id="721" w:name="_Toc487011309"/>
      <w:bookmarkStart w:id="722" w:name="_Toc493663204"/>
      <w:r w:rsidRPr="0047058F">
        <w:t>Promoting the study</w:t>
      </w:r>
      <w:bookmarkEnd w:id="718"/>
      <w:bookmarkEnd w:id="719"/>
      <w:bookmarkEnd w:id="720"/>
      <w:bookmarkEnd w:id="721"/>
      <w:bookmarkEnd w:id="722"/>
    </w:p>
    <w:p w14:paraId="6727DA62" w14:textId="77777777" w:rsidR="00160459" w:rsidRPr="0047058F" w:rsidRDefault="00160459" w:rsidP="00160459">
      <w:pPr>
        <w:keepNext/>
      </w:pPr>
      <w:r w:rsidRPr="0047058F">
        <w:t>Before the research team made initial direct contact, the following strategies were used to promote the study to participants.</w:t>
      </w:r>
    </w:p>
    <w:p w14:paraId="7EF1C3D4" w14:textId="77777777" w:rsidR="00160459" w:rsidRPr="0047058F" w:rsidRDefault="00160459" w:rsidP="00160459">
      <w:pPr>
        <w:pStyle w:val="Heading4"/>
        <w:ind w:left="864" w:hanging="864"/>
      </w:pPr>
      <w:r w:rsidRPr="0047058F">
        <w:t>Advertising via print media</w:t>
      </w:r>
    </w:p>
    <w:p w14:paraId="1BF2A13E" w14:textId="77777777" w:rsidR="00160459" w:rsidRPr="0047058F" w:rsidRDefault="00160459" w:rsidP="00160459">
      <w:r w:rsidRPr="0047058F">
        <w:t>The study team developed promotional posters, which were placed in Service newspapers, on DVA and Defence internet and intranet sites, on bases, at ex-service organisations and on the University of Adelaide website.</w:t>
      </w:r>
    </w:p>
    <w:p w14:paraId="46207980" w14:textId="77777777" w:rsidR="00160459" w:rsidRPr="0047058F" w:rsidRDefault="00160459" w:rsidP="00160459">
      <w:pPr>
        <w:pStyle w:val="Heading4"/>
        <w:ind w:left="864" w:hanging="864"/>
      </w:pPr>
      <w:r w:rsidRPr="0047058F">
        <w:t>Ministerial media release</w:t>
      </w:r>
    </w:p>
    <w:p w14:paraId="66E20342" w14:textId="77777777" w:rsidR="00160459" w:rsidRPr="0047058F" w:rsidRDefault="00160459" w:rsidP="00160459">
      <w:r w:rsidRPr="0047058F">
        <w:t>On 11 June 2014, Senator the Hon Michael Ronaldson, the then Minister for Veterans’ Affairs, issued a media release launching the study to the wider community, disseminating information and generating interest among ADF members. The Executive Dean of the Faculty of Health Sciences at the University of Adelaide, members of the Scientific Advisory Committee and members of the investigative team were all present. The launch and media release generated enquiries, which the Centre for Traumatic Stress Studies (CTSS) research team responded to promptly and effectively, following strict protocol.</w:t>
      </w:r>
    </w:p>
    <w:p w14:paraId="07A3DA10" w14:textId="77777777" w:rsidR="00160459" w:rsidRPr="0047058F" w:rsidRDefault="00160459" w:rsidP="00160459">
      <w:pPr>
        <w:pStyle w:val="Heading4"/>
        <w:ind w:left="864" w:hanging="864"/>
      </w:pPr>
      <w:r w:rsidRPr="0047058F">
        <w:t>Targeted briefs to ADF leadership</w:t>
      </w:r>
    </w:p>
    <w:p w14:paraId="33F15E8C" w14:textId="77777777" w:rsidR="00160459" w:rsidRPr="0047058F" w:rsidRDefault="00160459" w:rsidP="00160459">
      <w:r w:rsidRPr="0047058F">
        <w:t>Information sessions were held to brief commanders and other key influencers in the broader Defence community about the importance of the research.</w:t>
      </w:r>
    </w:p>
    <w:p w14:paraId="4DC4E651" w14:textId="77777777" w:rsidR="00160459" w:rsidRPr="0047058F" w:rsidRDefault="00160459" w:rsidP="00160459">
      <w:pPr>
        <w:pStyle w:val="Heading4"/>
        <w:ind w:left="864" w:hanging="864"/>
      </w:pPr>
      <w:r w:rsidRPr="0047058F">
        <w:t>Letter to ex-service organisations</w:t>
      </w:r>
    </w:p>
    <w:p w14:paraId="15C499E1" w14:textId="77777777" w:rsidR="00160459" w:rsidRPr="0047058F" w:rsidRDefault="00160459" w:rsidP="00160459">
      <w:r w:rsidRPr="0047058F">
        <w:t>A letter introducing the Transition and Wellbeing Research Programme and an accompanying fact sheet were sent to all relevant ex-service organisations to disseminate information and generate support for the study.</w:t>
      </w:r>
    </w:p>
    <w:p w14:paraId="32500828" w14:textId="77777777" w:rsidR="00160459" w:rsidRPr="0047058F" w:rsidRDefault="00160459" w:rsidP="00160459">
      <w:pPr>
        <w:pStyle w:val="Heading4"/>
        <w:ind w:left="864" w:hanging="864"/>
      </w:pPr>
      <w:r w:rsidRPr="0047058F">
        <w:t>Distribution of study briefing packs</w:t>
      </w:r>
    </w:p>
    <w:p w14:paraId="4355C1F2" w14:textId="77777777" w:rsidR="00160459" w:rsidRPr="0047058F" w:rsidRDefault="00160459" w:rsidP="00160459">
      <w:r w:rsidRPr="0047058F">
        <w:t>Briefing packs containing study/promotional materials were distributed to ex-service organisations as another means of promoting the study to the target population.</w:t>
      </w:r>
    </w:p>
    <w:p w14:paraId="4BFE2B78" w14:textId="77777777" w:rsidR="00160459" w:rsidRPr="0047058F" w:rsidRDefault="00160459" w:rsidP="00160459">
      <w:pPr>
        <w:pStyle w:val="Heading4"/>
        <w:ind w:left="864" w:hanging="864"/>
      </w:pPr>
      <w:r w:rsidRPr="0047058F">
        <w:t>Social media strategy</w:t>
      </w:r>
    </w:p>
    <w:p w14:paraId="70D66A2A" w14:textId="77777777" w:rsidR="00160459" w:rsidRPr="0047058F" w:rsidRDefault="00160459" w:rsidP="00160459">
      <w:r w:rsidRPr="0047058F">
        <w:t>A series of social media conversations, promotions and advertisements were rolled out via the Transition and Wellbeing Research Programme’s Facebook page (Facebook/aumilresearch) and Twitter account (@aumilresearch) throughout the study period. These accounts were managed by the CTSS research team. The primary objectives of the social media campaign were to raise awareness of the research Programme among 2015 Regular ADF and ex-serving ADF members, their families and their social networks; engage other advocates and key stakeholders; provide another platform for participants to engage with the research team; and disseminate previous military research conducted by CTSS.</w:t>
      </w:r>
    </w:p>
    <w:p w14:paraId="6CB3C9B6" w14:textId="77777777" w:rsidR="00160459" w:rsidRPr="0047058F" w:rsidRDefault="00160459" w:rsidP="00160459">
      <w:pPr>
        <w:pStyle w:val="Heading3b"/>
      </w:pPr>
      <w:bookmarkStart w:id="723" w:name="_Toc297295804"/>
      <w:bookmarkStart w:id="724" w:name="_Toc487011310"/>
      <w:bookmarkStart w:id="725" w:name="_Toc493663205"/>
      <w:r w:rsidRPr="0047058F">
        <w:t xml:space="preserve">Development of the Military and Veteran Health Research Study </w:t>
      </w:r>
      <w:bookmarkEnd w:id="723"/>
      <w:r w:rsidRPr="0047058F">
        <w:t>Roll</w:t>
      </w:r>
      <w:bookmarkEnd w:id="724"/>
      <w:bookmarkEnd w:id="725"/>
    </w:p>
    <w:p w14:paraId="484E4014" w14:textId="77777777" w:rsidR="00160459" w:rsidRPr="0047058F" w:rsidRDefault="00160459" w:rsidP="00160459">
      <w:r w:rsidRPr="0047058F">
        <w:t xml:space="preserve">Participants’ contact details and demographic information were obtained via the creation of the </w:t>
      </w:r>
      <w:bookmarkStart w:id="726" w:name="_Hlk489432933"/>
      <w:r w:rsidRPr="0047058F">
        <w:t>Military and Veteran Health Research Study Roll (Study Roll)</w:t>
      </w:r>
      <w:bookmarkEnd w:id="726"/>
      <w:r w:rsidRPr="0047058F">
        <w:t>, which was created by the Australian Institute of Health and Welfare (AIHW), in collaboration with DVA and Defence. This process involved integrating contact information from:</w:t>
      </w:r>
    </w:p>
    <w:p w14:paraId="7CFD2DEE" w14:textId="77777777" w:rsidR="00160459" w:rsidRPr="0047058F" w:rsidRDefault="00160459" w:rsidP="000A1090">
      <w:pPr>
        <w:pStyle w:val="Bullet"/>
        <w:numPr>
          <w:ilvl w:val="0"/>
          <w:numId w:val="1"/>
        </w:numPr>
        <w:spacing w:after="120"/>
        <w:ind w:left="360"/>
      </w:pPr>
      <w:r w:rsidRPr="0047058F">
        <w:t>Defence’s Personnel Management Key Solution (PMKeyS) database</w:t>
      </w:r>
    </w:p>
    <w:p w14:paraId="17D80E88" w14:textId="77777777" w:rsidR="00160459" w:rsidRPr="0047058F" w:rsidRDefault="00160459" w:rsidP="000A1090">
      <w:pPr>
        <w:pStyle w:val="Bullet"/>
        <w:numPr>
          <w:ilvl w:val="0"/>
          <w:numId w:val="1"/>
        </w:numPr>
        <w:spacing w:after="120"/>
        <w:ind w:left="360"/>
      </w:pPr>
      <w:r w:rsidRPr="0047058F">
        <w:t>DVA client databases</w:t>
      </w:r>
    </w:p>
    <w:p w14:paraId="56B22FAD" w14:textId="77777777" w:rsidR="00160459" w:rsidRPr="0047058F" w:rsidRDefault="00160459" w:rsidP="000A1090">
      <w:pPr>
        <w:pStyle w:val="Bullet"/>
        <w:numPr>
          <w:ilvl w:val="0"/>
          <w:numId w:val="1"/>
        </w:numPr>
        <w:spacing w:after="120"/>
        <w:ind w:left="360"/>
      </w:pPr>
      <w:r w:rsidRPr="0047058F">
        <w:t>the National Death Index</w:t>
      </w:r>
    </w:p>
    <w:p w14:paraId="0CDBE980" w14:textId="77777777" w:rsidR="00160459" w:rsidRPr="0047058F" w:rsidRDefault="00160459" w:rsidP="000A1090">
      <w:pPr>
        <w:pStyle w:val="Bullet"/>
        <w:numPr>
          <w:ilvl w:val="0"/>
          <w:numId w:val="1"/>
        </w:numPr>
        <w:spacing w:after="120"/>
        <w:ind w:left="360"/>
      </w:pPr>
      <w:r w:rsidRPr="0047058F">
        <w:t>ComSuper’s member database</w:t>
      </w:r>
    </w:p>
    <w:p w14:paraId="6B998B52" w14:textId="77777777" w:rsidR="00160459" w:rsidRPr="0047058F" w:rsidRDefault="00160459" w:rsidP="00160459">
      <w:pPr>
        <w:pStyle w:val="Bullet"/>
        <w:numPr>
          <w:ilvl w:val="0"/>
          <w:numId w:val="1"/>
        </w:numPr>
        <w:ind w:left="360"/>
      </w:pPr>
      <w:r w:rsidRPr="0047058F">
        <w:t>the MilHOP dataset.</w:t>
      </w:r>
    </w:p>
    <w:p w14:paraId="7C82AEFD" w14:textId="77777777" w:rsidR="00160459" w:rsidRPr="0047058F" w:rsidRDefault="00160459" w:rsidP="00160459">
      <w:r w:rsidRPr="0047058F">
        <w:t>To ensure the information was current and reflected the most recent posting cycles, a final PMKeyS download was received immediately before the study began and integrated into the dataset.</w:t>
      </w:r>
    </w:p>
    <w:p w14:paraId="3C8016D2" w14:textId="77777777" w:rsidR="00160459" w:rsidRPr="0047058F" w:rsidRDefault="00160459" w:rsidP="00160459">
      <w:r w:rsidRPr="0047058F">
        <w:t>This integrated dataset was only passed on to the research team after an opt-out process was conducted. This involved DVA and Defence contacting participants via their websites, email, hard copy letter, service newspapers and a media campaign, and providing them with detailed information about the Study Roll and its broader purpose. The contact information, basic service history and demographic information of individuals who did not opt out of this process within four weeks of the campaign commencing were then passed on to CTSS for the Transition and Wellbeing Research Programme. Participants could still opt out of the Study Roll after the four-week campaign, via an opt-out website or email managed by Defence. This website was open for three months. Individuals who opted out of the Study Roll through this website were excluded from sampling.</w:t>
      </w:r>
    </w:p>
    <w:p w14:paraId="18F85A52" w14:textId="77777777" w:rsidR="00160459" w:rsidRPr="0047058F" w:rsidRDefault="00160459" w:rsidP="00160459">
      <w:r w:rsidRPr="0047058F">
        <w:t>To prevent the families of deceased Defence members being approached, the Study Roll was cross-checked against the National Death Index before the opt-out email was sent to individuals and again approximately four weeks before data collection began. All new deaths recorded by Defence were immediately communicated to the research team.</w:t>
      </w:r>
    </w:p>
    <w:p w14:paraId="0AADC213" w14:textId="77777777" w:rsidR="00160459" w:rsidRPr="0047058F" w:rsidRDefault="00160459" w:rsidP="00160459">
      <w:pPr>
        <w:pStyle w:val="Heading3b"/>
      </w:pPr>
      <w:bookmarkStart w:id="727" w:name="_Toc487011311"/>
      <w:bookmarkStart w:id="728" w:name="_Toc493663206"/>
      <w:r w:rsidRPr="0047058F">
        <w:t>Self-selection procedure</w:t>
      </w:r>
      <w:bookmarkEnd w:id="727"/>
      <w:bookmarkEnd w:id="728"/>
    </w:p>
    <w:p w14:paraId="46FB14EA" w14:textId="77777777" w:rsidR="00160459" w:rsidRPr="0047058F" w:rsidRDefault="00160459" w:rsidP="00160459">
      <w:pPr>
        <w:rPr>
          <w:rFonts w:eastAsia="MS ??"/>
        </w:rPr>
      </w:pPr>
      <w:r w:rsidRPr="0047058F">
        <w:t>Details of eligible ex-serving members who were not passed on to CTSS at the beginning of the study period, but who subsequently self-selected into the study, were sent to the AIHW for inclusion in the Study Roll. These members were sent an invitation package, following the standard study protocol. Participants Defence deemed ineligible were required to provide proof of their service to CTSS to participate. Reservists who self-selected into the study were only included in the dataset if they appeared on the original Study Roll.</w:t>
      </w:r>
    </w:p>
    <w:p w14:paraId="295E2FD3" w14:textId="77777777" w:rsidR="00160459" w:rsidRPr="0047058F" w:rsidRDefault="00160459" w:rsidP="00160459">
      <w:pPr>
        <w:pStyle w:val="Heading3b"/>
      </w:pPr>
      <w:bookmarkStart w:id="729" w:name="_Toc487011312"/>
      <w:bookmarkStart w:id="730" w:name="_Toc493663207"/>
      <w:r w:rsidRPr="0047058F">
        <w:t>Sampling by data integrator</w:t>
      </w:r>
      <w:bookmarkEnd w:id="729"/>
      <w:bookmarkEnd w:id="730"/>
    </w:p>
    <w:p w14:paraId="1D5D6AD3" w14:textId="77777777" w:rsidR="00160459" w:rsidRPr="0047058F" w:rsidRDefault="00160459" w:rsidP="00160459">
      <w:pPr>
        <w:keepNext/>
        <w:rPr>
          <w:rFonts w:eastAsia="MS ??"/>
        </w:rPr>
      </w:pPr>
      <w:r w:rsidRPr="0047058F">
        <w:t>Before recruitment, the AIHW created appropriate samples for the research Programme, including:</w:t>
      </w:r>
    </w:p>
    <w:p w14:paraId="23D7EAD5" w14:textId="77777777" w:rsidR="00160459" w:rsidRPr="0047058F" w:rsidRDefault="00160459" w:rsidP="00160459">
      <w:pPr>
        <w:pStyle w:val="Bullet"/>
        <w:numPr>
          <w:ilvl w:val="0"/>
          <w:numId w:val="1"/>
        </w:numPr>
        <w:spacing w:after="120"/>
        <w:ind w:left="360"/>
      </w:pPr>
      <w:r w:rsidRPr="0047058F">
        <w:t>all members who transitioned from full-time Regular ADF service between 2010 and 2014</w:t>
      </w:r>
    </w:p>
    <w:p w14:paraId="2D58C07A" w14:textId="77777777" w:rsidR="00160459" w:rsidRPr="0047058F" w:rsidRDefault="00160459" w:rsidP="00160459">
      <w:pPr>
        <w:pStyle w:val="Bullet"/>
        <w:numPr>
          <w:ilvl w:val="0"/>
          <w:numId w:val="1"/>
        </w:numPr>
        <w:spacing w:after="120"/>
        <w:ind w:left="360"/>
      </w:pPr>
      <w:r w:rsidRPr="0047058F">
        <w:t>all ADF members who participated in the MilHOP, excluding members who indicated they did not wish to be contacted for further research</w:t>
      </w:r>
    </w:p>
    <w:p w14:paraId="40DCCCA8" w14:textId="77777777" w:rsidR="00160459" w:rsidRPr="0047058F" w:rsidRDefault="00160459" w:rsidP="00160459">
      <w:pPr>
        <w:pStyle w:val="Bullet"/>
        <w:numPr>
          <w:ilvl w:val="0"/>
          <w:numId w:val="1"/>
        </w:numPr>
        <w:spacing w:after="120"/>
        <w:ind w:left="360"/>
      </w:pPr>
      <w:r w:rsidRPr="0047058F">
        <w:t>a stratified random sample of 5,040 2015 Regular ADF members</w:t>
      </w:r>
    </w:p>
    <w:p w14:paraId="71A415AE" w14:textId="77777777" w:rsidR="00160459" w:rsidRPr="0047058F" w:rsidRDefault="00160459" w:rsidP="00160459">
      <w:pPr>
        <w:pStyle w:val="Bullet"/>
        <w:numPr>
          <w:ilvl w:val="0"/>
          <w:numId w:val="1"/>
        </w:numPr>
        <w:ind w:left="360"/>
      </w:pPr>
      <w:r w:rsidRPr="0047058F">
        <w:t>22,638 currently serving Ab initio Reservists. Note: only Reservists with contact information were invited to participate (22,638).</w:t>
      </w:r>
    </w:p>
    <w:p w14:paraId="3EE0AD72" w14:textId="77777777" w:rsidR="00160459" w:rsidRPr="0047058F" w:rsidRDefault="00160459" w:rsidP="00160459">
      <w:pPr>
        <w:rPr>
          <w:lang w:eastAsia="en-AU"/>
        </w:rPr>
      </w:pPr>
      <w:r w:rsidRPr="0047058F">
        <w:rPr>
          <w:lang w:eastAsia="en-AU"/>
        </w:rPr>
        <w:t>The stratified random sample of 5,040 2015 Regular ADF members was drawn from the remainder of members not already listed as MilHOP participants. This sample did not include those who were deceased or who opted out of the Transition and Wellbeing Research Programme.</w:t>
      </w:r>
    </w:p>
    <w:p w14:paraId="4C6AC45B" w14:textId="77777777" w:rsidR="00160459" w:rsidRPr="0047058F" w:rsidRDefault="00160459" w:rsidP="00160459">
      <w:pPr>
        <w:rPr>
          <w:lang w:eastAsia="en-AU"/>
        </w:rPr>
      </w:pPr>
      <w:r w:rsidRPr="0047058F">
        <w:rPr>
          <w:lang w:eastAsia="en-AU"/>
        </w:rPr>
        <w:t>Stratification was based on:</w:t>
      </w:r>
    </w:p>
    <w:p w14:paraId="36FBBE03" w14:textId="77777777" w:rsidR="00160459" w:rsidRPr="0047058F" w:rsidRDefault="00160459" w:rsidP="000A1090">
      <w:pPr>
        <w:pStyle w:val="Bullet"/>
        <w:numPr>
          <w:ilvl w:val="0"/>
          <w:numId w:val="1"/>
        </w:numPr>
        <w:spacing w:after="120"/>
        <w:ind w:left="360"/>
      </w:pPr>
      <w:r w:rsidRPr="0047058F">
        <w:t>Service (Navy, Army, Air Force)</w:t>
      </w:r>
    </w:p>
    <w:p w14:paraId="72B54297" w14:textId="77777777" w:rsidR="00160459" w:rsidRPr="0047058F" w:rsidRDefault="00160459" w:rsidP="000A1090">
      <w:pPr>
        <w:pStyle w:val="Bullet"/>
        <w:numPr>
          <w:ilvl w:val="0"/>
          <w:numId w:val="1"/>
        </w:numPr>
        <w:spacing w:after="120"/>
        <w:ind w:left="360"/>
      </w:pPr>
      <w:r w:rsidRPr="0047058F">
        <w:t>sex</w:t>
      </w:r>
    </w:p>
    <w:p w14:paraId="2EC8A254" w14:textId="77777777" w:rsidR="00160459" w:rsidRPr="0047058F" w:rsidRDefault="00160459" w:rsidP="00160459">
      <w:pPr>
        <w:pStyle w:val="Bullet"/>
        <w:numPr>
          <w:ilvl w:val="0"/>
          <w:numId w:val="1"/>
        </w:numPr>
        <w:ind w:left="360"/>
        <w:rPr>
          <w:lang w:eastAsia="en-AU"/>
        </w:rPr>
      </w:pPr>
      <w:r w:rsidRPr="0047058F">
        <w:t>rank code</w:t>
      </w:r>
      <w:r w:rsidRPr="0047058F">
        <w:rPr>
          <w:lang w:eastAsia="en-AU"/>
        </w:rPr>
        <w:t xml:space="preserve"> (Officer/enlistee).</w:t>
      </w:r>
    </w:p>
    <w:p w14:paraId="62083393" w14:textId="77777777" w:rsidR="00160459" w:rsidRPr="0047058F" w:rsidRDefault="00160459" w:rsidP="00160459">
      <w:r w:rsidRPr="0047058F">
        <w:t>The contact information and demographics for each of the subpopulations listed above, with the exception of individuals who opted out of the Study Roll, were then passed on to CTSS researchers for recruitment and weighting purposes.</w:t>
      </w:r>
    </w:p>
    <w:p w14:paraId="6FAF7E0B" w14:textId="77777777" w:rsidR="00160459" w:rsidRPr="0047058F" w:rsidRDefault="00160459" w:rsidP="00160459">
      <w:pPr>
        <w:pStyle w:val="Heading3b"/>
      </w:pPr>
      <w:bookmarkStart w:id="731" w:name="_Toc487011313"/>
      <w:bookmarkStart w:id="732" w:name="_Toc493663208"/>
      <w:r w:rsidRPr="0047058F">
        <w:t>Phase 1: Distribution of self-report survey</w:t>
      </w:r>
      <w:bookmarkEnd w:id="731"/>
      <w:bookmarkEnd w:id="732"/>
    </w:p>
    <w:p w14:paraId="3A835E90" w14:textId="77777777" w:rsidR="00160459" w:rsidRPr="0047058F" w:rsidRDefault="00160459" w:rsidP="00160459">
      <w:r w:rsidRPr="0047058F">
        <w:t>Recruitment for the study was staggered across the entire data collection period.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 current serving status and eligibility criteria. Where email addresses were not available, or upon request, hard copy versions of the invitation package were posted to participants.</w:t>
      </w:r>
    </w:p>
    <w:p w14:paraId="5CCF89CF" w14:textId="77777777" w:rsidR="00160459" w:rsidRPr="0047058F" w:rsidRDefault="00160459" w:rsidP="00160459">
      <w:pPr>
        <w:pStyle w:val="Heading4"/>
        <w:ind w:left="864" w:hanging="864"/>
      </w:pPr>
      <w:r w:rsidRPr="0047058F">
        <w:t>Follow-up of survey non-respondents</w:t>
      </w:r>
    </w:p>
    <w:p w14:paraId="20E6BFB0" w14:textId="77777777" w:rsidR="00160459" w:rsidRPr="0047058F" w:rsidRDefault="00160459" w:rsidP="00160459">
      <w:pPr>
        <w:keepNext/>
      </w:pPr>
      <w:r w:rsidRPr="0047058F">
        <w:t>A multifaceted approach to following up survey non-respondents was used to maximise participation rates:</w:t>
      </w:r>
    </w:p>
    <w:p w14:paraId="4F549595" w14:textId="77777777" w:rsidR="00160459" w:rsidRPr="0047058F" w:rsidRDefault="00160459" w:rsidP="00160459">
      <w:pPr>
        <w:pStyle w:val="Bullet"/>
        <w:keepNext/>
        <w:numPr>
          <w:ilvl w:val="0"/>
          <w:numId w:val="1"/>
        </w:numPr>
        <w:spacing w:after="120"/>
        <w:ind w:left="360"/>
      </w:pPr>
      <w:r w:rsidRPr="0047058F">
        <w:rPr>
          <w:b/>
        </w:rPr>
        <w:t>Reminder emails</w:t>
      </w:r>
      <w:r w:rsidRPr="0047058F">
        <w:t xml:space="preserve"> – Email reminders were sent to all non-responders two, four and six weeks after the invitation package was distributed, and one month before the survey was closed. Participants who preferred to complete a hard copy version of the survey were directed to call or email the study team. This was specified in all reminder email correspondence.</w:t>
      </w:r>
    </w:p>
    <w:p w14:paraId="7AFB5C60" w14:textId="77777777" w:rsidR="00160459" w:rsidRPr="0047058F" w:rsidRDefault="00160459" w:rsidP="00160459">
      <w:pPr>
        <w:pStyle w:val="Bullet"/>
        <w:keepNext/>
        <w:numPr>
          <w:ilvl w:val="0"/>
          <w:numId w:val="1"/>
        </w:numPr>
        <w:spacing w:after="120"/>
        <w:ind w:left="360"/>
        <w:rPr>
          <w:rFonts w:asciiTheme="minorHAnsi" w:hAnsiTheme="minorHAnsi"/>
        </w:rPr>
      </w:pPr>
      <w:r w:rsidRPr="0047058F">
        <w:rPr>
          <w:b/>
        </w:rPr>
        <w:t>SMS reminders</w:t>
      </w:r>
      <w:r w:rsidRPr="0047058F">
        <w:t xml:space="preserve"> – SMS reminders were sent to all non-responders concurrently to alert them to their emails. This included members who had not yet begun the survey, as well as individuals who had partially completed it.</w:t>
      </w:r>
    </w:p>
    <w:p w14:paraId="1813DA9E" w14:textId="77777777" w:rsidR="00160459" w:rsidRPr="0047058F" w:rsidRDefault="00160459" w:rsidP="00160459">
      <w:pPr>
        <w:pStyle w:val="Bullet"/>
        <w:keepNext/>
        <w:numPr>
          <w:ilvl w:val="0"/>
          <w:numId w:val="1"/>
        </w:numPr>
        <w:spacing w:after="120"/>
        <w:ind w:left="360"/>
      </w:pPr>
      <w:r w:rsidRPr="0047058F">
        <w:rPr>
          <w:b/>
        </w:rPr>
        <w:t>Targeted telephone follow-up</w:t>
      </w:r>
      <w:r w:rsidRPr="0047058F">
        <w:t xml:space="preserve"> – A selection of high-priority participants were targeted via a structured telephone follow-up process. These participants were members of the MHPWS CIDI cohort. It was important to maximise the response rate for this longitudinal cohort with existing data points, to enable mapping of the trajectory of disorder. Telephone follow-up was also extended to participants without email addresses, partial completers and other target groups with low response rates, to ensure representativeness. Specifically, this included:</w:t>
      </w:r>
    </w:p>
    <w:p w14:paraId="4CB6B019" w14:textId="77777777" w:rsidR="00160459" w:rsidRPr="0047058F" w:rsidRDefault="00160459" w:rsidP="000A1090">
      <w:pPr>
        <w:pStyle w:val="Dash"/>
        <w:spacing w:after="160"/>
      </w:pPr>
      <w:r w:rsidRPr="0047058F">
        <w:t>Transitioned ADF members with a landline phone number but no email address or mobile number</w:t>
      </w:r>
    </w:p>
    <w:p w14:paraId="178E7A9D" w14:textId="77777777" w:rsidR="00160459" w:rsidRPr="0047058F" w:rsidRDefault="00160459" w:rsidP="000A1090">
      <w:pPr>
        <w:pStyle w:val="Dash"/>
        <w:spacing w:after="160"/>
      </w:pPr>
      <w:r w:rsidRPr="0047058F">
        <w:t>Transitioned ADF members with a landline phone number and Defence email address only but no mobile phone number</w:t>
      </w:r>
    </w:p>
    <w:p w14:paraId="5002901B" w14:textId="77777777" w:rsidR="00160459" w:rsidRPr="0047058F" w:rsidRDefault="00160459" w:rsidP="000A1090">
      <w:pPr>
        <w:pStyle w:val="Dash"/>
        <w:spacing w:after="160"/>
      </w:pPr>
      <w:r w:rsidRPr="0047058F">
        <w:t>partial completers from all cohorts</w:t>
      </w:r>
    </w:p>
    <w:p w14:paraId="0D5F490F" w14:textId="77777777" w:rsidR="00160459" w:rsidRPr="0047058F" w:rsidRDefault="00160459" w:rsidP="000A1090">
      <w:pPr>
        <w:pStyle w:val="Dash"/>
        <w:spacing w:after="160"/>
      </w:pPr>
      <w:r w:rsidRPr="0047058F">
        <w:t>participants with bounced emails from sole non-Defence email addresses, with a landline phone number but no mobile number</w:t>
      </w:r>
    </w:p>
    <w:p w14:paraId="1B82717C" w14:textId="77777777" w:rsidR="00160459" w:rsidRPr="0047058F" w:rsidRDefault="00160459" w:rsidP="000A1090">
      <w:pPr>
        <w:pStyle w:val="Dash"/>
        <w:spacing w:after="160"/>
      </w:pPr>
      <w:r w:rsidRPr="0047058F">
        <w:t>participants who nominated family members for the Family Wellbeing Study but did not provide contact details for family</w:t>
      </w:r>
    </w:p>
    <w:p w14:paraId="76485BE3" w14:textId="77777777" w:rsidR="00160459" w:rsidRPr="0047058F" w:rsidRDefault="00160459" w:rsidP="00160459">
      <w:pPr>
        <w:pStyle w:val="Dash"/>
      </w:pPr>
      <w:r w:rsidRPr="0047058F">
        <w:t>all other Transitioned ADF members and Ab initio Reservists who had not begun the survey.</w:t>
      </w:r>
    </w:p>
    <w:p w14:paraId="50FA1C5C" w14:textId="77777777" w:rsidR="00160459" w:rsidRPr="0047058F" w:rsidRDefault="00160459" w:rsidP="009E6B67">
      <w:pPr>
        <w:ind w:left="360"/>
      </w:pPr>
      <w:r w:rsidRPr="0047058F">
        <w:t>Trained research staff at CTSS made the phone calls following a structured script. The calls were made at a variety of times during the day and evening to maximise contact opportunities. A maximum of 10 attempts were made to speak to each participant twice. Where no contact was made, and a telephone message service was available, a reminder message was left on two of these 10 occasions only, along with the study free-call number and email address.</w:t>
      </w:r>
    </w:p>
    <w:p w14:paraId="261EC9DE" w14:textId="77777777" w:rsidR="00160459" w:rsidRPr="0047058F" w:rsidRDefault="00160459" w:rsidP="00160459">
      <w:pPr>
        <w:pStyle w:val="Bullet"/>
        <w:keepNext/>
        <w:numPr>
          <w:ilvl w:val="0"/>
          <w:numId w:val="1"/>
        </w:numPr>
        <w:spacing w:after="120"/>
        <w:ind w:left="360"/>
      </w:pPr>
      <w:r w:rsidRPr="0047058F">
        <w:rPr>
          <w:b/>
        </w:rPr>
        <w:t>Hard copy letters</w:t>
      </w:r>
      <w:r w:rsidRPr="0047058F">
        <w:t xml:space="preserve"> – Hard copy invitation letters containing the study free-call number and email address, as well as a link to the online survey, were sent to:</w:t>
      </w:r>
    </w:p>
    <w:p w14:paraId="06331854" w14:textId="77777777" w:rsidR="00160459" w:rsidRPr="0047058F" w:rsidRDefault="00160459" w:rsidP="000A1090">
      <w:pPr>
        <w:pStyle w:val="Dash"/>
        <w:spacing w:after="160"/>
      </w:pPr>
      <w:r w:rsidRPr="0047058F">
        <w:t>all Transitioned ADF non-responders</w:t>
      </w:r>
    </w:p>
    <w:p w14:paraId="7138F759" w14:textId="77777777" w:rsidR="00160459" w:rsidRPr="0047058F" w:rsidRDefault="00160459" w:rsidP="000A1090">
      <w:pPr>
        <w:pStyle w:val="Dash"/>
        <w:spacing w:after="160"/>
      </w:pPr>
      <w:r w:rsidRPr="0047058F">
        <w:t>all Ab initio Reservist non-responders</w:t>
      </w:r>
    </w:p>
    <w:p w14:paraId="31761150" w14:textId="77777777" w:rsidR="00160459" w:rsidRPr="0047058F" w:rsidRDefault="00160459" w:rsidP="00160459">
      <w:pPr>
        <w:pStyle w:val="Dash"/>
      </w:pPr>
      <w:r w:rsidRPr="0047058F">
        <w:t>all 2015 Regular ADF non-responders who did not participate in the MilHOP.</w:t>
      </w:r>
    </w:p>
    <w:p w14:paraId="1982E6D5" w14:textId="77777777" w:rsidR="00160459" w:rsidRPr="0047058F" w:rsidRDefault="00160459" w:rsidP="00160459">
      <w:pPr>
        <w:pStyle w:val="Heading3b"/>
      </w:pPr>
      <w:bookmarkStart w:id="733" w:name="_Toc487011314"/>
      <w:bookmarkStart w:id="734" w:name="_Toc493663209"/>
      <w:r w:rsidRPr="0047058F">
        <w:t>Phase 2: Diagnostic interview</w:t>
      </w:r>
      <w:bookmarkEnd w:id="733"/>
      <w:bookmarkEnd w:id="734"/>
    </w:p>
    <w:p w14:paraId="4DDE38C5" w14:textId="77777777" w:rsidR="00160459" w:rsidRPr="0047058F" w:rsidRDefault="00160459" w:rsidP="00160459">
      <w:pPr>
        <w:pStyle w:val="Heading4"/>
        <w:ind w:left="864" w:hanging="864"/>
      </w:pPr>
      <w:r w:rsidRPr="0047058F">
        <w:t>Selection</w:t>
      </w:r>
    </w:p>
    <w:p w14:paraId="6134AAAA" w14:textId="77777777" w:rsidR="00160459" w:rsidRPr="0047058F" w:rsidRDefault="00160459" w:rsidP="00160459">
      <w:r w:rsidRPr="0047058F">
        <w:t>In phase 2, a subgroup of Transitioned and Regular ADF members from eligible samples were targeted to participate in a one-hour telephone interview using the World Mental Health Survey Initiative version of the CIDI 3.0. To be eligible for recruitment, potential interviewees must have completed the self-report measures, and have provided consent in the Mental Health and Wellbeing Transition Study consent form to being contacted to participate in a telephone interview. The following groups were targeted for phase 2:</w:t>
      </w:r>
    </w:p>
    <w:p w14:paraId="3C843870" w14:textId="77777777" w:rsidR="00160459" w:rsidRPr="0047058F" w:rsidRDefault="00160459" w:rsidP="00160459">
      <w:pPr>
        <w:pStyle w:val="Bullet"/>
        <w:numPr>
          <w:ilvl w:val="0"/>
          <w:numId w:val="1"/>
        </w:numPr>
        <w:ind w:left="360"/>
        <w:rPr>
          <w:rFonts w:asciiTheme="minorHAnsi" w:hAnsiTheme="minorHAnsi"/>
        </w:rPr>
      </w:pPr>
      <w:r w:rsidRPr="0047058F">
        <w:t>A stratified sample of ADF members who had transitioned out of full-time service since 2010. Transitioned ADF survey responders were invited to complete a CIDI based on their scores on the PCL-C and AUDIT screening measures, and demographic characteristics were used to further preference participants to ensure the CIDI sample represented the entire cross-section of population characteristics as far as was possible.</w:t>
      </w:r>
    </w:p>
    <w:p w14:paraId="3776041E" w14:textId="77777777" w:rsidR="00160459" w:rsidRPr="0047058F" w:rsidRDefault="00160459" w:rsidP="00160459">
      <w:pPr>
        <w:pStyle w:val="Bullet"/>
        <w:numPr>
          <w:ilvl w:val="0"/>
          <w:numId w:val="1"/>
        </w:numPr>
        <w:ind w:left="360"/>
        <w:rPr>
          <w:rFonts w:asciiTheme="minorHAnsi" w:hAnsiTheme="minorHAnsi"/>
        </w:rPr>
      </w:pPr>
      <w:r w:rsidRPr="0047058F">
        <w:t>All MHPWS ADF members who were interviewed using the CIDI in 2010 – this included individuals who met ICD-10 diagnostic criteria for either a 12-month ICD-10 affective, anxiety or alcohol disorder in 2010, as well as individuals who were subsyndromal or had no disorder.</w:t>
      </w:r>
    </w:p>
    <w:p w14:paraId="4588CE29" w14:textId="77777777" w:rsidR="00160459" w:rsidRPr="0047058F" w:rsidRDefault="00160459" w:rsidP="00160459">
      <w:pPr>
        <w:pStyle w:val="Bullet"/>
        <w:numPr>
          <w:ilvl w:val="0"/>
          <w:numId w:val="1"/>
        </w:numPr>
        <w:ind w:left="360"/>
        <w:rPr>
          <w:rFonts w:asciiTheme="minorHAnsi" w:hAnsiTheme="minorHAnsi" w:cstheme="minorHAnsi"/>
        </w:rPr>
      </w:pPr>
      <w:r w:rsidRPr="0047058F">
        <w:t>A sample of ADF members who participated in the MEAO Prospective Health Study between 2010 and 2012.</w:t>
      </w:r>
    </w:p>
    <w:p w14:paraId="2C59DDE0" w14:textId="77777777" w:rsidR="00160459" w:rsidRPr="0047058F" w:rsidRDefault="00160459" w:rsidP="00160459">
      <w:pPr>
        <w:pStyle w:val="Heading4"/>
        <w:ind w:left="864" w:hanging="864"/>
        <w:rPr>
          <w:rFonts w:asciiTheme="minorHAnsi" w:hAnsiTheme="minorHAnsi"/>
        </w:rPr>
      </w:pPr>
      <w:r w:rsidRPr="0047058F">
        <w:t>Recruitment</w:t>
      </w:r>
    </w:p>
    <w:p w14:paraId="0EA1B232" w14:textId="77777777" w:rsidR="00160459" w:rsidRPr="0047058F" w:rsidRDefault="00160459" w:rsidP="00160459">
      <w:r w:rsidRPr="0047058F">
        <w:t>Recruitment calls were made by trained interviewers at the Hunter Research Foundation, who couldn’t see the scores of participants on the self-report measures. Telephone calls were made at a variety of times during the day and evening, taking into account participants’ preferences, so as to maximise contact opportunities.</w:t>
      </w:r>
    </w:p>
    <w:p w14:paraId="6C3DD724" w14:textId="77777777" w:rsidR="00160459" w:rsidRPr="0047058F" w:rsidRDefault="00160459" w:rsidP="00160459">
      <w:r w:rsidRPr="0047058F">
        <w:t>To ensure that the most recent contact details were used, a download of current phone numbers was obtained from PMKeyS immediately before the study began and intermittently throughout the interview period.</w:t>
      </w:r>
    </w:p>
    <w:p w14:paraId="1B737C03" w14:textId="77777777" w:rsidR="00160459" w:rsidRPr="0047058F" w:rsidRDefault="00160459" w:rsidP="00160459">
      <w:r w:rsidRPr="0047058F">
        <w:t>Participants were contacted by telephone using contact details obtained through:</w:t>
      </w:r>
    </w:p>
    <w:p w14:paraId="3869435A" w14:textId="77777777" w:rsidR="00160459" w:rsidRPr="0047058F" w:rsidRDefault="00160459" w:rsidP="00160459">
      <w:pPr>
        <w:pStyle w:val="Bullet"/>
        <w:numPr>
          <w:ilvl w:val="0"/>
          <w:numId w:val="1"/>
        </w:numPr>
        <w:ind w:left="360"/>
        <w:rPr>
          <w:rFonts w:asciiTheme="minorHAnsi" w:hAnsiTheme="minorHAnsi"/>
        </w:rPr>
      </w:pPr>
      <w:r w:rsidRPr="0047058F">
        <w:t>participants providing contact details and alternative contact details, either online or in hard copy, as part of phase 1 of the Mental Health and Wellbeing Transition Study</w:t>
      </w:r>
    </w:p>
    <w:p w14:paraId="39499961" w14:textId="77777777" w:rsidR="00160459" w:rsidRPr="0047058F" w:rsidRDefault="00160459" w:rsidP="00160459">
      <w:pPr>
        <w:pStyle w:val="Bullet"/>
        <w:numPr>
          <w:ilvl w:val="0"/>
          <w:numId w:val="1"/>
        </w:numPr>
        <w:ind w:left="360"/>
      </w:pPr>
      <w:r w:rsidRPr="0047058F">
        <w:t>the Australian Institute of Health and Welfare</w:t>
      </w:r>
    </w:p>
    <w:p w14:paraId="578DF53B" w14:textId="77777777" w:rsidR="00160459" w:rsidRPr="0047058F" w:rsidRDefault="00160459" w:rsidP="00160459">
      <w:pPr>
        <w:pStyle w:val="Bullet"/>
        <w:numPr>
          <w:ilvl w:val="0"/>
          <w:numId w:val="1"/>
        </w:numPr>
        <w:ind w:left="360"/>
      </w:pPr>
      <w:r w:rsidRPr="0047058F">
        <w:t>PMKeyS</w:t>
      </w:r>
    </w:p>
    <w:p w14:paraId="7C05ADD9" w14:textId="77777777" w:rsidR="00160459" w:rsidRPr="0047058F" w:rsidRDefault="00160459" w:rsidP="00160459">
      <w:pPr>
        <w:pStyle w:val="Bullet"/>
        <w:numPr>
          <w:ilvl w:val="0"/>
          <w:numId w:val="1"/>
        </w:numPr>
        <w:ind w:left="360"/>
      </w:pPr>
      <w:r w:rsidRPr="0047058F">
        <w:t>participants providing contact details and alternative contact details, either online or in hard copy, as part of the MilHOP studies.</w:t>
      </w:r>
    </w:p>
    <w:p w14:paraId="00EB60BC" w14:textId="77777777" w:rsidR="00160459" w:rsidRPr="0047058F" w:rsidRDefault="00160459" w:rsidP="00160459">
      <w:r w:rsidRPr="0047058F">
        <w:t>The first telephone call was made using the primary phone number provided in the contact information sheet completed in phase 1. In the absence of this information, a phone number obtained from one of the sources listed above was used.</w:t>
      </w:r>
    </w:p>
    <w:p w14:paraId="60EACC5C" w14:textId="77777777" w:rsidR="00160459" w:rsidRPr="0047058F" w:rsidRDefault="00160459" w:rsidP="00160459">
      <w:r w:rsidRPr="0047058F">
        <w:t>A maximum of 10 attempts were made to speak to the participant before that participant was removed from the pool. When no contact was made, a reminder message was left on two of the 10 occasions, along with the study’s free-call number and email address.</w:t>
      </w:r>
    </w:p>
    <w:p w14:paraId="2AAECAE1" w14:textId="77777777" w:rsidR="00160459" w:rsidRPr="0047058F" w:rsidRDefault="00160459" w:rsidP="00160459">
      <w:r w:rsidRPr="0047058F">
        <w:t>Where telephone contact was made, research officers explained the aims, purpose and requirements of the interview, and if agreement was granted, an interview time was arranged.</w:t>
      </w:r>
    </w:p>
    <w:p w14:paraId="0EA9D66F" w14:textId="77777777" w:rsidR="00160459" w:rsidRPr="0047058F" w:rsidRDefault="00160459" w:rsidP="00160459">
      <w:pPr>
        <w:pStyle w:val="Heading4"/>
        <w:ind w:left="864" w:hanging="864"/>
      </w:pPr>
      <w:r w:rsidRPr="0047058F">
        <w:t>Interview</w:t>
      </w:r>
    </w:p>
    <w:p w14:paraId="249418BF" w14:textId="77777777" w:rsidR="00160459" w:rsidRPr="0047058F" w:rsidRDefault="00160459" w:rsidP="00160459">
      <w:r w:rsidRPr="0047058F">
        <w:t>At the beginning of each interview, participants were reminded that participation was voluntary, they could stop the interview at any point, and could withdraw from the study at any time without any impact on their career or entitlements.</w:t>
      </w:r>
    </w:p>
    <w:p w14:paraId="6086289B" w14:textId="77777777" w:rsidR="00160459" w:rsidRPr="0047058F" w:rsidRDefault="00160459" w:rsidP="00160459">
      <w:r w:rsidRPr="0047058F">
        <w:t>If the participant agreed to proceed with the interview, verbal consent was obtained and recorded. Following this, the highly structured interview was undertaken.</w:t>
      </w:r>
    </w:p>
    <w:p w14:paraId="15D0BE9E" w14:textId="77777777" w:rsidR="00160459" w:rsidRPr="0047058F" w:rsidRDefault="00160459" w:rsidP="00160459">
      <w:r w:rsidRPr="0047058F">
        <w:t>At the end of the structured interview, participants were provided with sufficient time to debrief, ask questions, and provided interview-related feedback. If at any time the participant indicated that they were feeling distressed or suicidal, interviewers implemented the relevant duty of care protocols.</w:t>
      </w:r>
    </w:p>
    <w:p w14:paraId="042D73FE" w14:textId="77777777" w:rsidR="00160459" w:rsidRPr="0047058F" w:rsidRDefault="00160459" w:rsidP="000A1090">
      <w:pPr>
        <w:pStyle w:val="Heading2b"/>
        <w:ind w:left="720" w:hanging="720"/>
        <w:rPr>
          <w:rFonts w:cs="Arial"/>
        </w:rPr>
      </w:pPr>
      <w:bookmarkStart w:id="735" w:name="_Toc341700588"/>
      <w:bookmarkStart w:id="736" w:name="_Toc482021455"/>
      <w:bookmarkStart w:id="737" w:name="_Toc482024546"/>
      <w:bookmarkStart w:id="738" w:name="_Toc487011315"/>
      <w:bookmarkStart w:id="739" w:name="_Toc493663210"/>
      <w:bookmarkStart w:id="740" w:name="_Toc494449817"/>
      <w:bookmarkStart w:id="741" w:name="_Toc297295806"/>
      <w:r w:rsidRPr="0047058F">
        <w:t>Medicare and Pharmaceutical Benefits Scheme/Repatriation Pharmaceutical Benefits Scheme data linkage</w:t>
      </w:r>
      <w:bookmarkEnd w:id="735"/>
      <w:bookmarkEnd w:id="736"/>
      <w:bookmarkEnd w:id="737"/>
      <w:bookmarkEnd w:id="738"/>
      <w:bookmarkEnd w:id="739"/>
      <w:bookmarkEnd w:id="740"/>
    </w:p>
    <w:p w14:paraId="5EC77A6A" w14:textId="77777777" w:rsidR="00160459" w:rsidRPr="0047058F" w:rsidRDefault="00160459" w:rsidP="00160459">
      <w:r w:rsidRPr="0047058F">
        <w:t>As part of the broader research Programme, participants were also invited to fill out a consent form authorising the study access to complete Medicare, Pharmaceutical Benefits Scheme and Repatriation Pharmaceutical Benefits Scheme data. Data for each consenting participant were obtained for a five-year period before their scheduled interview date and included information about their medical visits, procedures, associated costs, and prescription medications filled at pharmacies. Consent forms for this component of the research were sent securely to the Department of Human Services, which holds this information confidentially.</w:t>
      </w:r>
    </w:p>
    <w:p w14:paraId="25B0159E" w14:textId="77777777" w:rsidR="00160459" w:rsidRPr="0047058F" w:rsidRDefault="00160459" w:rsidP="00160459">
      <w:pPr>
        <w:pStyle w:val="Heading2b"/>
      </w:pPr>
      <w:bookmarkStart w:id="742" w:name="_Toc341700589"/>
      <w:bookmarkStart w:id="743" w:name="_Toc482021456"/>
      <w:bookmarkStart w:id="744" w:name="_Toc482024547"/>
      <w:bookmarkStart w:id="745" w:name="_Toc487011316"/>
      <w:bookmarkStart w:id="746" w:name="_Toc493663211"/>
      <w:bookmarkStart w:id="747" w:name="_Toc494449818"/>
      <w:r w:rsidRPr="0047058F">
        <w:t>Statistical analysis</w:t>
      </w:r>
      <w:bookmarkEnd w:id="742"/>
      <w:bookmarkEnd w:id="743"/>
      <w:bookmarkEnd w:id="744"/>
      <w:bookmarkEnd w:id="745"/>
      <w:bookmarkEnd w:id="746"/>
      <w:bookmarkEnd w:id="747"/>
    </w:p>
    <w:p w14:paraId="6F3A1175" w14:textId="77777777" w:rsidR="00160459" w:rsidRPr="0047058F" w:rsidRDefault="00160459" w:rsidP="00160459">
      <w:pPr>
        <w:rPr>
          <w:rFonts w:eastAsia="MS Mincho"/>
        </w:rPr>
      </w:pPr>
      <w:r w:rsidRPr="0047058F">
        <w:t>Analyses were conducted in Stata version 13.1 or SAS version 9.2 or 9.4. All analyses were conducted using weighted estimates of totals, means and proportions, except where specified otherwise. Standard errors were estimated using linearisation, except where specified otherwise.</w:t>
      </w:r>
    </w:p>
    <w:p w14:paraId="21BCA526" w14:textId="77777777" w:rsidR="00160459" w:rsidRPr="0047058F" w:rsidRDefault="00160459" w:rsidP="00160459">
      <w:pPr>
        <w:rPr>
          <w:rFonts w:eastAsia="Times New Roman"/>
        </w:rPr>
      </w:pPr>
      <w:r w:rsidRPr="0047058F">
        <w:t xml:space="preserve">Subgroup analyses were conducted on each of the 12-month ICD-10 mental disorders using demographic and deployment history predictors, including sex (male, female), age (18–27, 28–37, 38–47, 48–57, 58+), 2015 Regular ADF service or service at transition (Navy, Army, Air Force), 2015 Regular ADF rank or rank on transition (Officer, Non-Commissioned Officer, Other Ranks), years of service in the Regular ADF (&lt; 3 months, 3 months – 3.9 years, 4 – 7.9 years, 8 – 11.9 years, 12 – 15.9 years, 16 – 19.9 years, 20+ years), and deployment status (ever deployed, never deployed). </w:t>
      </w:r>
      <w:r w:rsidRPr="0047058F">
        <w:rPr>
          <w:rFonts w:eastAsia="Times New Roman"/>
        </w:rPr>
        <w:t>For members of the Transitioned ADF, specific transition factors were included: transition status (ex-serving, Inactive Reservist, Active Reservist), reason for discharge (medical discharge, other reason), years since transition (0, 1, 2, 3, 4, 5), and DVA client status (DVA client, not a DVA client).</w:t>
      </w:r>
    </w:p>
    <w:p w14:paraId="5D186F28" w14:textId="77777777" w:rsidR="00160459" w:rsidRPr="0047058F" w:rsidRDefault="00160459" w:rsidP="00160459">
      <w:r w:rsidRPr="0047058F">
        <w:t>Comparisons between the prevalence of 12-month ICD-10 disorders among subgroups were analysed using weighted logistic regressions. All regressions involved variables for age, sex, Service and rank. Comparisons between the prevalence of 12-month ICD-10 disorder classes (affective disorders, anxiety disorders, alcohol disorders) among subgroups were analysed using a weighted multinomial logistic regression, with number of disorder classes as the outcome. The regression involved the covariates age, sex, Service and rank. Comparisons between the prevalence of self-reported suicidal behaviour among subgroups were analysed using weighted logistic regressions. All regressions included the covariates age, sex, Service and rank.</w:t>
      </w:r>
    </w:p>
    <w:p w14:paraId="0D6D2EE5" w14:textId="77777777" w:rsidR="00160459" w:rsidRPr="0047058F" w:rsidRDefault="00160459" w:rsidP="00160459">
      <w:r w:rsidRPr="0047058F">
        <w:t>For the self-report measures, the proportion (n (%)) of ADF members in each subgroup is presented. Comparisons between the mean total scores among subgroups were also analysed where appropriate, using weighted multiple linear regressions. All regressions included the covariates age, sex, Service and rank. Comparisons between the prevalence of self-reported alcohol consumption and problems with drinking were analysed using weighted logistic regressions. A proportional odds model was considered for analysis. However, the main assumption of this approach was violated, so the ordinal response was dichotomised by means of several cut-offs. All regressions included the covariates age, sex, Service and rank.</w:t>
      </w:r>
    </w:p>
    <w:p w14:paraId="30ACC71B" w14:textId="77777777" w:rsidR="00160459" w:rsidRPr="0047058F" w:rsidRDefault="00160459" w:rsidP="00160459">
      <w:r w:rsidRPr="0047058F">
        <w:t>To compare the mental health and wellbeing of the 2015 Regular ADF with the 2010 Regular ADF, a direct numerical comparison was performed. This did not include standardisation or tests of statistical significance. As these two samples cannot be considered independent, between-group differences should be interpreted with caution, noting that some members of the 2015 Regular ADF sample were also represented in the 2010 Regular ADF sample. The issue of individual change in symptoms and disorder over time in this group will be addressed in the future longitudinal report.</w:t>
      </w:r>
    </w:p>
    <w:p w14:paraId="6F5F2E53" w14:textId="77777777" w:rsidR="00160459" w:rsidRPr="0047058F" w:rsidRDefault="00160459" w:rsidP="00160459">
      <w:r w:rsidRPr="0047058F">
        <w:t>To compare estimates in the Transitioned ADF with the Australian community, direct standardisation was applied to estimates in the 2014–2015 National Health Survey (NHS). The NHS data were restricted to those aged 18 to 71 (consistent with the Transition and Wellbeing Research Programme transition population). The data were standardised by sex, employment status (employed or not) and age category (18–27, 28–37, 38–47, 48–57 and 58+). Standard errors for the NHS data were estimated using the replication weights provided in the NHS data file.</w:t>
      </w:r>
    </w:p>
    <w:p w14:paraId="318105FD" w14:textId="77777777" w:rsidR="00160459" w:rsidRPr="0047058F" w:rsidRDefault="00160459" w:rsidP="00160459">
      <w:pPr>
        <w:pStyle w:val="Heading2b"/>
      </w:pPr>
      <w:bookmarkStart w:id="748" w:name="_Toc341700590"/>
      <w:bookmarkStart w:id="749" w:name="_Toc482021457"/>
      <w:bookmarkStart w:id="750" w:name="_Toc482024548"/>
      <w:bookmarkStart w:id="751" w:name="_Toc487011317"/>
      <w:bookmarkStart w:id="752" w:name="_Toc493663212"/>
      <w:bookmarkStart w:id="753" w:name="_Toc494449819"/>
      <w:r w:rsidRPr="0047058F">
        <w:t>Ethical considerations</w:t>
      </w:r>
      <w:bookmarkEnd w:id="748"/>
      <w:bookmarkEnd w:id="749"/>
      <w:bookmarkEnd w:id="750"/>
      <w:bookmarkEnd w:id="751"/>
      <w:bookmarkEnd w:id="752"/>
      <w:bookmarkEnd w:id="753"/>
    </w:p>
    <w:p w14:paraId="3DCF7AAD" w14:textId="77777777" w:rsidR="00160459" w:rsidRPr="0047058F" w:rsidRDefault="00160459" w:rsidP="00160459">
      <w:r w:rsidRPr="0047058F">
        <w:t>In order to combat potential risks and ensure that participation in the study was completely free from coercion, participants were made explicitly aware that their involvement in the study was voluntary and that they could decline to participate and/or were free to withdraw from the project at any time. This was emphasised in all study materials. Secondly, whether or not an individual chose to participate in the study was not communicated to senior staff in the ADF, nor were members asked directly to participate in the study by a uniformed Officer. This also ensured that recruitment was free from coercion.</w:t>
      </w:r>
    </w:p>
    <w:p w14:paraId="5BA2086D" w14:textId="77777777" w:rsidR="00160459" w:rsidRPr="0047058F" w:rsidRDefault="00160459" w:rsidP="00160459">
      <w:pPr>
        <w:rPr>
          <w:rFonts w:cs="Arial"/>
        </w:rPr>
      </w:pPr>
      <w:r w:rsidRPr="0047058F">
        <w:t xml:space="preserve">In order to manage potential risks to participants in relation to both phase 1 and phase 2 of the research, a </w:t>
      </w:r>
      <w:r w:rsidRPr="0047058F">
        <w:rPr>
          <w:rFonts w:cs="Arial"/>
        </w:rPr>
        <w:t>duty of care protocol was established and strictly adhered to by the research team.</w:t>
      </w:r>
    </w:p>
    <w:p w14:paraId="722A25AC" w14:textId="77777777" w:rsidR="00160459" w:rsidRPr="0047058F" w:rsidRDefault="00160459" w:rsidP="00160459">
      <w:pPr>
        <w:pStyle w:val="Heading2b"/>
      </w:pPr>
      <w:bookmarkStart w:id="754" w:name="_Toc341700591"/>
      <w:bookmarkStart w:id="755" w:name="_Toc482021458"/>
      <w:bookmarkStart w:id="756" w:name="_Toc482024549"/>
      <w:bookmarkStart w:id="757" w:name="_Toc487011318"/>
      <w:bookmarkStart w:id="758" w:name="_Toc493663213"/>
      <w:bookmarkStart w:id="759" w:name="_Toc494449820"/>
      <w:r w:rsidRPr="0047058F">
        <w:t>Ethical approvals</w:t>
      </w:r>
      <w:bookmarkEnd w:id="741"/>
      <w:bookmarkEnd w:id="754"/>
      <w:bookmarkEnd w:id="755"/>
      <w:bookmarkEnd w:id="756"/>
      <w:bookmarkEnd w:id="757"/>
      <w:bookmarkEnd w:id="758"/>
      <w:bookmarkEnd w:id="759"/>
    </w:p>
    <w:p w14:paraId="55F41CC9" w14:textId="77777777" w:rsidR="00160459" w:rsidRPr="0047058F" w:rsidRDefault="00160459" w:rsidP="00160459">
      <w:r w:rsidRPr="0047058F">
        <w:t>The study protocol was approved by the DVA Human Research Ethics Committee (E014/018), and was mutually recognised by the Directorate, Defence Health Research, and the University of Adelaide Human Research Ethics Committee. The study protocol was also submitted to the Australian Institute of Health and Welfare Ethics Committee and received approval accordingly (EO 2015/1/163).</w:t>
      </w:r>
      <w:bookmarkStart w:id="760" w:name="_Toc341700592"/>
    </w:p>
    <w:p w14:paraId="11013B0A" w14:textId="77777777" w:rsidR="00160459" w:rsidRDefault="00160459" w:rsidP="000A1090"/>
    <w:p w14:paraId="7742B74F" w14:textId="77777777" w:rsidR="000A1090" w:rsidRDefault="000A1090" w:rsidP="000A1090">
      <w:pPr>
        <w:sectPr w:rsidR="000A1090" w:rsidSect="00160459">
          <w:footerReference w:type="even" r:id="rId96"/>
          <w:footerReference w:type="default" r:id="rId97"/>
          <w:pgSz w:w="9979" w:h="14170" w:code="243"/>
          <w:pgMar w:top="1440" w:right="1152" w:bottom="1440" w:left="1728" w:header="576" w:footer="576" w:gutter="0"/>
          <w:cols w:space="708"/>
          <w:docGrid w:linePitch="360"/>
        </w:sectPr>
      </w:pPr>
    </w:p>
    <w:p w14:paraId="557F593E" w14:textId="77777777" w:rsidR="00160459" w:rsidRPr="0047058F" w:rsidRDefault="00160459" w:rsidP="00160459">
      <w:pPr>
        <w:pStyle w:val="Heading1b"/>
        <w:ind w:left="1440" w:hanging="1440"/>
      </w:pPr>
      <w:bookmarkStart w:id="761" w:name="_Toc529117497"/>
      <w:bookmarkStart w:id="762" w:name="_Toc532474416"/>
      <w:r w:rsidRPr="0047058F">
        <w:t>Relevant Australian and international literature</w:t>
      </w:r>
      <w:bookmarkEnd w:id="761"/>
      <w:bookmarkEnd w:id="762"/>
    </w:p>
    <w:p w14:paraId="118F8FFE" w14:textId="77777777" w:rsidR="00160459" w:rsidRPr="0047058F" w:rsidRDefault="00160459" w:rsidP="000A1090">
      <w:pPr>
        <w:pStyle w:val="Heading2b"/>
      </w:pPr>
      <w:r w:rsidRPr="0047058F">
        <w:t>Australian evidence</w:t>
      </w:r>
    </w:p>
    <w:p w14:paraId="4B93CF66" w14:textId="77777777" w:rsidR="00160459" w:rsidRPr="0047058F" w:rsidRDefault="00160459" w:rsidP="00160459">
      <w:pPr>
        <w:rPr>
          <w:rFonts w:cstheme="minorHAnsi"/>
        </w:rPr>
      </w:pPr>
      <w:r w:rsidRPr="0047058F">
        <w:rPr>
          <w:rFonts w:cstheme="minorHAnsi"/>
          <w:lang w:eastAsia="en-GB"/>
        </w:rPr>
        <w:t xml:space="preserve">The Middle East Area of Operations (MEAO) Census Study examined the health status of more than 14,000 Regular ADF and ex-serving ADF members deployed to the MEAO between 2001 and 2009 (Dobson et al., 2012), and the MEAO Prospective Health Study examined just under 2,000 Regular ADF members deployed to the MEAO between 2010 and 2012 (Davy et al., 2012). The MEAO Prospective Health Study found generally low levels of mental and physical health symptoms, as would be expected in a healthy, deployable cohort; however, low-level increases in some mental and physical health measures were documented between pre- and post-deployment, suggesting the possibility of reactivity to exposures experienced in the deployed environment. While both studies targeted only those ADF members who had deployed, the MEAO Census Study included those who were transitioned (either as Active or Inactive Reservists, or ex-serving), and </w:t>
      </w:r>
      <w:r w:rsidRPr="0047058F">
        <w:rPr>
          <w:rFonts w:cstheme="minorHAnsi"/>
        </w:rPr>
        <w:t xml:space="preserve">identified poorer mental and general health among ADF members </w:t>
      </w:r>
      <w:bookmarkStart w:id="763" w:name="_Hlk489616207"/>
      <w:r w:rsidRPr="0047058F">
        <w:rPr>
          <w:rFonts w:cstheme="minorHAnsi"/>
        </w:rPr>
        <w:t xml:space="preserve">who had been discharged </w:t>
      </w:r>
      <w:bookmarkEnd w:id="763"/>
      <w:r w:rsidRPr="0047058F">
        <w:rPr>
          <w:rFonts w:cstheme="minorHAnsi"/>
        </w:rPr>
        <w:t xml:space="preserve">or transitioned into the Reserves compared to those who remained in service. Ex-serving ADF members (OR 6.9; 95% CI 5.6, 8.6), </w:t>
      </w:r>
      <w:r w:rsidRPr="0047058F">
        <w:rPr>
          <w:rFonts w:cstheme="minorHAnsi"/>
          <w:lang w:eastAsia="en-GB"/>
        </w:rPr>
        <w:t xml:space="preserve">Active Reservists (OR 2.5; 95% CI 2.1, 2.9) and Inactive Reservists (OR 2.4; 95% CI 2.0, 2.9) were significantly more likely to report more symptoms of posttraumatic stress disorder (PTSD) than Regular ADF members. </w:t>
      </w:r>
      <w:r w:rsidRPr="0047058F">
        <w:rPr>
          <w:rFonts w:cstheme="minorHAnsi"/>
        </w:rPr>
        <w:t>This pattern was also observed for symptoms of major depressive disorder, alcohol misuse and suicidal ideation (Dobson et al., 2012).</w:t>
      </w:r>
    </w:p>
    <w:p w14:paraId="00886AE1" w14:textId="77777777" w:rsidR="00160459" w:rsidRPr="0047058F" w:rsidRDefault="00160459" w:rsidP="00160459">
      <w:pPr>
        <w:rPr>
          <w:rFonts w:cstheme="minorHAnsi"/>
        </w:rPr>
      </w:pPr>
      <w:r w:rsidRPr="0047058F">
        <w:rPr>
          <w:rFonts w:cstheme="minorHAnsi"/>
          <w:color w:val="000000" w:themeColor="text1"/>
        </w:rPr>
        <w:t xml:space="preserve">A 10-year follow-up health study of </w:t>
      </w:r>
      <w:r w:rsidRPr="0047058F">
        <w:rPr>
          <w:rFonts w:cstheme="minorHAnsi"/>
        </w:rPr>
        <w:t xml:space="preserve">Australian Gulf War veterans – conducted 10 years after a baseline study in 2000–2002 – produced similar findings (Sim et al., 2015). In this study, 7.3% of Gulf War veterans and 2.8% of the matched comparison group met criteria for 12-month PTSD 10 years after their initial assessment. Further, the </w:t>
      </w:r>
      <w:r w:rsidRPr="0047058F">
        <w:rPr>
          <w:rFonts w:eastAsia="MS Mincho" w:cstheme="minorHAnsi"/>
        </w:rPr>
        <w:t>pattern of PTSD was more likely to persist and less likely to remit, with a</w:t>
      </w:r>
      <w:r w:rsidRPr="0047058F">
        <w:rPr>
          <w:rFonts w:cstheme="minorHAnsi"/>
        </w:rPr>
        <w:t xml:space="preserve"> four-fold increase in 12-month PTSD in Gulf War veterans over the 10-year follow-up period.</w:t>
      </w:r>
    </w:p>
    <w:p w14:paraId="0C78DFA8" w14:textId="77777777" w:rsidR="00160459" w:rsidRPr="0047058F" w:rsidRDefault="00160459" w:rsidP="00160459">
      <w:pPr>
        <w:rPr>
          <w:rFonts w:cstheme="minorHAnsi"/>
        </w:rPr>
      </w:pPr>
      <w:r w:rsidRPr="0047058F">
        <w:rPr>
          <w:rFonts w:cstheme="minorHAnsi"/>
        </w:rPr>
        <w:t>Similar patterns of worse mental health in veterans has been observed in the context of suicide. For example, a recent Australian Institute of Health and Welfare report examined the number of suicides of current, reserve and ex-serving ADF members between 2002 and 2014. Although suicide rates were 53% lower among ADF males serving full-time and 46% lower among ADF male Reservists, the suicide rate for ex-serving ADF males was 13% higher than for males in the Australian population. There were significantly elevated rates of suicide in ex-serving men aged 18 to 24 (1.9 times higher) and 25 to 29 (1.5 times higher) compared to men in the Australian community. In 2002–2014, suicides were recorded for 84 current full-time serving ADF members, 66 ADF reserve members and 142 ex-serving ADF members (Australian Institute of Health and Welfare, 2016).</w:t>
      </w:r>
    </w:p>
    <w:p w14:paraId="1428E011" w14:textId="77777777" w:rsidR="00160459" w:rsidRPr="0047058F" w:rsidRDefault="00160459" w:rsidP="000A1090">
      <w:pPr>
        <w:pStyle w:val="Heading2b"/>
      </w:pPr>
      <w:bookmarkStart w:id="764" w:name="_Toc487011163"/>
      <w:bookmarkStart w:id="765" w:name="_Toc494449679"/>
      <w:bookmarkStart w:id="766" w:name="_Toc510680331"/>
      <w:r w:rsidRPr="0047058F">
        <w:t xml:space="preserve">International </w:t>
      </w:r>
      <w:bookmarkEnd w:id="764"/>
      <w:bookmarkEnd w:id="765"/>
      <w:bookmarkEnd w:id="766"/>
      <w:r w:rsidRPr="0047058F">
        <w:t>evidence</w:t>
      </w:r>
    </w:p>
    <w:p w14:paraId="7F289558" w14:textId="77777777" w:rsidR="00160459" w:rsidRPr="0047058F" w:rsidRDefault="00160459" w:rsidP="00160459">
      <w:pPr>
        <w:rPr>
          <w:rFonts w:cstheme="minorHAnsi"/>
        </w:rPr>
      </w:pPr>
      <w:r w:rsidRPr="0047058F">
        <w:rPr>
          <w:rFonts w:cstheme="minorHAnsi"/>
        </w:rPr>
        <w:t xml:space="preserve">There is a </w:t>
      </w:r>
      <w:r w:rsidRPr="0047058F">
        <w:rPr>
          <w:rFonts w:eastAsia="MS ??" w:cstheme="minorHAnsi"/>
        </w:rPr>
        <w:t xml:space="preserve">lack of consensus on the meaning, definition and terminology used to describe the transition process in different countries (Ray &amp; Heaslip, 2011). The literature considers various transition periods, ranging from up to six months before release from service until approximately five years after release (Pedlar &amp; Thompson, 2016; Sheilds et al., 2016), with </w:t>
      </w:r>
      <w:r w:rsidRPr="0047058F">
        <w:rPr>
          <w:rFonts w:cstheme="minorHAnsi"/>
        </w:rPr>
        <w:t xml:space="preserve">no standard start or end to transition (Pedlar &amp; Thompson, 2016). </w:t>
      </w:r>
      <w:r w:rsidRPr="0047058F">
        <w:rPr>
          <w:rFonts w:eastAsia="MS ??" w:cstheme="minorHAnsi"/>
        </w:rPr>
        <w:t>The five-year post-service time frame is one of the only relatively consistent features of early transition across studies. Similarly, there is worldwide variation in how service leavers, veterans and ex-serving members are defined (Burdett et al., 2013; Department of Veterans’ Affairs, 2013).</w:t>
      </w:r>
    </w:p>
    <w:p w14:paraId="52F65D1F" w14:textId="3724F0DD" w:rsidR="00160459" w:rsidRPr="0047058F" w:rsidRDefault="00160459" w:rsidP="00160459">
      <w:pPr>
        <w:rPr>
          <w:rFonts w:cstheme="minorHAnsi"/>
        </w:rPr>
      </w:pPr>
      <w:r w:rsidRPr="0047058F">
        <w:rPr>
          <w:rFonts w:cstheme="minorHAnsi"/>
        </w:rPr>
        <w:t>Despite this lack of consensus around theoretical framework, definition and terminology, the period of transition from military to civilian life is recognised as one of the most significant and stressful transitions in the life course of military members. Many service leavers make the transition from military service with relative ease, with an estimated 60% to 75% internationally reporting an easy adjustment to civilian life (Pew Research Center, 2011; Thompson et al., 2011; Van Til et al., 2014a). However, others, particularly those who developed mental health symptoms or disorders before discharge, may struggle with the adjustment to civilian life (Coll et al., 2011; Demers, 2011; Department of Veterans</w:t>
      </w:r>
      <w:r w:rsidR="00910ECD">
        <w:rPr>
          <w:rFonts w:cstheme="minorHAnsi"/>
        </w:rPr>
        <w:t>’</w:t>
      </w:r>
      <w:r w:rsidRPr="0047058F">
        <w:rPr>
          <w:rFonts w:cstheme="minorHAnsi"/>
        </w:rPr>
        <w:t xml:space="preserve"> Affairs, 2016; Institute of Medicine, 2013; Iversen et al., 2005; Kukla et al., 2015; Pease et al., 2016; Sayer et al., 2014; Tanielian &amp; Jaycox, 2008). The transition period brings significant changes in identity, community, residence, social networks, status, family roles, occupation, finances, routines, responsibilities, supports and culture (Demers, 2011; Harvey et al., 2011; Hatch et al., 2013; Sayer et al., 2014; Sayer et al., 2010). These changes have the potential to manifest in the development of psychosocial adjustment issues. These can range from employment difficulties to family and/or relationship conflict, mental health and substance abuse problems, and criminal offending. Obstacles and stress in multiple domains also place individuals at significant risk of poor outcomes (Bergman, Burdett &amp; Greenberg, 2014; Burdett et al., 2013; Castro &amp; Kintzle, 2014; Coll et al., 2011; Pease et al., 2016; Pedlar &amp; Thompson, 2016; Sheilds et al., 2016; Wainwright, McDonnell, Lennox, Shaw &amp; Senior, 2016).</w:t>
      </w:r>
    </w:p>
    <w:p w14:paraId="505F5224" w14:textId="77777777" w:rsidR="00160459" w:rsidRPr="0047058F" w:rsidRDefault="00160459" w:rsidP="00160459">
      <w:pPr>
        <w:rPr>
          <w:rFonts w:cstheme="minorHAnsi"/>
        </w:rPr>
      </w:pPr>
      <w:r w:rsidRPr="0047058F">
        <w:rPr>
          <w:rFonts w:cstheme="minorHAnsi"/>
        </w:rPr>
        <w:t>Additionally, during the transition process, individuals also actively re-establish or connect with civilian healthcare and other service providers that are largely unknown to them, making it challenging to access appropriate care. These factors make this initial transition period a critical time for optimising the physical, mental and social health and wellbeing of transitioned military members. While it is recognised that, as with all life transitions, some degree of struggle is normal, the normative course of adaptation during the transition period remains poorly understood (Sheilds et al., 2016).</w:t>
      </w:r>
    </w:p>
    <w:p w14:paraId="73DF0DC9" w14:textId="77777777" w:rsidR="00160459" w:rsidRPr="0047058F" w:rsidRDefault="00160459" w:rsidP="00160459">
      <w:pPr>
        <w:rPr>
          <w:rFonts w:cstheme="minorHAnsi"/>
        </w:rPr>
      </w:pPr>
      <w:r w:rsidRPr="0047058F">
        <w:rPr>
          <w:rFonts w:cstheme="minorHAnsi"/>
        </w:rPr>
        <w:t xml:space="preserve">Similar to the Australian experience, international research has mainly focused on the impact of service on military members in specific deployments (for example, </w:t>
      </w:r>
      <w:bookmarkStart w:id="767" w:name="_Hlk489623056"/>
      <w:r w:rsidRPr="0047058F">
        <w:rPr>
          <w:rFonts w:cstheme="minorHAnsi"/>
        </w:rPr>
        <w:t xml:space="preserve">Operation Enduring Freedom </w:t>
      </w:r>
      <w:bookmarkEnd w:id="767"/>
      <w:r w:rsidRPr="0047058F">
        <w:rPr>
          <w:rFonts w:cstheme="minorHAnsi"/>
        </w:rPr>
        <w:t xml:space="preserve">(OEF) and </w:t>
      </w:r>
      <w:bookmarkStart w:id="768" w:name="_Hlk489623098"/>
      <w:r w:rsidRPr="0047058F">
        <w:rPr>
          <w:rFonts w:cstheme="minorHAnsi"/>
        </w:rPr>
        <w:t xml:space="preserve">Operation Iraqi Freedom </w:t>
      </w:r>
      <w:bookmarkEnd w:id="768"/>
      <w:r w:rsidRPr="0047058F">
        <w:rPr>
          <w:rFonts w:cstheme="minorHAnsi"/>
        </w:rPr>
        <w:t>(OIF)). While a number of these studies include current and ex-serving contingents, comprehensive research studies on representative cohorts of transitioned military populations remain scarce, with existing studies plagued by conflicting results, largely due to differences in sampling and research methodologies.</w:t>
      </w:r>
    </w:p>
    <w:p w14:paraId="4F20C8A3" w14:textId="77777777" w:rsidR="00160459" w:rsidRPr="0047058F" w:rsidRDefault="00160459" w:rsidP="00160459">
      <w:pPr>
        <w:rPr>
          <w:rFonts w:cstheme="minorHAnsi"/>
        </w:rPr>
      </w:pPr>
      <w:r w:rsidRPr="0047058F">
        <w:rPr>
          <w:rFonts w:cstheme="minorHAnsi"/>
        </w:rPr>
        <w:t xml:space="preserve">For example, a number of studies reported that the rates of PTSD – with and without comorbid depression and self-harm/attempted suicide – among transitioned members were almost double those of current serving members (Hatch et al., 2013; Jones et al., 2013; Pinder, Iversen, Kapur, Wessely &amp; Fear, 2012). However, other studies report the prevalence of mental disorders as similar across both groups (Fear et al., 2009) or greater in current serving compared to transitioned members (US treatment-seeking samples; </w:t>
      </w:r>
      <w:r w:rsidRPr="0047058F">
        <w:t>Villatte et al., 2015)</w:t>
      </w:r>
      <w:r w:rsidRPr="0047058F">
        <w:rPr>
          <w:rFonts w:cstheme="minorHAnsi"/>
        </w:rPr>
        <w:t>, or they report very specific differences in outcomes between the two groups (Villatte et al., 2015). For instance, Villatte et al. (2015) compared the characteristics of non-fatal suicide attempts in transitioned (n = 746) and current serving members (n = 1,013) receiving treatment, in a pooled data analysis of six randomised controlled trials examining suicide interventions among members of the military. Although current serving members were more likely than those who had transitioned to report a suicide attempt in their lifetime, among those who attempted suicide, transitioned members made a greater number of attempts. Interestingly, among transitioned members, the majority of first attempts typically occurred after military separation, with only 22% taking place before military enrolment and 21% occurring during active service (Villatte et al., 2015). This provides strong evidence for the overwhelming challenges some members of the military experience while reintegrating into civilian life.</w:t>
      </w:r>
    </w:p>
    <w:p w14:paraId="37BDEF5B" w14:textId="77777777" w:rsidR="00160459" w:rsidRPr="0047058F" w:rsidRDefault="00160459" w:rsidP="00160459">
      <w:pPr>
        <w:rPr>
          <w:rFonts w:eastAsia="MS Mincho" w:cstheme="minorHAnsi"/>
          <w:color w:val="141413"/>
        </w:rPr>
      </w:pPr>
      <w:r w:rsidRPr="0047058F">
        <w:rPr>
          <w:rFonts w:cstheme="minorHAnsi"/>
        </w:rPr>
        <w:t>Other studies monitoring changes in symptoms over time (during service and post-service) have reported varying patterns of symptom presentation over the course of a military career. For example, Golub and Bennett (2014) examined substance use patterns (during service and post-service) in 269 transitioned OIF/OEF military members who had discharged from service to low-income minority neighbourhoods within the previous two years.</w:t>
      </w:r>
      <w:r w:rsidRPr="0047058F">
        <w:rPr>
          <w:rFonts w:eastAsia="MS Mincho" w:cstheme="minorHAnsi"/>
          <w:color w:val="141413"/>
        </w:rPr>
        <w:t xml:space="preserve"> Interestingly, </w:t>
      </w:r>
      <w:r w:rsidRPr="0047058F">
        <w:rPr>
          <w:rFonts w:cstheme="minorHAnsi"/>
        </w:rPr>
        <w:t>t</w:t>
      </w:r>
      <w:r w:rsidRPr="0047058F">
        <w:rPr>
          <w:rFonts w:eastAsia="MS Mincho" w:cstheme="minorHAnsi"/>
          <w:color w:val="141413"/>
        </w:rPr>
        <w:t xml:space="preserve">his study found alcohol use increased during military service, decreased dramatically on deployment, and then returned to pre-military levels after separation from the military. The finding that alcohol use, especially heavy use, declined after separation was consistent with the idea that some individuals participated in a drinking culture while in the military and left it behind after separation. A </w:t>
      </w:r>
      <w:r w:rsidRPr="0047058F">
        <w:rPr>
          <w:rFonts w:cstheme="minorHAnsi"/>
        </w:rPr>
        <w:t xml:space="preserve">recent review of the issues faced by transitioning ex-service members in the United Kingdom </w:t>
      </w:r>
      <w:r w:rsidRPr="0047058F">
        <w:rPr>
          <w:rFonts w:eastAsia="MS Mincho" w:cstheme="minorHAnsi"/>
          <w:color w:val="141413"/>
        </w:rPr>
        <w:t xml:space="preserve">supported this result, </w:t>
      </w:r>
      <w:r w:rsidRPr="0047058F">
        <w:rPr>
          <w:rFonts w:cstheme="minorHAnsi"/>
        </w:rPr>
        <w:t xml:space="preserve">suggesting there is a culture of hazardous drinking in the UK military that is of concern, particularly for those who maintain military social networks (St George’s House, 2014). However, </w:t>
      </w:r>
      <w:r w:rsidRPr="0047058F">
        <w:rPr>
          <w:rFonts w:cstheme="minorHAnsi"/>
          <w:color w:val="auto"/>
        </w:rPr>
        <w:t>i</w:t>
      </w:r>
      <w:r w:rsidRPr="0047058F">
        <w:rPr>
          <w:rFonts w:cstheme="minorHAnsi"/>
          <w:color w:val="000000" w:themeColor="text1"/>
        </w:rPr>
        <w:t xml:space="preserve">t is important to note </w:t>
      </w:r>
      <w:r w:rsidRPr="0047058F">
        <w:rPr>
          <w:rFonts w:eastAsia="MS Mincho" w:cstheme="minorHAnsi"/>
          <w:color w:val="141413"/>
        </w:rPr>
        <w:t>that differences in military cultures and attitudes towards drinking in different countries may invariably impact the prevalence of alcohol disorder in different military populations (Sundin et al., 2014).</w:t>
      </w:r>
    </w:p>
    <w:p w14:paraId="0C943D3E" w14:textId="77777777" w:rsidR="00160459" w:rsidRPr="0047058F" w:rsidRDefault="00160459" w:rsidP="00160459">
      <w:pPr>
        <w:rPr>
          <w:rFonts w:cstheme="minorHAnsi"/>
        </w:rPr>
      </w:pPr>
      <w:r w:rsidRPr="0047058F">
        <w:rPr>
          <w:rFonts w:cstheme="minorHAnsi"/>
        </w:rPr>
        <w:t xml:space="preserve">Alcohol misuse, together with depressive and other anxiety disorders, has been reported as one of the primary issues for current serving members of the military in the United Kingdom, and is more prevalent than PTSD (Fear et al., 2009). Members of the UK military report considerably higher rates of alcohol misuse than the general population. It is also reported to be higher than levels in the US and Australian militaries (King’s Centre for Military Health Research, 2014; Sundin et al., 2014). This is likely to be reflected in the prevalence of alcohol misuse and mental disorders in those who have </w:t>
      </w:r>
      <w:r w:rsidRPr="0047058F">
        <w:rPr>
          <w:rFonts w:cstheme="minorHAnsi"/>
          <w:color w:val="auto"/>
        </w:rPr>
        <w:t xml:space="preserve">transitioned from military service in each of these countries; however, the direction of this relationship (particularly in Australia) is yet to be determined. </w:t>
      </w:r>
      <w:r w:rsidRPr="0047058F">
        <w:rPr>
          <w:rFonts w:eastAsia="MS Mincho" w:cstheme="minorHAnsi"/>
          <w:color w:val="auto"/>
        </w:rPr>
        <w:t>Currently, alcohol misuse appears to be the US military’s primary substance use concern, among both current and ex-serving US members of the military</w:t>
      </w:r>
      <w:r w:rsidRPr="0047058F">
        <w:rPr>
          <w:rFonts w:cstheme="minorHAnsi"/>
          <w:color w:val="auto"/>
        </w:rPr>
        <w:t xml:space="preserve"> (Golub &amp; Bennett, 2014). Hourani et al. (2012) conducted a longitudinal survey of 475 combat-exposed Marines and examined their mental health before they left the military and six months after returning to civilian life. Overall, they reported a significant decrease in anxiety, depression and PTSD symptoms from pre</w:t>
      </w:r>
      <w:r w:rsidRPr="0047058F">
        <w:rPr>
          <w:rFonts w:cstheme="minorHAnsi"/>
        </w:rPr>
        <w:t>-transition to six months post-transition. Although there was an overall decrease in levels of symptomatology across the entire cohort, there was an increase in some disorders in a proportion of personnel; specifically, 10% of the cohort reported the onset of PTSD and 13% reported the onset of an anxiety disorder after separating from military service. This highlights that for a subset of military personnel, there can be an increase of psychological problems after discharge.</w:t>
      </w:r>
    </w:p>
    <w:p w14:paraId="2DFE3C6E" w14:textId="77777777" w:rsidR="00160459" w:rsidRPr="0047058F" w:rsidRDefault="00160459" w:rsidP="000A1090">
      <w:pPr>
        <w:pStyle w:val="Heading2b"/>
      </w:pPr>
      <w:bookmarkStart w:id="769" w:name="_Toc487011164"/>
      <w:bookmarkStart w:id="770" w:name="_Toc494449680"/>
      <w:bookmarkStart w:id="771" w:name="_Toc510680332"/>
      <w:r w:rsidRPr="0047058F">
        <w:t>Mental health in transitioned Canadian Regular Force members</w:t>
      </w:r>
      <w:bookmarkEnd w:id="769"/>
      <w:bookmarkEnd w:id="770"/>
      <w:bookmarkEnd w:id="771"/>
    </w:p>
    <w:p w14:paraId="0D6117B0" w14:textId="77777777" w:rsidR="00160459" w:rsidRPr="0047058F" w:rsidRDefault="00160459" w:rsidP="00160459">
      <w:r w:rsidRPr="0047058F">
        <w:t xml:space="preserve">To date, a Canadian study is the only large-scale population-based study to examine a cohort of transitioned military members. The 2010 Survey on Transition to Civilian Life (STCL) was a national telephone survey that examined the health and wellbeing of 3,154 Canadian Regular Force members after they transitioned to civilian life (Thompson et al., 2011). All members had transitioned out of regular service between 1998 and 2007, and were assessed between two and 12 years after leaving military service. In this study, mental health conditions were assessed using a checklist of self-reported diagnosed mental health conditions (including mood disorder, anxiety disorder and PTSD) that had lasted six months or more, a single-item measure of self-rated mental health, and the </w:t>
      </w:r>
      <w:bookmarkStart w:id="772" w:name="_Hlk489626926"/>
      <w:r w:rsidRPr="0047058F">
        <w:t xml:space="preserve">Mental Component Summary score </w:t>
      </w:r>
      <w:bookmarkEnd w:id="772"/>
      <w:r w:rsidRPr="0047058F">
        <w:t>of the 12-item Short Form Health Survey (SF-12).</w:t>
      </w:r>
    </w:p>
    <w:p w14:paraId="60D6789A" w14:textId="77777777" w:rsidR="00160459" w:rsidRPr="0047058F" w:rsidRDefault="00160459" w:rsidP="00160459">
      <w:r w:rsidRPr="0047058F">
        <w:t xml:space="preserve">Results of this study showed that most veterans (67%) assessed their mental health as ‘very good’ or ‘excellent’ on a self-rated perceived mental health measure. Regarding specific mental disorders, a single item asked about the presence of mental disorders (including depression) diagnosed by a health professional. Overall, 20% of respondents to the STCL reported either depression or anxiety, and this rate was greater in those accessing </w:t>
      </w:r>
      <w:bookmarkStart w:id="773" w:name="_Hlk489627247"/>
      <w:r w:rsidRPr="0047058F">
        <w:t xml:space="preserve">Veterans Affairs Canada </w:t>
      </w:r>
      <w:bookmarkEnd w:id="773"/>
      <w:r w:rsidRPr="0047058F">
        <w:t>(VAC) support (52%).</w:t>
      </w:r>
    </w:p>
    <w:p w14:paraId="1EDD9898" w14:textId="77777777" w:rsidR="00160459" w:rsidRPr="0047058F" w:rsidRDefault="00160459" w:rsidP="00160459">
      <w:r w:rsidRPr="0047058F">
        <w:t xml:space="preserve">Other mood disorders (mania, dysthymia or bipolar disorder) were reported among only 3% of the survey population, and, again, this was higher for VAC clients (9%) (Thompson et al., 2011). The rate for self-reported (non-PTSD) anxiety disorders was 10% for the survey population, which was higher than in the Canadian general population (5%). Similar to findings for other mental disorders, the rates for anxiety disorders were elevated in VAC clients (30%), indicating that most who had anxiety were already VAC clients (Thompson et al., 2011). </w:t>
      </w:r>
      <w:bookmarkStart w:id="774" w:name="_Hlk491079806"/>
      <w:r w:rsidRPr="0047058F">
        <w:t xml:space="preserve">Finally, </w:t>
      </w:r>
      <w:bookmarkStart w:id="775" w:name="_Hlk491079832"/>
      <w:r w:rsidRPr="0047058F">
        <w:t>11% of the total study population</w:t>
      </w:r>
      <w:bookmarkEnd w:id="775"/>
      <w:r w:rsidRPr="0047058F">
        <w:t xml:space="preserve"> reported having PTSD</w:t>
      </w:r>
      <w:bookmarkEnd w:id="774"/>
      <w:r w:rsidRPr="0047058F">
        <w:t>, with a rate of 43% for VAC clients. Too few non-VAC clients reported PTSD to calculate a reliable rate (Thompson et al., 2013; Thompson et al., 2011). The prevalence of self-reported heavy drinking was 25.6%, which is comparable to the general population (Thompson et al., 2011).</w:t>
      </w:r>
    </w:p>
    <w:p w14:paraId="3633C13B" w14:textId="77777777" w:rsidR="00160459" w:rsidRPr="0047058F" w:rsidRDefault="00160459" w:rsidP="00160459">
      <w:r w:rsidRPr="0047058F">
        <w:t>The STCL also asked respondents about lifetime suicidal thoughts, suicidal ideation and suicide attempts in the last 12 months. For the sample of transitioned members, 6% had suicidal ideation in the last 12 months, with the rates highest among VAC clients (16%), and comparably lower in non-clients (4%). Of the total survey population, 18% had seriously considered committing suicide at some time in their lives, and this rate was higher in VAC clients (40%) (Thompson et al., 2011). Suicidal ideation was much more common than suicide attempts. Very few respondents had attempted suicide in the last 12 months (1%). The estimated rate for suicide attempts at some time in their life for the total STCL population was 6%, which again was highest in VAC clients (14%). As in most civilian, and military and veteran studies, women were more likely to report suicidal ideation than men (Thompson et al., 2011).</w:t>
      </w:r>
    </w:p>
    <w:p w14:paraId="7A88CF3E" w14:textId="77777777" w:rsidR="00160459" w:rsidRPr="0047058F" w:rsidRDefault="00160459" w:rsidP="00160459">
      <w:r w:rsidRPr="0047058F">
        <w:t xml:space="preserve">The 2013 Life After Service Survey extended the STCL and examined 2,611 Canadian Regular Force members who transitioned between 1998 and 2012, as well as Reservists who transitioned between 2003 and 2012 (Thompson et al., 2015; Thompson et al., 2014; Van Til et al., 2014a; Van Til, Poirier, Sweet, McKinnon &amp; MacLean, 2014b). The sample included the Kessler Psychological Distress 10-item scale (K10) as an additional measure of distress in the previous month and the Primary Care PTSD (PC-PTSD) symptom screen (a measure of probable PTSD in the previous month), using </w:t>
      </w:r>
      <w:r w:rsidRPr="0047058F">
        <w:rPr>
          <w:i/>
        </w:rPr>
        <w:t>Diagnostic and Statistical Manual of Mental Disorders, Fifth Edition</w:t>
      </w:r>
      <w:r w:rsidRPr="0047058F">
        <w:t xml:space="preserve"> (DSM-5) criteria cut-off scores (Thompson et al., 2015; Thompson et al., 2014).</w:t>
      </w:r>
    </w:p>
    <w:p w14:paraId="6D83836B" w14:textId="77777777" w:rsidR="00160459" w:rsidRPr="0047058F" w:rsidRDefault="00160459" w:rsidP="00160459">
      <w:r w:rsidRPr="0047058F">
        <w:t>Similar to the findings in the STCL study, just over one-third of the Regular Force members who had transitioned were VAC clients – and they had poorer mental health than Reservists. Of the Regular Force members who transitioned, 24% had one or more of the self-reported diagnosed mental health conditions. Self-reported mood disorders were almost three times more prevalent among the Regular Force members who had transitioned than in the general Canadian population, with prevalence of 24% for Regular Force members and 17% for Reservists compared to 6.3% in the general population.</w:t>
      </w:r>
    </w:p>
    <w:p w14:paraId="6955907C" w14:textId="77777777" w:rsidR="00160459" w:rsidRPr="0047058F" w:rsidRDefault="00160459" w:rsidP="00160459">
      <w:pPr>
        <w:rPr>
          <w:rFonts w:eastAsia="Times New Roman"/>
          <w:lang w:eastAsia="en-GB"/>
        </w:rPr>
      </w:pPr>
      <w:r w:rsidRPr="0047058F">
        <w:t>The majority of Regular Force members who had transitioned (79%) showed low levels of psychological distress. On the K10 measure of psychological distress in the previous month, 13% of Regular Force veterans had moderate or severe levels of psychological distress (7% and 5% respectively). The prevalence of self-reported diagnosed PTSD for Regular Force members who had transitioned was 13% and the rate of suicidal ideation in the previous year was 7% (6–8%) (Thompson et al., 2015; Thompson et al., 2014). Of the transitioned groups, transitioned Reservists, particularly those with part-time or temporary full-time service – as opposed to those with full-time service in support of deployed operations, domestically or internationally – had the least difficulty adjusting to civilian life.</w:t>
      </w:r>
    </w:p>
    <w:p w14:paraId="1294E58D" w14:textId="77777777" w:rsidR="00160459" w:rsidRPr="0047058F" w:rsidRDefault="00160459" w:rsidP="00160459">
      <w:r w:rsidRPr="0047058F">
        <w:t>It was interesting to note that in the 2013 Life After Service Survey, of the 13% of transitioned Regular Force members with self-reported diagnosed PTSD, 38% did not meet the screening criteria for probable PTSD as measured by the PC-PTSD (Thompson et al., 2015). This suggests that about one-third with a diagnosis of PTSD were not highly symptomatic in the month before the survey. Conversely, 42% of transitioned Regular Force members who screened positive for PTSD in the previous month did not have a self-reported diagnosis of PTSD, and may have been captured after being undiagnosed and/or having subsyndromal mental health problems. This suggests an unmet need for recognition and diagnosis of PTSD in ex-serving members who are not seeking treatment and are living in the community (Thompson et al., 2015).</w:t>
      </w:r>
    </w:p>
    <w:p w14:paraId="75371967" w14:textId="77777777" w:rsidR="00160459" w:rsidRPr="0047058F" w:rsidRDefault="00160459" w:rsidP="000A1090">
      <w:pPr>
        <w:pStyle w:val="Heading2b"/>
      </w:pPr>
      <w:bookmarkStart w:id="776" w:name="_Toc487011165"/>
      <w:bookmarkStart w:id="777" w:name="_Toc494449681"/>
      <w:bookmarkStart w:id="778" w:name="_Toc510680333"/>
      <w:r w:rsidRPr="0047058F">
        <w:t>Risk and protective factors</w:t>
      </w:r>
      <w:bookmarkEnd w:id="776"/>
      <w:bookmarkEnd w:id="777"/>
      <w:bookmarkEnd w:id="778"/>
    </w:p>
    <w:p w14:paraId="5DD673AF" w14:textId="77777777" w:rsidR="00160459" w:rsidRPr="0047058F" w:rsidRDefault="00160459" w:rsidP="00160459">
      <w:r w:rsidRPr="0047058F">
        <w:t>Despite the lack of direct comparability of studies undertaken in different countries, there is an emerging profile of transitioned members of the military who have particularly poor mental health. This profile comprises a number of distinct risk and protective factors known to influence mental health during and after the transition period. These include pre-enlistment factors (childhood and non-military trauma and adversity), socio-demographic characteristics (age, sex and educational level), military and service-related factors (rank, Service, years of service, service-related mental and physical health problems) and transition factors (reason for transition, years since transition) (MacLean et al., 2014).</w:t>
      </w:r>
    </w:p>
    <w:p w14:paraId="0720F6BD" w14:textId="77777777" w:rsidR="00160459" w:rsidRPr="0047058F" w:rsidRDefault="00160459" w:rsidP="00160459">
      <w:r w:rsidRPr="0047058F">
        <w:t>The Canadian military study by Thompson et al. (2013) also examined the link between the health-related quality of life of members and a number of socio-demographic and transition factors. In this study, poorer mental and physical health was observed in transitioned members who were middle-aged; lower in rank; widowed, separated or divorced; or unemployed, earning a low income or dissatisfied with their financial situation; had 10 to 19 years of service; were living in conditions that made it difficult to maintain physical and mental health; had a disability; had low social support; or who were medically discharged.</w:t>
      </w:r>
    </w:p>
    <w:p w14:paraId="16A6754C" w14:textId="77777777" w:rsidR="00160459" w:rsidRPr="0047058F" w:rsidRDefault="00160459" w:rsidP="00160459">
      <w:r w:rsidRPr="0047058F">
        <w:t xml:space="preserve">In the UK context, Hatch et al. (2013) compared 1,753 service leavers with 6,511 regular serving members included in a representative cohort study of UK armed forces. In this study, service leavers were more likely than service members to report common mental disorders (assessed by the 12-item General Health Questionnaire), less social participation outside work and general disengagement with military social contacts. Interestingly, the failure to form and participate in social networks outside the Armed Forces appeared to have a differential impact on mental health, with the maintenance of </w:t>
      </w:r>
      <w:r w:rsidRPr="0047058F">
        <w:rPr>
          <w:i/>
        </w:rPr>
        <w:t xml:space="preserve">military-specific </w:t>
      </w:r>
      <w:r w:rsidRPr="0047058F">
        <w:t>social networks being associated with adverse psychological consequences, with the risk for common mental disorders also being partially explained by the social disengagement reported in this group. Pinder et al. (2012) reported that self-harm and suicide attempts were associated with being younger, experiencing greater childhood adversity and undertaking a shorter term of service, in a sample of UK current and ex-serving members of the military (Pinder et al., 2012).</w:t>
      </w:r>
    </w:p>
    <w:p w14:paraId="0AEEA6C6" w14:textId="77777777" w:rsidR="00160459" w:rsidRPr="0047058F" w:rsidRDefault="00160459" w:rsidP="00160459">
      <w:r w:rsidRPr="0047058F">
        <w:t>Hourani et al. (2012) examined 475 US combat-exposed Marines six months after they transitioned to civilian life, and revealed similar risk and protective factors for those meeting screening criteria for mental health problems (depression, anxiety and PTSD) and functional impairment. In this study, primary risk factors included experiencing higher levels of pre-separation combat exposure and post</w:t>
      </w:r>
      <w:r w:rsidRPr="0047058F">
        <w:noBreakHyphen/>
        <w:t>separation stress across multiple life domains. Marines with a mental health problem were also more likely to report a reason other than retirement or expiry of service for leaving the military than those not reporting a mental health problem. In this study, protective factors included having higher scores for pre-separation resilience and perceived social support at follow</w:t>
      </w:r>
      <w:r w:rsidRPr="0047058F">
        <w:noBreakHyphen/>
        <w:t>up. Consistent with the Canadian research, reintegration difficulties were higher among US veterans who served in OIF, OEF or Operation New Dawn and who were Department of Veterans Affairs (VA) health care users (62%), than for those who did not use VA (45%). Overall, veterans identified as VA users had poorer mental health and greater reintegration difficulty and alcohol misuse than non-VA users (62% vs 45%) (Sayer et al., 2015).</w:t>
      </w:r>
    </w:p>
    <w:p w14:paraId="0080BC52" w14:textId="77777777" w:rsidR="00160459" w:rsidRPr="0047058F" w:rsidRDefault="00160459" w:rsidP="00160459">
      <w:r w:rsidRPr="0047058F">
        <w:t>The number of readjustment stressors was reported to closely correlate with psychiatric problems and a significant risk factor for suicide in a study of 233,803 members who had left the UK Armed Forces (1996–2005). In this study, the odds of suicidal ideation among a psychiatrically impaired subsample with a high number of stressors was 4.3 times that of the no-stressor group. After adjusting for individual mental health conditions, the odds of suicidal ideation among those experiencing the highest number of stressors were 5.4 times that of veterans experiencing no readjustment stressors (Kapur, While, Blatchley, Bray &amp; Harrison, 2009). Other post-service stressors known to be associated with poor outcomes included relationship and family conflict, separation and divorce, financial stress, unemployment and reliance on maladaptive coping strategies such as alcohol misuse (Golub &amp; Bennett, 2014; Hoggatt, Williams, Der-Martirosian, Yano &amp; Washington, 2015).</w:t>
      </w:r>
    </w:p>
    <w:p w14:paraId="65C546B7" w14:textId="77777777" w:rsidR="00160459" w:rsidRPr="0047058F" w:rsidRDefault="00160459" w:rsidP="00160459">
      <w:r w:rsidRPr="0047058F">
        <w:t>Similar to what has been observed for current serving military members, other stressors experienced before and during service may also contribute to the risk of developing mental health problems for some ex-serving members in the transition period. This includes pre-enlistment or childhood adversity, such as childhood physical abuse, physical assault, social adversity and non-military-related accidents or disasters (Clancy et al., 2006; Dedert et al., 2009; Iversen et al., 2007; King’s Centre for Military Health Research, 2014; van Staden et al., 2007), as well as combat exposure and physical assault occurring during military service (Clancy et al., 2006). Other non-service-related lifetime traumas, including adult sexual trauma and physical assault after military service, are also associated with PTSD symptoms in particular (Clancy et al., 2006), as are a number of trauma types (Wisco et al., 2014).</w:t>
      </w:r>
    </w:p>
    <w:p w14:paraId="5C36CBC6" w14:textId="77777777" w:rsidR="00160459" w:rsidRPr="0047058F" w:rsidRDefault="00160459" w:rsidP="00160459">
      <w:pPr>
        <w:rPr>
          <w:rFonts w:eastAsiaTheme="majorEastAsia"/>
          <w:bCs/>
          <w:color w:val="000000" w:themeColor="text1"/>
        </w:rPr>
      </w:pPr>
      <w:r w:rsidRPr="0047058F">
        <w:rPr>
          <w:rFonts w:eastAsiaTheme="majorEastAsia"/>
          <w:bCs/>
          <w:color w:val="000000" w:themeColor="text1"/>
        </w:rPr>
        <w:t>A key limitation in understanding the impact of transition on the mental health of military members is the lack of longitudinal studies documenting health and functioning of healthy regular serving populations, and how these may shift over time. Clearly, with the higher rates of delayed-onset PTSD in military populations, this assessment over time is particularly important. The current report goes some way to addressing these issues.</w:t>
      </w:r>
    </w:p>
    <w:bookmarkEnd w:id="760"/>
    <w:p w14:paraId="3D344272" w14:textId="77777777" w:rsidR="00160459" w:rsidRDefault="00160459" w:rsidP="000A1090"/>
    <w:p w14:paraId="18E5EF40" w14:textId="77777777" w:rsidR="000A1090" w:rsidRDefault="000A1090" w:rsidP="000A1090">
      <w:pPr>
        <w:sectPr w:rsidR="000A1090" w:rsidSect="000A1090">
          <w:type w:val="oddPage"/>
          <w:pgSz w:w="9979" w:h="14170" w:code="243"/>
          <w:pgMar w:top="1440" w:right="1152" w:bottom="1440" w:left="1728" w:header="576" w:footer="576" w:gutter="0"/>
          <w:cols w:space="708"/>
          <w:docGrid w:linePitch="360"/>
        </w:sectPr>
      </w:pPr>
    </w:p>
    <w:p w14:paraId="481829F0" w14:textId="77777777" w:rsidR="00160459" w:rsidRPr="0047058F" w:rsidRDefault="00160459" w:rsidP="00C116B9">
      <w:pPr>
        <w:pStyle w:val="Heading1"/>
        <w:numPr>
          <w:ilvl w:val="0"/>
          <w:numId w:val="0"/>
        </w:numPr>
      </w:pPr>
      <w:bookmarkStart w:id="779" w:name="_Toc494449822"/>
      <w:bookmarkStart w:id="780" w:name="_Toc498521099"/>
      <w:bookmarkStart w:id="781" w:name="_Toc529117498"/>
      <w:bookmarkStart w:id="782" w:name="_Toc532474417"/>
      <w:r w:rsidRPr="0047058F">
        <w:t>Acronyms</w:t>
      </w:r>
      <w:bookmarkEnd w:id="779"/>
      <w:bookmarkEnd w:id="780"/>
      <w:r w:rsidRPr="0047058F">
        <w:t xml:space="preserve"> and abbreviations</w:t>
      </w:r>
      <w:bookmarkEnd w:id="781"/>
      <w:bookmarkEnd w:id="782"/>
    </w:p>
    <w:tbl>
      <w:tblPr>
        <w:tblW w:w="5000" w:type="pct"/>
        <w:tblLayout w:type="fixed"/>
        <w:tblLook w:val="04A0" w:firstRow="1" w:lastRow="0" w:firstColumn="1" w:lastColumn="0" w:noHBand="0" w:noVBand="1"/>
      </w:tblPr>
      <w:tblGrid>
        <w:gridCol w:w="1462"/>
        <w:gridCol w:w="5853"/>
      </w:tblGrid>
      <w:tr w:rsidR="00160459" w:rsidRPr="0047058F" w14:paraId="67C43148" w14:textId="77777777" w:rsidTr="0047058F">
        <w:trPr>
          <w:cantSplit/>
        </w:trPr>
        <w:tc>
          <w:tcPr>
            <w:tcW w:w="1419" w:type="dxa"/>
            <w:hideMark/>
          </w:tcPr>
          <w:p w14:paraId="620DC529" w14:textId="77777777" w:rsidR="00160459" w:rsidRPr="0047058F" w:rsidRDefault="00160459" w:rsidP="000A1090">
            <w:pPr>
              <w:spacing w:after="120" w:line="240" w:lineRule="auto"/>
              <w:rPr>
                <w:rFonts w:asciiTheme="minorHAnsi" w:hAnsiTheme="minorHAnsi"/>
              </w:rPr>
            </w:pPr>
            <w:bookmarkStart w:id="783" w:name="_Hlk489948948"/>
            <w:r w:rsidRPr="0047058F">
              <w:t>ABS</w:t>
            </w:r>
          </w:p>
        </w:tc>
        <w:tc>
          <w:tcPr>
            <w:tcW w:w="5680" w:type="dxa"/>
            <w:hideMark/>
          </w:tcPr>
          <w:p w14:paraId="4551A217" w14:textId="77777777" w:rsidR="00160459" w:rsidRPr="0047058F" w:rsidRDefault="00160459" w:rsidP="000A1090">
            <w:pPr>
              <w:spacing w:after="120" w:line="240" w:lineRule="auto"/>
            </w:pPr>
            <w:r w:rsidRPr="0047058F">
              <w:t>Australian Bureau of Statistics</w:t>
            </w:r>
          </w:p>
        </w:tc>
      </w:tr>
      <w:tr w:rsidR="00160459" w:rsidRPr="0047058F" w14:paraId="562D68A9" w14:textId="77777777" w:rsidTr="0047058F">
        <w:trPr>
          <w:cantSplit/>
        </w:trPr>
        <w:tc>
          <w:tcPr>
            <w:tcW w:w="1419" w:type="dxa"/>
            <w:hideMark/>
          </w:tcPr>
          <w:p w14:paraId="6CA38AB1" w14:textId="77777777" w:rsidR="00160459" w:rsidRPr="0047058F" w:rsidRDefault="00160459" w:rsidP="000A1090">
            <w:pPr>
              <w:spacing w:after="120" w:line="240" w:lineRule="auto"/>
            </w:pPr>
            <w:r w:rsidRPr="0047058F">
              <w:t>ADF</w:t>
            </w:r>
          </w:p>
        </w:tc>
        <w:tc>
          <w:tcPr>
            <w:tcW w:w="5680" w:type="dxa"/>
            <w:hideMark/>
          </w:tcPr>
          <w:p w14:paraId="590CABF3" w14:textId="77777777" w:rsidR="00160459" w:rsidRPr="0047058F" w:rsidRDefault="00160459" w:rsidP="000A1090">
            <w:pPr>
              <w:spacing w:after="120" w:line="240" w:lineRule="auto"/>
            </w:pPr>
            <w:r w:rsidRPr="0047058F">
              <w:t>Australian Defence Force</w:t>
            </w:r>
          </w:p>
        </w:tc>
      </w:tr>
      <w:tr w:rsidR="00160459" w:rsidRPr="0047058F" w14:paraId="0848CA32" w14:textId="77777777" w:rsidTr="0047058F">
        <w:trPr>
          <w:cantSplit/>
        </w:trPr>
        <w:tc>
          <w:tcPr>
            <w:tcW w:w="1419" w:type="dxa"/>
            <w:hideMark/>
          </w:tcPr>
          <w:p w14:paraId="2714FE01" w14:textId="77777777" w:rsidR="00160459" w:rsidRPr="0047058F" w:rsidRDefault="00160459" w:rsidP="000A1090">
            <w:pPr>
              <w:spacing w:after="120" w:line="240" w:lineRule="auto"/>
            </w:pPr>
            <w:r w:rsidRPr="0047058F">
              <w:t>AIFS</w:t>
            </w:r>
          </w:p>
        </w:tc>
        <w:tc>
          <w:tcPr>
            <w:tcW w:w="5680" w:type="dxa"/>
            <w:hideMark/>
          </w:tcPr>
          <w:p w14:paraId="6B612156" w14:textId="77777777" w:rsidR="00160459" w:rsidRPr="0047058F" w:rsidRDefault="00160459" w:rsidP="000A1090">
            <w:pPr>
              <w:spacing w:after="120" w:line="240" w:lineRule="auto"/>
            </w:pPr>
            <w:r w:rsidRPr="0047058F">
              <w:t>Australian Institute of Family Studies</w:t>
            </w:r>
          </w:p>
        </w:tc>
      </w:tr>
      <w:tr w:rsidR="00160459" w:rsidRPr="0047058F" w14:paraId="4DEC7589" w14:textId="77777777" w:rsidTr="0047058F">
        <w:trPr>
          <w:cantSplit/>
        </w:trPr>
        <w:tc>
          <w:tcPr>
            <w:tcW w:w="1419" w:type="dxa"/>
            <w:hideMark/>
          </w:tcPr>
          <w:p w14:paraId="6B818DA5" w14:textId="77777777" w:rsidR="00160459" w:rsidRPr="0047058F" w:rsidRDefault="00160459" w:rsidP="000A1090">
            <w:pPr>
              <w:spacing w:after="120" w:line="240" w:lineRule="auto"/>
            </w:pPr>
            <w:r w:rsidRPr="0047058F">
              <w:t>AIHW</w:t>
            </w:r>
          </w:p>
        </w:tc>
        <w:tc>
          <w:tcPr>
            <w:tcW w:w="5680" w:type="dxa"/>
            <w:hideMark/>
          </w:tcPr>
          <w:p w14:paraId="6423D698" w14:textId="77777777" w:rsidR="00160459" w:rsidRPr="0047058F" w:rsidRDefault="00160459" w:rsidP="000A1090">
            <w:pPr>
              <w:spacing w:after="120" w:line="240" w:lineRule="auto"/>
            </w:pPr>
            <w:r w:rsidRPr="0047058F">
              <w:t>Australian Institute of Health and Welfare</w:t>
            </w:r>
          </w:p>
        </w:tc>
      </w:tr>
      <w:tr w:rsidR="00160459" w:rsidRPr="0047058F" w14:paraId="70D9CBB8" w14:textId="77777777" w:rsidTr="0047058F">
        <w:trPr>
          <w:cantSplit/>
        </w:trPr>
        <w:tc>
          <w:tcPr>
            <w:tcW w:w="1419" w:type="dxa"/>
            <w:hideMark/>
          </w:tcPr>
          <w:p w14:paraId="0365ED54" w14:textId="77777777" w:rsidR="00160459" w:rsidRPr="0047058F" w:rsidRDefault="00160459" w:rsidP="000A1090">
            <w:pPr>
              <w:spacing w:after="120" w:line="240" w:lineRule="auto"/>
            </w:pPr>
            <w:r w:rsidRPr="0047058F">
              <w:t>AUDIT</w:t>
            </w:r>
          </w:p>
        </w:tc>
        <w:tc>
          <w:tcPr>
            <w:tcW w:w="5680" w:type="dxa"/>
            <w:hideMark/>
          </w:tcPr>
          <w:p w14:paraId="784E59D9" w14:textId="77777777" w:rsidR="00160459" w:rsidRPr="0047058F" w:rsidRDefault="00160459" w:rsidP="000A1090">
            <w:pPr>
              <w:spacing w:after="120" w:line="240" w:lineRule="auto"/>
            </w:pPr>
            <w:r w:rsidRPr="0047058F">
              <w:t>Alcohol Use Disorders Identification Test</w:t>
            </w:r>
          </w:p>
        </w:tc>
      </w:tr>
      <w:tr w:rsidR="00160459" w:rsidRPr="0047058F" w14:paraId="68438EFE" w14:textId="77777777" w:rsidTr="0047058F">
        <w:trPr>
          <w:cantSplit/>
        </w:trPr>
        <w:tc>
          <w:tcPr>
            <w:tcW w:w="1419" w:type="dxa"/>
            <w:hideMark/>
          </w:tcPr>
          <w:p w14:paraId="6E6955A4" w14:textId="77777777" w:rsidR="00160459" w:rsidRPr="0047058F" w:rsidRDefault="00160459" w:rsidP="000A1090">
            <w:pPr>
              <w:spacing w:after="120" w:line="240" w:lineRule="auto"/>
            </w:pPr>
            <w:r w:rsidRPr="0047058F">
              <w:t>BRS</w:t>
            </w:r>
          </w:p>
        </w:tc>
        <w:tc>
          <w:tcPr>
            <w:tcW w:w="5680" w:type="dxa"/>
            <w:hideMark/>
          </w:tcPr>
          <w:p w14:paraId="5A0761E6" w14:textId="77777777" w:rsidR="00160459" w:rsidRPr="0047058F" w:rsidRDefault="00160459" w:rsidP="000A1090">
            <w:pPr>
              <w:spacing w:after="120" w:line="240" w:lineRule="auto"/>
            </w:pPr>
            <w:r w:rsidRPr="0047058F">
              <w:t>Brief Resilience Scale</w:t>
            </w:r>
          </w:p>
        </w:tc>
      </w:tr>
      <w:tr w:rsidR="00160459" w:rsidRPr="0047058F" w14:paraId="5A5F6D32" w14:textId="77777777" w:rsidTr="0047058F">
        <w:trPr>
          <w:cantSplit/>
        </w:trPr>
        <w:tc>
          <w:tcPr>
            <w:tcW w:w="1419" w:type="dxa"/>
          </w:tcPr>
          <w:p w14:paraId="02D18955" w14:textId="77777777" w:rsidR="00160459" w:rsidRPr="0047058F" w:rsidRDefault="00160459" w:rsidP="000A1090">
            <w:pPr>
              <w:spacing w:after="120" w:line="240" w:lineRule="auto"/>
            </w:pPr>
            <w:r w:rsidRPr="0047058F">
              <w:t>CD-RISC 2</w:t>
            </w:r>
          </w:p>
        </w:tc>
        <w:tc>
          <w:tcPr>
            <w:tcW w:w="5680" w:type="dxa"/>
          </w:tcPr>
          <w:p w14:paraId="3B8E3A4D" w14:textId="77777777" w:rsidR="00160459" w:rsidRPr="0047058F" w:rsidRDefault="00160459" w:rsidP="000A1090">
            <w:pPr>
              <w:spacing w:after="120" w:line="240" w:lineRule="auto"/>
            </w:pPr>
            <w:r w:rsidRPr="0047058F">
              <w:t>Connor-Davidson Resilience Scale (two-item version)</w:t>
            </w:r>
          </w:p>
        </w:tc>
      </w:tr>
      <w:tr w:rsidR="00160459" w:rsidRPr="0047058F" w14:paraId="4BADFDC7" w14:textId="77777777" w:rsidTr="0047058F">
        <w:trPr>
          <w:cantSplit/>
        </w:trPr>
        <w:tc>
          <w:tcPr>
            <w:tcW w:w="1419" w:type="dxa"/>
            <w:hideMark/>
          </w:tcPr>
          <w:p w14:paraId="19ED041D" w14:textId="77777777" w:rsidR="00160459" w:rsidRPr="0047058F" w:rsidRDefault="00160459" w:rsidP="000A1090">
            <w:pPr>
              <w:spacing w:after="120" w:line="240" w:lineRule="auto"/>
            </w:pPr>
            <w:r w:rsidRPr="0047058F">
              <w:t>CI</w:t>
            </w:r>
          </w:p>
        </w:tc>
        <w:tc>
          <w:tcPr>
            <w:tcW w:w="5680" w:type="dxa"/>
            <w:hideMark/>
          </w:tcPr>
          <w:p w14:paraId="34C3840F" w14:textId="77777777" w:rsidR="00160459" w:rsidRPr="0047058F" w:rsidRDefault="00160459" w:rsidP="000A1090">
            <w:pPr>
              <w:spacing w:after="120" w:line="240" w:lineRule="auto"/>
            </w:pPr>
            <w:r w:rsidRPr="0047058F">
              <w:t>confidence interval</w:t>
            </w:r>
          </w:p>
        </w:tc>
      </w:tr>
      <w:tr w:rsidR="00160459" w:rsidRPr="0047058F" w14:paraId="0C3E743A" w14:textId="77777777" w:rsidTr="0047058F">
        <w:trPr>
          <w:cantSplit/>
        </w:trPr>
        <w:tc>
          <w:tcPr>
            <w:tcW w:w="1419" w:type="dxa"/>
          </w:tcPr>
          <w:p w14:paraId="6CED9C53" w14:textId="77777777" w:rsidR="00160459" w:rsidRPr="0047058F" w:rsidRDefault="00160459" w:rsidP="000A1090">
            <w:pPr>
              <w:spacing w:after="120" w:line="240" w:lineRule="auto"/>
            </w:pPr>
            <w:r w:rsidRPr="0047058F">
              <w:t>CIDI</w:t>
            </w:r>
          </w:p>
        </w:tc>
        <w:tc>
          <w:tcPr>
            <w:tcW w:w="5680" w:type="dxa"/>
          </w:tcPr>
          <w:p w14:paraId="7292FE9B" w14:textId="77777777" w:rsidR="00160459" w:rsidRPr="0047058F" w:rsidRDefault="00160459" w:rsidP="000A1090">
            <w:pPr>
              <w:spacing w:after="120" w:line="240" w:lineRule="auto"/>
            </w:pPr>
            <w:r w:rsidRPr="0047058F">
              <w:t>Composite International Diagnostic Interview</w:t>
            </w:r>
          </w:p>
        </w:tc>
      </w:tr>
      <w:tr w:rsidR="00160459" w:rsidRPr="0047058F" w14:paraId="3D822E9D" w14:textId="77777777" w:rsidTr="0047058F">
        <w:trPr>
          <w:cantSplit/>
        </w:trPr>
        <w:tc>
          <w:tcPr>
            <w:tcW w:w="1419" w:type="dxa"/>
            <w:hideMark/>
          </w:tcPr>
          <w:p w14:paraId="23324656" w14:textId="77777777" w:rsidR="00160459" w:rsidRPr="0047058F" w:rsidRDefault="00160459" w:rsidP="000A1090">
            <w:pPr>
              <w:spacing w:after="120" w:line="240" w:lineRule="auto"/>
            </w:pPr>
            <w:r w:rsidRPr="0047058F">
              <w:t>CTSS</w:t>
            </w:r>
          </w:p>
        </w:tc>
        <w:tc>
          <w:tcPr>
            <w:tcW w:w="5680" w:type="dxa"/>
            <w:hideMark/>
          </w:tcPr>
          <w:p w14:paraId="5AC11CFE" w14:textId="77777777" w:rsidR="00160459" w:rsidRPr="0047058F" w:rsidRDefault="00160459" w:rsidP="000A1090">
            <w:pPr>
              <w:spacing w:after="120" w:line="240" w:lineRule="auto"/>
            </w:pPr>
            <w:r w:rsidRPr="0047058F">
              <w:t>Centre for Traumatic Stress Studies</w:t>
            </w:r>
          </w:p>
        </w:tc>
      </w:tr>
      <w:tr w:rsidR="00160459" w:rsidRPr="0047058F" w14:paraId="775FC478" w14:textId="77777777" w:rsidTr="0047058F">
        <w:trPr>
          <w:cantSplit/>
        </w:trPr>
        <w:tc>
          <w:tcPr>
            <w:tcW w:w="1419" w:type="dxa"/>
            <w:hideMark/>
          </w:tcPr>
          <w:p w14:paraId="46431DEB" w14:textId="77777777" w:rsidR="00160459" w:rsidRPr="0047058F" w:rsidRDefault="00160459" w:rsidP="000A1090">
            <w:pPr>
              <w:spacing w:after="120" w:line="240" w:lineRule="auto"/>
            </w:pPr>
            <w:r w:rsidRPr="0047058F">
              <w:t>DAR-5</w:t>
            </w:r>
          </w:p>
        </w:tc>
        <w:tc>
          <w:tcPr>
            <w:tcW w:w="5680" w:type="dxa"/>
            <w:hideMark/>
          </w:tcPr>
          <w:p w14:paraId="17DF94E5" w14:textId="77777777" w:rsidR="00160459" w:rsidRPr="0047058F" w:rsidRDefault="00160459" w:rsidP="000A1090">
            <w:pPr>
              <w:spacing w:after="120" w:line="240" w:lineRule="auto"/>
            </w:pPr>
            <w:bookmarkStart w:id="784" w:name="_Hlk489440151"/>
            <w:r w:rsidRPr="0047058F">
              <w:t>Dimensions of Anger Reactions 5-item scale</w:t>
            </w:r>
            <w:bookmarkEnd w:id="784"/>
          </w:p>
        </w:tc>
      </w:tr>
      <w:tr w:rsidR="00160459" w:rsidRPr="0047058F" w14:paraId="3016F354" w14:textId="77777777" w:rsidTr="0047058F">
        <w:trPr>
          <w:cantSplit/>
        </w:trPr>
        <w:tc>
          <w:tcPr>
            <w:tcW w:w="1419" w:type="dxa"/>
          </w:tcPr>
          <w:p w14:paraId="30012109" w14:textId="77777777" w:rsidR="00160459" w:rsidRPr="0047058F" w:rsidRDefault="00160459" w:rsidP="000A1090">
            <w:pPr>
              <w:spacing w:after="120" w:line="240" w:lineRule="auto"/>
            </w:pPr>
            <w:r w:rsidRPr="0047058F">
              <w:t>Defence</w:t>
            </w:r>
          </w:p>
        </w:tc>
        <w:tc>
          <w:tcPr>
            <w:tcW w:w="5680" w:type="dxa"/>
          </w:tcPr>
          <w:p w14:paraId="365D3069" w14:textId="77777777" w:rsidR="00160459" w:rsidRPr="0047058F" w:rsidRDefault="00160459" w:rsidP="000A1090">
            <w:pPr>
              <w:spacing w:after="120" w:line="240" w:lineRule="auto"/>
            </w:pPr>
            <w:r w:rsidRPr="0047058F">
              <w:t>Department of Defence</w:t>
            </w:r>
          </w:p>
        </w:tc>
      </w:tr>
      <w:tr w:rsidR="00160459" w:rsidRPr="0047058F" w14:paraId="47AC7765" w14:textId="77777777" w:rsidTr="0047058F">
        <w:trPr>
          <w:cantSplit/>
        </w:trPr>
        <w:tc>
          <w:tcPr>
            <w:tcW w:w="1419" w:type="dxa"/>
            <w:hideMark/>
          </w:tcPr>
          <w:p w14:paraId="11971A8E" w14:textId="77777777" w:rsidR="00160459" w:rsidRPr="0047058F" w:rsidRDefault="00160459" w:rsidP="000A1090">
            <w:pPr>
              <w:spacing w:after="120" w:line="240" w:lineRule="auto"/>
            </w:pPr>
            <w:r w:rsidRPr="0047058F">
              <w:t>DSM-IV</w:t>
            </w:r>
          </w:p>
        </w:tc>
        <w:tc>
          <w:tcPr>
            <w:tcW w:w="5680" w:type="dxa"/>
            <w:hideMark/>
          </w:tcPr>
          <w:p w14:paraId="6CE27B98" w14:textId="77777777" w:rsidR="00160459" w:rsidRPr="0047058F" w:rsidRDefault="00160459" w:rsidP="000A1090">
            <w:pPr>
              <w:spacing w:after="120" w:line="240" w:lineRule="auto"/>
              <w:rPr>
                <w:i/>
              </w:rPr>
            </w:pPr>
            <w:r w:rsidRPr="0047058F">
              <w:rPr>
                <w:i/>
              </w:rPr>
              <w:t>Diagnostic and Statistical Manual of Mental Disorders, Fourth Edition</w:t>
            </w:r>
          </w:p>
        </w:tc>
      </w:tr>
      <w:tr w:rsidR="00160459" w:rsidRPr="0047058F" w14:paraId="4EF3FE58" w14:textId="77777777" w:rsidTr="0047058F">
        <w:trPr>
          <w:cantSplit/>
        </w:trPr>
        <w:tc>
          <w:tcPr>
            <w:tcW w:w="1419" w:type="dxa"/>
          </w:tcPr>
          <w:p w14:paraId="3E6D3D3A" w14:textId="77777777" w:rsidR="00160459" w:rsidRPr="0047058F" w:rsidRDefault="00160459" w:rsidP="000A1090">
            <w:pPr>
              <w:spacing w:after="120" w:line="240" w:lineRule="auto"/>
            </w:pPr>
            <w:r w:rsidRPr="0047058F">
              <w:t>DSM-5</w:t>
            </w:r>
          </w:p>
        </w:tc>
        <w:tc>
          <w:tcPr>
            <w:tcW w:w="5680" w:type="dxa"/>
          </w:tcPr>
          <w:p w14:paraId="7FD2A43F" w14:textId="77777777" w:rsidR="00160459" w:rsidRPr="0047058F" w:rsidRDefault="00160459" w:rsidP="000A1090">
            <w:pPr>
              <w:spacing w:after="120" w:line="240" w:lineRule="auto"/>
              <w:rPr>
                <w:i/>
              </w:rPr>
            </w:pPr>
            <w:r w:rsidRPr="0047058F">
              <w:rPr>
                <w:i/>
              </w:rPr>
              <w:t>Diagnostic and Statistical Manual of Mental Disorders, Fifth Edition</w:t>
            </w:r>
          </w:p>
        </w:tc>
      </w:tr>
      <w:tr w:rsidR="00160459" w:rsidRPr="0047058F" w14:paraId="105284B2" w14:textId="77777777" w:rsidTr="0047058F">
        <w:trPr>
          <w:cantSplit/>
        </w:trPr>
        <w:tc>
          <w:tcPr>
            <w:tcW w:w="1419" w:type="dxa"/>
            <w:hideMark/>
          </w:tcPr>
          <w:p w14:paraId="017160BF" w14:textId="77777777" w:rsidR="00160459" w:rsidRPr="0047058F" w:rsidRDefault="00160459" w:rsidP="000A1090">
            <w:pPr>
              <w:spacing w:after="120" w:line="240" w:lineRule="auto"/>
            </w:pPr>
            <w:r w:rsidRPr="0047058F">
              <w:t>DVA</w:t>
            </w:r>
          </w:p>
        </w:tc>
        <w:tc>
          <w:tcPr>
            <w:tcW w:w="5680" w:type="dxa"/>
            <w:hideMark/>
          </w:tcPr>
          <w:p w14:paraId="75992CA4" w14:textId="77777777" w:rsidR="00160459" w:rsidRPr="0047058F" w:rsidRDefault="00160459" w:rsidP="000A1090">
            <w:pPr>
              <w:spacing w:after="120" w:line="240" w:lineRule="auto"/>
            </w:pPr>
            <w:bookmarkStart w:id="785" w:name="_Hlk489432995"/>
            <w:r w:rsidRPr="0047058F">
              <w:t>Department of Veterans’ Affairs</w:t>
            </w:r>
            <w:bookmarkEnd w:id="785"/>
          </w:p>
        </w:tc>
      </w:tr>
      <w:tr w:rsidR="00160459" w:rsidRPr="0047058F" w14:paraId="667A098C" w14:textId="77777777" w:rsidTr="0047058F">
        <w:trPr>
          <w:cantSplit/>
        </w:trPr>
        <w:tc>
          <w:tcPr>
            <w:tcW w:w="1419" w:type="dxa"/>
            <w:hideMark/>
          </w:tcPr>
          <w:p w14:paraId="48B95C15" w14:textId="77777777" w:rsidR="00160459" w:rsidRPr="0047058F" w:rsidRDefault="00160459" w:rsidP="000A1090">
            <w:pPr>
              <w:spacing w:after="120" w:line="240" w:lineRule="auto"/>
            </w:pPr>
            <w:r w:rsidRPr="0047058F">
              <w:t>GAD</w:t>
            </w:r>
          </w:p>
        </w:tc>
        <w:tc>
          <w:tcPr>
            <w:tcW w:w="5680" w:type="dxa"/>
            <w:hideMark/>
          </w:tcPr>
          <w:p w14:paraId="0A0E6D0C" w14:textId="77777777" w:rsidR="00160459" w:rsidRPr="0047058F" w:rsidRDefault="00160459" w:rsidP="000A1090">
            <w:pPr>
              <w:spacing w:after="120" w:line="240" w:lineRule="auto"/>
            </w:pPr>
            <w:r w:rsidRPr="0047058F">
              <w:t>generalised anxiety disorder</w:t>
            </w:r>
          </w:p>
        </w:tc>
      </w:tr>
      <w:tr w:rsidR="00160459" w:rsidRPr="0047058F" w14:paraId="1988FE7E" w14:textId="77777777" w:rsidTr="0047058F">
        <w:trPr>
          <w:cantSplit/>
        </w:trPr>
        <w:tc>
          <w:tcPr>
            <w:tcW w:w="1419" w:type="dxa"/>
            <w:hideMark/>
          </w:tcPr>
          <w:p w14:paraId="72CD35CB" w14:textId="77777777" w:rsidR="00160459" w:rsidRPr="0047058F" w:rsidRDefault="00160459" w:rsidP="000A1090">
            <w:pPr>
              <w:spacing w:after="120" w:line="240" w:lineRule="auto"/>
            </w:pPr>
            <w:r w:rsidRPr="0047058F">
              <w:t>GAD-7</w:t>
            </w:r>
          </w:p>
        </w:tc>
        <w:tc>
          <w:tcPr>
            <w:tcW w:w="5680" w:type="dxa"/>
            <w:hideMark/>
          </w:tcPr>
          <w:p w14:paraId="4595A934" w14:textId="77777777" w:rsidR="00160459" w:rsidRPr="0047058F" w:rsidRDefault="00160459" w:rsidP="000A1090">
            <w:pPr>
              <w:spacing w:after="120" w:line="240" w:lineRule="auto"/>
            </w:pPr>
            <w:r w:rsidRPr="0047058F">
              <w:t>Generalised Anxiety Disorder 7-item scale</w:t>
            </w:r>
          </w:p>
        </w:tc>
      </w:tr>
      <w:tr w:rsidR="00160459" w:rsidRPr="0047058F" w14:paraId="3FDE85D6" w14:textId="77777777" w:rsidTr="0047058F">
        <w:trPr>
          <w:cantSplit/>
        </w:trPr>
        <w:tc>
          <w:tcPr>
            <w:tcW w:w="1419" w:type="dxa"/>
          </w:tcPr>
          <w:p w14:paraId="3797F001" w14:textId="77777777" w:rsidR="00160459" w:rsidRPr="0047058F" w:rsidRDefault="00160459" w:rsidP="000A1090">
            <w:pPr>
              <w:spacing w:after="120" w:line="240" w:lineRule="auto"/>
            </w:pPr>
            <w:r w:rsidRPr="0047058F">
              <w:t>GP</w:t>
            </w:r>
          </w:p>
        </w:tc>
        <w:tc>
          <w:tcPr>
            <w:tcW w:w="5680" w:type="dxa"/>
          </w:tcPr>
          <w:p w14:paraId="5ADF3419" w14:textId="77777777" w:rsidR="00160459" w:rsidRPr="0047058F" w:rsidRDefault="00160459" w:rsidP="000A1090">
            <w:pPr>
              <w:spacing w:after="120" w:line="240" w:lineRule="auto"/>
            </w:pPr>
            <w:r w:rsidRPr="0047058F">
              <w:t>general practitioner</w:t>
            </w:r>
          </w:p>
        </w:tc>
      </w:tr>
      <w:tr w:rsidR="00160459" w:rsidRPr="0047058F" w14:paraId="761B5456" w14:textId="77777777" w:rsidTr="0047058F">
        <w:trPr>
          <w:cantSplit/>
        </w:trPr>
        <w:tc>
          <w:tcPr>
            <w:tcW w:w="1419" w:type="dxa"/>
            <w:hideMark/>
          </w:tcPr>
          <w:p w14:paraId="56C14C04" w14:textId="77777777" w:rsidR="00160459" w:rsidRPr="0047058F" w:rsidRDefault="00160459" w:rsidP="000A1090">
            <w:pPr>
              <w:spacing w:after="120" w:line="240" w:lineRule="auto"/>
            </w:pPr>
            <w:r w:rsidRPr="0047058F">
              <w:t>HILDA</w:t>
            </w:r>
          </w:p>
        </w:tc>
        <w:tc>
          <w:tcPr>
            <w:tcW w:w="5680" w:type="dxa"/>
            <w:hideMark/>
          </w:tcPr>
          <w:p w14:paraId="508E1729" w14:textId="77777777" w:rsidR="00160459" w:rsidRPr="0047058F" w:rsidRDefault="00160459" w:rsidP="000A1090">
            <w:pPr>
              <w:spacing w:after="120" w:line="240" w:lineRule="auto"/>
            </w:pPr>
            <w:r w:rsidRPr="0047058F">
              <w:t>Household, Income and Labour Dynamics in Australia</w:t>
            </w:r>
          </w:p>
        </w:tc>
      </w:tr>
      <w:tr w:rsidR="00160459" w:rsidRPr="0047058F" w14:paraId="1B229D18" w14:textId="77777777" w:rsidTr="0047058F">
        <w:trPr>
          <w:cantSplit/>
        </w:trPr>
        <w:tc>
          <w:tcPr>
            <w:tcW w:w="1419" w:type="dxa"/>
          </w:tcPr>
          <w:p w14:paraId="6943712D" w14:textId="77777777" w:rsidR="00160459" w:rsidRPr="0047058F" w:rsidRDefault="00160459" w:rsidP="000A1090">
            <w:pPr>
              <w:spacing w:after="120" w:line="240" w:lineRule="auto"/>
              <w:rPr>
                <w:rFonts w:cstheme="majorBidi"/>
              </w:rPr>
            </w:pPr>
            <w:r w:rsidRPr="0047058F">
              <w:t>ICD-10</w:t>
            </w:r>
          </w:p>
        </w:tc>
        <w:tc>
          <w:tcPr>
            <w:tcW w:w="5680" w:type="dxa"/>
            <w:hideMark/>
          </w:tcPr>
          <w:p w14:paraId="5B59B286" w14:textId="77777777" w:rsidR="00160459" w:rsidRPr="0047058F" w:rsidRDefault="00160459" w:rsidP="000A1090">
            <w:pPr>
              <w:spacing w:after="120" w:line="240" w:lineRule="auto"/>
            </w:pPr>
            <w:r w:rsidRPr="0047058F">
              <w:t>International Statistical Classification of Diseases and Related Health Problems, 10th Revision</w:t>
            </w:r>
          </w:p>
        </w:tc>
      </w:tr>
      <w:tr w:rsidR="00160459" w:rsidRPr="0047058F" w14:paraId="1FD03A92" w14:textId="77777777" w:rsidTr="0047058F">
        <w:trPr>
          <w:cantSplit/>
        </w:trPr>
        <w:tc>
          <w:tcPr>
            <w:tcW w:w="1419" w:type="dxa"/>
          </w:tcPr>
          <w:p w14:paraId="19F1501A" w14:textId="77777777" w:rsidR="00160459" w:rsidRPr="0047058F" w:rsidRDefault="00160459" w:rsidP="000A1090">
            <w:pPr>
              <w:spacing w:after="120" w:line="240" w:lineRule="auto"/>
            </w:pPr>
            <w:r w:rsidRPr="0047058F">
              <w:t>ISI</w:t>
            </w:r>
          </w:p>
        </w:tc>
        <w:tc>
          <w:tcPr>
            <w:tcW w:w="5680" w:type="dxa"/>
          </w:tcPr>
          <w:p w14:paraId="599AB9A1" w14:textId="77777777" w:rsidR="00160459" w:rsidRPr="0047058F" w:rsidRDefault="00160459" w:rsidP="000A1090">
            <w:pPr>
              <w:spacing w:after="120" w:line="240" w:lineRule="auto"/>
            </w:pPr>
            <w:r w:rsidRPr="0047058F">
              <w:t>Insomnia Severity Index</w:t>
            </w:r>
          </w:p>
        </w:tc>
      </w:tr>
      <w:tr w:rsidR="00160459" w:rsidRPr="0047058F" w14:paraId="7B2AC6A7" w14:textId="77777777" w:rsidTr="0047058F">
        <w:trPr>
          <w:cantSplit/>
        </w:trPr>
        <w:tc>
          <w:tcPr>
            <w:tcW w:w="1419" w:type="dxa"/>
            <w:hideMark/>
          </w:tcPr>
          <w:p w14:paraId="1263A7CB" w14:textId="77777777" w:rsidR="00160459" w:rsidRPr="0047058F" w:rsidRDefault="00160459" w:rsidP="000A1090">
            <w:pPr>
              <w:spacing w:after="120" w:line="240" w:lineRule="auto"/>
            </w:pPr>
            <w:r w:rsidRPr="0047058F">
              <w:t>K10</w:t>
            </w:r>
          </w:p>
        </w:tc>
        <w:tc>
          <w:tcPr>
            <w:tcW w:w="5680" w:type="dxa"/>
            <w:hideMark/>
          </w:tcPr>
          <w:p w14:paraId="1428C56E" w14:textId="77777777" w:rsidR="00160459" w:rsidRPr="0047058F" w:rsidRDefault="00160459" w:rsidP="000A1090">
            <w:pPr>
              <w:spacing w:after="120" w:line="240" w:lineRule="auto"/>
            </w:pPr>
            <w:r w:rsidRPr="0047058F">
              <w:t>Kessler Psychological Distress 10-item scale</w:t>
            </w:r>
          </w:p>
        </w:tc>
      </w:tr>
      <w:tr w:rsidR="00160459" w:rsidRPr="0047058F" w14:paraId="126B5E7E" w14:textId="77777777" w:rsidTr="0047058F">
        <w:trPr>
          <w:cantSplit/>
        </w:trPr>
        <w:tc>
          <w:tcPr>
            <w:tcW w:w="1419" w:type="dxa"/>
            <w:hideMark/>
          </w:tcPr>
          <w:p w14:paraId="3313EFA0" w14:textId="77777777" w:rsidR="00160459" w:rsidRPr="0047058F" w:rsidRDefault="00160459" w:rsidP="000A1090">
            <w:pPr>
              <w:spacing w:after="120" w:line="240" w:lineRule="auto"/>
            </w:pPr>
            <w:r w:rsidRPr="0047058F">
              <w:t>MEAO</w:t>
            </w:r>
          </w:p>
        </w:tc>
        <w:tc>
          <w:tcPr>
            <w:tcW w:w="5680" w:type="dxa"/>
            <w:hideMark/>
          </w:tcPr>
          <w:p w14:paraId="1EDCA9D0" w14:textId="77777777" w:rsidR="00160459" w:rsidRPr="0047058F" w:rsidRDefault="00160459" w:rsidP="000A1090">
            <w:pPr>
              <w:spacing w:after="120" w:line="240" w:lineRule="auto"/>
            </w:pPr>
            <w:r w:rsidRPr="0047058F">
              <w:t>Middle East Area of Operations</w:t>
            </w:r>
          </w:p>
        </w:tc>
      </w:tr>
      <w:tr w:rsidR="00160459" w:rsidRPr="0047058F" w14:paraId="17E5F760" w14:textId="77777777" w:rsidTr="0047058F">
        <w:trPr>
          <w:cantSplit/>
        </w:trPr>
        <w:tc>
          <w:tcPr>
            <w:tcW w:w="1419" w:type="dxa"/>
            <w:hideMark/>
          </w:tcPr>
          <w:p w14:paraId="3C14B7A7" w14:textId="77777777" w:rsidR="00160459" w:rsidRPr="0047058F" w:rsidRDefault="00160459" w:rsidP="000A1090">
            <w:pPr>
              <w:spacing w:after="120" w:line="240" w:lineRule="auto"/>
            </w:pPr>
            <w:r w:rsidRPr="0047058F">
              <w:t>MEC</w:t>
            </w:r>
          </w:p>
        </w:tc>
        <w:tc>
          <w:tcPr>
            <w:tcW w:w="5680" w:type="dxa"/>
            <w:hideMark/>
          </w:tcPr>
          <w:p w14:paraId="01D65E22" w14:textId="77777777" w:rsidR="00160459" w:rsidRPr="0047058F" w:rsidRDefault="00160459" w:rsidP="000A1090">
            <w:pPr>
              <w:spacing w:after="120" w:line="240" w:lineRule="auto"/>
            </w:pPr>
            <w:r w:rsidRPr="0047058F">
              <w:t>Medical Employment Classification</w:t>
            </w:r>
          </w:p>
        </w:tc>
      </w:tr>
      <w:tr w:rsidR="00160459" w:rsidRPr="0047058F" w14:paraId="2BD63C32" w14:textId="77777777" w:rsidTr="0047058F">
        <w:trPr>
          <w:cantSplit/>
        </w:trPr>
        <w:tc>
          <w:tcPr>
            <w:tcW w:w="1419" w:type="dxa"/>
            <w:hideMark/>
          </w:tcPr>
          <w:p w14:paraId="6C4FDA1E" w14:textId="77777777" w:rsidR="00160459" w:rsidRPr="0047058F" w:rsidRDefault="00160459" w:rsidP="000A1090">
            <w:pPr>
              <w:spacing w:after="120" w:line="240" w:lineRule="auto"/>
            </w:pPr>
            <w:r w:rsidRPr="0047058F">
              <w:t>MECRB</w:t>
            </w:r>
          </w:p>
        </w:tc>
        <w:tc>
          <w:tcPr>
            <w:tcW w:w="5680" w:type="dxa"/>
            <w:hideMark/>
          </w:tcPr>
          <w:p w14:paraId="4E6FA33D" w14:textId="77777777" w:rsidR="00160459" w:rsidRPr="0047058F" w:rsidRDefault="00160459" w:rsidP="000A1090">
            <w:pPr>
              <w:spacing w:after="120" w:line="240" w:lineRule="auto"/>
            </w:pPr>
            <w:r w:rsidRPr="0047058F">
              <w:t>Medical Employment Classification Review Board</w:t>
            </w:r>
          </w:p>
        </w:tc>
      </w:tr>
      <w:tr w:rsidR="00160459" w:rsidRPr="0047058F" w14:paraId="76625810" w14:textId="77777777" w:rsidTr="0047058F">
        <w:trPr>
          <w:cantSplit/>
        </w:trPr>
        <w:tc>
          <w:tcPr>
            <w:tcW w:w="1419" w:type="dxa"/>
            <w:hideMark/>
          </w:tcPr>
          <w:p w14:paraId="54D00641" w14:textId="77777777" w:rsidR="00160459" w:rsidRPr="0047058F" w:rsidRDefault="00160459" w:rsidP="000A1090">
            <w:pPr>
              <w:spacing w:after="120" w:line="240" w:lineRule="auto"/>
            </w:pPr>
            <w:r w:rsidRPr="0047058F">
              <w:t>MHPWS</w:t>
            </w:r>
          </w:p>
        </w:tc>
        <w:tc>
          <w:tcPr>
            <w:tcW w:w="5680" w:type="dxa"/>
            <w:hideMark/>
          </w:tcPr>
          <w:p w14:paraId="4B8CDF61" w14:textId="77777777" w:rsidR="00160459" w:rsidRPr="0047058F" w:rsidRDefault="00160459" w:rsidP="000A1090">
            <w:pPr>
              <w:spacing w:after="120" w:line="240" w:lineRule="auto"/>
            </w:pPr>
            <w:r w:rsidRPr="0047058F">
              <w:t>Mental Health Prevalence and Wellbeing Study</w:t>
            </w:r>
          </w:p>
        </w:tc>
      </w:tr>
      <w:tr w:rsidR="00160459" w:rsidRPr="0047058F" w14:paraId="2F9923F2" w14:textId="77777777" w:rsidTr="0047058F">
        <w:trPr>
          <w:cantSplit/>
        </w:trPr>
        <w:tc>
          <w:tcPr>
            <w:tcW w:w="1419" w:type="dxa"/>
            <w:hideMark/>
          </w:tcPr>
          <w:p w14:paraId="35D9571F" w14:textId="77777777" w:rsidR="00160459" w:rsidRPr="0047058F" w:rsidRDefault="00160459" w:rsidP="000A1090">
            <w:pPr>
              <w:spacing w:after="120" w:line="240" w:lineRule="auto"/>
            </w:pPr>
            <w:r w:rsidRPr="0047058F">
              <w:t>MilHOP</w:t>
            </w:r>
          </w:p>
        </w:tc>
        <w:tc>
          <w:tcPr>
            <w:tcW w:w="5680" w:type="dxa"/>
            <w:hideMark/>
          </w:tcPr>
          <w:p w14:paraId="6DF01D18" w14:textId="77777777" w:rsidR="00160459" w:rsidRPr="0047058F" w:rsidRDefault="00160459" w:rsidP="000A1090">
            <w:pPr>
              <w:spacing w:after="120" w:line="240" w:lineRule="auto"/>
            </w:pPr>
            <w:r w:rsidRPr="0047058F">
              <w:t>Military Health Outcomes Program</w:t>
            </w:r>
          </w:p>
        </w:tc>
      </w:tr>
      <w:tr w:rsidR="00160459" w:rsidRPr="0047058F" w14:paraId="78EFE246" w14:textId="77777777" w:rsidTr="0047058F">
        <w:trPr>
          <w:cantSplit/>
        </w:trPr>
        <w:tc>
          <w:tcPr>
            <w:tcW w:w="1419" w:type="dxa"/>
            <w:hideMark/>
          </w:tcPr>
          <w:p w14:paraId="260E4BBD" w14:textId="77777777" w:rsidR="00160459" w:rsidRPr="0047058F" w:rsidRDefault="00160459" w:rsidP="000A1090">
            <w:pPr>
              <w:spacing w:after="120" w:line="240" w:lineRule="auto"/>
            </w:pPr>
            <w:r w:rsidRPr="0047058F">
              <w:t>NCO</w:t>
            </w:r>
          </w:p>
        </w:tc>
        <w:tc>
          <w:tcPr>
            <w:tcW w:w="5680" w:type="dxa"/>
            <w:hideMark/>
          </w:tcPr>
          <w:p w14:paraId="0D7C69B4" w14:textId="77777777" w:rsidR="00160459" w:rsidRPr="0047058F" w:rsidRDefault="00160459" w:rsidP="000A1090">
            <w:pPr>
              <w:spacing w:after="120" w:line="240" w:lineRule="auto"/>
            </w:pPr>
            <w:r w:rsidRPr="0047058F">
              <w:t>Non-Commissioned Officer</w:t>
            </w:r>
          </w:p>
        </w:tc>
      </w:tr>
      <w:tr w:rsidR="00160459" w:rsidRPr="0047058F" w14:paraId="43174136" w14:textId="77777777" w:rsidTr="0047058F">
        <w:trPr>
          <w:cantSplit/>
        </w:trPr>
        <w:tc>
          <w:tcPr>
            <w:tcW w:w="1419" w:type="dxa"/>
            <w:hideMark/>
          </w:tcPr>
          <w:p w14:paraId="25C88700" w14:textId="77777777" w:rsidR="00160459" w:rsidRPr="0047058F" w:rsidRDefault="00160459" w:rsidP="000A1090">
            <w:pPr>
              <w:spacing w:after="120" w:line="240" w:lineRule="auto"/>
            </w:pPr>
            <w:r w:rsidRPr="0047058F">
              <w:t>NDI</w:t>
            </w:r>
          </w:p>
        </w:tc>
        <w:tc>
          <w:tcPr>
            <w:tcW w:w="5680" w:type="dxa"/>
            <w:hideMark/>
          </w:tcPr>
          <w:p w14:paraId="18EFD050" w14:textId="77777777" w:rsidR="00160459" w:rsidRPr="0047058F" w:rsidRDefault="00160459" w:rsidP="000A1090">
            <w:pPr>
              <w:spacing w:after="120" w:line="240" w:lineRule="auto"/>
            </w:pPr>
            <w:r w:rsidRPr="0047058F">
              <w:t>National Death Index</w:t>
            </w:r>
          </w:p>
        </w:tc>
      </w:tr>
      <w:tr w:rsidR="00160459" w:rsidRPr="0047058F" w14:paraId="177A2046" w14:textId="77777777" w:rsidTr="0047058F">
        <w:trPr>
          <w:cantSplit/>
        </w:trPr>
        <w:tc>
          <w:tcPr>
            <w:tcW w:w="1419" w:type="dxa"/>
            <w:hideMark/>
          </w:tcPr>
          <w:p w14:paraId="6E2D9EA3" w14:textId="77777777" w:rsidR="00160459" w:rsidRPr="0047058F" w:rsidRDefault="00160459" w:rsidP="000A1090">
            <w:pPr>
              <w:spacing w:after="120" w:line="240" w:lineRule="auto"/>
            </w:pPr>
            <w:r w:rsidRPr="0047058F">
              <w:t>NHMRC</w:t>
            </w:r>
          </w:p>
        </w:tc>
        <w:tc>
          <w:tcPr>
            <w:tcW w:w="5680" w:type="dxa"/>
            <w:hideMark/>
          </w:tcPr>
          <w:p w14:paraId="672BD43D" w14:textId="77777777" w:rsidR="00160459" w:rsidRPr="0047058F" w:rsidRDefault="00160459" w:rsidP="000A1090">
            <w:pPr>
              <w:spacing w:after="120" w:line="240" w:lineRule="auto"/>
            </w:pPr>
            <w:r w:rsidRPr="0047058F">
              <w:t>National Health and Medical Research Council</w:t>
            </w:r>
          </w:p>
        </w:tc>
      </w:tr>
      <w:tr w:rsidR="00160459" w:rsidRPr="0047058F" w14:paraId="778DD784" w14:textId="77777777" w:rsidTr="0047058F">
        <w:trPr>
          <w:cantSplit/>
        </w:trPr>
        <w:tc>
          <w:tcPr>
            <w:tcW w:w="1419" w:type="dxa"/>
            <w:hideMark/>
          </w:tcPr>
          <w:p w14:paraId="4334D76D" w14:textId="77777777" w:rsidR="00160459" w:rsidRPr="0047058F" w:rsidRDefault="00160459" w:rsidP="000A1090">
            <w:pPr>
              <w:spacing w:after="120" w:line="240" w:lineRule="auto"/>
            </w:pPr>
            <w:r w:rsidRPr="0047058F">
              <w:t>NHS</w:t>
            </w:r>
          </w:p>
        </w:tc>
        <w:tc>
          <w:tcPr>
            <w:tcW w:w="5680" w:type="dxa"/>
            <w:hideMark/>
          </w:tcPr>
          <w:p w14:paraId="5D393AB3" w14:textId="77777777" w:rsidR="00160459" w:rsidRPr="0047058F" w:rsidRDefault="00160459" w:rsidP="000A1090">
            <w:pPr>
              <w:spacing w:after="120" w:line="240" w:lineRule="auto"/>
            </w:pPr>
            <w:r w:rsidRPr="0047058F">
              <w:t>National Health Survey</w:t>
            </w:r>
          </w:p>
        </w:tc>
      </w:tr>
      <w:tr w:rsidR="00160459" w:rsidRPr="0047058F" w14:paraId="5F1F5884" w14:textId="77777777" w:rsidTr="0047058F">
        <w:trPr>
          <w:cantSplit/>
        </w:trPr>
        <w:tc>
          <w:tcPr>
            <w:tcW w:w="1419" w:type="dxa"/>
            <w:hideMark/>
          </w:tcPr>
          <w:p w14:paraId="1791D1C6" w14:textId="77777777" w:rsidR="00160459" w:rsidRPr="0047058F" w:rsidRDefault="00160459" w:rsidP="000A1090">
            <w:pPr>
              <w:spacing w:after="120" w:line="240" w:lineRule="auto"/>
            </w:pPr>
            <w:r w:rsidRPr="0047058F">
              <w:t>OCD</w:t>
            </w:r>
          </w:p>
        </w:tc>
        <w:tc>
          <w:tcPr>
            <w:tcW w:w="5680" w:type="dxa"/>
            <w:hideMark/>
          </w:tcPr>
          <w:p w14:paraId="50296548" w14:textId="77777777" w:rsidR="00160459" w:rsidRPr="0047058F" w:rsidRDefault="00160459" w:rsidP="000A1090">
            <w:pPr>
              <w:spacing w:after="120" w:line="240" w:lineRule="auto"/>
            </w:pPr>
            <w:r w:rsidRPr="0047058F">
              <w:t>obsessive-compulsive disorder</w:t>
            </w:r>
          </w:p>
        </w:tc>
      </w:tr>
      <w:tr w:rsidR="00160459" w:rsidRPr="0047058F" w14:paraId="4960D61C" w14:textId="77777777" w:rsidTr="0047058F">
        <w:trPr>
          <w:cantSplit/>
        </w:trPr>
        <w:tc>
          <w:tcPr>
            <w:tcW w:w="1419" w:type="dxa"/>
          </w:tcPr>
          <w:p w14:paraId="5093A63B" w14:textId="77777777" w:rsidR="00160459" w:rsidRPr="0047058F" w:rsidRDefault="00160459" w:rsidP="000A1090">
            <w:pPr>
              <w:spacing w:after="120" w:line="240" w:lineRule="auto"/>
            </w:pPr>
            <w:r w:rsidRPr="0047058F">
              <w:t>OEF</w:t>
            </w:r>
          </w:p>
        </w:tc>
        <w:tc>
          <w:tcPr>
            <w:tcW w:w="5680" w:type="dxa"/>
          </w:tcPr>
          <w:p w14:paraId="4B5CFCF3" w14:textId="77777777" w:rsidR="00160459" w:rsidRPr="0047058F" w:rsidRDefault="00160459" w:rsidP="000A1090">
            <w:pPr>
              <w:spacing w:after="120" w:line="240" w:lineRule="auto"/>
            </w:pPr>
            <w:r w:rsidRPr="0047058F">
              <w:t>Operation Enduring Freedom</w:t>
            </w:r>
          </w:p>
        </w:tc>
      </w:tr>
      <w:tr w:rsidR="00160459" w:rsidRPr="0047058F" w14:paraId="603BCC68" w14:textId="77777777" w:rsidTr="0047058F">
        <w:trPr>
          <w:cantSplit/>
        </w:trPr>
        <w:tc>
          <w:tcPr>
            <w:tcW w:w="1419" w:type="dxa"/>
          </w:tcPr>
          <w:p w14:paraId="2302D63A" w14:textId="77777777" w:rsidR="00160459" w:rsidRPr="0047058F" w:rsidRDefault="00160459" w:rsidP="000A1090">
            <w:pPr>
              <w:spacing w:after="120" w:line="240" w:lineRule="auto"/>
            </w:pPr>
            <w:r w:rsidRPr="0047058F">
              <w:t>OIF</w:t>
            </w:r>
          </w:p>
        </w:tc>
        <w:tc>
          <w:tcPr>
            <w:tcW w:w="5680" w:type="dxa"/>
          </w:tcPr>
          <w:p w14:paraId="3EE131AF" w14:textId="77777777" w:rsidR="00160459" w:rsidRPr="0047058F" w:rsidRDefault="00160459" w:rsidP="000A1090">
            <w:pPr>
              <w:spacing w:after="120" w:line="240" w:lineRule="auto"/>
            </w:pPr>
            <w:r w:rsidRPr="0047058F">
              <w:t>Operation Iraqi Freedom</w:t>
            </w:r>
          </w:p>
        </w:tc>
      </w:tr>
      <w:tr w:rsidR="00160459" w:rsidRPr="0047058F" w14:paraId="6F0E0980" w14:textId="77777777" w:rsidTr="0047058F">
        <w:trPr>
          <w:cantSplit/>
        </w:trPr>
        <w:tc>
          <w:tcPr>
            <w:tcW w:w="1419" w:type="dxa"/>
            <w:hideMark/>
          </w:tcPr>
          <w:p w14:paraId="11064B76" w14:textId="77777777" w:rsidR="00160459" w:rsidRPr="0047058F" w:rsidRDefault="00160459" w:rsidP="000A1090">
            <w:pPr>
              <w:spacing w:after="120" w:line="240" w:lineRule="auto"/>
            </w:pPr>
            <w:r w:rsidRPr="0047058F">
              <w:t>OR</w:t>
            </w:r>
          </w:p>
        </w:tc>
        <w:tc>
          <w:tcPr>
            <w:tcW w:w="5680" w:type="dxa"/>
            <w:hideMark/>
          </w:tcPr>
          <w:p w14:paraId="39899B0D" w14:textId="77777777" w:rsidR="00160459" w:rsidRPr="0047058F" w:rsidRDefault="00160459" w:rsidP="000A1090">
            <w:pPr>
              <w:spacing w:after="120" w:line="240" w:lineRule="auto"/>
            </w:pPr>
            <w:r w:rsidRPr="0047058F">
              <w:t>odds ratio</w:t>
            </w:r>
          </w:p>
        </w:tc>
      </w:tr>
      <w:tr w:rsidR="00160459" w:rsidRPr="0047058F" w14:paraId="37F323C0" w14:textId="77777777" w:rsidTr="0047058F">
        <w:trPr>
          <w:cantSplit/>
        </w:trPr>
        <w:tc>
          <w:tcPr>
            <w:tcW w:w="1419" w:type="dxa"/>
            <w:hideMark/>
          </w:tcPr>
          <w:p w14:paraId="62CB6939" w14:textId="77777777" w:rsidR="00160459" w:rsidRPr="0047058F" w:rsidRDefault="00160459" w:rsidP="000A1090">
            <w:pPr>
              <w:spacing w:after="120" w:line="240" w:lineRule="auto"/>
            </w:pPr>
            <w:r w:rsidRPr="0047058F">
              <w:t>OSU TBI-ID</w:t>
            </w:r>
          </w:p>
        </w:tc>
        <w:tc>
          <w:tcPr>
            <w:tcW w:w="5680" w:type="dxa"/>
            <w:hideMark/>
          </w:tcPr>
          <w:p w14:paraId="3090A412" w14:textId="77777777" w:rsidR="00160459" w:rsidRPr="0047058F" w:rsidRDefault="00160459" w:rsidP="000A1090">
            <w:pPr>
              <w:spacing w:after="120" w:line="240" w:lineRule="auto"/>
            </w:pPr>
            <w:r w:rsidRPr="0047058F">
              <w:t>Ohio State University Traumatic Brain Injury Identification Method</w:t>
            </w:r>
          </w:p>
        </w:tc>
      </w:tr>
      <w:tr w:rsidR="00160459" w:rsidRPr="0047058F" w14:paraId="2F95BE9F" w14:textId="77777777" w:rsidTr="0047058F">
        <w:trPr>
          <w:cantSplit/>
        </w:trPr>
        <w:tc>
          <w:tcPr>
            <w:tcW w:w="1419" w:type="dxa"/>
            <w:hideMark/>
          </w:tcPr>
          <w:p w14:paraId="05AF5518" w14:textId="77777777" w:rsidR="00160459" w:rsidRPr="0047058F" w:rsidRDefault="00160459" w:rsidP="000A1090">
            <w:pPr>
              <w:spacing w:after="120" w:line="240" w:lineRule="auto"/>
            </w:pPr>
            <w:r w:rsidRPr="0047058F">
              <w:t>PBS</w:t>
            </w:r>
          </w:p>
        </w:tc>
        <w:tc>
          <w:tcPr>
            <w:tcW w:w="5680" w:type="dxa"/>
            <w:hideMark/>
          </w:tcPr>
          <w:p w14:paraId="3260331D" w14:textId="77777777" w:rsidR="00160459" w:rsidRPr="0047058F" w:rsidRDefault="00160459" w:rsidP="000A1090">
            <w:pPr>
              <w:spacing w:after="120" w:line="240" w:lineRule="auto"/>
            </w:pPr>
            <w:r w:rsidRPr="0047058F">
              <w:t>Pharmaceutical Benefits Scheme</w:t>
            </w:r>
          </w:p>
        </w:tc>
      </w:tr>
      <w:tr w:rsidR="00160459" w:rsidRPr="0047058F" w14:paraId="6DEAC8AB" w14:textId="77777777" w:rsidTr="0047058F">
        <w:trPr>
          <w:cantSplit/>
        </w:trPr>
        <w:tc>
          <w:tcPr>
            <w:tcW w:w="1419" w:type="dxa"/>
            <w:hideMark/>
          </w:tcPr>
          <w:p w14:paraId="1EBEA07F" w14:textId="77777777" w:rsidR="00160459" w:rsidRPr="0047058F" w:rsidRDefault="00160459" w:rsidP="000A1090">
            <w:pPr>
              <w:spacing w:after="120" w:line="240" w:lineRule="auto"/>
            </w:pPr>
            <w:r w:rsidRPr="0047058F">
              <w:t>PCL-C</w:t>
            </w:r>
          </w:p>
        </w:tc>
        <w:tc>
          <w:tcPr>
            <w:tcW w:w="5680" w:type="dxa"/>
            <w:hideMark/>
          </w:tcPr>
          <w:p w14:paraId="121FED99" w14:textId="77777777" w:rsidR="00160459" w:rsidRPr="0047058F" w:rsidRDefault="00160459" w:rsidP="000A1090">
            <w:pPr>
              <w:spacing w:after="120" w:line="240" w:lineRule="auto"/>
            </w:pPr>
            <w:bookmarkStart w:id="786" w:name="_Hlk489448018"/>
            <w:r w:rsidRPr="0047058F">
              <w:t>Posttraumatic Stress Disorder Checklist – civilian version</w:t>
            </w:r>
            <w:bookmarkEnd w:id="786"/>
          </w:p>
        </w:tc>
      </w:tr>
      <w:tr w:rsidR="00160459" w:rsidRPr="0047058F" w14:paraId="6E9F8D4D" w14:textId="77777777" w:rsidTr="0047058F">
        <w:trPr>
          <w:cantSplit/>
        </w:trPr>
        <w:tc>
          <w:tcPr>
            <w:tcW w:w="1419" w:type="dxa"/>
          </w:tcPr>
          <w:p w14:paraId="632129E7" w14:textId="77777777" w:rsidR="00160459" w:rsidRPr="0047058F" w:rsidRDefault="00160459" w:rsidP="000A1090">
            <w:pPr>
              <w:spacing w:after="120" w:line="240" w:lineRule="auto"/>
            </w:pPr>
            <w:r w:rsidRPr="0047058F">
              <w:t>PC-PTSD</w:t>
            </w:r>
          </w:p>
        </w:tc>
        <w:tc>
          <w:tcPr>
            <w:tcW w:w="5680" w:type="dxa"/>
          </w:tcPr>
          <w:p w14:paraId="0A515E69" w14:textId="77777777" w:rsidR="00160459" w:rsidRPr="0047058F" w:rsidRDefault="00160459" w:rsidP="000A1090">
            <w:pPr>
              <w:spacing w:after="120" w:line="240" w:lineRule="auto"/>
            </w:pPr>
            <w:r w:rsidRPr="0047058F">
              <w:t>Primary Care PTSD Screen</w:t>
            </w:r>
          </w:p>
        </w:tc>
      </w:tr>
      <w:tr w:rsidR="00160459" w:rsidRPr="0047058F" w14:paraId="04287926" w14:textId="77777777" w:rsidTr="0047058F">
        <w:trPr>
          <w:cantSplit/>
        </w:trPr>
        <w:tc>
          <w:tcPr>
            <w:tcW w:w="1419" w:type="dxa"/>
            <w:hideMark/>
          </w:tcPr>
          <w:p w14:paraId="79FCB4C9" w14:textId="77777777" w:rsidR="00160459" w:rsidRPr="0047058F" w:rsidRDefault="00160459" w:rsidP="000A1090">
            <w:pPr>
              <w:spacing w:after="120" w:line="240" w:lineRule="auto"/>
            </w:pPr>
            <w:r w:rsidRPr="0047058F">
              <w:t>PHQ-9</w:t>
            </w:r>
          </w:p>
        </w:tc>
        <w:tc>
          <w:tcPr>
            <w:tcW w:w="5680" w:type="dxa"/>
            <w:hideMark/>
          </w:tcPr>
          <w:p w14:paraId="6EB07FEC" w14:textId="77777777" w:rsidR="00160459" w:rsidRPr="0047058F" w:rsidRDefault="00160459" w:rsidP="000A1090">
            <w:pPr>
              <w:spacing w:after="120" w:line="240" w:lineRule="auto"/>
            </w:pPr>
            <w:r w:rsidRPr="0047058F">
              <w:t>Patient Health Questionnaire 9-item scale</w:t>
            </w:r>
          </w:p>
        </w:tc>
      </w:tr>
      <w:tr w:rsidR="00160459" w:rsidRPr="0047058F" w14:paraId="2CC91518" w14:textId="77777777" w:rsidTr="0047058F">
        <w:trPr>
          <w:cantSplit/>
        </w:trPr>
        <w:tc>
          <w:tcPr>
            <w:tcW w:w="1419" w:type="dxa"/>
            <w:hideMark/>
          </w:tcPr>
          <w:p w14:paraId="1FBC5663" w14:textId="77777777" w:rsidR="00160459" w:rsidRPr="0047058F" w:rsidRDefault="00160459" w:rsidP="000A1090">
            <w:pPr>
              <w:spacing w:after="120" w:line="240" w:lineRule="auto"/>
            </w:pPr>
            <w:r w:rsidRPr="0047058F">
              <w:t>PMKeyS</w:t>
            </w:r>
          </w:p>
        </w:tc>
        <w:tc>
          <w:tcPr>
            <w:tcW w:w="5680" w:type="dxa"/>
            <w:hideMark/>
          </w:tcPr>
          <w:p w14:paraId="174AD48E" w14:textId="77777777" w:rsidR="00160459" w:rsidRPr="0047058F" w:rsidRDefault="00160459" w:rsidP="000A1090">
            <w:pPr>
              <w:spacing w:after="120" w:line="240" w:lineRule="auto"/>
            </w:pPr>
            <w:r w:rsidRPr="0047058F">
              <w:t>Personnel Management Key Solution</w:t>
            </w:r>
          </w:p>
        </w:tc>
      </w:tr>
      <w:tr w:rsidR="00160459" w:rsidRPr="0047058F" w14:paraId="0132D288" w14:textId="77777777" w:rsidTr="0047058F">
        <w:trPr>
          <w:cantSplit/>
        </w:trPr>
        <w:tc>
          <w:tcPr>
            <w:tcW w:w="1419" w:type="dxa"/>
          </w:tcPr>
          <w:p w14:paraId="393AF477" w14:textId="77777777" w:rsidR="00160459" w:rsidRPr="0047058F" w:rsidRDefault="00160459" w:rsidP="000A1090">
            <w:pPr>
              <w:spacing w:after="120" w:line="240" w:lineRule="auto"/>
            </w:pPr>
            <w:r w:rsidRPr="0047058F">
              <w:t>Programme</w:t>
            </w:r>
          </w:p>
        </w:tc>
        <w:tc>
          <w:tcPr>
            <w:tcW w:w="5680" w:type="dxa"/>
          </w:tcPr>
          <w:p w14:paraId="25C13C4B" w14:textId="77777777" w:rsidR="00160459" w:rsidRPr="0047058F" w:rsidRDefault="00160459" w:rsidP="000A1090">
            <w:pPr>
              <w:spacing w:after="120" w:line="240" w:lineRule="auto"/>
            </w:pPr>
            <w:r w:rsidRPr="0047058F">
              <w:t>Transition and Wellbeing Research Programme</w:t>
            </w:r>
          </w:p>
        </w:tc>
      </w:tr>
      <w:tr w:rsidR="00160459" w:rsidRPr="0047058F" w14:paraId="77D5A9B8" w14:textId="77777777" w:rsidTr="0047058F">
        <w:trPr>
          <w:cantSplit/>
        </w:trPr>
        <w:tc>
          <w:tcPr>
            <w:tcW w:w="1419" w:type="dxa"/>
            <w:hideMark/>
          </w:tcPr>
          <w:p w14:paraId="15C3513F" w14:textId="77777777" w:rsidR="00160459" w:rsidRPr="0047058F" w:rsidRDefault="00160459" w:rsidP="000A1090">
            <w:pPr>
              <w:spacing w:after="120" w:line="240" w:lineRule="auto"/>
            </w:pPr>
            <w:r w:rsidRPr="0047058F">
              <w:t>PTSD</w:t>
            </w:r>
          </w:p>
        </w:tc>
        <w:tc>
          <w:tcPr>
            <w:tcW w:w="5680" w:type="dxa"/>
            <w:hideMark/>
          </w:tcPr>
          <w:p w14:paraId="0110AD51" w14:textId="77777777" w:rsidR="00160459" w:rsidRPr="0047058F" w:rsidRDefault="00160459" w:rsidP="000A1090">
            <w:pPr>
              <w:spacing w:after="120" w:line="240" w:lineRule="auto"/>
            </w:pPr>
            <w:r w:rsidRPr="0047058F">
              <w:t>posttraumatic stress disorder</w:t>
            </w:r>
          </w:p>
        </w:tc>
      </w:tr>
      <w:tr w:rsidR="00160459" w:rsidRPr="0047058F" w14:paraId="1FCF6668" w14:textId="77777777" w:rsidTr="0047058F">
        <w:trPr>
          <w:cantSplit/>
        </w:trPr>
        <w:tc>
          <w:tcPr>
            <w:tcW w:w="1419" w:type="dxa"/>
            <w:hideMark/>
          </w:tcPr>
          <w:p w14:paraId="5ADCDD42" w14:textId="77777777" w:rsidR="00160459" w:rsidRPr="0047058F" w:rsidRDefault="00160459" w:rsidP="000A1090">
            <w:pPr>
              <w:spacing w:after="120" w:line="240" w:lineRule="auto"/>
            </w:pPr>
            <w:r w:rsidRPr="0047058F">
              <w:t>RPBS</w:t>
            </w:r>
          </w:p>
        </w:tc>
        <w:tc>
          <w:tcPr>
            <w:tcW w:w="5680" w:type="dxa"/>
            <w:hideMark/>
          </w:tcPr>
          <w:p w14:paraId="66211FD7" w14:textId="77777777" w:rsidR="00160459" w:rsidRPr="0047058F" w:rsidRDefault="00160459" w:rsidP="000A1090">
            <w:pPr>
              <w:spacing w:after="120" w:line="240" w:lineRule="auto"/>
            </w:pPr>
            <w:bookmarkStart w:id="787" w:name="_Hlk489516748"/>
            <w:r w:rsidRPr="0047058F">
              <w:t>Repatriation Pharmaceutical Benefits Scheme</w:t>
            </w:r>
            <w:bookmarkEnd w:id="787"/>
          </w:p>
        </w:tc>
      </w:tr>
      <w:tr w:rsidR="00160459" w:rsidRPr="0047058F" w14:paraId="4B81F3B9" w14:textId="77777777" w:rsidTr="0047058F">
        <w:trPr>
          <w:cantSplit/>
        </w:trPr>
        <w:tc>
          <w:tcPr>
            <w:tcW w:w="1419" w:type="dxa"/>
            <w:hideMark/>
          </w:tcPr>
          <w:p w14:paraId="72985B73" w14:textId="77777777" w:rsidR="00160459" w:rsidRPr="0047058F" w:rsidRDefault="00160459" w:rsidP="000A1090">
            <w:pPr>
              <w:spacing w:after="120" w:line="240" w:lineRule="auto"/>
            </w:pPr>
            <w:r w:rsidRPr="0047058F">
              <w:t>SE</w:t>
            </w:r>
          </w:p>
        </w:tc>
        <w:tc>
          <w:tcPr>
            <w:tcW w:w="5680" w:type="dxa"/>
            <w:hideMark/>
          </w:tcPr>
          <w:p w14:paraId="59F94968" w14:textId="77777777" w:rsidR="00160459" w:rsidRPr="0047058F" w:rsidRDefault="00160459" w:rsidP="000A1090">
            <w:pPr>
              <w:spacing w:after="120" w:line="240" w:lineRule="auto"/>
            </w:pPr>
            <w:r w:rsidRPr="0047058F">
              <w:t>standard error</w:t>
            </w:r>
          </w:p>
        </w:tc>
      </w:tr>
      <w:tr w:rsidR="00160459" w:rsidRPr="0047058F" w14:paraId="424C7846" w14:textId="77777777" w:rsidTr="0047058F">
        <w:trPr>
          <w:cantSplit/>
        </w:trPr>
        <w:tc>
          <w:tcPr>
            <w:tcW w:w="1419" w:type="dxa"/>
          </w:tcPr>
          <w:p w14:paraId="536FCAFC" w14:textId="77777777" w:rsidR="00160459" w:rsidRPr="0047058F" w:rsidRDefault="00160459" w:rsidP="000A1090">
            <w:pPr>
              <w:spacing w:after="120" w:line="240" w:lineRule="auto"/>
            </w:pPr>
            <w:r w:rsidRPr="0047058F">
              <w:t>STCL</w:t>
            </w:r>
          </w:p>
        </w:tc>
        <w:tc>
          <w:tcPr>
            <w:tcW w:w="5680" w:type="dxa"/>
          </w:tcPr>
          <w:p w14:paraId="02CB0A08" w14:textId="77777777" w:rsidR="00160459" w:rsidRPr="0047058F" w:rsidRDefault="00160459" w:rsidP="000A1090">
            <w:pPr>
              <w:spacing w:after="120" w:line="240" w:lineRule="auto"/>
            </w:pPr>
            <w:r w:rsidRPr="0047058F">
              <w:t>Survey on Transition to Civilian Life</w:t>
            </w:r>
          </w:p>
        </w:tc>
      </w:tr>
      <w:tr w:rsidR="00160459" w:rsidRPr="0047058F" w14:paraId="2B599238" w14:textId="77777777" w:rsidTr="0047058F">
        <w:trPr>
          <w:cantSplit/>
        </w:trPr>
        <w:tc>
          <w:tcPr>
            <w:tcW w:w="1419" w:type="dxa"/>
          </w:tcPr>
          <w:p w14:paraId="0AAEE516" w14:textId="77777777" w:rsidR="00160459" w:rsidRPr="0047058F" w:rsidRDefault="00160459" w:rsidP="000A1090">
            <w:pPr>
              <w:spacing w:after="120" w:line="240" w:lineRule="auto"/>
            </w:pPr>
            <w:r w:rsidRPr="0047058F">
              <w:t>VA</w:t>
            </w:r>
          </w:p>
        </w:tc>
        <w:tc>
          <w:tcPr>
            <w:tcW w:w="5680" w:type="dxa"/>
          </w:tcPr>
          <w:p w14:paraId="72972454" w14:textId="77777777" w:rsidR="00160459" w:rsidRPr="0047058F" w:rsidRDefault="00160459" w:rsidP="000A1090">
            <w:pPr>
              <w:spacing w:after="120" w:line="240" w:lineRule="auto"/>
            </w:pPr>
            <w:r w:rsidRPr="0047058F">
              <w:t>US Department of Veterans Affairs</w:t>
            </w:r>
          </w:p>
        </w:tc>
      </w:tr>
      <w:tr w:rsidR="00160459" w:rsidRPr="0047058F" w14:paraId="5B7ADEE3" w14:textId="77777777" w:rsidTr="0047058F">
        <w:trPr>
          <w:cantSplit/>
        </w:trPr>
        <w:tc>
          <w:tcPr>
            <w:tcW w:w="1419" w:type="dxa"/>
          </w:tcPr>
          <w:p w14:paraId="264B30CF" w14:textId="77777777" w:rsidR="00160459" w:rsidRPr="0047058F" w:rsidRDefault="00160459" w:rsidP="000A1090">
            <w:pPr>
              <w:spacing w:after="120" w:line="240" w:lineRule="auto"/>
            </w:pPr>
            <w:r w:rsidRPr="0047058F">
              <w:t>VAC</w:t>
            </w:r>
          </w:p>
        </w:tc>
        <w:tc>
          <w:tcPr>
            <w:tcW w:w="5680" w:type="dxa"/>
          </w:tcPr>
          <w:p w14:paraId="2D9C2D19" w14:textId="77777777" w:rsidR="00160459" w:rsidRPr="0047058F" w:rsidRDefault="00160459" w:rsidP="000A1090">
            <w:pPr>
              <w:spacing w:after="120" w:line="240" w:lineRule="auto"/>
            </w:pPr>
            <w:r w:rsidRPr="0047058F">
              <w:t>Veterans Affairs Canada</w:t>
            </w:r>
          </w:p>
        </w:tc>
      </w:tr>
      <w:bookmarkEnd w:id="783"/>
    </w:tbl>
    <w:p w14:paraId="13C59D42" w14:textId="77777777" w:rsidR="00160459" w:rsidRDefault="00160459" w:rsidP="00160459"/>
    <w:p w14:paraId="1F2EAAF2" w14:textId="77777777" w:rsidR="000A1090" w:rsidRDefault="000A1090" w:rsidP="00160459">
      <w:pPr>
        <w:sectPr w:rsidR="000A1090" w:rsidSect="000A1090">
          <w:type w:val="oddPage"/>
          <w:pgSz w:w="9979" w:h="14170" w:code="243"/>
          <w:pgMar w:top="1440" w:right="1152" w:bottom="1440" w:left="1728" w:header="576" w:footer="576" w:gutter="0"/>
          <w:cols w:space="708"/>
          <w:docGrid w:linePitch="360"/>
        </w:sectPr>
      </w:pPr>
    </w:p>
    <w:p w14:paraId="5C60C1B5" w14:textId="2D12537D" w:rsidR="00160459" w:rsidRPr="0047058F" w:rsidRDefault="00160459" w:rsidP="00C116B9">
      <w:pPr>
        <w:pStyle w:val="Heading1"/>
        <w:numPr>
          <w:ilvl w:val="0"/>
          <w:numId w:val="0"/>
        </w:numPr>
      </w:pPr>
      <w:bookmarkStart w:id="788" w:name="_Toc529117499"/>
      <w:bookmarkStart w:id="789" w:name="_Toc494449823"/>
      <w:bookmarkStart w:id="790" w:name="_Toc498521100"/>
      <w:bookmarkStart w:id="791" w:name="_Toc532474418"/>
      <w:r w:rsidRPr="0047058F">
        <w:t>Glossary</w:t>
      </w:r>
      <w:bookmarkEnd w:id="788"/>
      <w:bookmarkEnd w:id="789"/>
      <w:bookmarkEnd w:id="790"/>
      <w:bookmarkEnd w:id="791"/>
    </w:p>
    <w:p w14:paraId="06F414A6" w14:textId="77777777" w:rsidR="00160459" w:rsidRPr="0047058F" w:rsidRDefault="00160459" w:rsidP="00160459">
      <w:r w:rsidRPr="0047058F">
        <w:rPr>
          <w:b/>
        </w:rPr>
        <w:t>Affective disorders.</w:t>
      </w:r>
      <w:r w:rsidRPr="0047058F">
        <w:t xml:space="preserve"> A class of mental disorders. The Mental Health and Wellbeing Transition Study examined three types of affective disorder: depressive episodes, dysthymia and bipolar affective disorder. A key feature of these mental disorders is mood disturbance.</w:t>
      </w:r>
    </w:p>
    <w:p w14:paraId="5CC8DA40" w14:textId="77777777" w:rsidR="00160459" w:rsidRPr="0047058F" w:rsidRDefault="00160459" w:rsidP="00160459">
      <w:r w:rsidRPr="0047058F">
        <w:rPr>
          <w:b/>
        </w:rPr>
        <w:t>Agoraphobia.</w:t>
      </w:r>
      <w:r w:rsidRPr="0047058F">
        <w:t xml:space="preserve">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14:paraId="2069C110" w14:textId="77777777" w:rsidR="00160459" w:rsidRPr="0047058F" w:rsidRDefault="00160459" w:rsidP="00160459">
      <w:r w:rsidRPr="0047058F">
        <w:rPr>
          <w:b/>
        </w:rPr>
        <w:t>Alcohol dependence.</w:t>
      </w:r>
      <w:r w:rsidRPr="0047058F">
        <w:t xml:space="preserve"> Characterised by an increased prioritisation of alcohol in a person’s life. The defining feature of alcohol dependence is a strong, overwhelming desire to use alcohol, despite experiencing a number of associated problems. A diagnosis was given if the person reported three or more of the following symptoms in the previous 12 months:</w:t>
      </w:r>
    </w:p>
    <w:p w14:paraId="1420474D" w14:textId="77777777" w:rsidR="00160459" w:rsidRPr="0047058F" w:rsidRDefault="00160459" w:rsidP="000A1090">
      <w:pPr>
        <w:pStyle w:val="Bullet"/>
        <w:spacing w:after="120"/>
      </w:pPr>
      <w:r w:rsidRPr="0047058F">
        <w:t>a strong and irresistible urge to consume alcohol</w:t>
      </w:r>
    </w:p>
    <w:p w14:paraId="355C0933" w14:textId="77777777" w:rsidR="00160459" w:rsidRPr="0047058F" w:rsidRDefault="00160459" w:rsidP="000A1090">
      <w:pPr>
        <w:pStyle w:val="Bullet"/>
        <w:spacing w:after="120"/>
      </w:pPr>
      <w:r w:rsidRPr="0047058F">
        <w:t>a tolerance to the effects of alcohol</w:t>
      </w:r>
    </w:p>
    <w:p w14:paraId="26D9B428" w14:textId="77777777" w:rsidR="00160459" w:rsidRPr="0047058F" w:rsidRDefault="00160459" w:rsidP="000A1090">
      <w:pPr>
        <w:pStyle w:val="Bullet"/>
        <w:spacing w:after="120"/>
      </w:pPr>
      <w:r w:rsidRPr="0047058F">
        <w:t>an inability to stop or reduce alcohol consumption</w:t>
      </w:r>
    </w:p>
    <w:p w14:paraId="08E13914" w14:textId="77777777" w:rsidR="00160459" w:rsidRPr="0047058F" w:rsidRDefault="00160459" w:rsidP="000A1090">
      <w:pPr>
        <w:pStyle w:val="Bullet"/>
        <w:spacing w:after="120"/>
      </w:pPr>
      <w:r w:rsidRPr="0047058F">
        <w:t>withdrawal symptoms upon cessation or reduction of alcohol intake</w:t>
      </w:r>
    </w:p>
    <w:p w14:paraId="43575FE0" w14:textId="77777777" w:rsidR="00160459" w:rsidRPr="0047058F" w:rsidRDefault="00160459" w:rsidP="000A1090">
      <w:pPr>
        <w:pStyle w:val="Bullet"/>
        <w:spacing w:after="120"/>
      </w:pPr>
      <w:r w:rsidRPr="0047058F">
        <w:t>continuing to drink despite it causing emotional or physical problems</w:t>
      </w:r>
    </w:p>
    <w:p w14:paraId="0A05E347" w14:textId="77777777" w:rsidR="00160459" w:rsidRPr="0047058F" w:rsidRDefault="00160459" w:rsidP="000A1090">
      <w:pPr>
        <w:pStyle w:val="Bullet"/>
      </w:pPr>
      <w:r w:rsidRPr="0047058F">
        <w:t>reduction in important activities because of drinking or in order to drink.</w:t>
      </w:r>
    </w:p>
    <w:p w14:paraId="1EECD889" w14:textId="73F1610F" w:rsidR="00160459" w:rsidRPr="0047058F" w:rsidRDefault="00160459" w:rsidP="00160459">
      <w:r w:rsidRPr="0047058F">
        <w:rPr>
          <w:b/>
        </w:rPr>
        <w:t>Alcohol harmful use.</w:t>
      </w:r>
      <w:r w:rsidRPr="0047058F">
        <w:t xml:space="preserve"> Diagnosis of ‘alcohol harmful use’ not only requires high levels of alcohol consumption, but that the alcohol use is damaging to the person’s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their family or friends; was consumed in a situation where the person could get hurt; resulted in being stopped or arrested by police; or if the participant continued to consume alcohol despite experiencing social or interpersonal problems as a consequence of their drinking during the previous 12</w:t>
      </w:r>
      <w:r w:rsidR="006D07B2">
        <w:t xml:space="preserve"> </w:t>
      </w:r>
      <w:r w:rsidRPr="0047058F">
        <w:t>months. A person could not meet criteria for alcohol harmful use if they met criteria for alcohol dependence.</w:t>
      </w:r>
    </w:p>
    <w:p w14:paraId="7F3BCD04" w14:textId="77777777" w:rsidR="00160459" w:rsidRPr="0047058F" w:rsidRDefault="00160459" w:rsidP="00160459">
      <w:r w:rsidRPr="0047058F">
        <w:rPr>
          <w:b/>
        </w:rPr>
        <w:t>Alcohol Use Disorders Identification Test (AUDIT).</w:t>
      </w:r>
      <w:r w:rsidRPr="0047058F">
        <w:t xml:space="preserve"> Alcohol consumption and problem drinking was examined using the Alcohol Use Disorders Identification Test (Saunders et al.,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w:t>
      </w:r>
    </w:p>
    <w:p w14:paraId="34351D12" w14:textId="77777777" w:rsidR="00160459" w:rsidRPr="0047058F" w:rsidRDefault="00160459" w:rsidP="00160459">
      <w:r w:rsidRPr="0047058F">
        <w:rPr>
          <w:b/>
        </w:rPr>
        <w:t>Anxiety disorders.</w:t>
      </w:r>
      <w:r w:rsidRPr="0047058F">
        <w:t xml:space="preserve"> A class of mental disorder that involves the experience of intense and debilitating anxiety. The anxiety disorders covered in the survey were panic attacks, panic disorder, social phobia, specific phobia, agoraphobia, generalised anxiety disorder, PTSD and obsessive-compulsive disorder.</w:t>
      </w:r>
    </w:p>
    <w:p w14:paraId="74A916E0" w14:textId="77777777" w:rsidR="00160459" w:rsidRPr="0047058F" w:rsidRDefault="00160459" w:rsidP="00160459">
      <w:r w:rsidRPr="0047058F">
        <w:rPr>
          <w:b/>
        </w:rPr>
        <w:t>Australian Bureau of Statistics (ABS).</w:t>
      </w:r>
      <w:r w:rsidRPr="0047058F">
        <w:t xml:space="preserve"> Australia’s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in the 2014–2015 ABS National Health Survey (NHS) data. The NHS is the most recent in a series of Australia-wide ABS health surveys, assessing various aspects of the health of Australians, including long-term health conditions, health risk factors and health service use.</w:t>
      </w:r>
    </w:p>
    <w:p w14:paraId="15DF7954" w14:textId="77777777" w:rsidR="00160459" w:rsidRPr="0047058F" w:rsidRDefault="00160459" w:rsidP="00160459">
      <w:r w:rsidRPr="0047058F">
        <w:rPr>
          <w:b/>
        </w:rPr>
        <w:t>Australian Defence Force (ADF).</w:t>
      </w:r>
      <w:r w:rsidRPr="0047058F">
        <w:t xml:space="preserve"> The ADF is constituted under the </w:t>
      </w:r>
      <w:bookmarkStart w:id="792" w:name="_Hlk489437028"/>
      <w:r w:rsidRPr="0047058F">
        <w:rPr>
          <w:i/>
        </w:rPr>
        <w:fldChar w:fldCharType="begin"/>
      </w:r>
      <w:r w:rsidRPr="0047058F">
        <w:rPr>
          <w:i/>
        </w:rPr>
        <w:instrText xml:space="preserve"> HYPERLINK "http://www.comlaw.gov.au/Series/C2004A07381" \t "_blank" </w:instrText>
      </w:r>
      <w:r w:rsidRPr="0047058F">
        <w:rPr>
          <w:i/>
        </w:rPr>
        <w:fldChar w:fldCharType="separate"/>
      </w:r>
      <w:r w:rsidRPr="0047058F">
        <w:rPr>
          <w:i/>
        </w:rPr>
        <w:t>Defence Act 1903</w:t>
      </w:r>
      <w:r w:rsidRPr="0047058F">
        <w:rPr>
          <w:i/>
        </w:rPr>
        <w:fldChar w:fldCharType="end"/>
      </w:r>
      <w:bookmarkEnd w:id="792"/>
      <w:r w:rsidRPr="0047058F">
        <w:t xml:space="preserve"> (Cth) and, together with the Department of Defence, is collectively known as Defence. Defence’s mission is to defend Australia and its national interests. In fulfilling this mission, Defence serves the government of the day and is accountable to the Australian Parliament, which represents the Australian people to efficiently and effectively carry out the government’s defence policy. The current program of research aims to examine the mental, physical and social health of serving and ex-serving ADF members, and their families. It builds on previous research to inform effective and evidence-based health service provision for contemporary service members and veterans.</w:t>
      </w:r>
    </w:p>
    <w:p w14:paraId="393E38FF" w14:textId="77777777" w:rsidR="00160459" w:rsidRPr="0047058F" w:rsidRDefault="00160459" w:rsidP="00160459">
      <w:r w:rsidRPr="0047058F">
        <w:rPr>
          <w:b/>
        </w:rPr>
        <w:t>Australian Institute of Family Studies (AIFS).</w:t>
      </w:r>
      <w:r w:rsidRPr="0047058F">
        <w:t xml:space="preserve"> The Australian Government’s key research body in the area of family wellbeing. AIFS conducts original research to increase understanding of Australian families and the issues that affect them. The current research was conducted by a consortium of Australia’s leading research institutions led by the Centre for Traumatic Stress Studies at the University of Adelaide, and AIFS.</w:t>
      </w:r>
    </w:p>
    <w:p w14:paraId="231D724B" w14:textId="77777777" w:rsidR="00160459" w:rsidRPr="0047058F" w:rsidRDefault="00160459" w:rsidP="000A1090">
      <w:pPr>
        <w:keepLines/>
      </w:pPr>
      <w:r w:rsidRPr="0047058F">
        <w:rPr>
          <w:b/>
        </w:rPr>
        <w:t>Australian Institute of Health and Welfare (AIHW).</w:t>
      </w:r>
      <w:r w:rsidRPr="0047058F">
        <w:t xml:space="preserve"> Australia’s national agency for health and welfare statistics and information. The AIHW was commissioned in this Programme to develop the Military and Veteran Research Study Roll by integrating contact information from various sources and databases.</w:t>
      </w:r>
    </w:p>
    <w:p w14:paraId="3BB6710D" w14:textId="77777777" w:rsidR="00160459" w:rsidRPr="0047058F" w:rsidRDefault="00160459" w:rsidP="00160459">
      <w:r w:rsidRPr="0047058F">
        <w:rPr>
          <w:b/>
        </w:rPr>
        <w:t>Bipolar affective disorder.</w:t>
      </w:r>
      <w:r w:rsidRPr="0047058F">
        <w:t xml:space="preserve"> A class of mental disorder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previous 12 months.</w:t>
      </w:r>
    </w:p>
    <w:p w14:paraId="611BD657" w14:textId="77777777" w:rsidR="00160459" w:rsidRPr="0047058F" w:rsidRDefault="00160459" w:rsidP="00160459">
      <w:r w:rsidRPr="0047058F">
        <w:rPr>
          <w:b/>
        </w:rPr>
        <w:t>Centre for Traumatic Stress Studies (CTSS).</w:t>
      </w:r>
      <w:r w:rsidRPr="0047058F">
        <w:t xml:space="preserve"> A centre at the University of Adelaide that seeks to improve evidence-based practice by informing and applying scientific knowledge in the field of trauma, mental disorder and wellbeing in at</w:t>
      </w:r>
      <w:r w:rsidRPr="0047058F">
        <w:noBreakHyphen/>
        <w:t>risk populations. The Transition and Wellbeing Research Programme was conducted by a consortium of Australia’s leading research institutions, led by the CTSS and the Australian Institute of Family Studies.</w:t>
      </w:r>
    </w:p>
    <w:p w14:paraId="03FAA08D" w14:textId="77777777" w:rsidR="00160459" w:rsidRPr="0047058F" w:rsidRDefault="00160459" w:rsidP="00160459">
      <w:r w:rsidRPr="0047058F">
        <w:rPr>
          <w:b/>
        </w:rPr>
        <w:t>Class of mental disorder.</w:t>
      </w:r>
      <w:r w:rsidRPr="0047058F">
        <w:t xml:space="preserve"> Mental disorders are grouped into classes of disorder that share common features. Three classes of mental disorders were included in the survey: affective disorders, anxiety disorders and alcohol disorders.</w:t>
      </w:r>
    </w:p>
    <w:p w14:paraId="40EDE5A3" w14:textId="77777777" w:rsidR="00160459" w:rsidRPr="0047058F" w:rsidRDefault="00160459" w:rsidP="00160459">
      <w:r w:rsidRPr="0047058F">
        <w:rPr>
          <w:b/>
          <w:bCs/>
        </w:rPr>
        <w:t>Comorbidity.</w:t>
      </w:r>
      <w:r w:rsidRPr="0047058F">
        <w:rPr>
          <w:bCs/>
        </w:rPr>
        <w:t xml:space="preserve"> The occurrence of more than one disorder at the same time</w:t>
      </w:r>
      <w:r w:rsidRPr="0047058F">
        <w:t>. Comorbidity was defined by grouping any alcohol disorders, any affective disorders, any anxiety disorders (excluding PTSD), and PTSD according to their co-occurrence. In addition to a breakdown of the individual patterns of co-occurrence, five categories were defined representing those with no mental disorder, and those with one, two, three or four disorder categories.</w:t>
      </w:r>
    </w:p>
    <w:p w14:paraId="018F82B3" w14:textId="77777777" w:rsidR="00160459" w:rsidRPr="0047058F" w:rsidRDefault="00160459" w:rsidP="00160459">
      <w:r w:rsidRPr="0047058F">
        <w:rPr>
          <w:b/>
          <w:bCs/>
        </w:rPr>
        <w:t>Composite International Diagnostic Interview (CIDI).</w:t>
      </w:r>
      <w:r w:rsidRPr="0047058F">
        <w:t xml:space="preserve"> The World Mental Health Survey Initiative version of the World Health Organization’s Composite International Diagnostic Interview Version 3 (CIDI 3.0) (Kessler &amp; Ustun, 2004) provides an assessment of mental disorders based on the definitions and criteria of two classification systems: the </w:t>
      </w:r>
      <w:r w:rsidRPr="0047058F">
        <w:rPr>
          <w:i/>
        </w:rPr>
        <w:t>Diagnostic and Statistical Manual of Mental Disorders, Fourth Edition</w:t>
      </w:r>
      <w:r w:rsidRPr="0047058F">
        <w:t xml:space="preserve"> (DSM-IV) (American Psychiatric Association, 1994) and the World Health Organization’s International Statistical Classification of Diseases and Related Health Problems, 10th Revision (ICD-10) (World Health Organization, 1994). This instrument was used in phase 2 of the current research Programme.</w:t>
      </w:r>
    </w:p>
    <w:p w14:paraId="7995B064" w14:textId="77777777" w:rsidR="00160459" w:rsidRPr="0047058F" w:rsidRDefault="00160459" w:rsidP="00160459">
      <w:r w:rsidRPr="0047058F">
        <w:rPr>
          <w:b/>
        </w:rPr>
        <w:t>Confidence interval (CI).</w:t>
      </w:r>
      <w:r w:rsidRPr="0047058F">
        <w:t xml:space="preserve"> This measurement gives an estimated range of values that is likely to include an unknown population parameter – the estimated range being calculated from a given set of sample data.</w:t>
      </w:r>
    </w:p>
    <w:p w14:paraId="7E9CE256" w14:textId="77777777" w:rsidR="00160459" w:rsidRPr="0047058F" w:rsidRDefault="00160459" w:rsidP="00160459">
      <w:r w:rsidRPr="0047058F">
        <w:rPr>
          <w:b/>
        </w:rPr>
        <w:t>Department of Veterans’ Affairs (DVA).</w:t>
      </w:r>
      <w:r w:rsidRPr="0047058F">
        <w:t xml:space="preserve">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14:paraId="63A40C47" w14:textId="77777777" w:rsidR="00160459" w:rsidRPr="0047058F" w:rsidRDefault="00160459" w:rsidP="00160459">
      <w:r w:rsidRPr="0047058F">
        <w:rPr>
          <w:b/>
        </w:rPr>
        <w:t>Deployment status.</w:t>
      </w:r>
      <w:r w:rsidRPr="0047058F">
        <w:t xml:space="preserve"> The Mental Health and Wellbeing Transition Study defined deployment status, based on survey responses, as:</w:t>
      </w:r>
    </w:p>
    <w:p w14:paraId="2777F68E" w14:textId="77777777" w:rsidR="00160459" w:rsidRPr="0047058F" w:rsidRDefault="00160459" w:rsidP="00160459">
      <w:pPr>
        <w:pStyle w:val="Bullet"/>
        <w:numPr>
          <w:ilvl w:val="0"/>
          <w:numId w:val="1"/>
        </w:numPr>
        <w:ind w:left="360"/>
      </w:pPr>
      <w:r w:rsidRPr="0047058F">
        <w:rPr>
          <w:b/>
        </w:rPr>
        <w:t>Never deployed:</w:t>
      </w:r>
      <w:r w:rsidRPr="0047058F">
        <w:t xml:space="preserve"> Individuals who did not endorse any deployments listed in the self</w:t>
      </w:r>
      <w:r w:rsidRPr="0047058F">
        <w:noBreakHyphen/>
        <w:t>report survey (Your Military Career: Deployments) and did not endorse any deployment exposures (Your Military Career: Deployment Exposure)</w:t>
      </w:r>
    </w:p>
    <w:p w14:paraId="403A7B9B" w14:textId="77777777" w:rsidR="00160459" w:rsidRPr="0047058F" w:rsidRDefault="00160459" w:rsidP="00160459">
      <w:pPr>
        <w:pStyle w:val="Bullet"/>
        <w:numPr>
          <w:ilvl w:val="0"/>
          <w:numId w:val="1"/>
        </w:numPr>
        <w:ind w:left="360"/>
      </w:pPr>
      <w:r w:rsidRPr="0047058F">
        <w:rPr>
          <w:b/>
        </w:rPr>
        <w:t>Deployed:</w:t>
      </w:r>
      <w:r w:rsidRPr="0047058F">
        <w:t xml:space="preserve"> Individuals who endorsed one or more of the listed deployments (Your Military Career: Deployments) or endorsed one or more of the deployment exposures (Your Military Career: Deployment Exposure).</w:t>
      </w:r>
    </w:p>
    <w:p w14:paraId="1EA4B0DE" w14:textId="77777777" w:rsidR="00160459" w:rsidRPr="0047058F" w:rsidRDefault="00160459" w:rsidP="00160459">
      <w:r w:rsidRPr="0047058F">
        <w:rPr>
          <w:b/>
        </w:rPr>
        <w:t>Depressive episodes.</w:t>
      </w:r>
      <w:r w:rsidRPr="0047058F">
        <w:t xml:space="preserve"> Characteristic of a major depressive disorder, an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47058F">
        <w:rPr>
          <w:rFonts w:cs="@필기체"/>
        </w:rPr>
        <w:t xml:space="preserve"> Hierarchy rules were applied to depressive episodes, such that a person could not have met criteria for either a hypomanic or manic episode.</w:t>
      </w:r>
    </w:p>
    <w:p w14:paraId="2F21FA09" w14:textId="77777777" w:rsidR="00160459" w:rsidRPr="0047058F" w:rsidRDefault="00160459" w:rsidP="00160459">
      <w:r w:rsidRPr="0047058F">
        <w:rPr>
          <w:b/>
        </w:rPr>
        <w:t>Diagnostic criteria.</w:t>
      </w:r>
      <w:r w:rsidRPr="0047058F">
        <w:t xml:space="preserve"> The survey was designed to estimate the prevalence of common mental disorders defined according to clinical diagnostic criteria, as directed by the International Statistical Classification of Diseases and Related Health Problems, 10th Revision (ICD-10). Diagnostic criteria for a disorder usually involve specification of:</w:t>
      </w:r>
    </w:p>
    <w:p w14:paraId="4581E663" w14:textId="77777777" w:rsidR="00160459" w:rsidRPr="0047058F" w:rsidRDefault="00160459" w:rsidP="000A1090">
      <w:pPr>
        <w:pStyle w:val="Bullet"/>
        <w:numPr>
          <w:ilvl w:val="0"/>
          <w:numId w:val="1"/>
        </w:numPr>
        <w:spacing w:after="120"/>
        <w:ind w:left="360"/>
      </w:pPr>
      <w:r w:rsidRPr="0047058F">
        <w:t>the nature, number and combination of symptoms</w:t>
      </w:r>
    </w:p>
    <w:p w14:paraId="237049DF" w14:textId="77777777" w:rsidR="00160459" w:rsidRPr="0047058F" w:rsidRDefault="00160459" w:rsidP="000A1090">
      <w:pPr>
        <w:pStyle w:val="Bullet"/>
        <w:numPr>
          <w:ilvl w:val="0"/>
          <w:numId w:val="1"/>
        </w:numPr>
        <w:spacing w:after="120"/>
        <w:ind w:left="360"/>
      </w:pPr>
      <w:r w:rsidRPr="0047058F">
        <w:t>the time period over which the symptoms have been continuously experienced</w:t>
      </w:r>
    </w:p>
    <w:p w14:paraId="25CEA4B0" w14:textId="77777777" w:rsidR="00160459" w:rsidRPr="0047058F" w:rsidRDefault="00160459" w:rsidP="000A1090">
      <w:pPr>
        <w:pStyle w:val="Bullet"/>
        <w:numPr>
          <w:ilvl w:val="0"/>
          <w:numId w:val="1"/>
        </w:numPr>
        <w:spacing w:after="120"/>
        <w:ind w:left="360"/>
      </w:pPr>
      <w:r w:rsidRPr="0047058F">
        <w:t>the level of distress or impairment experienced</w:t>
      </w:r>
    </w:p>
    <w:p w14:paraId="0390C204" w14:textId="77777777" w:rsidR="00160459" w:rsidRPr="0047058F" w:rsidRDefault="00160459" w:rsidP="00160459">
      <w:pPr>
        <w:pStyle w:val="Bullet"/>
        <w:numPr>
          <w:ilvl w:val="0"/>
          <w:numId w:val="1"/>
        </w:numPr>
        <w:ind w:left="360"/>
      </w:pPr>
      <w:r w:rsidRPr="0047058F">
        <w:t>the circumstances for exclusion of a diagnosis, such as it being due to a general medical condition or the symptoms being associated with another mental disorder.</w:t>
      </w:r>
    </w:p>
    <w:p w14:paraId="636FD144" w14:textId="77777777" w:rsidR="00160459" w:rsidRPr="0047058F" w:rsidRDefault="00160459" w:rsidP="00160459">
      <w:pPr>
        <w:rPr>
          <w:rFonts w:cs="Arial"/>
        </w:rPr>
      </w:pPr>
      <w:r w:rsidRPr="0047058F">
        <w:rPr>
          <w:b/>
        </w:rPr>
        <w:t>Dimensions of Anger Reactions 5-item scale (DAR-5).</w:t>
      </w:r>
      <w:r w:rsidRPr="0047058F">
        <w:t xml:space="preserve"> A concise measure of anger consisting of five items that address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p>
    <w:p w14:paraId="53BC1849" w14:textId="77777777" w:rsidR="00160459" w:rsidRPr="0047058F" w:rsidRDefault="00160459" w:rsidP="00160459">
      <w:r w:rsidRPr="0047058F">
        <w:rPr>
          <w:b/>
        </w:rPr>
        <w:t>DVA client.</w:t>
      </w:r>
      <w:r w:rsidRPr="0047058F">
        <w:t xml:space="preserve"> A term used when referring to Department of Veterans’ Affairs (DVA) clients for the purpose of analyses.</w:t>
      </w:r>
    </w:p>
    <w:p w14:paraId="71FC88A6" w14:textId="77777777" w:rsidR="00160459" w:rsidRPr="0047058F" w:rsidRDefault="00160459" w:rsidP="00160459">
      <w:r w:rsidRPr="0047058F">
        <w:t>In constructing the DVA dataset for the Military and Veteran Research Study Roll, DVA created an indicator for assessing confidence in the accuracy of veterans’ address details, based on the level of DVA’s interaction with each veteran. Each of the following groups were considered a DVA client:</w:t>
      </w:r>
    </w:p>
    <w:p w14:paraId="00134A3C" w14:textId="77777777" w:rsidR="00160459" w:rsidRPr="0047058F" w:rsidRDefault="00160459" w:rsidP="00160459">
      <w:pPr>
        <w:pStyle w:val="Bullet"/>
        <w:numPr>
          <w:ilvl w:val="0"/>
          <w:numId w:val="1"/>
        </w:numPr>
        <w:ind w:left="360"/>
        <w:rPr>
          <w:rFonts w:asciiTheme="minorHAnsi" w:hAnsiTheme="minorHAnsi" w:cstheme="minorHAnsi"/>
        </w:rPr>
      </w:pPr>
      <w:r w:rsidRPr="0047058F">
        <w:t>High – where a veteran is in receipt of a fortnightly payment (such as income support or compensation pension) from DVA, it was a sign of regular ongoing contact with the client, and therefore DVA would have a high level of confidence that the client’s address would be up to date and correct.</w:t>
      </w:r>
    </w:p>
    <w:p w14:paraId="7F139212" w14:textId="77777777" w:rsidR="00160459" w:rsidRPr="0047058F" w:rsidRDefault="00160459" w:rsidP="00160459">
      <w:pPr>
        <w:pStyle w:val="Bullet"/>
        <w:numPr>
          <w:ilvl w:val="0"/>
          <w:numId w:val="1"/>
        </w:numPr>
        <w:ind w:left="360"/>
        <w:rPr>
          <w:rFonts w:asciiTheme="minorHAnsi" w:hAnsiTheme="minorHAnsi" w:cstheme="minorHAnsi"/>
          <w:color w:val="auto"/>
        </w:rPr>
      </w:pPr>
      <w:r w:rsidRPr="0047058F">
        <w:rPr>
          <w:color w:val="auto"/>
        </w:rPr>
        <w:t>Medium – where a veteran only holds a treatment card (i.e. does not also have an ongoing payment), there is a lower level of ongoing contact with the department, and therefore the level of confidence that DVA can assign to the accuracy of the client’s address is lower.</w:t>
      </w:r>
    </w:p>
    <w:p w14:paraId="2CD7B82C" w14:textId="77777777" w:rsidR="00160459" w:rsidRPr="0047058F" w:rsidRDefault="00160459" w:rsidP="00160459">
      <w:pPr>
        <w:pStyle w:val="Bullet"/>
        <w:numPr>
          <w:ilvl w:val="0"/>
          <w:numId w:val="1"/>
        </w:numPr>
        <w:ind w:left="360"/>
        <w:rPr>
          <w:color w:val="auto"/>
        </w:rPr>
      </w:pPr>
      <w:r w:rsidRPr="0047058F">
        <w:rPr>
          <w:color w:val="auto"/>
        </w:rPr>
        <w:t>Low – not all veterans who have their illness/injury liability claim accepted as service-related by DVA automatically receive a treatment card or pension payment; however, they would still be considered DVA clients.</w:t>
      </w:r>
    </w:p>
    <w:p w14:paraId="6AC14C5E" w14:textId="77777777" w:rsidR="00160459" w:rsidRPr="0047058F" w:rsidRDefault="00160459" w:rsidP="00160459">
      <w:r w:rsidRPr="0047058F">
        <w:t>For the purposes of this report, any individual in the study population who met the above criteria was flagged as a ‘DVA client’. Those with this flag were compared against those without this flag.</w:t>
      </w:r>
    </w:p>
    <w:p w14:paraId="149BB0EE" w14:textId="77777777" w:rsidR="00160459" w:rsidRPr="0047058F" w:rsidRDefault="00160459" w:rsidP="00160459">
      <w:r w:rsidRPr="0047058F">
        <w:rPr>
          <w:b/>
        </w:rPr>
        <w:t>Dysthymia.</w:t>
      </w:r>
      <w:r w:rsidRPr="0047058F">
        <w:t xml:space="preserve"> Characterised as a chronic or pervasive disturbance of mood, lasting several years, that is not sufficiently severe or in which the depressive episodes are not sufficiently prolonged to warrant a diagnosis of a recurrent depressive disorder. </w:t>
      </w:r>
      <w:r w:rsidRPr="0047058F">
        <w:rPr>
          <w:rFonts w:cs="@필기체"/>
        </w:rPr>
        <w:t>Hierarchy rules were applied to dysthymia such that in order to have this disorder, a person could not have met criteria for either a hypomanic or manic episode and could not have reported episodes of severe or moderate depression within the first two years of dysthymia.</w:t>
      </w:r>
    </w:p>
    <w:p w14:paraId="33DF5AD3" w14:textId="77777777" w:rsidR="00160459" w:rsidRPr="0047058F" w:rsidRDefault="00160459" w:rsidP="00160459">
      <w:pPr>
        <w:rPr>
          <w:color w:val="auto"/>
        </w:rPr>
      </w:pPr>
      <w:r w:rsidRPr="0047058F">
        <w:rPr>
          <w:b/>
          <w:color w:val="auto"/>
        </w:rPr>
        <w:t>Ex-service organisation.</w:t>
      </w:r>
      <w:r w:rsidRPr="0047058F">
        <w:rPr>
          <w:color w:val="auto"/>
        </w:rPr>
        <w:t xml:space="preserve"> Provides assistance to current and former ADF members. Services can include, but are not necessarily limited to, welfare support, help with DVA claims, and employment programs and social support.</w:t>
      </w:r>
    </w:p>
    <w:p w14:paraId="1AAC2B9E" w14:textId="0E2568F3" w:rsidR="00160459" w:rsidRPr="0047058F" w:rsidRDefault="00160459" w:rsidP="000A1090">
      <w:pPr>
        <w:keepLines/>
        <w:rPr>
          <w:color w:val="auto"/>
        </w:rPr>
      </w:pPr>
      <w:r w:rsidRPr="0047058F">
        <w:rPr>
          <w:b/>
          <w:color w:val="auto"/>
        </w:rPr>
        <w:t>Generalised anxiety disorder (GAD).</w:t>
      </w:r>
      <w:r w:rsidRPr="0047058F">
        <w:rPr>
          <w:color w:val="auto"/>
        </w:rPr>
        <w:t xml:space="preserve"> A generalised and persistent worry, anxiety or apprehension about everyday events and activities, lasting a minimum of six months, that is accompanied by anxiety symptoms as described </w:t>
      </w:r>
      <w:r w:rsidR="005F13FA">
        <w:rPr>
          <w:color w:val="auto"/>
        </w:rPr>
        <w:t>under</w:t>
      </w:r>
      <w:r w:rsidRPr="0047058F">
        <w:rPr>
          <w:color w:val="auto"/>
        </w:rPr>
        <w:t xml:space="preserve"> ‘agoraphobia’. Other symptoms may include symptoms of tension, such as inability to relax and muscle tension, and other non-specific symptoms, such as irritability and difficulty in concentrating.</w:t>
      </w:r>
    </w:p>
    <w:p w14:paraId="5A121381" w14:textId="77777777" w:rsidR="00160459" w:rsidRPr="0047058F" w:rsidRDefault="00160459" w:rsidP="00160459">
      <w:pPr>
        <w:rPr>
          <w:color w:val="auto"/>
        </w:rPr>
      </w:pPr>
      <w:r w:rsidRPr="0047058F">
        <w:rPr>
          <w:b/>
          <w:color w:val="auto"/>
        </w:rPr>
        <w:t>Generalised Anxiety Disorder 7-item scale (GAD-7).</w:t>
      </w:r>
      <w:r w:rsidRPr="0047058F">
        <w:rPr>
          <w:color w:val="auto"/>
        </w:rPr>
        <w:t xml:space="preserve"> A brief seven-item screening measure based on the </w:t>
      </w:r>
      <w:r w:rsidRPr="0047058F">
        <w:rPr>
          <w:i/>
          <w:color w:val="auto"/>
        </w:rPr>
        <w:t>Diagnostic and Statistical Manual of Mental Disorders, Fourth Edition</w:t>
      </w:r>
      <w:r w:rsidRPr="0047058F">
        <w:rPr>
          <w:color w:val="auto"/>
        </w:rPr>
        <w:t xml:space="preserve"> (DSM-IV) criteria for generalised anxiety disorder. Originally validated for use in primary care, the GAD-7 performs well in detecting probable cases of the disorder, </w:t>
      </w:r>
      <w:r w:rsidRPr="0047058F">
        <w:rPr>
          <w:rFonts w:cs="Arial"/>
          <w:color w:val="auto"/>
        </w:rPr>
        <w:t>with a sensitivity of 89% and a specificity of 82%.</w:t>
      </w:r>
    </w:p>
    <w:p w14:paraId="0283242B" w14:textId="77777777" w:rsidR="00160459" w:rsidRPr="0047058F" w:rsidRDefault="00160459" w:rsidP="00160459">
      <w:pPr>
        <w:rPr>
          <w:color w:val="auto"/>
        </w:rPr>
      </w:pPr>
      <w:r w:rsidRPr="0047058F">
        <w:rPr>
          <w:b/>
          <w:color w:val="auto"/>
        </w:rPr>
        <w:t>Gold Card.</w:t>
      </w:r>
      <w:r w:rsidRPr="0047058F">
        <w:rPr>
          <w:color w:val="auto"/>
        </w:rPr>
        <w:t xml:space="preserve"> A </w:t>
      </w:r>
      <w:r w:rsidRPr="0047058F">
        <w:rPr>
          <w:bCs/>
          <w:color w:val="auto"/>
        </w:rPr>
        <w:t xml:space="preserve">DVA health card for all conditions. </w:t>
      </w:r>
      <w:r w:rsidRPr="0047058F">
        <w:rPr>
          <w:color w:val="auto"/>
        </w:rPr>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14:paraId="7C0F3319" w14:textId="77777777" w:rsidR="00160459" w:rsidRPr="0047058F" w:rsidRDefault="00160459" w:rsidP="00160459">
      <w:r w:rsidRPr="0047058F">
        <w:rPr>
          <w:b/>
        </w:rPr>
        <w:t>Help-seeking latency.</w:t>
      </w:r>
      <w:r w:rsidRPr="0047058F">
        <w:t xml:space="preserve"> The delay in time between first becoming concerned about a health problem and first seeking help for that problem. To assess </w:t>
      </w:r>
      <w:bookmarkStart w:id="793" w:name="_Hlk489449686"/>
      <w:r w:rsidRPr="0047058F">
        <w:t xml:space="preserve">help-seeking latency </w:t>
      </w:r>
      <w:bookmarkEnd w:id="793"/>
      <w:r w:rsidRPr="0047058F">
        <w:t>in the study, participants were asked to indicate when they first sought help for their own mental health. Options included ‘within three months of becoming concerned’ or ‘within one year of becoming concerned’. Alternatively, participants were able to specify the number of years since becoming concerned. This item was developed by researchers for use in the study.</w:t>
      </w:r>
    </w:p>
    <w:p w14:paraId="6E28501A" w14:textId="77777777" w:rsidR="00160459" w:rsidRPr="0047058F" w:rsidRDefault="00160459" w:rsidP="00160459">
      <w:r w:rsidRPr="0047058F">
        <w:rPr>
          <w:b/>
        </w:rPr>
        <w:t>Hypomanic episodes.</w:t>
      </w:r>
      <w:r w:rsidRPr="0047058F">
        <w:t xml:space="preserve"> Episodes that last at least four consecutive days and are considered abnormal to the individual. These episodes are characterised by increased activity, talkativeness, elevated mood, disrupted concentration, decreased need for sleep and disrupted judgement, manifesting as risk-taking (for example, mild spending sprees). In a subgroup of people, these disorders are particularly characterised by irritability. </w:t>
      </w:r>
      <w:r w:rsidRPr="0047058F">
        <w:rPr>
          <w:rFonts w:cs="@필기체"/>
        </w:rPr>
        <w:t xml:space="preserve">To meet criteria for the ‘with hierarchy’ </w:t>
      </w:r>
      <w:r w:rsidRPr="0047058F">
        <w:t>version</w:t>
      </w:r>
      <w:r w:rsidRPr="0047058F">
        <w:rPr>
          <w:rFonts w:cs="@필기체"/>
        </w:rPr>
        <w:t>, the person cannot have met criteria for an episode of mania.</w:t>
      </w:r>
    </w:p>
    <w:p w14:paraId="1B95D655" w14:textId="77777777" w:rsidR="00160459" w:rsidRPr="0047058F" w:rsidRDefault="00160459" w:rsidP="00160459">
      <w:pPr>
        <w:rPr>
          <w:rFonts w:eastAsia="MS ??"/>
        </w:rPr>
      </w:pPr>
      <w:r w:rsidRPr="0047058F">
        <w:rPr>
          <w:rFonts w:eastAsia="MS ??"/>
          <w:b/>
        </w:rPr>
        <w:t>Kessler Psychological Distress 10-item scale (K10).</w:t>
      </w:r>
      <w:r w:rsidRPr="0047058F">
        <w:rPr>
          <w:rFonts w:eastAsia="MS ??"/>
        </w:rPr>
        <w:t xml:space="preserve"> </w:t>
      </w:r>
      <w:r w:rsidRPr="0047058F">
        <w:t>A short 10-item screening questionnaire that yields a global measure of psychological distress based on symptoms of anxiety and depression experienced in the most recent four-week period. Items are scored from 1 to 5 and are summed to give a total score of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(Slade et al., 2009).</w:t>
      </w:r>
    </w:p>
    <w:p w14:paraId="5E4C291C" w14:textId="77777777" w:rsidR="00160459" w:rsidRPr="0047058F" w:rsidRDefault="00160459" w:rsidP="00160459">
      <w:r w:rsidRPr="0047058F">
        <w:rPr>
          <w:b/>
        </w:rPr>
        <w:t>Lifetime prevalence.</w:t>
      </w:r>
      <w:r w:rsidRPr="0047058F">
        <w:t xml:space="preserve"> A prevalence that meets diagnostic criteria for a mental disorder at any point in the respondent’s lifetime.</w:t>
      </w:r>
    </w:p>
    <w:p w14:paraId="2AD1F3C9" w14:textId="77777777" w:rsidR="00160459" w:rsidRPr="0047058F" w:rsidRDefault="00160459" w:rsidP="00160459">
      <w:r w:rsidRPr="0047058F">
        <w:rPr>
          <w:b/>
        </w:rPr>
        <w:t>Lifetime trauma.</w:t>
      </w:r>
      <w:r w:rsidRPr="0047058F">
        <w:t xml:space="preserve"> Exposure questions used in this study were drawn from the PTSD module of the Composite International Diagnostic Interview (Haro et al., 2006).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14:paraId="53822CFA" w14:textId="77777777" w:rsidR="00160459" w:rsidRPr="0047058F" w:rsidRDefault="00160459" w:rsidP="00160459">
      <w:r w:rsidRPr="0047058F">
        <w:rPr>
          <w:b/>
        </w:rPr>
        <w:t>Mania.</w:t>
      </w:r>
      <w:r w:rsidRPr="0047058F">
        <w:t xml:space="preserve"> Similar to hypomania but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14:paraId="44044D2F" w14:textId="77777777" w:rsidR="00160459" w:rsidRPr="0047058F" w:rsidRDefault="00160459" w:rsidP="00160459">
      <w:r w:rsidRPr="0047058F">
        <w:rPr>
          <w:b/>
        </w:rPr>
        <w:t>Medical discharge.</w:t>
      </w:r>
      <w:r w:rsidRPr="0047058F">
        <w:t xml:space="preserve"> The involuntary termination of the ADF member’s employment on the grounds of permanent or at least long-term unfitness to serve, or unfitness for deployment to operational (warlike) service.</w:t>
      </w:r>
    </w:p>
    <w:p w14:paraId="7411E029" w14:textId="77777777" w:rsidR="00160459" w:rsidRPr="0047058F" w:rsidRDefault="00160459" w:rsidP="00160459">
      <w:r w:rsidRPr="0047058F">
        <w:rPr>
          <w:b/>
        </w:rPr>
        <w:t>Medical Employment Classification (MEC).</w:t>
      </w:r>
      <w:r w:rsidRPr="0047058F">
        <w:t xml:space="preserve"> An administrative process designed to monitor physical fitness and medical standards in the ADF. The MEC is divided into four levels (either current or on discharge from Regular ADF service):</w:t>
      </w:r>
    </w:p>
    <w:p w14:paraId="6CD167CC" w14:textId="77777777" w:rsidR="00160459" w:rsidRPr="0047058F" w:rsidRDefault="00160459" w:rsidP="00160459">
      <w:pPr>
        <w:pStyle w:val="Bullet"/>
        <w:numPr>
          <w:ilvl w:val="0"/>
          <w:numId w:val="1"/>
        </w:numPr>
        <w:ind w:left="360"/>
        <w:rPr>
          <w:lang w:eastAsia="en-AU"/>
        </w:rPr>
      </w:pPr>
      <w:r w:rsidRPr="0047058F">
        <w:rPr>
          <w:b/>
          <w:lang w:eastAsia="en-AU"/>
        </w:rPr>
        <w:t>MEC 1:</w:t>
      </w:r>
      <w:r w:rsidRPr="0047058F">
        <w:t xml:space="preserve"> </w:t>
      </w:r>
      <w:r w:rsidRPr="0047058F">
        <w:rPr>
          <w:lang w:eastAsia="en-AU"/>
        </w:rPr>
        <w:t>Members who are medically fit for employment in a deployed or seagoing environment without restriction.</w:t>
      </w:r>
    </w:p>
    <w:p w14:paraId="3887F452" w14:textId="77777777" w:rsidR="00160459" w:rsidRPr="0047058F" w:rsidRDefault="00160459" w:rsidP="00160459">
      <w:pPr>
        <w:pStyle w:val="Bullet"/>
        <w:numPr>
          <w:ilvl w:val="0"/>
          <w:numId w:val="1"/>
        </w:numPr>
        <w:ind w:left="360"/>
        <w:rPr>
          <w:lang w:eastAsia="en-AU"/>
        </w:rPr>
      </w:pPr>
      <w:r w:rsidRPr="0047058F">
        <w:rPr>
          <w:b/>
          <w:lang w:eastAsia="en-AU"/>
        </w:rPr>
        <w:t>MEC 2:</w:t>
      </w:r>
      <w:r w:rsidRPr="0047058F">
        <w:t xml:space="preserve"> </w:t>
      </w:r>
      <w:r w:rsidRPr="0047058F">
        <w:rPr>
          <w:lang w:eastAsia="en-AU"/>
        </w:rPr>
        <w:t>Members with medical conditions that require access to various levels of medical support or employment restrictions. However, they remain medically fit for duty in their occupation in a deployed or seagoing environment. In allocating subclassifications of MEC 2, access to the level of medical support will always take precedence over specified employment restrictions.</w:t>
      </w:r>
    </w:p>
    <w:p w14:paraId="52B4C754" w14:textId="77777777" w:rsidR="00160459" w:rsidRPr="0047058F" w:rsidRDefault="00160459" w:rsidP="00160459">
      <w:pPr>
        <w:pStyle w:val="Bullet"/>
        <w:numPr>
          <w:ilvl w:val="0"/>
          <w:numId w:val="1"/>
        </w:numPr>
        <w:ind w:left="360"/>
        <w:rPr>
          <w:lang w:eastAsia="en-AU"/>
        </w:rPr>
      </w:pPr>
      <w:r w:rsidRPr="0047058F">
        <w:rPr>
          <w:b/>
          <w:lang w:eastAsia="en-AU"/>
        </w:rPr>
        <w:t>MEC 3:</w:t>
      </w:r>
      <w:r w:rsidRPr="0047058F">
        <w:t xml:space="preserve"> </w:t>
      </w:r>
      <w:r w:rsidRPr="0047058F">
        <w:rPr>
          <w:lang w:eastAsia="en-AU"/>
        </w:rPr>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status is to be reviewed. If still medically unfit for military duties in any operational environment, they are to be downgraded to MEC 4 or, if appropriate, referred to a </w:t>
      </w:r>
      <w:bookmarkStart w:id="794" w:name="_Hlk489452661"/>
      <w:r w:rsidRPr="0047058F">
        <w:rPr>
          <w:lang w:eastAsia="en-AU"/>
        </w:rPr>
        <w:t xml:space="preserve">Medical Employment Classification Review Board </w:t>
      </w:r>
      <w:bookmarkEnd w:id="794"/>
      <w:r w:rsidRPr="0047058F">
        <w:rPr>
          <w:lang w:eastAsia="en-AU"/>
        </w:rPr>
        <w:t>(MECRB) for consideration of an extension to remain at MEC 3.</w:t>
      </w:r>
    </w:p>
    <w:p w14:paraId="7C4FBDAD" w14:textId="4CEA4BD3" w:rsidR="00160459" w:rsidRPr="0047058F" w:rsidRDefault="00160459" w:rsidP="00160459">
      <w:pPr>
        <w:pStyle w:val="Bullet"/>
        <w:numPr>
          <w:ilvl w:val="0"/>
          <w:numId w:val="1"/>
        </w:numPr>
        <w:ind w:left="360"/>
      </w:pPr>
      <w:r w:rsidRPr="0047058F">
        <w:rPr>
          <w:b/>
        </w:rPr>
        <w:t>MEC 4:</w:t>
      </w:r>
      <w:r w:rsidRPr="0047058F">
        <w:t xml:space="preserve"> Members who are medically unfit for deployment or seagoing service in the long term. Members who are classified as MEC 4 for their military occupation will be subject to review and confirmation of their classification by a</w:t>
      </w:r>
      <w:r w:rsidR="00CA166C">
        <w:t>n</w:t>
      </w:r>
      <w:r w:rsidRPr="0047058F">
        <w:t xml:space="preserve"> MECRB.</w:t>
      </w:r>
    </w:p>
    <w:p w14:paraId="1A2C7FB9" w14:textId="77777777" w:rsidR="00160459" w:rsidRPr="0047058F" w:rsidRDefault="00160459" w:rsidP="00160459">
      <w:pPr>
        <w:rPr>
          <w:rFonts w:asciiTheme="majorHAnsi" w:hAnsiTheme="majorHAnsi"/>
          <w:b/>
        </w:rPr>
      </w:pPr>
      <w:r w:rsidRPr="0047058F">
        <w:rPr>
          <w:b/>
        </w:rPr>
        <w:t>Medical fitness.</w:t>
      </w:r>
      <w:r w:rsidRPr="0047058F">
        <w:t xml:space="preserve"> A status defined as:</w:t>
      </w:r>
    </w:p>
    <w:p w14:paraId="382CA902" w14:textId="77777777" w:rsidR="00160459" w:rsidRPr="0047058F" w:rsidRDefault="00160459" w:rsidP="00160459">
      <w:pPr>
        <w:pStyle w:val="Bullet"/>
        <w:numPr>
          <w:ilvl w:val="0"/>
          <w:numId w:val="1"/>
        </w:numPr>
        <w:ind w:left="360"/>
      </w:pPr>
      <w:r w:rsidRPr="0047058F">
        <w:rPr>
          <w:b/>
        </w:rPr>
        <w:t>Fit:</w:t>
      </w:r>
      <w:r w:rsidRPr="0047058F">
        <w:t xml:space="preserve"> Those who are categorised as fully employable and deployable, or deployable with restrictions. Participants are classified as ‘fit’ if they fall into MEC 1 or 2 as described above, or are assigned a perturbed MEC value of ‘fit’.</w:t>
      </w:r>
    </w:p>
    <w:p w14:paraId="245C9289" w14:textId="4C37E65A" w:rsidR="00160459" w:rsidRPr="0047058F" w:rsidRDefault="00160459" w:rsidP="00160459">
      <w:pPr>
        <w:pStyle w:val="Bullet"/>
        <w:numPr>
          <w:ilvl w:val="0"/>
          <w:numId w:val="1"/>
        </w:numPr>
        <w:ind w:left="360"/>
      </w:pPr>
      <w:r w:rsidRPr="0047058F">
        <w:rPr>
          <w:b/>
        </w:rPr>
        <w:t>Unfit:</w:t>
      </w:r>
      <w:r w:rsidRPr="0047058F">
        <w:t xml:space="preserve"> Those not fit for deployment, their original occupation and/or further service. This can include those undergoing rehabilitation or transitioning to alternative return-to-work arrangements or in the process of medically separating from the ADF. Participants are classified as ‘unfit’ if they fall into MEC 3 or 4 as described above, or are assigned a perturbed MEC value of ‘</w:t>
      </w:r>
      <w:r w:rsidR="00200DE1">
        <w:t>u</w:t>
      </w:r>
      <w:r w:rsidRPr="0047058F">
        <w:t>nfit’.</w:t>
      </w:r>
    </w:p>
    <w:p w14:paraId="0E6E5F53" w14:textId="77777777" w:rsidR="00160459" w:rsidRPr="0047058F" w:rsidRDefault="00160459" w:rsidP="00160459">
      <w:r w:rsidRPr="0047058F">
        <w:rPr>
          <w:b/>
        </w:rPr>
        <w:t>Mental disorders.</w:t>
      </w:r>
      <w:r w:rsidRPr="0047058F">
        <w:t xml:space="preserve"> Defined according to the detailed diagnostic criteria within the World Health Organization’s International Statistical Classification of Diseases and Related Health Problems, 10th Revision (ICD-10). This publication reports data for ICD-10 criteria.</w:t>
      </w:r>
    </w:p>
    <w:p w14:paraId="3B4BA68E" w14:textId="77777777" w:rsidR="00160459" w:rsidRPr="0047058F" w:rsidRDefault="00160459" w:rsidP="00160459">
      <w:r w:rsidRPr="0047058F">
        <w:rPr>
          <w:b/>
        </w:rPr>
        <w:t>Mental Health Prevalence and Wellbeing Study (MHPWS).</w:t>
      </w:r>
      <w:r w:rsidRPr="0047058F">
        <w:t xml:space="preserve"> A 2010 study that was part of the </w:t>
      </w:r>
      <w:bookmarkStart w:id="795" w:name="_Hlk489455109"/>
      <w:r w:rsidRPr="0047058F">
        <w:t>Military Health Outcomes Program</w:t>
      </w:r>
      <w:bookmarkEnd w:id="795"/>
      <w:r w:rsidRPr="0047058F">
        <w:t>, the first comprehensive investigation of the mental health of serving ADF members.</w:t>
      </w:r>
    </w:p>
    <w:p w14:paraId="6041604A" w14:textId="77777777" w:rsidR="00160459" w:rsidRPr="0047058F" w:rsidRDefault="00160459" w:rsidP="00B81778">
      <w:pPr>
        <w:keepLines/>
      </w:pPr>
      <w:r w:rsidRPr="0047058F">
        <w:rPr>
          <w:b/>
        </w:rPr>
        <w:t>Middle East Area of Operations (MEAO).</w:t>
      </w:r>
      <w:r w:rsidRPr="0047058F">
        <w:t xml:space="preserve"> Australia’s military involvement in Afghanistan and Iraq is often referred to as the Middle East Area of Operations. Thousands of members have deployed to the MEAO since 2001, with many completing multiple tours of duty. The Transition and Wellbeing Research Programme will build on the Military Health Outcomes Program, which detailed the prevalence of mental disorder in serving ADF members.</w:t>
      </w:r>
    </w:p>
    <w:p w14:paraId="4717D465" w14:textId="77777777" w:rsidR="00160459" w:rsidRPr="0047058F" w:rsidRDefault="00160459" w:rsidP="00160459">
      <w:r w:rsidRPr="0047058F">
        <w:rPr>
          <w:b/>
        </w:rPr>
        <w:t>Military and Veteran Research Study Roll.</w:t>
      </w:r>
      <w:r w:rsidRPr="0047058F">
        <w:t xml:space="preserve"> Participants’ contact details and demographic information were obtained via the creation of a study roll by the Australian Institute of Health and Welfare. This process involved integrating contact information from the following sources:</w:t>
      </w:r>
    </w:p>
    <w:p w14:paraId="783BF48A" w14:textId="77777777" w:rsidR="00160459" w:rsidRPr="0047058F" w:rsidRDefault="00160459" w:rsidP="000A1090">
      <w:pPr>
        <w:pStyle w:val="Bullet"/>
        <w:numPr>
          <w:ilvl w:val="0"/>
          <w:numId w:val="1"/>
        </w:numPr>
        <w:spacing w:after="120"/>
        <w:ind w:left="360"/>
      </w:pPr>
      <w:r w:rsidRPr="0047058F">
        <w:t>Defence’s Personnel Management Key Solution (PMKeyS) database</w:t>
      </w:r>
    </w:p>
    <w:p w14:paraId="2F2147C6" w14:textId="77777777" w:rsidR="00160459" w:rsidRPr="0047058F" w:rsidRDefault="00160459" w:rsidP="000A1090">
      <w:pPr>
        <w:pStyle w:val="Bullet"/>
        <w:numPr>
          <w:ilvl w:val="0"/>
          <w:numId w:val="1"/>
        </w:numPr>
        <w:spacing w:after="120"/>
        <w:ind w:left="360"/>
      </w:pPr>
      <w:r w:rsidRPr="0047058F">
        <w:t>DVA client databases</w:t>
      </w:r>
    </w:p>
    <w:p w14:paraId="2ACB314D" w14:textId="77777777" w:rsidR="00160459" w:rsidRPr="0047058F" w:rsidRDefault="00160459" w:rsidP="000A1090">
      <w:pPr>
        <w:pStyle w:val="Bullet"/>
        <w:numPr>
          <w:ilvl w:val="0"/>
          <w:numId w:val="1"/>
        </w:numPr>
        <w:spacing w:after="120"/>
        <w:ind w:left="360"/>
      </w:pPr>
      <w:r w:rsidRPr="0047058F">
        <w:t>National Death Index</w:t>
      </w:r>
    </w:p>
    <w:p w14:paraId="502F1D8E" w14:textId="77777777" w:rsidR="00160459" w:rsidRPr="0047058F" w:rsidRDefault="00160459" w:rsidP="000A1090">
      <w:pPr>
        <w:pStyle w:val="Bullet"/>
        <w:numPr>
          <w:ilvl w:val="0"/>
          <w:numId w:val="1"/>
        </w:numPr>
        <w:spacing w:after="120"/>
        <w:ind w:left="360"/>
      </w:pPr>
      <w:r w:rsidRPr="0047058F">
        <w:t>ComSuper member database</w:t>
      </w:r>
    </w:p>
    <w:p w14:paraId="3A8DAE79" w14:textId="77777777" w:rsidR="00160459" w:rsidRPr="0047058F" w:rsidRDefault="00160459" w:rsidP="00160459">
      <w:pPr>
        <w:pStyle w:val="Bullet"/>
        <w:numPr>
          <w:ilvl w:val="0"/>
          <w:numId w:val="1"/>
        </w:numPr>
        <w:ind w:left="360"/>
      </w:pPr>
      <w:r w:rsidRPr="0047058F">
        <w:t>Military Health Outcomes Program (MilHOP) dataset.</w:t>
      </w:r>
    </w:p>
    <w:p w14:paraId="686B2249" w14:textId="77777777" w:rsidR="00160459" w:rsidRPr="0047058F" w:rsidRDefault="00160459" w:rsidP="00160459">
      <w:r w:rsidRPr="0047058F">
        <w:rPr>
          <w:b/>
        </w:rPr>
        <w:t>Military Health Outcomes Program (MilHOP).</w:t>
      </w:r>
      <w:r w:rsidRPr="0047058F">
        <w:t xml:space="preserve"> A program that investigated the prevalence of mental disorders among serving ADF members in 2010, as well as deployment-related health issues for those deployed to the Middle East Area of Operations. The Transition and Wellbeing Research Programme addresses a number of gaps identified following the MilHOP, including the mental health of Reservists, ex-serving members and ADF members in high-risk roles, as well as the trajectory of disorder and pathways to care for individuals previously identified with a mental disorder in 2010.</w:t>
      </w:r>
    </w:p>
    <w:p w14:paraId="710F2B8D" w14:textId="77777777" w:rsidR="00160459" w:rsidRPr="0047058F" w:rsidRDefault="00160459" w:rsidP="00160459">
      <w:r w:rsidRPr="0047058F">
        <w:rPr>
          <w:b/>
        </w:rPr>
        <w:t>National Death Index (NDI).</w:t>
      </w:r>
      <w:r w:rsidRPr="0047058F">
        <w:t xml:space="preserve"> A Commonwealth database that contains records of deaths registered in Australia since 1980. Data comes from the Registry of Births, Deaths and Marriages in each jurisdiction, the National Coronial Information System and the Australian Bureau of Statistics. Before contacting participants, the Military and Veteran Research Study Roll was cross-checked against the NDI to ensure we did not attempt to approach deceased members.</w:t>
      </w:r>
    </w:p>
    <w:p w14:paraId="6E06A2AD" w14:textId="77777777" w:rsidR="00160459" w:rsidRPr="0047058F" w:rsidRDefault="00160459" w:rsidP="00160459">
      <w:pPr>
        <w:rPr>
          <w:rFonts w:cs="@필기체"/>
          <w:color w:val="262626"/>
        </w:rPr>
      </w:pPr>
      <w:r w:rsidRPr="0047058F">
        <w:rPr>
          <w:b/>
        </w:rPr>
        <w:t>National Health and Medical Research Council (NHMRC).</w:t>
      </w:r>
      <w:r w:rsidRPr="0047058F">
        <w:t xml:space="preserve"> Australia’s peak funding body for medical research. The NHMRC has funded previous investigations undertaken by the Centre </w:t>
      </w:r>
      <w:r w:rsidRPr="0047058F">
        <w:rPr>
          <w:rFonts w:cs="Calibri"/>
        </w:rPr>
        <w:t>for Traumatic Stress Studies</w:t>
      </w:r>
      <w:r w:rsidRPr="0047058F">
        <w:t>.</w:t>
      </w:r>
    </w:p>
    <w:p w14:paraId="0F9BBAC4" w14:textId="77777777" w:rsidR="00160459" w:rsidRPr="0047058F" w:rsidRDefault="00160459" w:rsidP="00B81778">
      <w:pPr>
        <w:keepLines/>
        <w:rPr>
          <w:rFonts w:cs="@필기체"/>
          <w:color w:val="auto"/>
        </w:rPr>
      </w:pPr>
      <w:r w:rsidRPr="0047058F">
        <w:rPr>
          <w:rFonts w:cs="@필기체"/>
          <w:b/>
          <w:color w:val="auto"/>
        </w:rPr>
        <w:t>National Health Survey (NHS).</w:t>
      </w:r>
      <w:r w:rsidRPr="0047058F">
        <w:rPr>
          <w:rFonts w:cs="@필기체"/>
          <w:color w:val="auto"/>
        </w:rPr>
        <w:t xml:space="preserve"> The </w:t>
      </w:r>
      <w:r w:rsidRPr="0047058F">
        <w:rPr>
          <w:color w:val="auto"/>
        </w:rPr>
        <w:t>2014</w:t>
      </w:r>
      <w:r w:rsidRPr="0047058F">
        <w:t>–2015 National Health Survey is the most recent in a series of Australia-wide ABS health surveys, assessing various aspects of the health of Australians, including long-term health conditions, health risk factors, and health service use.</w:t>
      </w:r>
    </w:p>
    <w:p w14:paraId="6458A4AD" w14:textId="77777777" w:rsidR="00160459" w:rsidRPr="0047058F" w:rsidRDefault="00160459" w:rsidP="00160459">
      <w:r w:rsidRPr="0047058F">
        <w:rPr>
          <w:b/>
        </w:rPr>
        <w:t>Obsessive-compulsive disorder (OCD).</w:t>
      </w:r>
      <w:r w:rsidRPr="0047058F">
        <w:t xml:space="preserve"> A disorder characterised by obsessional thoughts (ideas, images, impulses) or compulsive acts (ritualised behaviour). These thoughts and acts are often distressing and typically cannot be avoided, despite the sufferer recognising their ineffectiveness.</w:t>
      </w:r>
    </w:p>
    <w:p w14:paraId="37B278E2" w14:textId="77777777" w:rsidR="00160459" w:rsidRPr="0047058F" w:rsidRDefault="00160459" w:rsidP="00160459">
      <w:r w:rsidRPr="0047058F">
        <w:rPr>
          <w:b/>
        </w:rPr>
        <w:t>Optimal epidemiological cut-off.</w:t>
      </w:r>
      <w:r w:rsidRPr="0047058F">
        <w:t xml:space="preserve">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Composite International Diagnostic Interview and should be used to monitor disorder trends.</w:t>
      </w:r>
    </w:p>
    <w:p w14:paraId="54D44F7D" w14:textId="77777777" w:rsidR="00160459" w:rsidRPr="0047058F" w:rsidRDefault="00160459" w:rsidP="00160459">
      <w:r w:rsidRPr="0047058F">
        <w:rPr>
          <w:b/>
        </w:rPr>
        <w:t>Optimal screening cut-off.</w:t>
      </w:r>
      <w:r w:rsidRPr="0047058F">
        <w:t xml:space="preserve"> The value that maximises the sum of the sensitivity and specificity (the proportion of those with and without a disease who are correctly classified). This cut-off can be used to identify individuals who might need further care.</w:t>
      </w:r>
    </w:p>
    <w:p w14:paraId="6FFA62FF" w14:textId="77777777" w:rsidR="00160459" w:rsidRPr="0047058F" w:rsidRDefault="00160459" w:rsidP="00160459">
      <w:r w:rsidRPr="0047058F">
        <w:rPr>
          <w:b/>
        </w:rPr>
        <w:t>Panic attack.</w:t>
      </w:r>
      <w:r w:rsidRPr="0047058F">
        <w:t xml:space="preserve"> Sudden onset of extreme fear or anxiety, often accompanied by palpitations, chest pain, choking sensations, dizziness, and sometimes feelings of unreality, fear of dying, losing control or going mad.</w:t>
      </w:r>
    </w:p>
    <w:p w14:paraId="73B4C2C0" w14:textId="77777777" w:rsidR="00160459" w:rsidRPr="0047058F" w:rsidRDefault="00160459" w:rsidP="00160459">
      <w:r w:rsidRPr="0047058F">
        <w:rPr>
          <w:b/>
        </w:rPr>
        <w:t>Panic disorder.</w:t>
      </w:r>
      <w:r w:rsidRPr="0047058F">
        <w:t xml:space="preserve"> Recurrent panic attacks that are unpredictable in nature.</w:t>
      </w:r>
    </w:p>
    <w:p w14:paraId="78A0322A" w14:textId="77777777" w:rsidR="00160459" w:rsidRPr="0047058F" w:rsidRDefault="00160459" w:rsidP="00160459">
      <w:pPr>
        <w:rPr>
          <w:rFonts w:cs="Arial"/>
          <w:color w:val="auto"/>
        </w:rPr>
      </w:pPr>
      <w:r w:rsidRPr="0047058F">
        <w:rPr>
          <w:b/>
          <w:color w:val="auto"/>
        </w:rPr>
        <w:t>Patient Health Questionnaire 9-item scale (PHQ-9).</w:t>
      </w:r>
      <w:r w:rsidRPr="0047058F">
        <w:rPr>
          <w:color w:val="auto"/>
        </w:rPr>
        <w:t xml:space="preserve"> Self-reported depression was </w:t>
      </w:r>
      <w:r w:rsidRPr="0047058F">
        <w:t xml:space="preserve">examined </w:t>
      </w:r>
      <w:r w:rsidRPr="0047058F">
        <w:rPr>
          <w:color w:val="auto"/>
        </w:rPr>
        <w:t>using the PHQ-9. The nine items of the PHQ-9 are scored from 0 to 3 and summed to give a total score of between 0 and 27. The PHQ-9 provides various levels of diagnostic severity,</w:t>
      </w:r>
      <w:r w:rsidRPr="0047058F">
        <w:rPr>
          <w:rFonts w:cs="Arial"/>
          <w:color w:val="auto"/>
        </w:rPr>
        <w:t xml:space="preserve"> with higher scores indicating higher levels of depression symptoms.</w:t>
      </w:r>
    </w:p>
    <w:p w14:paraId="18597021" w14:textId="77777777" w:rsidR="00A678A8" w:rsidRPr="0047058F" w:rsidRDefault="00A678A8" w:rsidP="00A678A8">
      <w:pPr>
        <w:rPr>
          <w:rFonts w:eastAsia="MS ??"/>
        </w:rPr>
      </w:pPr>
      <w:r w:rsidRPr="0047058F">
        <w:rPr>
          <w:rFonts w:eastAsia="MS ??"/>
          <w:b/>
        </w:rPr>
        <w:t>Personnel Management Key Solution (PMKeyS).</w:t>
      </w:r>
      <w:r w:rsidRPr="0047058F">
        <w:t xml:space="preserve"> An integrated human resource management system that provides the ADF with a single source of personnel management information. PMKeyS manages information about the entire ADF workforce – Navy, Army and Air Force.</w:t>
      </w:r>
    </w:p>
    <w:p w14:paraId="34B15D2F" w14:textId="1489BD8A" w:rsidR="00160459" w:rsidRPr="0047058F" w:rsidRDefault="00160459" w:rsidP="00160459">
      <w:pPr>
        <w:rPr>
          <w:rFonts w:asciiTheme="minorHAnsi" w:eastAsia="MS ??" w:hAnsiTheme="minorHAnsi" w:cstheme="minorHAnsi"/>
          <w:color w:val="auto"/>
        </w:rPr>
      </w:pPr>
      <w:r w:rsidRPr="0047058F">
        <w:rPr>
          <w:b/>
        </w:rPr>
        <w:t>Pharmaceutical Benefits Scheme (PBS).</w:t>
      </w:r>
      <w:r w:rsidRPr="0047058F">
        <w:t xml:space="preserve"> The PBS began as a limited scheme in 1948, offering free medicines for pensioners and a </w:t>
      </w:r>
      <w:r w:rsidRPr="0047058F">
        <w:rPr>
          <w:color w:val="auto"/>
        </w:rPr>
        <w:t xml:space="preserve">list of 139 ‘life-saving and disease-preventing’ medicines free to other members of the community. Today, the PBS provides timely, reliable and affordable access to necessary medicines for all Australians. The PBS is part of the Australian Government’s broader National Medicines Policy. Healthcare utilisation and cost data, </w:t>
      </w:r>
      <w:r w:rsidR="00C46FAA">
        <w:rPr>
          <w:color w:val="auto"/>
        </w:rPr>
        <w:t>including</w:t>
      </w:r>
      <w:r w:rsidRPr="0047058F">
        <w:rPr>
          <w:color w:val="auto"/>
        </w:rPr>
        <w:t xml:space="preserve"> Pharmaceutical Benefits Scheme/Repatriation Pharmaceutical Benefits Scheme data</w:t>
      </w:r>
      <w:r w:rsidR="00C46FAA">
        <w:rPr>
          <w:color w:val="auto"/>
        </w:rPr>
        <w:t>,</w:t>
      </w:r>
      <w:r w:rsidRPr="0047058F">
        <w:rPr>
          <w:color w:val="auto"/>
        </w:rPr>
        <w:t xml:space="preserve"> were obtained for consenting serving and ex-serving ADF members as part of the current program of research.</w:t>
      </w:r>
    </w:p>
    <w:p w14:paraId="1350AB85" w14:textId="77777777" w:rsidR="00160459" w:rsidRPr="0047058F" w:rsidRDefault="00160459" w:rsidP="00160459">
      <w:r w:rsidRPr="0047058F">
        <w:rPr>
          <w:b/>
        </w:rPr>
        <w:t>Posttraumatic stress disorder (PTSD).</w:t>
      </w:r>
      <w:r w:rsidRPr="0047058F">
        <w:rPr>
          <w:rFonts w:eastAsia="MS ??"/>
          <w:color w:val="262626"/>
        </w:rPr>
        <w:t xml:space="preserve"> </w:t>
      </w:r>
      <w:r w:rsidRPr="0047058F">
        <w:rPr>
          <w:color w:val="262626"/>
        </w:rPr>
        <w:t xml:space="preserve">A </w:t>
      </w:r>
      <w:r w:rsidRPr="0047058F">
        <w:t>stress reaction to an exceptionally threatening or traumatic event that would cause pervasive distress in almost anyone. Symptoms are categorised into three groups: re-experiencing memories or flashbacks, avoidance symptoms, and either hyperarousal symptoms (increased arousal and sensitivity to cues) or inability to recall important parts of the experience.</w:t>
      </w:r>
    </w:p>
    <w:p w14:paraId="18D0BFD2" w14:textId="77777777" w:rsidR="00160459" w:rsidRPr="0047058F" w:rsidRDefault="00160459" w:rsidP="00160459">
      <w:pPr>
        <w:rPr>
          <w:rFonts w:eastAsia="MS ??"/>
        </w:rPr>
      </w:pPr>
      <w:r w:rsidRPr="0047058F">
        <w:rPr>
          <w:b/>
        </w:rPr>
        <w:t>Posttraumatic Stress Disorder Checklist – civilian version (PCL-C).</w:t>
      </w:r>
      <w:r w:rsidRPr="0047058F">
        <w:t xml:space="preserve"> A 17-item self-report measure designed to assess the symptomatic criteria of PTSD according to the </w:t>
      </w:r>
      <w:r w:rsidRPr="0047058F">
        <w:rPr>
          <w:i/>
        </w:rPr>
        <w:t>Diagnostic and Statistical Manual of Mental Disorders, Fourth Edition</w:t>
      </w:r>
      <w:r w:rsidRPr="0047058F">
        <w:t xml:space="preserve"> (DSM-IV).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p>
    <w:p w14:paraId="24F36AAF" w14:textId="6F9CC383" w:rsidR="00160459" w:rsidRPr="0047058F" w:rsidRDefault="00160459" w:rsidP="00160459">
      <w:r w:rsidRPr="0047058F">
        <w:rPr>
          <w:b/>
        </w:rPr>
        <w:t>Prevalence of mental disorders.</w:t>
      </w:r>
      <w:r w:rsidRPr="0047058F">
        <w:t xml:space="preserve"> The proportion of people in a given population who meet diagnostic criteria for any mental disorder in a given time frame. (</w:t>
      </w:r>
      <w:r w:rsidRPr="00801EA3">
        <w:rPr>
          <w:i/>
        </w:rPr>
        <w:t>See also</w:t>
      </w:r>
      <w:r w:rsidRPr="0047058F">
        <w:t xml:space="preserve"> ‘twelve</w:t>
      </w:r>
      <w:r w:rsidR="00CA166C">
        <w:t>-</w:t>
      </w:r>
      <w:r w:rsidRPr="0047058F">
        <w:t>month prevalence’ and ‘lifetime prevalence’.)</w:t>
      </w:r>
    </w:p>
    <w:p w14:paraId="295084EE" w14:textId="77777777" w:rsidR="00160459" w:rsidRPr="0047058F" w:rsidRDefault="00160459" w:rsidP="00160459">
      <w:r w:rsidRPr="0047058F">
        <w:rPr>
          <w:b/>
        </w:rPr>
        <w:t>Probable mental disorder.</w:t>
      </w:r>
      <w:r w:rsidRPr="0047058F">
        <w:t xml:space="preserve"> Where probable rates of mental disorder are presented, these are based on self-report epidemiological cut-offs.</w:t>
      </w:r>
    </w:p>
    <w:p w14:paraId="110871A2" w14:textId="77777777" w:rsidR="00160459" w:rsidRPr="0047058F" w:rsidRDefault="00160459" w:rsidP="00160459">
      <w:r w:rsidRPr="0047058F">
        <w:rPr>
          <w:b/>
        </w:rPr>
        <w:t>Rank status.</w:t>
      </w:r>
      <w:r w:rsidRPr="0047058F">
        <w:t xml:space="preserve"> Three levels of rank were used in the Mental Health and Wellbeing Transition Study:</w:t>
      </w:r>
    </w:p>
    <w:p w14:paraId="0BFC1F28" w14:textId="67DCFD4A" w:rsidR="00160459" w:rsidRPr="0047058F" w:rsidRDefault="00160459" w:rsidP="00160459">
      <w:pPr>
        <w:pStyle w:val="Bullet"/>
        <w:numPr>
          <w:ilvl w:val="0"/>
          <w:numId w:val="1"/>
        </w:numPr>
        <w:ind w:left="360"/>
      </w:pPr>
      <w:r w:rsidRPr="0047058F">
        <w:rPr>
          <w:b/>
        </w:rPr>
        <w:t>Commissioned Officer</w:t>
      </w:r>
      <w:r w:rsidR="00A46A87">
        <w:rPr>
          <w:b/>
        </w:rPr>
        <w:t xml:space="preserve"> (referred to as ‘Officers’ in current report)</w:t>
      </w:r>
      <w:r w:rsidRPr="0047058F">
        <w:rPr>
          <w:b/>
        </w:rPr>
        <w:t>:</w:t>
      </w:r>
      <w:r w:rsidRPr="0047058F">
        <w:t xml:space="preserve"> Senior Commissioned Officers (Commander, Lieutenant Colonel, Wing Commander and above) and Commissioned Officers (Lieutenant Commander, Major, Squadron Leader and more junior ranks)</w:t>
      </w:r>
    </w:p>
    <w:p w14:paraId="62440A0F" w14:textId="35EBFF3B" w:rsidR="00160459" w:rsidRPr="0047058F" w:rsidRDefault="00160459" w:rsidP="00160459">
      <w:pPr>
        <w:pStyle w:val="Bullet"/>
        <w:numPr>
          <w:ilvl w:val="0"/>
          <w:numId w:val="1"/>
        </w:numPr>
        <w:ind w:left="360"/>
      </w:pPr>
      <w:r w:rsidRPr="0047058F">
        <w:rPr>
          <w:b/>
        </w:rPr>
        <w:t>Non-Commissioned Officer</w:t>
      </w:r>
      <w:r w:rsidR="00A46A87">
        <w:rPr>
          <w:b/>
        </w:rPr>
        <w:t xml:space="preserve"> (NCO)</w:t>
      </w:r>
      <w:r w:rsidRPr="0047058F">
        <w:rPr>
          <w:b/>
        </w:rPr>
        <w:t>:</w:t>
      </w:r>
      <w:r w:rsidRPr="0047058F">
        <w:t xml:space="preserve"> Senior Non-Commissioned Officers (Petty Officer, Sergeant and more senior ranks), and Junior Non-Commissioned Officers (Leading Seaman, Corporal and more junior ranks)</w:t>
      </w:r>
    </w:p>
    <w:p w14:paraId="6742DB0E" w14:textId="77777777" w:rsidR="00160459" w:rsidRPr="0047058F" w:rsidRDefault="00160459" w:rsidP="00160459">
      <w:pPr>
        <w:pStyle w:val="Bullet"/>
        <w:numPr>
          <w:ilvl w:val="0"/>
          <w:numId w:val="1"/>
        </w:numPr>
        <w:ind w:left="360"/>
      </w:pPr>
      <w:r w:rsidRPr="0047058F">
        <w:rPr>
          <w:b/>
        </w:rPr>
        <w:t>Other Ranks:</w:t>
      </w:r>
      <w:r w:rsidRPr="0047058F">
        <w:t xml:space="preserve"> Able Seaman, Seaman, Private, Leading Aircraftman, Aircraftman or equivalent.</w:t>
      </w:r>
    </w:p>
    <w:p w14:paraId="0ADAA0B9" w14:textId="77777777" w:rsidR="00160459" w:rsidRPr="0047058F" w:rsidRDefault="00160459" w:rsidP="00B81778">
      <w:pPr>
        <w:keepNext/>
      </w:pPr>
      <w:r w:rsidRPr="0047058F">
        <w:rPr>
          <w:rFonts w:eastAsia="Cambria"/>
          <w:b/>
        </w:rPr>
        <w:t>Reason for discharge.</w:t>
      </w:r>
      <w:r w:rsidRPr="0047058F">
        <w:t xml:space="preserve"> The reason for transitioning out of the ADF. In the Transition and Wellbeing Research Programme, the reason for discharge was derived from responses on the self-report survey, and classified accordingly:</w:t>
      </w:r>
    </w:p>
    <w:p w14:paraId="00549D9F" w14:textId="77777777" w:rsidR="00160459" w:rsidRPr="0047058F" w:rsidRDefault="00160459" w:rsidP="00160459">
      <w:pPr>
        <w:pStyle w:val="Bullet"/>
        <w:numPr>
          <w:ilvl w:val="0"/>
          <w:numId w:val="1"/>
        </w:numPr>
        <w:ind w:left="360"/>
      </w:pPr>
      <w:r w:rsidRPr="0047058F">
        <w:rPr>
          <w:b/>
        </w:rPr>
        <w:t>Medical discharge:</w:t>
      </w:r>
      <w:r w:rsidRPr="0047058F">
        <w:t xml:space="preserve"> Involuntary termination of the ADF member’s employment on the grounds of permanent or at least long-term unfitness to serve, or unfitness for deployment to operational (warlike) service</w:t>
      </w:r>
    </w:p>
    <w:p w14:paraId="492F8A05" w14:textId="77777777" w:rsidR="00160459" w:rsidRPr="0047058F" w:rsidRDefault="00160459" w:rsidP="00160459">
      <w:pPr>
        <w:pStyle w:val="Bullet"/>
        <w:numPr>
          <w:ilvl w:val="0"/>
          <w:numId w:val="1"/>
        </w:numPr>
        <w:ind w:left="360"/>
      </w:pPr>
      <w:r w:rsidRPr="0047058F">
        <w:rPr>
          <w:b/>
        </w:rPr>
        <w:t>Other:</w:t>
      </w:r>
      <w:r w:rsidRPr="0047058F">
        <w:t xml:space="preserve"> 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47058F">
        <w:noBreakHyphen/>
        <w:t>voluntary administrative discharge.</w:t>
      </w:r>
    </w:p>
    <w:p w14:paraId="3FCEB091" w14:textId="3D0E4337" w:rsidR="00160459" w:rsidRPr="0047058F" w:rsidRDefault="00160459" w:rsidP="00160459">
      <w:r w:rsidRPr="0047058F">
        <w:rPr>
          <w:b/>
        </w:rPr>
        <w:t>Repatriation Pharmaceutical Benefits Scheme (RPBS).</w:t>
      </w:r>
      <w:r w:rsidRPr="0047058F">
        <w:t xml:space="preserve"> The benefits listed in the RPBS can only be prescribed for Department of Veterans’ Affairs beneficiaries who hold a Gold, White or Orange Card. Healthcare utilisation and cost data, </w:t>
      </w:r>
      <w:r w:rsidR="00C46FAA">
        <w:t>including</w:t>
      </w:r>
      <w:r w:rsidRPr="0047058F">
        <w:t xml:space="preserve"> Pharmaceutical Benefits Scheme/Repatriation Pharmaceutical Benefits Scheme data, were obtained for consenting serving and ex-serving ADF members as part of the current program of research.</w:t>
      </w:r>
    </w:p>
    <w:p w14:paraId="77588F3A" w14:textId="77777777" w:rsidR="00160459" w:rsidRPr="0047058F" w:rsidRDefault="00160459" w:rsidP="00160459">
      <w:pPr>
        <w:keepNext/>
      </w:pPr>
      <w:r w:rsidRPr="0047058F">
        <w:rPr>
          <w:b/>
        </w:rPr>
        <w:t>Service status.</w:t>
      </w:r>
      <w:r w:rsidRPr="0047058F">
        <w:t xml:space="preserve"> The ADF comprises:</w:t>
      </w:r>
    </w:p>
    <w:p w14:paraId="1B7B9B22" w14:textId="77777777" w:rsidR="00160459" w:rsidRPr="0047058F" w:rsidRDefault="00160459" w:rsidP="00160459">
      <w:pPr>
        <w:pStyle w:val="Bullet"/>
        <w:numPr>
          <w:ilvl w:val="0"/>
          <w:numId w:val="1"/>
        </w:numPr>
        <w:ind w:left="360"/>
      </w:pPr>
      <w:r w:rsidRPr="0047058F">
        <w:rPr>
          <w:b/>
        </w:rPr>
        <w:t>the Royal Australian Navy:</w:t>
      </w:r>
      <w:r w:rsidRPr="0047058F">
        <w:t xml:space="preserve"> A maritime force that contributes to regional security, supports global interests, shapes the strategic environment and protects national interests</w:t>
      </w:r>
    </w:p>
    <w:p w14:paraId="6FFB32F4" w14:textId="77777777" w:rsidR="00160459" w:rsidRPr="0047058F" w:rsidRDefault="00160459" w:rsidP="00160459">
      <w:pPr>
        <w:pStyle w:val="Bullet"/>
        <w:numPr>
          <w:ilvl w:val="0"/>
          <w:numId w:val="1"/>
        </w:numPr>
        <w:ind w:left="360"/>
      </w:pPr>
      <w:r w:rsidRPr="0047058F">
        <w:rPr>
          <w:b/>
        </w:rPr>
        <w:t>the Australian Army:</w:t>
      </w:r>
      <w:r w:rsidRPr="0047058F">
        <w:t xml:space="preserve"> The military land force, a potent, versatile and modern army that contributes to the security of Australia, protecting its interests and people</w:t>
      </w:r>
    </w:p>
    <w:p w14:paraId="12DE9F0C" w14:textId="77777777" w:rsidR="00160459" w:rsidRPr="0047058F" w:rsidRDefault="00160459" w:rsidP="00160459">
      <w:pPr>
        <w:pStyle w:val="Bullet"/>
        <w:numPr>
          <w:ilvl w:val="0"/>
          <w:numId w:val="1"/>
        </w:numPr>
        <w:ind w:left="360"/>
      </w:pPr>
      <w:r w:rsidRPr="0047058F">
        <w:rPr>
          <w:b/>
        </w:rPr>
        <w:t>the Royal Australian Air Force:</w:t>
      </w:r>
      <w:r w:rsidRPr="0047058F">
        <w:t xml:space="preserve"> Provides immediate and responsive military options across the spectrum of operations as part of a whole-of-government joint or coalition response, either from Australia or deployment overseas. The Air Force does this through its key air power roles – control of the air; precision strikes; intelligence, surveillance and responses; and air mobility – enabled by combat and operational support.</w:t>
      </w:r>
    </w:p>
    <w:p w14:paraId="01885220" w14:textId="77777777" w:rsidR="00160459" w:rsidRPr="0047058F" w:rsidRDefault="00160459" w:rsidP="00160459">
      <w:r w:rsidRPr="0047058F">
        <w:rPr>
          <w:b/>
        </w:rPr>
        <w:t>Social phobia.</w:t>
      </w:r>
      <w:r w:rsidRPr="0047058F">
        <w:t xml:space="preserve"> The marked fear or avoidance of being the centre of attention or in situations where it is possible to behave in a humiliating or embarrassing way, accompanied by anxiety symptoms, as well as either blushing, fear of vomiting, or fear of defecation or micturition.</w:t>
      </w:r>
    </w:p>
    <w:p w14:paraId="65C34308" w14:textId="77777777" w:rsidR="00160459" w:rsidRPr="0047058F" w:rsidRDefault="00160459" w:rsidP="00160459">
      <w:r w:rsidRPr="0047058F">
        <w:rPr>
          <w:b/>
        </w:rPr>
        <w:t>Specific phobia.</w:t>
      </w:r>
      <w:r w:rsidRPr="0047058F">
        <w:t xml:space="preserve"> The marked fear or avoidance of a specific object or situation, such as animals, birds, insects, heights, thunder, flying, small enclosed spaces, sight of blood or injury, injections, and dentists or hospitals, and accompanied by anxiety symptoms as described under ‘agoraphobia’.</w:t>
      </w:r>
    </w:p>
    <w:p w14:paraId="0EEF6699" w14:textId="09E06056" w:rsidR="00160459" w:rsidRPr="0047058F" w:rsidRDefault="00160459" w:rsidP="00160459">
      <w:pPr>
        <w:rPr>
          <w:rFonts w:eastAsia="Times New Roman"/>
          <w:lang w:eastAsia="en-GB"/>
        </w:rPr>
      </w:pPr>
      <w:r w:rsidRPr="0047058F">
        <w:rPr>
          <w:b/>
        </w:rPr>
        <w:t>Stratification.</w:t>
      </w:r>
      <w:r w:rsidRPr="0047058F">
        <w:t xml:space="preserve"> Grouping outcomes by variables of interest. In</w:t>
      </w:r>
      <w:r w:rsidR="00CA166C">
        <w:t xml:space="preserve"> the </w:t>
      </w:r>
      <w:r w:rsidR="00CA166C" w:rsidRPr="00922165">
        <w:rPr>
          <w:i/>
        </w:rPr>
        <w:t>Mental Health Prevalence</w:t>
      </w:r>
      <w:r w:rsidR="00CA166C" w:rsidRPr="00C21B68">
        <w:rPr>
          <w:i/>
        </w:rPr>
        <w:t xml:space="preserve"> </w:t>
      </w:r>
      <w:r w:rsidRPr="00801EA3">
        <w:rPr>
          <w:i/>
        </w:rPr>
        <w:t>Report</w:t>
      </w:r>
      <w:r w:rsidRPr="0047058F">
        <w:t xml:space="preserve"> </w:t>
      </w:r>
      <w:r w:rsidR="00CA166C" w:rsidRPr="00922165">
        <w:t>(Van Hooff et al., 2018)</w:t>
      </w:r>
      <w:r w:rsidRPr="0047058F">
        <w:t>, 12-month diagnosable mental disorder and self-reported suicidality were stratified by age, sex, rank, Service, years of service in the Regular ADF, deployment status, transition status, years since transition, reason for transition, and DVA client status.</w:t>
      </w:r>
    </w:p>
    <w:p w14:paraId="113FAE9D" w14:textId="77777777" w:rsidR="00160459" w:rsidRPr="0047058F" w:rsidRDefault="00160459" w:rsidP="00160459">
      <w:r w:rsidRPr="0047058F">
        <w:rPr>
          <w:b/>
        </w:rPr>
        <w:t>Study Roll.</w:t>
      </w:r>
      <w:r w:rsidRPr="0047058F">
        <w:t xml:space="preserve"> </w:t>
      </w:r>
      <w:r w:rsidRPr="0047058F">
        <w:rPr>
          <w:i/>
        </w:rPr>
        <w:t>see</w:t>
      </w:r>
      <w:r w:rsidRPr="0047058F">
        <w:t xml:space="preserve"> Military and Veteran Research Study Roll.</w:t>
      </w:r>
    </w:p>
    <w:p w14:paraId="531A64E5" w14:textId="77777777" w:rsidR="00160459" w:rsidRPr="0047058F" w:rsidRDefault="00160459" w:rsidP="00160459">
      <w:r w:rsidRPr="0047058F">
        <w:rPr>
          <w:b/>
        </w:rPr>
        <w:t>Subsyndromal disorder.</w:t>
      </w:r>
      <w:r w:rsidRPr="0047058F">
        <w:rPr>
          <w:rFonts w:cs="Times"/>
          <w:color w:val="2D2F32"/>
        </w:rPr>
        <w:t xml:space="preserve"> C</w:t>
      </w:r>
      <w:r w:rsidRPr="0047058F">
        <w:t>haracterised by or exhibiting symptoms that are not severe enough for diagnosis as a clinically recognised syndrome.</w:t>
      </w:r>
    </w:p>
    <w:p w14:paraId="369D974F" w14:textId="77777777" w:rsidR="00160459" w:rsidRPr="0047058F" w:rsidRDefault="00160459" w:rsidP="00160459">
      <w:pPr>
        <w:rPr>
          <w:color w:val="auto"/>
        </w:rPr>
      </w:pPr>
      <w:r w:rsidRPr="0047058F">
        <w:rPr>
          <w:b/>
        </w:rPr>
        <w:t>Suicidal ideation.</w:t>
      </w:r>
      <w:r w:rsidRPr="0047058F">
        <w:t xml:space="preserve"> Serious thoughts about taking one’s own life.</w:t>
      </w:r>
    </w:p>
    <w:p w14:paraId="56C27DAD" w14:textId="77777777" w:rsidR="00160459" w:rsidRPr="0047058F" w:rsidRDefault="00160459" w:rsidP="00160459">
      <w:r w:rsidRPr="0047058F">
        <w:rPr>
          <w:b/>
        </w:rPr>
        <w:t>Suicidality.</w:t>
      </w:r>
      <w:r w:rsidRPr="0047058F">
        <w:t xml:space="preserve"> Suicidal ideation (serious thoughts about taking one’s own life), and suicide plans and attempts.</w:t>
      </w:r>
    </w:p>
    <w:p w14:paraId="7E5C36BA" w14:textId="77777777" w:rsidR="00160459" w:rsidRPr="0047058F" w:rsidRDefault="00160459" w:rsidP="00160459">
      <w:r w:rsidRPr="0047058F">
        <w:rPr>
          <w:b/>
        </w:rPr>
        <w:t>Transitioned ADF members.</w:t>
      </w:r>
      <w:r w:rsidRPr="0047058F">
        <w:t xml:space="preserve"> ADF members who have left military service. For the purpose of the current study, this includes all ADF members who transitioned from the Regular ADF between 2010 and 2014, including those who transitioned into the Active Reserves and Inactive Reserves.</w:t>
      </w:r>
    </w:p>
    <w:p w14:paraId="32AC7874" w14:textId="77777777" w:rsidR="00160459" w:rsidRPr="0047058F" w:rsidRDefault="00160459" w:rsidP="00160459">
      <w:r w:rsidRPr="0047058F">
        <w:rPr>
          <w:b/>
        </w:rPr>
        <w:t>Transitioned status.</w:t>
      </w:r>
      <w:r w:rsidRPr="0047058F">
        <w:t xml:space="preserve"> Transitioned ADF members were categorised into one of three groups, which broadly represented their level of continued association and contact with Defence and their potential access to support services provided by Defence:</w:t>
      </w:r>
    </w:p>
    <w:p w14:paraId="1D95CFC9" w14:textId="77777777" w:rsidR="00160459" w:rsidRPr="0047058F" w:rsidRDefault="00160459" w:rsidP="00160459">
      <w:pPr>
        <w:pStyle w:val="Bullet"/>
        <w:numPr>
          <w:ilvl w:val="0"/>
          <w:numId w:val="1"/>
        </w:numPr>
        <w:ind w:left="360"/>
      </w:pPr>
      <w:r w:rsidRPr="0047058F">
        <w:rPr>
          <w:b/>
        </w:rPr>
        <w:t>Ex-Serving:</w:t>
      </w:r>
      <w:r w:rsidRPr="0047058F">
        <w:t xml:space="preserve"> A person who was a Regular ADF member before 2010, has since transitioned out of the ADF and is no longer engaged with Defence in a Reservist role. The individual is classified as discharged from Defence</w:t>
      </w:r>
    </w:p>
    <w:p w14:paraId="17511D1A" w14:textId="77777777" w:rsidR="00160459" w:rsidRPr="0047058F" w:rsidRDefault="00160459" w:rsidP="00160459">
      <w:pPr>
        <w:pStyle w:val="Bullet"/>
        <w:numPr>
          <w:ilvl w:val="0"/>
          <w:numId w:val="1"/>
        </w:numPr>
        <w:ind w:left="360"/>
      </w:pPr>
      <w:r w:rsidRPr="0047058F">
        <w:rPr>
          <w:b/>
        </w:rPr>
        <w:t>Inactive Reservist:</w:t>
      </w:r>
      <w:r w:rsidRPr="0047058F">
        <w:t xml:space="preserve"> A person who was a Regular ADF member before 2010, but has since transitioned into an Inactive Reservist role</w:t>
      </w:r>
    </w:p>
    <w:p w14:paraId="1DD62213" w14:textId="77777777" w:rsidR="00160459" w:rsidRPr="0047058F" w:rsidRDefault="00160459" w:rsidP="00160459">
      <w:pPr>
        <w:pStyle w:val="Bullet"/>
        <w:numPr>
          <w:ilvl w:val="0"/>
          <w:numId w:val="1"/>
        </w:numPr>
        <w:ind w:left="360"/>
      </w:pPr>
      <w:r w:rsidRPr="0047058F">
        <w:rPr>
          <w:b/>
        </w:rPr>
        <w:t>Active Reservist:</w:t>
      </w:r>
      <w:r w:rsidRPr="0047058F">
        <w:t xml:space="preserve"> A person who was a Regular ADF member before 2010, but has since transitioned into an Active Reservist role.</w:t>
      </w:r>
    </w:p>
    <w:p w14:paraId="3AE5EC26" w14:textId="77777777" w:rsidR="00160459" w:rsidRPr="0047058F" w:rsidRDefault="00160459" w:rsidP="00160459">
      <w:pPr>
        <w:pStyle w:val="Bullet"/>
        <w:numPr>
          <w:ilvl w:val="0"/>
          <w:numId w:val="0"/>
        </w:numPr>
      </w:pPr>
      <w:r w:rsidRPr="0047058F">
        <w:rPr>
          <w:b/>
        </w:rPr>
        <w:t>Twelve-month prevalence.</w:t>
      </w:r>
      <w:r w:rsidRPr="0047058F">
        <w:t xml:space="preserve"> Meeting diagnostic criteria for a lifetime ICD-10 mental disorder and then having reported symptoms in the 12 months before the interview.</w:t>
      </w:r>
    </w:p>
    <w:p w14:paraId="21A13EF4" w14:textId="77777777" w:rsidR="00160459" w:rsidRPr="0047058F" w:rsidRDefault="00160459" w:rsidP="00160459">
      <w:r w:rsidRPr="0047058F">
        <w:rPr>
          <w:b/>
        </w:rPr>
        <w:t>Two-phase design.</w:t>
      </w:r>
      <w:r w:rsidRPr="0047058F">
        <w:t xml:space="preserve"> 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w:t>
      </w:r>
    </w:p>
    <w:p w14:paraId="41F8E59E" w14:textId="77777777" w:rsidR="00160459" w:rsidRPr="0047058F" w:rsidRDefault="00160459" w:rsidP="00160459">
      <w:r w:rsidRPr="0047058F">
        <w:rPr>
          <w:b/>
          <w:shd w:val="clear" w:color="auto" w:fill="FFFFFF"/>
        </w:rPr>
        <w:t>Veterans’</w:t>
      </w:r>
      <w:r w:rsidRPr="0047058F">
        <w:t xml:space="preserve"> </w:t>
      </w:r>
      <w:r w:rsidRPr="0047058F">
        <w:rPr>
          <w:b/>
          <w:shd w:val="clear" w:color="auto" w:fill="FFFFFF"/>
        </w:rPr>
        <w:t>health cards.</w:t>
      </w:r>
      <w:r w:rsidRPr="0047058F">
        <w:rPr>
          <w:shd w:val="clear" w:color="auto" w:fill="FFFFFF"/>
        </w:rPr>
        <w:t xml:space="preserve"> </w:t>
      </w:r>
      <w:r w:rsidRPr="0047058F">
        <w:t>DVA, on behalf of the Australian Government, uses health cards as a convenient method for veterans, war widows/widowers and their eligible dependants to access health and other care services. Arrangements are based on providing access to clinically appropriate treatment that is evidence-based. There are Gold, White and Orange</w:t>
      </w:r>
      <w:r w:rsidRPr="0047058F" w:rsidDel="004331E7">
        <w:t xml:space="preserve"> </w:t>
      </w:r>
      <w:r w:rsidRPr="0047058F">
        <w:t>Cards.</w:t>
      </w:r>
    </w:p>
    <w:p w14:paraId="048DA31D" w14:textId="77777777" w:rsidR="00160459" w:rsidRPr="0047058F" w:rsidRDefault="00160459" w:rsidP="00160459">
      <w:r w:rsidRPr="0047058F">
        <w:rPr>
          <w:b/>
          <w:shd w:val="clear" w:color="auto" w:fill="FFFFFF"/>
        </w:rPr>
        <w:t>Weighting.</w:t>
      </w:r>
      <w:r w:rsidRPr="0047058F">
        <w:t xml:space="preserve"> Allowing for the inference of results for the entire population. Weighting involved allocating a representative value or ‘weight’ to the data for each responder, based on key variables. The weight indicated how many individuals in the entire population were represented by each responder. Weighting was applied to:</w:t>
      </w:r>
    </w:p>
    <w:p w14:paraId="48B7324D" w14:textId="77777777" w:rsidR="00160459" w:rsidRPr="0047058F" w:rsidRDefault="00160459" w:rsidP="00160459">
      <w:pPr>
        <w:pStyle w:val="Bullet"/>
        <w:numPr>
          <w:ilvl w:val="0"/>
          <w:numId w:val="1"/>
        </w:numPr>
        <w:ind w:left="360"/>
      </w:pPr>
      <w:r w:rsidRPr="0047058F">
        <w:t>correct for differential non-response</w:t>
      </w:r>
    </w:p>
    <w:p w14:paraId="3711989A" w14:textId="77777777" w:rsidR="00160459" w:rsidRPr="0047058F" w:rsidRDefault="00160459" w:rsidP="00160459">
      <w:pPr>
        <w:pStyle w:val="Bullet"/>
        <w:numPr>
          <w:ilvl w:val="0"/>
          <w:numId w:val="1"/>
        </w:numPr>
        <w:ind w:left="360"/>
      </w:pPr>
      <w:r w:rsidRPr="0047058F">
        <w:t>adjust for any systematic biases in the responders (for example, oversampling of high scorers for the Composite International Diagnostic Interview).</w:t>
      </w:r>
    </w:p>
    <w:p w14:paraId="3918239D" w14:textId="77777777" w:rsidR="00160459" w:rsidRPr="0047058F" w:rsidRDefault="00160459" w:rsidP="00160459">
      <w:r w:rsidRPr="0047058F">
        <w:rPr>
          <w:b/>
        </w:rPr>
        <w:t>White Card.</w:t>
      </w:r>
      <w:r w:rsidRPr="0047058F">
        <w:t xml:space="preserve"> A </w:t>
      </w:r>
      <w:r w:rsidRPr="0047058F">
        <w:rPr>
          <w:bCs/>
        </w:rPr>
        <w:t>DVA health card for specific conditions</w:t>
      </w:r>
      <w:r w:rsidRPr="0047058F">
        <w:t>. A White Card entitles the holder to care and treatment for:</w:t>
      </w:r>
    </w:p>
    <w:p w14:paraId="6E1B0570" w14:textId="77777777" w:rsidR="00160459" w:rsidRPr="0047058F" w:rsidRDefault="00160459" w:rsidP="00160459">
      <w:pPr>
        <w:pStyle w:val="Bullet"/>
        <w:numPr>
          <w:ilvl w:val="0"/>
          <w:numId w:val="1"/>
        </w:numPr>
        <w:ind w:left="360"/>
      </w:pPr>
      <w:r w:rsidRPr="0047058F">
        <w:t>injuries or conditions that are accepted as being caused by war or service-related</w:t>
      </w:r>
    </w:p>
    <w:p w14:paraId="1DAC9DDD" w14:textId="77777777" w:rsidR="00160459" w:rsidRPr="0047058F" w:rsidRDefault="00160459" w:rsidP="00160459">
      <w:pPr>
        <w:pStyle w:val="Bullet"/>
        <w:numPr>
          <w:ilvl w:val="0"/>
          <w:numId w:val="1"/>
        </w:numPr>
        <w:ind w:left="360"/>
      </w:pPr>
      <w:r w:rsidRPr="0047058F">
        <w:t>malignant cancer, pulmonary tuberculosis, PTSD, anxiety and/or depression, whether or not it was caused by war</w:t>
      </w:r>
    </w:p>
    <w:p w14:paraId="0230EAA6" w14:textId="77777777" w:rsidR="00160459" w:rsidRPr="0047058F" w:rsidRDefault="00160459" w:rsidP="00160459">
      <w:pPr>
        <w:pStyle w:val="Bullet"/>
        <w:numPr>
          <w:ilvl w:val="0"/>
          <w:numId w:val="1"/>
        </w:numPr>
        <w:ind w:left="360"/>
      </w:pPr>
      <w:r w:rsidRPr="0047058F">
        <w:t>symptoms of unidentifiable conditions that arise within 15 years of service (other than peacetime service).</w:t>
      </w:r>
    </w:p>
    <w:p w14:paraId="29A6A119" w14:textId="77777777" w:rsidR="00160459" w:rsidRPr="0047058F" w:rsidRDefault="00160459" w:rsidP="00160459">
      <w:r w:rsidRPr="0047058F">
        <w:t>Services covered by a White Card are the same as those for a Gold Card, but must be for treatment of conditions that are accepted as being caused by war or service-related.</w:t>
      </w:r>
    </w:p>
    <w:p w14:paraId="787EF7CD" w14:textId="77777777" w:rsidR="00160459" w:rsidRPr="0047058F" w:rsidRDefault="00160459" w:rsidP="00160459">
      <w:r w:rsidRPr="0047058F">
        <w:rPr>
          <w:b/>
        </w:rPr>
        <w:t>World Mental Health Survey Initiative version of the World Health Organization’s Composite International Diagnostic Interview.</w:t>
      </w:r>
      <w:r w:rsidRPr="0047058F">
        <w:t xml:space="preserve"> </w:t>
      </w:r>
      <w:r w:rsidRPr="0047058F">
        <w:rPr>
          <w:i/>
        </w:rPr>
        <w:t>see</w:t>
      </w:r>
      <w:r w:rsidRPr="0047058F">
        <w:t xml:space="preserve"> Composite International Diagnostic Interview (CIDI).</w:t>
      </w:r>
    </w:p>
    <w:p w14:paraId="4E230561" w14:textId="77777777" w:rsidR="00B23411" w:rsidRPr="0047058F" w:rsidRDefault="00B23411" w:rsidP="00B81778">
      <w:pPr>
        <w:keepLines/>
      </w:pPr>
      <w:r w:rsidRPr="0047058F">
        <w:rPr>
          <w:b/>
        </w:rPr>
        <w:t>Years of regular service.</w:t>
      </w:r>
      <w:r w:rsidRPr="0047058F">
        <w:t xml:space="preserve"> The following categories were used in the Mental Health and Wellbeing Transition Study to define the number of years of regular service: 3 months to 3.9 years, 4 to 7.9 years, 8 to 11.9 years, 12 to 15.9 years, 16 to 19.9 years and 20+ years.</w:t>
      </w:r>
    </w:p>
    <w:p w14:paraId="39F55B66" w14:textId="77777777" w:rsidR="00160459" w:rsidRPr="0047058F" w:rsidRDefault="00160459" w:rsidP="00160459">
      <w:r w:rsidRPr="0047058F">
        <w:rPr>
          <w:b/>
        </w:rPr>
        <w:t>Years since transition.</w:t>
      </w:r>
      <w:r w:rsidRPr="0047058F">
        <w:t xml:space="preserve"> To ascertain the number of years since transition from regular service, participants were asked to indicate what year they transitioned to Active Reserves, Inactive Reserves or were discharged out of the Service (Ex-Serving). Options included zero, one, two, three, four or five years.</w:t>
      </w:r>
    </w:p>
    <w:p w14:paraId="2BEAF401" w14:textId="77777777" w:rsidR="00160459" w:rsidRDefault="00160459" w:rsidP="00160459"/>
    <w:p w14:paraId="6F9F8E2C" w14:textId="77777777" w:rsidR="000A1090" w:rsidRDefault="000A1090" w:rsidP="00160459">
      <w:pPr>
        <w:sectPr w:rsidR="000A1090" w:rsidSect="000A1090">
          <w:type w:val="oddPage"/>
          <w:pgSz w:w="9979" w:h="14170" w:code="243"/>
          <w:pgMar w:top="1440" w:right="1152" w:bottom="1440" w:left="1728" w:header="576" w:footer="576" w:gutter="0"/>
          <w:cols w:space="708"/>
          <w:docGrid w:linePitch="360"/>
        </w:sectPr>
      </w:pPr>
    </w:p>
    <w:p w14:paraId="571E1695" w14:textId="77777777" w:rsidR="00160459" w:rsidRPr="0047058F" w:rsidRDefault="00160459" w:rsidP="00C116B9">
      <w:pPr>
        <w:pStyle w:val="Heading1"/>
        <w:numPr>
          <w:ilvl w:val="0"/>
          <w:numId w:val="0"/>
        </w:numPr>
      </w:pPr>
      <w:bookmarkStart w:id="796" w:name="_Toc494449824"/>
      <w:bookmarkStart w:id="797" w:name="_Toc498521101"/>
      <w:bookmarkStart w:id="798" w:name="_Toc529117500"/>
      <w:bookmarkStart w:id="799" w:name="_Toc532474419"/>
      <w:r w:rsidRPr="0047058F">
        <w:t>References</w:t>
      </w:r>
      <w:bookmarkEnd w:id="796"/>
      <w:bookmarkEnd w:id="797"/>
      <w:bookmarkEnd w:id="798"/>
      <w:bookmarkEnd w:id="799"/>
    </w:p>
    <w:p w14:paraId="385541D9" w14:textId="77777777" w:rsidR="00160459" w:rsidRPr="0047058F" w:rsidRDefault="00160459" w:rsidP="00160459">
      <w:pPr>
        <w:pStyle w:val="References"/>
        <w:spacing w:before="240" w:after="0"/>
      </w:pPr>
      <w:r w:rsidRPr="0047058F">
        <w:t xml:space="preserve">Allen, N. J., &amp; John, P. M. (1990). The measurement and antecedents of affective, continuance and normative commitment to the organization. </w:t>
      </w:r>
      <w:r w:rsidRPr="0047058F">
        <w:rPr>
          <w:i/>
        </w:rPr>
        <w:t>Journal of Occupational Psychology</w:t>
      </w:r>
      <w:r w:rsidRPr="0047058F">
        <w:t xml:space="preserve">, </w:t>
      </w:r>
      <w:r w:rsidRPr="0047058F">
        <w:rPr>
          <w:i/>
        </w:rPr>
        <w:t>63</w:t>
      </w:r>
      <w:r w:rsidRPr="0047058F">
        <w:t>(1), 1–18.</w:t>
      </w:r>
    </w:p>
    <w:p w14:paraId="39CBF501" w14:textId="77777777" w:rsidR="00160459" w:rsidRPr="0047058F" w:rsidRDefault="00160459" w:rsidP="00160459">
      <w:pPr>
        <w:pStyle w:val="References"/>
        <w:spacing w:before="240" w:after="0"/>
      </w:pPr>
      <w:r w:rsidRPr="0047058F">
        <w:t xml:space="preserve">American Psychiatric Association. (1994). </w:t>
      </w:r>
      <w:r w:rsidRPr="0047058F">
        <w:rPr>
          <w:i/>
        </w:rPr>
        <w:t>Diagnostic and statistical manual of mental disorders</w:t>
      </w:r>
      <w:r w:rsidRPr="0047058F">
        <w:t>. Washington, DC: American Psychiatric Association.</w:t>
      </w:r>
    </w:p>
    <w:p w14:paraId="6082F2AA" w14:textId="77777777" w:rsidR="00160459" w:rsidRPr="0047058F" w:rsidRDefault="00160459" w:rsidP="00160459">
      <w:pPr>
        <w:pStyle w:val="References"/>
        <w:spacing w:before="240" w:after="0"/>
      </w:pPr>
      <w:r w:rsidRPr="0047058F">
        <w:t xml:space="preserve">Andrews, B., Brewin, C. R., Philpott, R., &amp; Stewart, L. (2007). Delayed-onset posttraumatic stress disorder: A systematic review of the evidence. </w:t>
      </w:r>
      <w:r w:rsidRPr="0047058F">
        <w:rPr>
          <w:i/>
        </w:rPr>
        <w:t>American Journal of Psychiatry</w:t>
      </w:r>
      <w:r w:rsidRPr="0047058F">
        <w:t xml:space="preserve">, </w:t>
      </w:r>
      <w:r w:rsidRPr="0047058F">
        <w:rPr>
          <w:i/>
        </w:rPr>
        <w:t>164</w:t>
      </w:r>
      <w:r w:rsidRPr="0047058F">
        <w:t>(9), 1319–1326.</w:t>
      </w:r>
    </w:p>
    <w:p w14:paraId="1AA452A7" w14:textId="77777777" w:rsidR="00160459" w:rsidRPr="0047058F" w:rsidRDefault="00160459" w:rsidP="00160459">
      <w:pPr>
        <w:pStyle w:val="References"/>
        <w:spacing w:before="240" w:after="0"/>
      </w:pPr>
      <w:r w:rsidRPr="0047058F">
        <w:t xml:space="preserve">Andrews, B., Brewin, C. R., Stewart, L., Philpott, R., &amp; Hejdenberg, J. (2009). Comparison of immediate-onset and delayed-onset posttraumatic stress disorder in military veterans. </w:t>
      </w:r>
      <w:r w:rsidRPr="0047058F">
        <w:rPr>
          <w:i/>
        </w:rPr>
        <w:t>Journal of Abnormal Psychology</w:t>
      </w:r>
      <w:r w:rsidRPr="0047058F">
        <w:t xml:space="preserve">, </w:t>
      </w:r>
      <w:r w:rsidRPr="0047058F">
        <w:rPr>
          <w:i/>
        </w:rPr>
        <w:t>118</w:t>
      </w:r>
      <w:r w:rsidRPr="0047058F">
        <w:t>(4), 767–777.</w:t>
      </w:r>
    </w:p>
    <w:p w14:paraId="2D03A3EA" w14:textId="77777777" w:rsidR="00160459" w:rsidRPr="0047058F" w:rsidRDefault="00160459" w:rsidP="00160459">
      <w:pPr>
        <w:pStyle w:val="References"/>
        <w:spacing w:before="240" w:after="0"/>
      </w:pPr>
      <w:r w:rsidRPr="0047058F">
        <w:t xml:space="preserve">Andrews , F. M., &amp; Crandall, R. (1976). The validity of measures of self-reported well-being. </w:t>
      </w:r>
      <w:r w:rsidRPr="0047058F">
        <w:rPr>
          <w:i/>
        </w:rPr>
        <w:t>Social Indicators Research</w:t>
      </w:r>
      <w:r w:rsidRPr="0047058F">
        <w:t xml:space="preserve">, </w:t>
      </w:r>
      <w:r w:rsidRPr="0047058F">
        <w:rPr>
          <w:i/>
        </w:rPr>
        <w:t>3</w:t>
      </w:r>
      <w:r w:rsidRPr="0047058F">
        <w:t>, 1–19.</w:t>
      </w:r>
    </w:p>
    <w:p w14:paraId="7FB41A47" w14:textId="77777777" w:rsidR="00160459" w:rsidRPr="0047058F" w:rsidRDefault="00160459" w:rsidP="00160459">
      <w:pPr>
        <w:pStyle w:val="References"/>
        <w:spacing w:before="240" w:after="0"/>
      </w:pPr>
      <w:r w:rsidRPr="0047058F">
        <w:t xml:space="preserve">Archibald, H. C., &amp; Tuddenham, R. D. (1965). Persistent stress reaction after combat: A 20-year follow-up. </w:t>
      </w:r>
      <w:r w:rsidRPr="0047058F">
        <w:rPr>
          <w:i/>
        </w:rPr>
        <w:t>Archives of General Psychiatry</w:t>
      </w:r>
      <w:r w:rsidRPr="0047058F">
        <w:t xml:space="preserve">, </w:t>
      </w:r>
      <w:r w:rsidRPr="0047058F">
        <w:rPr>
          <w:i/>
        </w:rPr>
        <w:t>12</w:t>
      </w:r>
      <w:r w:rsidRPr="0047058F">
        <w:t>(5), 475–481.</w:t>
      </w:r>
    </w:p>
    <w:p w14:paraId="3B610091" w14:textId="515048A8" w:rsidR="00160459" w:rsidRPr="0047058F" w:rsidRDefault="00160459" w:rsidP="00160459">
      <w:pPr>
        <w:pStyle w:val="References"/>
        <w:spacing w:before="240" w:after="0"/>
      </w:pPr>
      <w:r w:rsidRPr="0047058F">
        <w:t xml:space="preserve">Australian Bureau of Statistics. (2008). </w:t>
      </w:r>
      <w:r w:rsidRPr="0047058F">
        <w:rPr>
          <w:i/>
        </w:rPr>
        <w:t>2007 National Survey of Mental Health and Wellbeing: Summary of results</w:t>
      </w:r>
      <w:r w:rsidRPr="0047058F">
        <w:t xml:space="preserve">. Cat. no. 4326.0. Canberra: Australian Bureau of Statistics. Retrieved from </w:t>
      </w:r>
      <w:hyperlink r:id="rId98" w:history="1">
        <w:r w:rsidR="00522E7E" w:rsidRPr="00774740">
          <w:rPr>
            <w:rStyle w:val="Hyperlink"/>
          </w:rPr>
          <w:t>http://</w:t>
        </w:r>
        <w:r w:rsidRPr="00774740">
          <w:rPr>
            <w:rStyle w:val="Hyperlink"/>
          </w:rPr>
          <w:t>www.abs.gov.au/ausstats/abs@.nsf/mf/4326.0</w:t>
        </w:r>
      </w:hyperlink>
      <w:r w:rsidR="00774740" w:rsidRPr="0047058F">
        <w:t>.</w:t>
      </w:r>
    </w:p>
    <w:p w14:paraId="135F8E60" w14:textId="77777777" w:rsidR="00160459" w:rsidRPr="0047058F" w:rsidRDefault="00160459" w:rsidP="00160459">
      <w:pPr>
        <w:pStyle w:val="References"/>
        <w:spacing w:before="240" w:after="0"/>
      </w:pPr>
      <w:r w:rsidRPr="0047058F">
        <w:t xml:space="preserve">Australian Bureau of Statistics. (2011). </w:t>
      </w:r>
      <w:r w:rsidRPr="0047058F">
        <w:rPr>
          <w:i/>
        </w:rPr>
        <w:t>General Social Survey: Summary results, Australia, 2010</w:t>
      </w:r>
      <w:r w:rsidRPr="0047058F">
        <w:t xml:space="preserve">. Cat. no. 4159.0. Canberra: Australian Bureau of Statistics. Retrieved from </w:t>
      </w:r>
      <w:hyperlink r:id="rId99" w:history="1">
        <w:r w:rsidRPr="0047058F">
          <w:rPr>
            <w:rStyle w:val="Hyperlink"/>
          </w:rPr>
          <w:t>http://www.abs.gov.au/AUSSTATS/abs@.nsf/DetailsPage/4159.02010</w:t>
        </w:r>
      </w:hyperlink>
      <w:r w:rsidRPr="0047058F">
        <w:t>.</w:t>
      </w:r>
    </w:p>
    <w:p w14:paraId="53E5A83B" w14:textId="77777777" w:rsidR="00160459" w:rsidRPr="0047058F" w:rsidRDefault="00160459" w:rsidP="00160459">
      <w:pPr>
        <w:pStyle w:val="References"/>
        <w:spacing w:before="240" w:after="0"/>
      </w:pPr>
      <w:r w:rsidRPr="0047058F">
        <w:t xml:space="preserve">Australian Bureau of Statistics. (2012). </w:t>
      </w:r>
      <w:r w:rsidRPr="0047058F">
        <w:rPr>
          <w:i/>
        </w:rPr>
        <w:t>Australian Health Survey: First results, 2011–12</w:t>
      </w:r>
      <w:r w:rsidRPr="0047058F">
        <w:t xml:space="preserve">. Cat. no. 4364.0.55.001. Canberra: Australian Bureau of Statistics. Retrieved from </w:t>
      </w:r>
      <w:hyperlink r:id="rId100" w:history="1">
        <w:r w:rsidRPr="0047058F">
          <w:rPr>
            <w:rStyle w:val="Hyperlink"/>
          </w:rPr>
          <w:t>http://www.ausstats.abs.gov.au/Ausstats/subscriber.nsf/0/1680ECA402368CCFCA257AC90015AA4E/$File/4364.0.55.001.pdf</w:t>
        </w:r>
      </w:hyperlink>
      <w:r w:rsidRPr="0047058F">
        <w:t>.</w:t>
      </w:r>
    </w:p>
    <w:p w14:paraId="2C73B17B" w14:textId="77777777" w:rsidR="00160459" w:rsidRPr="0047058F" w:rsidRDefault="00160459" w:rsidP="00160459">
      <w:pPr>
        <w:pStyle w:val="References"/>
        <w:spacing w:before="240" w:after="0"/>
      </w:pPr>
      <w:r w:rsidRPr="0047058F">
        <w:t xml:space="preserve">Australian Government. (2017). </w:t>
      </w:r>
      <w:r w:rsidRPr="0047058F">
        <w:rPr>
          <w:i/>
        </w:rPr>
        <w:t>Australian Government response to the National Mental Health Commission review into the suicide and self-harm prevention services available to current and former serving ADF members and their families</w:t>
      </w:r>
      <w:r w:rsidRPr="0047058F">
        <w:t xml:space="preserve">. Canberra: Department of Veterans’ Affairs. Retrieved from </w:t>
      </w:r>
      <w:hyperlink r:id="rId101" w:history="1">
        <w:r w:rsidRPr="0047058F">
          <w:rPr>
            <w:rStyle w:val="Hyperlink"/>
          </w:rPr>
          <w:t>https://www.dva.gov.au/sites/default/files/files/health%20and%20wellbeing/mental/govtresponse.pdf</w:t>
        </w:r>
      </w:hyperlink>
      <w:r w:rsidRPr="0047058F">
        <w:t>.</w:t>
      </w:r>
    </w:p>
    <w:p w14:paraId="6D6C918D" w14:textId="77777777" w:rsidR="00160459" w:rsidRPr="0047058F" w:rsidRDefault="00160459" w:rsidP="00160459">
      <w:pPr>
        <w:pStyle w:val="References"/>
        <w:spacing w:before="240" w:after="0"/>
      </w:pPr>
      <w:r w:rsidRPr="0047058F">
        <w:t xml:space="preserve">Australian Institute of Health and Welfare. (2014). </w:t>
      </w:r>
      <w:r w:rsidRPr="0047058F">
        <w:rPr>
          <w:i/>
        </w:rPr>
        <w:t>National Drug Strategy Household Survey detailed report: 2013</w:t>
      </w:r>
      <w:r w:rsidRPr="0047058F">
        <w:t xml:space="preserve">. Drug statistics series no. 28. Cat. no. PHE 183. Canberra: AIHW. Retrieved from </w:t>
      </w:r>
      <w:hyperlink r:id="rId102" w:history="1">
        <w:r w:rsidRPr="0047058F">
          <w:rPr>
            <w:rStyle w:val="Hyperlink"/>
          </w:rPr>
          <w:t>https://www.aihw.gov.au/reports/illicit-use-of-drugs/ndshs-2013-detailed/contents/table-of-contents</w:t>
        </w:r>
      </w:hyperlink>
      <w:r w:rsidRPr="0047058F">
        <w:t>.</w:t>
      </w:r>
    </w:p>
    <w:p w14:paraId="7918AE34" w14:textId="77777777" w:rsidR="00160459" w:rsidRPr="0047058F" w:rsidRDefault="00160459" w:rsidP="00160459">
      <w:pPr>
        <w:pStyle w:val="References"/>
        <w:spacing w:before="240" w:after="0"/>
      </w:pPr>
      <w:r w:rsidRPr="0047058F">
        <w:t xml:space="preserve">Australian Institute of Health and Welfare. (2016). </w:t>
      </w:r>
      <w:r w:rsidRPr="0047058F">
        <w:rPr>
          <w:i/>
        </w:rPr>
        <w:t>Incidence of suicide among serving and ex-serving Australian Defence Force personnel 2001–2014</w:t>
      </w:r>
      <w:r w:rsidRPr="0047058F">
        <w:t xml:space="preserve">. Cat. no. PHE 212. Canberra: AIHW. Retrieved from </w:t>
      </w:r>
      <w:hyperlink r:id="rId103" w:history="1">
        <w:r w:rsidRPr="0047058F">
          <w:rPr>
            <w:rStyle w:val="Hyperlink"/>
          </w:rPr>
          <w:t>http://www.aihw.gov.au/publication-detail/?id=60129557674</w:t>
        </w:r>
      </w:hyperlink>
      <w:r w:rsidRPr="0047058F">
        <w:t>.</w:t>
      </w:r>
    </w:p>
    <w:p w14:paraId="42DFF4F4" w14:textId="77777777" w:rsidR="00160459" w:rsidRPr="0047058F" w:rsidRDefault="00160459" w:rsidP="00160459">
      <w:pPr>
        <w:pStyle w:val="References"/>
        <w:spacing w:before="240" w:after="0"/>
      </w:pPr>
      <w:r w:rsidRPr="0047058F">
        <w:t xml:space="preserve">Babor, E., de la Fuente, J., Saunders, J., &amp; Grant, M. (1989). </w:t>
      </w:r>
      <w:r w:rsidRPr="0047058F">
        <w:rPr>
          <w:i/>
        </w:rPr>
        <w:t>The Alcohol Use Disorders Identification Test: Guidelines for use in primary health care</w:t>
      </w:r>
      <w:r w:rsidRPr="0047058F">
        <w:t>. Geneva: World Health Organization, Division of Mental Health.</w:t>
      </w:r>
    </w:p>
    <w:p w14:paraId="24C51C6B" w14:textId="77777777" w:rsidR="00160459" w:rsidRPr="0047058F" w:rsidRDefault="00160459" w:rsidP="00160459">
      <w:pPr>
        <w:pStyle w:val="References"/>
        <w:spacing w:before="240" w:after="0"/>
      </w:pPr>
      <w:r w:rsidRPr="0047058F">
        <w:t xml:space="preserve">Babor, T. F., Higgins-Biddle, J., Saunders, J. B., &amp; Monteiro, M. (2001). </w:t>
      </w:r>
      <w:r w:rsidRPr="0047058F">
        <w:rPr>
          <w:i/>
        </w:rPr>
        <w:t xml:space="preserve">The Alcohol Use Disorders Identification Test (AUDIT): Guidelines for use in primary care </w:t>
      </w:r>
      <w:r w:rsidRPr="0047058F">
        <w:t>(second edition). Geneva: World Health Organization, Department of Mental Health and Substance Dependence.</w:t>
      </w:r>
    </w:p>
    <w:p w14:paraId="38DFFE4D" w14:textId="77777777" w:rsidR="00160459" w:rsidRPr="0047058F" w:rsidRDefault="00160459" w:rsidP="00160459">
      <w:pPr>
        <w:pStyle w:val="References"/>
        <w:spacing w:before="240" w:after="0"/>
      </w:pPr>
      <w:r w:rsidRPr="0047058F">
        <w:t xml:space="preserve">Barrett, E. L., Mills, K. L., &amp; Teesson, M. (2013). Mental health correlates of anger in the general population: Findings from the 2007 National Survey of Mental Health and Wellbeing. </w:t>
      </w:r>
      <w:r w:rsidRPr="0047058F">
        <w:rPr>
          <w:i/>
        </w:rPr>
        <w:t>Australian and New Zealand Journal of Psychiatry</w:t>
      </w:r>
      <w:r w:rsidRPr="0047058F">
        <w:t xml:space="preserve">, </w:t>
      </w:r>
      <w:r w:rsidRPr="0047058F">
        <w:rPr>
          <w:i/>
        </w:rPr>
        <w:t>47</w:t>
      </w:r>
      <w:r w:rsidRPr="0047058F">
        <w:t>(5), 470–476.</w:t>
      </w:r>
    </w:p>
    <w:p w14:paraId="042BAA1E" w14:textId="77777777" w:rsidR="00160459" w:rsidRPr="0047058F" w:rsidRDefault="00160459" w:rsidP="00160459">
      <w:pPr>
        <w:pStyle w:val="References"/>
        <w:spacing w:before="240" w:after="0"/>
      </w:pPr>
      <w:r w:rsidRPr="0047058F">
        <w:t xml:space="preserve">Bastien, C. H., Vallieres, A., &amp; Morin, C. M. (2001). Validation of the Insomnia Severity Index as an outcome measure for insomnia research. </w:t>
      </w:r>
      <w:r w:rsidRPr="0047058F">
        <w:rPr>
          <w:i/>
        </w:rPr>
        <w:t>Sleep Medicine</w:t>
      </w:r>
      <w:r w:rsidRPr="0047058F">
        <w:t xml:space="preserve">, </w:t>
      </w:r>
      <w:r w:rsidRPr="0047058F">
        <w:rPr>
          <w:i/>
        </w:rPr>
        <w:t>2</w:t>
      </w:r>
      <w:r w:rsidRPr="0047058F">
        <w:t>(4), 297–307.</w:t>
      </w:r>
    </w:p>
    <w:p w14:paraId="1A29E1B8" w14:textId="77777777" w:rsidR="00160459" w:rsidRPr="0047058F" w:rsidRDefault="00160459" w:rsidP="00160459">
      <w:pPr>
        <w:pStyle w:val="References"/>
        <w:spacing w:before="240" w:after="0"/>
      </w:pPr>
      <w:r w:rsidRPr="0047058F">
        <w:t xml:space="preserve">Beckham, J. C., Feldman, M. E., &amp; Kirby, A. C. (1998). Atrocities exposure in Vietnam combat veterans with chronic posttraumatic stress disorder: Relationship to combat exposure, symptom severity, guilt, and interpersonal violence. </w:t>
      </w:r>
      <w:r w:rsidRPr="0047058F">
        <w:rPr>
          <w:i/>
        </w:rPr>
        <w:t>Journal of Traumatic Stress</w:t>
      </w:r>
      <w:r w:rsidRPr="0047058F">
        <w:t xml:space="preserve">, </w:t>
      </w:r>
      <w:r w:rsidRPr="0047058F">
        <w:rPr>
          <w:i/>
        </w:rPr>
        <w:t>11</w:t>
      </w:r>
      <w:r w:rsidRPr="0047058F">
        <w:t>(4), 777–785.</w:t>
      </w:r>
    </w:p>
    <w:p w14:paraId="53C518C0" w14:textId="77777777" w:rsidR="00160459" w:rsidRPr="0047058F" w:rsidRDefault="00160459" w:rsidP="00160459">
      <w:pPr>
        <w:pStyle w:val="References"/>
        <w:spacing w:before="240" w:after="0"/>
      </w:pPr>
      <w:r w:rsidRPr="0047058F">
        <w:t xml:space="preserve">Berg, A. M., Hem, E., Lau, B., Loeb, M., &amp; Ekeberg, Ø. (2003). Suicidal ideation and attempts in Norwegian police. </w:t>
      </w:r>
      <w:r w:rsidRPr="0047058F">
        <w:rPr>
          <w:i/>
        </w:rPr>
        <w:t>Suicide and Life-Threatening Behavior</w:t>
      </w:r>
      <w:r w:rsidRPr="0047058F">
        <w:t xml:space="preserve">, </w:t>
      </w:r>
      <w:r w:rsidRPr="0047058F">
        <w:rPr>
          <w:i/>
        </w:rPr>
        <w:t>33</w:t>
      </w:r>
      <w:r w:rsidRPr="0047058F">
        <w:t>(3), 302–312.</w:t>
      </w:r>
    </w:p>
    <w:p w14:paraId="4B534D79" w14:textId="77777777" w:rsidR="00160459" w:rsidRPr="0047058F" w:rsidRDefault="00160459" w:rsidP="00160459">
      <w:pPr>
        <w:pStyle w:val="References"/>
        <w:spacing w:before="240" w:after="0"/>
      </w:pPr>
      <w:r w:rsidRPr="0047058F">
        <w:t xml:space="preserve">Berger, W., Coutinho, E. S. F., Figueira, I., Marques-Portella, C., Luz, M. P., Neylan, T. C., … Mendlowicz, M. V. (2012). Rescuers at risk: A systematic review and meta-regression analysis of the worldwide current prevalence and correlates of PTSD in rescue workers. </w:t>
      </w:r>
      <w:r w:rsidRPr="0047058F">
        <w:rPr>
          <w:i/>
        </w:rPr>
        <w:t>Social Psychiatry and Psychiatric Epidemiology</w:t>
      </w:r>
      <w:r w:rsidRPr="0047058F">
        <w:t xml:space="preserve">, </w:t>
      </w:r>
      <w:r w:rsidRPr="0047058F">
        <w:rPr>
          <w:i/>
        </w:rPr>
        <w:t>47</w:t>
      </w:r>
      <w:r w:rsidRPr="0047058F">
        <w:t>(6), 1001–1011.</w:t>
      </w:r>
    </w:p>
    <w:p w14:paraId="55CFFEFC" w14:textId="77777777" w:rsidR="00160459" w:rsidRPr="0047058F" w:rsidRDefault="00160459" w:rsidP="00160459">
      <w:pPr>
        <w:pStyle w:val="References"/>
        <w:spacing w:before="240" w:after="0"/>
      </w:pPr>
      <w:r w:rsidRPr="0047058F">
        <w:t xml:space="preserve">Bergman, B. P., Burdett, H. J., &amp; Greenberg, N. (2014). Service life and beyond—institution or culture? </w:t>
      </w:r>
      <w:r w:rsidRPr="0047058F">
        <w:rPr>
          <w:i/>
        </w:rPr>
        <w:t>The RUSI Journal</w:t>
      </w:r>
      <w:r w:rsidRPr="0047058F">
        <w:t xml:space="preserve">, </w:t>
      </w:r>
      <w:r w:rsidRPr="0047058F">
        <w:rPr>
          <w:i/>
        </w:rPr>
        <w:t>159</w:t>
      </w:r>
      <w:r w:rsidRPr="0047058F">
        <w:t>(5), 60–68.</w:t>
      </w:r>
    </w:p>
    <w:p w14:paraId="2775F632" w14:textId="77777777" w:rsidR="00160459" w:rsidRPr="0047058F" w:rsidRDefault="00160459" w:rsidP="00160459">
      <w:pPr>
        <w:pStyle w:val="References"/>
        <w:spacing w:before="240" w:after="0"/>
      </w:pPr>
      <w:r w:rsidRPr="0047058F">
        <w:t xml:space="preserve">Berntsen, D., Johannessen, K. B., Thomsen, Y. D., Bertelsen, M., Hoyle, R. H., &amp; Rubin, D. C. (2012). Peace and war: Trajectories of posttraumatic stress disorder symptoms before, during, and after military deployment in Afghanistan. </w:t>
      </w:r>
      <w:r w:rsidRPr="0047058F">
        <w:rPr>
          <w:i/>
        </w:rPr>
        <w:t>Psychological Science</w:t>
      </w:r>
      <w:r w:rsidRPr="0047058F">
        <w:t xml:space="preserve">, </w:t>
      </w:r>
      <w:r w:rsidRPr="0047058F">
        <w:rPr>
          <w:i/>
        </w:rPr>
        <w:t>23</w:t>
      </w:r>
      <w:r w:rsidRPr="0047058F">
        <w:t>(12), 1557–1565.</w:t>
      </w:r>
    </w:p>
    <w:p w14:paraId="73729E2C" w14:textId="77777777" w:rsidR="00160459" w:rsidRPr="0047058F" w:rsidRDefault="00160459" w:rsidP="00160459">
      <w:pPr>
        <w:pStyle w:val="References"/>
        <w:spacing w:before="240" w:after="0"/>
      </w:pPr>
      <w:r w:rsidRPr="0047058F">
        <w:t xml:space="preserve">Black, T. G., &amp; Papile, C. (2010). Making it on civvy street: An online survey of Canadian veterans in transition. </w:t>
      </w:r>
      <w:r w:rsidRPr="0047058F">
        <w:rPr>
          <w:i/>
        </w:rPr>
        <w:t>Canadian Journal of Counselling and Psychotherapy</w:t>
      </w:r>
      <w:r w:rsidRPr="0047058F">
        <w:t xml:space="preserve">, </w:t>
      </w:r>
      <w:r w:rsidRPr="0047058F">
        <w:rPr>
          <w:i/>
        </w:rPr>
        <w:t>44</w:t>
      </w:r>
      <w:r w:rsidRPr="0047058F">
        <w:t>(4), 383.</w:t>
      </w:r>
    </w:p>
    <w:p w14:paraId="0F2AFF2A" w14:textId="77777777" w:rsidR="00160459" w:rsidRPr="0047058F" w:rsidRDefault="00160459" w:rsidP="00160459">
      <w:pPr>
        <w:pStyle w:val="References"/>
        <w:spacing w:before="240" w:after="0"/>
      </w:pPr>
      <w:r w:rsidRPr="0047058F">
        <w:t xml:space="preserve">Boasso, A. M., Steenkamp, M. M., Nash, W. P., Larson, J. L., &amp; Litz, B. T. (2015). The relationship between course of PTSD symptoms in deployed US Marines and degree of combat exposure. </w:t>
      </w:r>
      <w:r w:rsidRPr="0047058F">
        <w:rPr>
          <w:i/>
        </w:rPr>
        <w:t>Journal of Traumatic Stress</w:t>
      </w:r>
      <w:r w:rsidRPr="0047058F">
        <w:t xml:space="preserve">, </w:t>
      </w:r>
      <w:r w:rsidRPr="0047058F">
        <w:rPr>
          <w:i/>
        </w:rPr>
        <w:t>28</w:t>
      </w:r>
      <w:r w:rsidRPr="0047058F">
        <w:t>(1), 73–78.</w:t>
      </w:r>
    </w:p>
    <w:p w14:paraId="7F8BA76D" w14:textId="77777777" w:rsidR="00160459" w:rsidRPr="0047058F" w:rsidRDefault="00160459" w:rsidP="00160459">
      <w:pPr>
        <w:pStyle w:val="References"/>
        <w:spacing w:before="240" w:after="0"/>
      </w:pPr>
      <w:r w:rsidRPr="0047058F">
        <w:t xml:space="preserve">Bonanno, G. A., Kennedy, P., Galatzer-Levy, I. R., Lude, P., &amp; Elfström, M. L. (2012a). Trajectories of resilience, depression, and anxiety following spinal cord injury. </w:t>
      </w:r>
      <w:r w:rsidRPr="0047058F">
        <w:rPr>
          <w:i/>
        </w:rPr>
        <w:t>Rehabilitation Psychology</w:t>
      </w:r>
      <w:r w:rsidRPr="0047058F">
        <w:t xml:space="preserve">, </w:t>
      </w:r>
      <w:r w:rsidRPr="0047058F">
        <w:rPr>
          <w:i/>
        </w:rPr>
        <w:t>57</w:t>
      </w:r>
      <w:r w:rsidRPr="0047058F">
        <w:t>(3), 236–247.</w:t>
      </w:r>
    </w:p>
    <w:p w14:paraId="2BA2F124" w14:textId="77777777" w:rsidR="00160459" w:rsidRPr="0047058F" w:rsidRDefault="00160459" w:rsidP="00160459">
      <w:pPr>
        <w:pStyle w:val="References"/>
        <w:spacing w:before="240" w:after="0"/>
      </w:pPr>
      <w:r w:rsidRPr="0047058F">
        <w:t xml:space="preserve">Bonanno, G. A., Mancini, A. D., Horton, J. L., Powell, T. M., LeardMann, C. A., Boyko, E. J., … Smith, T. C. (2012b). Trajectories of trauma symptoms and resilience in deployed US military service members: Prospective cohort study. </w:t>
      </w:r>
      <w:r w:rsidRPr="0047058F">
        <w:rPr>
          <w:i/>
        </w:rPr>
        <w:t>British Journal of Psychiatry</w:t>
      </w:r>
      <w:r w:rsidRPr="0047058F">
        <w:t xml:space="preserve">, </w:t>
      </w:r>
      <w:r w:rsidRPr="0047058F">
        <w:rPr>
          <w:i/>
        </w:rPr>
        <w:t>200</w:t>
      </w:r>
      <w:r w:rsidRPr="0047058F">
        <w:t>(4), 317–323.</w:t>
      </w:r>
    </w:p>
    <w:p w14:paraId="2509C553" w14:textId="77777777" w:rsidR="00160459" w:rsidRPr="0047058F" w:rsidRDefault="00160459" w:rsidP="00160459">
      <w:pPr>
        <w:pStyle w:val="References"/>
        <w:spacing w:before="240" w:after="0"/>
      </w:pPr>
      <w:r w:rsidRPr="0047058F">
        <w:t xml:space="preserve">Boscarino, J. A., &amp; Adams, R. E. (2009). PTSD onset and course following the World Trade Center disaster: Findings and implications for future research. </w:t>
      </w:r>
      <w:r w:rsidRPr="0047058F">
        <w:rPr>
          <w:i/>
        </w:rPr>
        <w:t>Social Psychiatry and Psychiatric Epidemiology</w:t>
      </w:r>
      <w:r w:rsidRPr="0047058F">
        <w:t xml:space="preserve">, </w:t>
      </w:r>
      <w:r w:rsidRPr="0047058F">
        <w:rPr>
          <w:i/>
        </w:rPr>
        <w:t>44</w:t>
      </w:r>
      <w:r w:rsidRPr="0047058F">
        <w:t>(10), 887–898.</w:t>
      </w:r>
    </w:p>
    <w:p w14:paraId="02E3D36D" w14:textId="77777777" w:rsidR="00160459" w:rsidRPr="0047058F" w:rsidRDefault="00160459" w:rsidP="00160459">
      <w:pPr>
        <w:pStyle w:val="References"/>
        <w:spacing w:before="240" w:after="0"/>
      </w:pPr>
      <w:r w:rsidRPr="0047058F">
        <w:t xml:space="preserve">Brackbill, R. M., Hadler, J. L., DiGrande, L., Ekenga, C. C., Farfel, M. R., Friedman, S., … Wu, D. (2009). Asthma and posttraumatic stress symptoms 5 to 6 years following exposure to the World Trade Center terrorist attack. </w:t>
      </w:r>
      <w:r w:rsidRPr="0047058F">
        <w:rPr>
          <w:i/>
        </w:rPr>
        <w:t>JAMA: The Journal of the American Medical Association</w:t>
      </w:r>
      <w:r w:rsidRPr="0047058F">
        <w:t xml:space="preserve">, </w:t>
      </w:r>
      <w:r w:rsidRPr="0047058F">
        <w:rPr>
          <w:i/>
        </w:rPr>
        <w:t>302</w:t>
      </w:r>
      <w:r w:rsidRPr="0047058F">
        <w:t>(5), 502–516.</w:t>
      </w:r>
    </w:p>
    <w:p w14:paraId="7932C101" w14:textId="77777777" w:rsidR="00160459" w:rsidRPr="0047058F" w:rsidRDefault="00160459" w:rsidP="00160459">
      <w:pPr>
        <w:pStyle w:val="References"/>
        <w:spacing w:before="240" w:after="0"/>
      </w:pPr>
      <w:r w:rsidRPr="0047058F">
        <w:t xml:space="preserve">Bray, R. M., Engel, C. C., Williams, J., Jaycox, L. H., Lane, M. E., Morgan, J. K., &amp; Unutzer, J. (2016). Posttraumatic stress disorder in U.S. military primary care: Trajectories and predictors of one-year prognosis. </w:t>
      </w:r>
      <w:r w:rsidRPr="0047058F">
        <w:rPr>
          <w:i/>
        </w:rPr>
        <w:t>Journal of Traumatic Stress</w:t>
      </w:r>
      <w:r w:rsidRPr="0047058F">
        <w:t xml:space="preserve">, </w:t>
      </w:r>
      <w:r w:rsidRPr="0047058F">
        <w:rPr>
          <w:i/>
        </w:rPr>
        <w:t>29</w:t>
      </w:r>
      <w:r w:rsidRPr="0047058F">
        <w:t>(4), 340–348.</w:t>
      </w:r>
    </w:p>
    <w:p w14:paraId="2B233D5A" w14:textId="77777777" w:rsidR="00160459" w:rsidRPr="0047058F" w:rsidRDefault="00160459" w:rsidP="00160459">
      <w:pPr>
        <w:pStyle w:val="References"/>
        <w:spacing w:before="240" w:after="0"/>
      </w:pPr>
      <w:r w:rsidRPr="0047058F">
        <w:t xml:space="preserve">Breslau, N., Davis, G. C., Andreski, P., &amp; Peterson, E. (1991). Traumatic events and posttraumatic stress disorder in an urban population of young adults. </w:t>
      </w:r>
      <w:r w:rsidRPr="0047058F">
        <w:rPr>
          <w:i/>
        </w:rPr>
        <w:t>Archives of General Psychiatry</w:t>
      </w:r>
      <w:r w:rsidRPr="0047058F">
        <w:t xml:space="preserve">, </w:t>
      </w:r>
      <w:r w:rsidRPr="0047058F">
        <w:rPr>
          <w:i/>
        </w:rPr>
        <w:t>48</w:t>
      </w:r>
      <w:r w:rsidRPr="0047058F">
        <w:t>(3), 216–222.</w:t>
      </w:r>
    </w:p>
    <w:p w14:paraId="01F5652A" w14:textId="77777777" w:rsidR="00160459" w:rsidRPr="0047058F" w:rsidRDefault="00160459" w:rsidP="00160459">
      <w:pPr>
        <w:pStyle w:val="References"/>
        <w:spacing w:before="240" w:after="0"/>
      </w:pPr>
      <w:r w:rsidRPr="0047058F">
        <w:t xml:space="preserve">Brewin, C. R., Andrews, B., &amp; Valentine, J. D. (2000). Meta-analysis of risk factors for posttraumatic stress disorder in trauma-exposed adults. </w:t>
      </w:r>
      <w:r w:rsidRPr="0047058F">
        <w:rPr>
          <w:i/>
        </w:rPr>
        <w:t>Journal of Consulting and Clinical Psychology</w:t>
      </w:r>
      <w:r w:rsidRPr="0047058F">
        <w:t xml:space="preserve">, </w:t>
      </w:r>
      <w:r w:rsidRPr="0047058F">
        <w:rPr>
          <w:i/>
        </w:rPr>
        <w:t>68</w:t>
      </w:r>
      <w:r w:rsidRPr="0047058F">
        <w:t>(5), 748–766.</w:t>
      </w:r>
    </w:p>
    <w:p w14:paraId="3E36A9F7" w14:textId="77777777" w:rsidR="00160459" w:rsidRPr="0047058F" w:rsidRDefault="00160459" w:rsidP="00160459">
      <w:pPr>
        <w:pStyle w:val="References"/>
        <w:spacing w:before="240" w:after="0"/>
      </w:pPr>
      <w:r w:rsidRPr="0047058F">
        <w:t xml:space="preserve">Brignone, E., Fargo, J. D., Blais, R. K., Carter, M. E., Samore, M. H., &amp; Gundlapalli, A. V. (2017). Non-routine discharge from military service: Mental illness, substance use disorders, and suicidality. </w:t>
      </w:r>
      <w:r w:rsidRPr="0047058F">
        <w:rPr>
          <w:i/>
        </w:rPr>
        <w:t>American Journal of Preventive Medicine</w:t>
      </w:r>
      <w:r w:rsidRPr="0047058F">
        <w:t xml:space="preserve">, </w:t>
      </w:r>
      <w:r w:rsidRPr="0047058F">
        <w:rPr>
          <w:i/>
        </w:rPr>
        <w:t>52</w:t>
      </w:r>
      <w:r w:rsidRPr="0047058F">
        <w:t>(5), 557–565.</w:t>
      </w:r>
    </w:p>
    <w:p w14:paraId="52233AEE" w14:textId="77777777" w:rsidR="00160459" w:rsidRPr="0047058F" w:rsidRDefault="00160459" w:rsidP="00160459">
      <w:pPr>
        <w:pStyle w:val="References"/>
        <w:spacing w:before="240" w:after="0"/>
      </w:pPr>
      <w:r w:rsidRPr="0047058F">
        <w:t xml:space="preserve">Britt, T. W., Greene-Shortridge, T. M., Brink, S., Nguyen, Q. B., Rath, J., Cox, A. L., … Castro, C. A. (2008). Perceived stigma and barriers to care for psychological treatment: Implications for reactions to stressors in different contexts. </w:t>
      </w:r>
      <w:r w:rsidRPr="0047058F">
        <w:rPr>
          <w:i/>
        </w:rPr>
        <w:t>Journal of Social and Clinical Psychology</w:t>
      </w:r>
      <w:r w:rsidRPr="0047058F">
        <w:t xml:space="preserve">, </w:t>
      </w:r>
      <w:r w:rsidRPr="0047058F">
        <w:rPr>
          <w:i/>
        </w:rPr>
        <w:t>27</w:t>
      </w:r>
      <w:r w:rsidRPr="0047058F">
        <w:t>(4), 317–335.</w:t>
      </w:r>
    </w:p>
    <w:p w14:paraId="2C9890E8" w14:textId="77777777" w:rsidR="00160459" w:rsidRPr="0047058F" w:rsidRDefault="00160459" w:rsidP="00160459">
      <w:pPr>
        <w:pStyle w:val="References"/>
        <w:spacing w:before="240" w:after="0"/>
      </w:pPr>
      <w:r w:rsidRPr="0047058F">
        <w:t xml:space="preserve">Brugha, T., Bebbington, P., Tennant, C., &amp; Hurry, J. (1985). The List of Threatening Experiences: A subset of 12 life event categories with considerable long-term contextual threat. </w:t>
      </w:r>
      <w:r w:rsidRPr="0047058F">
        <w:rPr>
          <w:i/>
        </w:rPr>
        <w:t>Psychological Medicine</w:t>
      </w:r>
      <w:r w:rsidRPr="0047058F">
        <w:t xml:space="preserve">, </w:t>
      </w:r>
      <w:r w:rsidRPr="0047058F">
        <w:rPr>
          <w:i/>
        </w:rPr>
        <w:t>15</w:t>
      </w:r>
      <w:r w:rsidRPr="0047058F">
        <w:t>(1), 189–194.</w:t>
      </w:r>
    </w:p>
    <w:p w14:paraId="213EA035" w14:textId="77777777" w:rsidR="00160459" w:rsidRPr="0047058F" w:rsidRDefault="00160459" w:rsidP="00160459">
      <w:pPr>
        <w:pStyle w:val="References"/>
        <w:spacing w:before="240" w:after="0"/>
      </w:pPr>
      <w:r w:rsidRPr="0047058F">
        <w:t xml:space="preserve">Bryant, R. A. (2003). Early predictors of posttraumatic stress disorder. </w:t>
      </w:r>
      <w:r w:rsidRPr="0047058F">
        <w:rPr>
          <w:i/>
        </w:rPr>
        <w:t>Biological Psychiatry</w:t>
      </w:r>
      <w:r w:rsidRPr="0047058F">
        <w:t xml:space="preserve">, </w:t>
      </w:r>
      <w:r w:rsidRPr="0047058F">
        <w:rPr>
          <w:i/>
        </w:rPr>
        <w:t>53</w:t>
      </w:r>
      <w:r w:rsidRPr="0047058F">
        <w:t>(9), 789–795.</w:t>
      </w:r>
    </w:p>
    <w:p w14:paraId="5834FBC8" w14:textId="77777777" w:rsidR="00F14DB3" w:rsidRPr="0047058F" w:rsidRDefault="00F14DB3" w:rsidP="00F14DB3">
      <w:pPr>
        <w:pStyle w:val="References"/>
        <w:spacing w:before="240" w:after="0"/>
      </w:pPr>
      <w:r w:rsidRPr="0047058F">
        <w:t>Bryant, R.</w:t>
      </w:r>
      <w:r>
        <w:t xml:space="preserve"> A.</w:t>
      </w:r>
      <w:r w:rsidRPr="0047058F">
        <w:t xml:space="preserve">, Creamer, M., O’Donnell, M., Silove, D., &amp; McFarlane, A. C. (2011). Heart rate after trauma and the specificity of fear circuitry disorders. </w:t>
      </w:r>
      <w:r w:rsidRPr="0047058F">
        <w:rPr>
          <w:i/>
        </w:rPr>
        <w:t>Psychological Medicine</w:t>
      </w:r>
      <w:r w:rsidRPr="0047058F">
        <w:t xml:space="preserve">, </w:t>
      </w:r>
      <w:r w:rsidRPr="0047058F">
        <w:rPr>
          <w:i/>
        </w:rPr>
        <w:t>41</w:t>
      </w:r>
      <w:r w:rsidRPr="0047058F">
        <w:t>(12), 2573–2580.</w:t>
      </w:r>
    </w:p>
    <w:p w14:paraId="7A94C494" w14:textId="77777777" w:rsidR="00160459" w:rsidRPr="0047058F" w:rsidRDefault="00160459" w:rsidP="00160459">
      <w:pPr>
        <w:pStyle w:val="References"/>
        <w:spacing w:before="240" w:after="0"/>
      </w:pPr>
      <w:r w:rsidRPr="0047058F">
        <w:t xml:space="preserve">Bryant, R. A., Gibbs, L., Gallagher, H. C., Pattison, P., Lusher, D., MacDougall, C., … Ireton, G. (2017). Longitudinal study of changing psychological outcomes following the Victorian Black Saturday bushfires. </w:t>
      </w:r>
      <w:r w:rsidRPr="0047058F">
        <w:rPr>
          <w:i/>
        </w:rPr>
        <w:t>Australian and New Zealand Journal of Psychiatry</w:t>
      </w:r>
      <w:r w:rsidRPr="0047058F">
        <w:t xml:space="preserve">, </w:t>
      </w:r>
      <w:r w:rsidRPr="0047058F">
        <w:rPr>
          <w:i/>
        </w:rPr>
        <w:t>52</w:t>
      </w:r>
      <w:r w:rsidRPr="0047058F">
        <w:t>(6), 542–551.</w:t>
      </w:r>
    </w:p>
    <w:p w14:paraId="38464BDD" w14:textId="77777777" w:rsidR="00160459" w:rsidRPr="0047058F" w:rsidRDefault="00160459" w:rsidP="00160459">
      <w:pPr>
        <w:pStyle w:val="References"/>
        <w:spacing w:before="240" w:after="0"/>
      </w:pPr>
      <w:r w:rsidRPr="0047058F">
        <w:t xml:space="preserve">Bryant, R. A., Nickerson, A., Creamer, M., O’Donnell, M., Forbes, D., Galatzer-Levy, I., … Silove, D. (2015). Trajectory of post-traumatic stress following traumatic injury: 6-year follow-up. </w:t>
      </w:r>
      <w:r w:rsidRPr="0047058F">
        <w:rPr>
          <w:i/>
        </w:rPr>
        <w:t>British Journal of Psychiatry</w:t>
      </w:r>
      <w:r w:rsidRPr="0047058F">
        <w:t xml:space="preserve">, </w:t>
      </w:r>
      <w:r w:rsidRPr="0047058F">
        <w:rPr>
          <w:i/>
        </w:rPr>
        <w:t>206</w:t>
      </w:r>
      <w:r w:rsidRPr="0047058F">
        <w:t>(5), 417–423.</w:t>
      </w:r>
    </w:p>
    <w:p w14:paraId="7BD93EEA" w14:textId="77777777" w:rsidR="00160459" w:rsidRPr="0047058F" w:rsidRDefault="00160459" w:rsidP="00160459">
      <w:pPr>
        <w:pStyle w:val="References"/>
        <w:spacing w:before="240" w:after="0"/>
      </w:pPr>
      <w:r w:rsidRPr="0047058F">
        <w:t xml:space="preserve">Bryant, R. A., O’Donnell, M. L., Creamer, M., McFarlane, A. C., &amp; Silove, D. (2013). A multisite analysis of the fluctuating course of posttraumatic stress disorder. </w:t>
      </w:r>
      <w:r w:rsidRPr="0047058F">
        <w:rPr>
          <w:i/>
        </w:rPr>
        <w:t>JAMA Psychiatry</w:t>
      </w:r>
      <w:r w:rsidRPr="0047058F">
        <w:t xml:space="preserve">, </w:t>
      </w:r>
      <w:r w:rsidRPr="0047058F">
        <w:rPr>
          <w:i/>
        </w:rPr>
        <w:t>70</w:t>
      </w:r>
      <w:r w:rsidRPr="0047058F">
        <w:t>(8), 839–846.</w:t>
      </w:r>
    </w:p>
    <w:p w14:paraId="584F8AD9" w14:textId="77777777" w:rsidR="00160459" w:rsidRPr="0047058F" w:rsidRDefault="00160459" w:rsidP="00160459">
      <w:pPr>
        <w:pStyle w:val="References"/>
        <w:spacing w:before="240" w:after="0"/>
      </w:pPr>
      <w:r w:rsidRPr="0047058F">
        <w:t xml:space="preserve">Buckman, J. E., Forbes, H. J., Clayton, T., Jones, M., Jones, N., Greenberg, N., … Fear, N. T. (2013). Early Service leavers: A study of the factors associated with premature separation from the UK Armed Forces and the mental health of those that leave early. </w:t>
      </w:r>
      <w:r w:rsidRPr="0047058F">
        <w:rPr>
          <w:i/>
        </w:rPr>
        <w:t>European Journal of Public Health</w:t>
      </w:r>
      <w:r w:rsidRPr="0047058F">
        <w:t xml:space="preserve">, </w:t>
      </w:r>
      <w:r w:rsidRPr="0047058F">
        <w:rPr>
          <w:i/>
        </w:rPr>
        <w:t>23</w:t>
      </w:r>
      <w:r w:rsidRPr="0047058F">
        <w:t>(3), 410–415.</w:t>
      </w:r>
    </w:p>
    <w:p w14:paraId="7E8E79C6" w14:textId="77777777" w:rsidR="00160459" w:rsidRPr="0047058F" w:rsidRDefault="00160459" w:rsidP="00160459">
      <w:pPr>
        <w:pStyle w:val="References"/>
        <w:spacing w:before="240" w:after="0"/>
      </w:pPr>
      <w:r w:rsidRPr="0047058F">
        <w:t xml:space="preserve">Burdett, H., Woodhead, C., Iversen, A. C., Wessely, S., Dandeker, C., &amp; Fear, N. T. (2013). “Are you a veteran?” Understanding of the term “veteran” among UK ex-service personnel: A research note. </w:t>
      </w:r>
      <w:r w:rsidRPr="0047058F">
        <w:rPr>
          <w:i/>
        </w:rPr>
        <w:t>Armed Forces and Society</w:t>
      </w:r>
      <w:r w:rsidRPr="0047058F">
        <w:t xml:space="preserve">, </w:t>
      </w:r>
      <w:r w:rsidRPr="0047058F">
        <w:rPr>
          <w:i/>
        </w:rPr>
        <w:t>39</w:t>
      </w:r>
      <w:r w:rsidRPr="0047058F">
        <w:t>(4), 751–759.</w:t>
      </w:r>
    </w:p>
    <w:p w14:paraId="3AE2A40E" w14:textId="77777777" w:rsidR="00160459" w:rsidRPr="0047058F" w:rsidRDefault="00160459" w:rsidP="00160459">
      <w:pPr>
        <w:pStyle w:val="References"/>
        <w:spacing w:before="240" w:after="0"/>
      </w:pPr>
      <w:r w:rsidRPr="0047058F">
        <w:t xml:space="preserve">Burney, P., Luczynska, C., Chinn, S., &amp; Jarvis, D. (1994). The European Community Respiratory Health Survey. </w:t>
      </w:r>
      <w:r w:rsidRPr="0047058F">
        <w:rPr>
          <w:i/>
        </w:rPr>
        <w:t>European Respiratory Journal</w:t>
      </w:r>
      <w:r w:rsidRPr="0047058F">
        <w:t xml:space="preserve">, </w:t>
      </w:r>
      <w:r w:rsidRPr="0047058F">
        <w:rPr>
          <w:i/>
        </w:rPr>
        <w:t>7</w:t>
      </w:r>
      <w:r w:rsidRPr="0047058F">
        <w:t>, 954–960.</w:t>
      </w:r>
    </w:p>
    <w:p w14:paraId="23BC8222" w14:textId="77777777" w:rsidR="00160459" w:rsidRPr="0047058F" w:rsidRDefault="00160459" w:rsidP="00160459">
      <w:pPr>
        <w:pStyle w:val="References"/>
        <w:spacing w:before="240" w:after="0"/>
      </w:pPr>
      <w:r w:rsidRPr="0047058F">
        <w:t xml:space="preserve">Burns, J. M., Davenport, T. A., Christensen, H., Luscombe, G. M., Mendoza, J. A., Bresnan, A., … Hickie, I. B. (2013). </w:t>
      </w:r>
      <w:r w:rsidRPr="0047058F">
        <w:rPr>
          <w:i/>
        </w:rPr>
        <w:t>Game on: Exploring the impact of technologies on young men’s mental health and wellbeing: Findings from the first Young and Well National Survey</w:t>
      </w:r>
      <w:r w:rsidRPr="0047058F">
        <w:t>. Melbourne: Young and Well Cooperative Research Centre.</w:t>
      </w:r>
    </w:p>
    <w:p w14:paraId="11D90C0D" w14:textId="4FCA74E3" w:rsidR="00160459" w:rsidRPr="0047058F" w:rsidRDefault="00160459" w:rsidP="00160459">
      <w:pPr>
        <w:pStyle w:val="References"/>
        <w:spacing w:before="240" w:after="0"/>
      </w:pPr>
      <w:r w:rsidRPr="0047058F">
        <w:t>Butterworth, P., Leach, L.</w:t>
      </w:r>
      <w:r w:rsidR="00577E77">
        <w:t xml:space="preserve"> S.</w:t>
      </w:r>
      <w:r w:rsidRPr="0047058F">
        <w:t xml:space="preserve">, McManus, S., &amp; Stansfeld, S. (2013). Common mental disorders, unemployment and psychosocial job quality: Is a poor job better than no job at all? </w:t>
      </w:r>
      <w:r w:rsidRPr="0047058F">
        <w:rPr>
          <w:i/>
        </w:rPr>
        <w:t>Psychological Medicine</w:t>
      </w:r>
      <w:r w:rsidRPr="0047058F">
        <w:t xml:space="preserve">, </w:t>
      </w:r>
      <w:r w:rsidRPr="0047058F">
        <w:rPr>
          <w:i/>
        </w:rPr>
        <w:t>43</w:t>
      </w:r>
      <w:r w:rsidRPr="0047058F">
        <w:t>(8), 1763–1772.</w:t>
      </w:r>
    </w:p>
    <w:p w14:paraId="4EAFFCF4" w14:textId="77777777" w:rsidR="00160459" w:rsidRPr="0047058F" w:rsidRDefault="00160459" w:rsidP="00160459">
      <w:pPr>
        <w:pStyle w:val="References"/>
        <w:spacing w:before="240" w:after="0"/>
      </w:pPr>
      <w:r w:rsidRPr="0047058F">
        <w:t xml:space="preserve">Butterworth, P., Leach, L. S., Strazdins, L., Olesen, S. C., Rodgers, B., &amp; Broom, D. (2011). The psychosocial quality of work determines whether employment has benefits for mental health: Results from a longitudinal national household panel survey. </w:t>
      </w:r>
      <w:r w:rsidRPr="0047058F">
        <w:rPr>
          <w:i/>
        </w:rPr>
        <w:t>Occupational and Environmental Medicine</w:t>
      </w:r>
      <w:r w:rsidRPr="0047058F">
        <w:t xml:space="preserve">, </w:t>
      </w:r>
      <w:r w:rsidRPr="0047058F">
        <w:rPr>
          <w:i/>
        </w:rPr>
        <w:t>68</w:t>
      </w:r>
      <w:r w:rsidRPr="0047058F">
        <w:t>, 806–812.</w:t>
      </w:r>
    </w:p>
    <w:p w14:paraId="5087F940" w14:textId="77777777" w:rsidR="00160459" w:rsidRPr="0047058F" w:rsidRDefault="00160459" w:rsidP="00160459">
      <w:pPr>
        <w:pStyle w:val="References"/>
        <w:spacing w:before="240" w:after="0"/>
      </w:pPr>
      <w:r w:rsidRPr="0047058F">
        <w:t xml:space="preserve">Calati, R., &amp; Courtet, P. (2016). Is psychotherapy effective for reducing suicide attempt and non-suicidal self-injury rates? Meta-analysis and meta-regression of literature data. </w:t>
      </w:r>
      <w:r w:rsidRPr="0047058F">
        <w:rPr>
          <w:i/>
        </w:rPr>
        <w:t>Journal of Psychiatric Research</w:t>
      </w:r>
      <w:r w:rsidRPr="0047058F">
        <w:t xml:space="preserve">, </w:t>
      </w:r>
      <w:r w:rsidRPr="0047058F">
        <w:rPr>
          <w:i/>
        </w:rPr>
        <w:t>79</w:t>
      </w:r>
      <w:r w:rsidRPr="0047058F">
        <w:t>, 8–20.</w:t>
      </w:r>
    </w:p>
    <w:p w14:paraId="0B71F993" w14:textId="77777777" w:rsidR="00160459" w:rsidRPr="0047058F" w:rsidRDefault="00160459" w:rsidP="00160459">
      <w:pPr>
        <w:pStyle w:val="References"/>
        <w:spacing w:before="240" w:after="0"/>
      </w:pPr>
      <w:r w:rsidRPr="0047058F">
        <w:t xml:space="preserve">Cannistraro, P. A., Wright, C. I., Wedig, M. M., Martis, B., Shin, L. M., Wilhelm, S., &amp; Rauch, S. L. (2004). Amygdala responses to human faces in obsessive-compulsive disorder. </w:t>
      </w:r>
      <w:r w:rsidRPr="0047058F">
        <w:rPr>
          <w:i/>
        </w:rPr>
        <w:t>Biological Psychiatry</w:t>
      </w:r>
      <w:r w:rsidRPr="0047058F">
        <w:t xml:space="preserve">, </w:t>
      </w:r>
      <w:r w:rsidRPr="0047058F">
        <w:rPr>
          <w:i/>
        </w:rPr>
        <w:t>56</w:t>
      </w:r>
      <w:r w:rsidRPr="0047058F">
        <w:t>(12), 916–920.</w:t>
      </w:r>
    </w:p>
    <w:p w14:paraId="2E803067" w14:textId="77777777" w:rsidR="00160459" w:rsidRPr="0047058F" w:rsidRDefault="00160459" w:rsidP="00160459">
      <w:pPr>
        <w:pStyle w:val="References"/>
        <w:spacing w:before="240" w:after="0"/>
      </w:pPr>
      <w:r w:rsidRPr="0047058F">
        <w:t xml:space="preserve">Caspi, A., &amp; Roberts, B. W. (2001). Personality development across the life course: The argument for change and continuity. </w:t>
      </w:r>
      <w:r w:rsidRPr="0047058F">
        <w:rPr>
          <w:i/>
        </w:rPr>
        <w:t>Psychological Inquiry</w:t>
      </w:r>
      <w:r w:rsidRPr="0047058F">
        <w:t xml:space="preserve">, </w:t>
      </w:r>
      <w:r w:rsidRPr="0047058F">
        <w:rPr>
          <w:i/>
        </w:rPr>
        <w:t>12</w:t>
      </w:r>
      <w:r w:rsidRPr="0047058F">
        <w:t>(2), 49–66.</w:t>
      </w:r>
    </w:p>
    <w:p w14:paraId="06CDBB82" w14:textId="77777777" w:rsidR="00160459" w:rsidRPr="0047058F" w:rsidRDefault="00160459" w:rsidP="00160459">
      <w:pPr>
        <w:pStyle w:val="References"/>
        <w:spacing w:before="240" w:after="0"/>
      </w:pPr>
      <w:r w:rsidRPr="0047058F">
        <w:t xml:space="preserve">Castro, C. A., &amp; Kintzle, S. (2014). Suicides in the military: The post-modern combat veteran and the Hemingway effect. </w:t>
      </w:r>
      <w:r w:rsidRPr="0047058F">
        <w:rPr>
          <w:i/>
        </w:rPr>
        <w:t>Current Psychiatry Reports</w:t>
      </w:r>
      <w:r w:rsidRPr="0047058F">
        <w:t xml:space="preserve">, </w:t>
      </w:r>
      <w:r w:rsidRPr="0047058F">
        <w:rPr>
          <w:i/>
        </w:rPr>
        <w:t>16</w:t>
      </w:r>
      <w:r w:rsidRPr="0047058F">
        <w:t>(8), 460.</w:t>
      </w:r>
    </w:p>
    <w:p w14:paraId="1D9F26C5" w14:textId="77777777" w:rsidR="00160459" w:rsidRPr="0047058F" w:rsidRDefault="00160459" w:rsidP="00160459">
      <w:pPr>
        <w:pStyle w:val="References"/>
        <w:spacing w:before="240" w:after="0"/>
      </w:pPr>
      <w:r w:rsidRPr="0047058F">
        <w:t xml:space="preserve">Cavanagh, J. T., Carson, A. J., Sharpe, M., &amp; Lawrie, S. M. (2003). Psychological autopsy studies of suicide: A systematic review. </w:t>
      </w:r>
      <w:r w:rsidRPr="0047058F">
        <w:rPr>
          <w:i/>
        </w:rPr>
        <w:t>Psychological Medicine</w:t>
      </w:r>
      <w:r w:rsidRPr="0047058F">
        <w:t xml:space="preserve">, </w:t>
      </w:r>
      <w:r w:rsidRPr="0047058F">
        <w:rPr>
          <w:i/>
        </w:rPr>
        <w:t>33</w:t>
      </w:r>
      <w:r w:rsidRPr="0047058F">
        <w:t>(3), 395–405.</w:t>
      </w:r>
    </w:p>
    <w:p w14:paraId="7D9F2469" w14:textId="77777777" w:rsidR="00160459" w:rsidRPr="0047058F" w:rsidRDefault="00160459" w:rsidP="00160459">
      <w:pPr>
        <w:pStyle w:val="References"/>
        <w:spacing w:before="240" w:after="0"/>
      </w:pPr>
      <w:r w:rsidRPr="0047058F">
        <w:t xml:space="preserve">Chemtob, C. M., Novaco, R. W., Hamada, R. S., &amp; Gross, D. M. (1997). Cognitive-behavioral treatment for severe anger in posttraumatic stress disorder. </w:t>
      </w:r>
      <w:r w:rsidRPr="0047058F">
        <w:rPr>
          <w:i/>
        </w:rPr>
        <w:t>Journal of Consulting and Clinical Psychology</w:t>
      </w:r>
      <w:r w:rsidRPr="0047058F">
        <w:t xml:space="preserve">, </w:t>
      </w:r>
      <w:r w:rsidRPr="0047058F">
        <w:rPr>
          <w:i/>
        </w:rPr>
        <w:t>65</w:t>
      </w:r>
      <w:r w:rsidRPr="0047058F">
        <w:t>(1), 184–189.</w:t>
      </w:r>
    </w:p>
    <w:p w14:paraId="5D44CFF9" w14:textId="77777777" w:rsidR="00160459" w:rsidRPr="0047058F" w:rsidRDefault="00160459" w:rsidP="00160459">
      <w:pPr>
        <w:pStyle w:val="References"/>
        <w:spacing w:before="240" w:after="0"/>
      </w:pPr>
      <w:r w:rsidRPr="0047058F">
        <w:t xml:space="preserve">Chiu, S., Webber, M. P., Zeig-Owens, R., Gustave, J., Lee, R., Kelly, K. J., … Prezant, D. J. (2010). Validation of the Center for Epidemiologic Studies Depression Scale in screening for major depressive disorder among retired firefighters exposed to the World Trade Center disaster. </w:t>
      </w:r>
      <w:r w:rsidRPr="0047058F">
        <w:rPr>
          <w:i/>
        </w:rPr>
        <w:t>Journal of Affective Disorders</w:t>
      </w:r>
      <w:r w:rsidRPr="0047058F">
        <w:t xml:space="preserve">, </w:t>
      </w:r>
      <w:r w:rsidRPr="0047058F">
        <w:rPr>
          <w:i/>
        </w:rPr>
        <w:t>121</w:t>
      </w:r>
      <w:r w:rsidRPr="0047058F">
        <w:t>(3), 212–219.</w:t>
      </w:r>
    </w:p>
    <w:p w14:paraId="33EB58CD" w14:textId="77777777" w:rsidR="00160459" w:rsidRPr="0047058F" w:rsidRDefault="00160459" w:rsidP="00160459">
      <w:pPr>
        <w:pStyle w:val="References"/>
        <w:spacing w:before="240" w:after="0"/>
      </w:pPr>
      <w:r w:rsidRPr="0047058F">
        <w:t xml:space="preserve">Chiu, S., Webber, M. P., Zeig-Owens, R., Gustave, J., Lee, R., Kelly, K. J., … Prezant, D. J. (2011). Performance characteristics of the PTSD Checklist in retired firefighters exposed to the World Trade Center disaster. </w:t>
      </w:r>
      <w:r w:rsidRPr="0047058F">
        <w:rPr>
          <w:i/>
        </w:rPr>
        <w:t>Annals of Clinical Psychiatry</w:t>
      </w:r>
      <w:r w:rsidRPr="0047058F">
        <w:t xml:space="preserve">, </w:t>
      </w:r>
      <w:r w:rsidRPr="0047058F">
        <w:rPr>
          <w:i/>
        </w:rPr>
        <w:t>23</w:t>
      </w:r>
      <w:r w:rsidRPr="0047058F">
        <w:t>(2), 95–104.</w:t>
      </w:r>
    </w:p>
    <w:p w14:paraId="66BA860A" w14:textId="77777777" w:rsidR="00160459" w:rsidRPr="0047058F" w:rsidRDefault="00160459" w:rsidP="00160459">
      <w:pPr>
        <w:pStyle w:val="References"/>
        <w:spacing w:before="240" w:after="0"/>
      </w:pPr>
      <w:r w:rsidRPr="0047058F">
        <w:t xml:space="preserve">Clancy, C. P., Graybeal, A., Tompson, W. P., Badgett, K. S., Feldman, M. E., Calhoun, P. S., … Beckham, J. C. (2006). Lifetime trauma exposure in veterans with military-related posttraumatic stress disorder: Association with current symptomatology. </w:t>
      </w:r>
      <w:r w:rsidRPr="0047058F">
        <w:rPr>
          <w:i/>
        </w:rPr>
        <w:t>Journal of Clinical Psychiatry</w:t>
      </w:r>
      <w:r w:rsidRPr="0047058F">
        <w:t xml:space="preserve">, </w:t>
      </w:r>
      <w:r w:rsidRPr="0047058F">
        <w:rPr>
          <w:i/>
        </w:rPr>
        <w:t>67</w:t>
      </w:r>
      <w:r w:rsidRPr="0047058F">
        <w:t>(9), 1346–1353.</w:t>
      </w:r>
    </w:p>
    <w:p w14:paraId="1CB5181C" w14:textId="77777777" w:rsidR="00160459" w:rsidRPr="0047058F" w:rsidRDefault="00160459" w:rsidP="00160459">
      <w:pPr>
        <w:pStyle w:val="References"/>
        <w:spacing w:before="240" w:after="0"/>
      </w:pPr>
      <w:r w:rsidRPr="0047058F">
        <w:t xml:space="preserve">Clement, S., Schauman, O., Graham, T., Maggioni, F., Evans-Lacko, S., Bezborodovs, N., … Thornicroft, G. (2015). What is the impact of mental health-related stigma on help-seeking? A systematic review of quantitative and qualitative studies. </w:t>
      </w:r>
      <w:r w:rsidRPr="0047058F">
        <w:rPr>
          <w:i/>
        </w:rPr>
        <w:t>Psychological Medicine</w:t>
      </w:r>
      <w:r w:rsidRPr="0047058F">
        <w:t xml:space="preserve">, </w:t>
      </w:r>
      <w:r w:rsidRPr="0047058F">
        <w:rPr>
          <w:i/>
        </w:rPr>
        <w:t>45</w:t>
      </w:r>
      <w:r w:rsidRPr="0047058F">
        <w:t>(1), 11–27.</w:t>
      </w:r>
    </w:p>
    <w:p w14:paraId="6A6AA1EB" w14:textId="77777777" w:rsidR="00160459" w:rsidRPr="0047058F" w:rsidRDefault="00160459" w:rsidP="00160459">
      <w:pPr>
        <w:pStyle w:val="References"/>
        <w:spacing w:before="240" w:after="0"/>
      </w:pPr>
      <w:r w:rsidRPr="0047058F">
        <w:t xml:space="preserve">Coll, J. E., Weiss, E. L., &amp; Yarvis, J. S. (2011). No one leaves unchanged: Insights for civilian mental health care professionals into the military experience and culture. </w:t>
      </w:r>
      <w:r w:rsidRPr="0047058F">
        <w:rPr>
          <w:i/>
        </w:rPr>
        <w:t>Social Work in Health Care</w:t>
      </w:r>
      <w:r w:rsidRPr="0047058F">
        <w:t xml:space="preserve">, </w:t>
      </w:r>
      <w:r w:rsidRPr="0047058F">
        <w:rPr>
          <w:i/>
        </w:rPr>
        <w:t>50</w:t>
      </w:r>
      <w:r w:rsidRPr="0047058F">
        <w:t>(7), 487–500.</w:t>
      </w:r>
    </w:p>
    <w:p w14:paraId="17D2939C" w14:textId="77777777" w:rsidR="00160459" w:rsidRPr="0047058F" w:rsidRDefault="00160459" w:rsidP="00160459">
      <w:pPr>
        <w:pStyle w:val="References"/>
        <w:spacing w:before="240" w:after="0"/>
      </w:pPr>
      <w:r w:rsidRPr="0047058F">
        <w:t xml:space="preserve">Connor, K. M., &amp; Davidson, J. R. (2003). Development of a new resilience scale: The Connor‐Davidson Resilience Scale (CD‐RISC). </w:t>
      </w:r>
      <w:r w:rsidRPr="0047058F">
        <w:rPr>
          <w:i/>
        </w:rPr>
        <w:t>Depression and Anxiety</w:t>
      </w:r>
      <w:r w:rsidRPr="0047058F">
        <w:t xml:space="preserve">, </w:t>
      </w:r>
      <w:r w:rsidRPr="0047058F">
        <w:rPr>
          <w:i/>
        </w:rPr>
        <w:t>18</w:t>
      </w:r>
      <w:r w:rsidRPr="0047058F">
        <w:t>(2), 76–82.</w:t>
      </w:r>
    </w:p>
    <w:p w14:paraId="047575FB" w14:textId="77777777" w:rsidR="00160459" w:rsidRPr="0047058F" w:rsidRDefault="00160459" w:rsidP="00160459">
      <w:pPr>
        <w:pStyle w:val="References"/>
        <w:spacing w:before="240" w:after="0"/>
      </w:pPr>
      <w:r w:rsidRPr="0047058F">
        <w:t xml:space="preserve">Corrigan, J. D., &amp; Bogner, J. A. (2007). Initial reliability and validity of the Ohio State University TBI Identification Method. </w:t>
      </w:r>
      <w:r w:rsidRPr="0047058F">
        <w:rPr>
          <w:i/>
        </w:rPr>
        <w:t>Journal of Head Trauma Rehabilitation</w:t>
      </w:r>
      <w:r w:rsidRPr="0047058F">
        <w:t xml:space="preserve">, </w:t>
      </w:r>
      <w:r w:rsidRPr="0047058F">
        <w:rPr>
          <w:i/>
        </w:rPr>
        <w:t>22</w:t>
      </w:r>
      <w:r w:rsidRPr="0047058F">
        <w:t>(6), 318–329.</w:t>
      </w:r>
    </w:p>
    <w:p w14:paraId="293BDB67" w14:textId="77777777" w:rsidR="00160459" w:rsidRPr="0047058F" w:rsidRDefault="00160459" w:rsidP="00160459">
      <w:pPr>
        <w:pStyle w:val="References"/>
        <w:spacing w:before="240" w:after="0"/>
      </w:pPr>
      <w:r w:rsidRPr="0047058F">
        <w:t xml:space="preserve">Corrigan, P. W., Watson, A. C., &amp; Barr, L. (2006). The self-stigma of mental illness: Implications for self-esteem and self-efficacy. </w:t>
      </w:r>
      <w:r w:rsidRPr="0047058F">
        <w:rPr>
          <w:i/>
        </w:rPr>
        <w:t>Journal of Social and Clinical Psychology</w:t>
      </w:r>
      <w:r w:rsidRPr="0047058F">
        <w:t xml:space="preserve">, </w:t>
      </w:r>
      <w:r w:rsidRPr="0047058F">
        <w:rPr>
          <w:i/>
        </w:rPr>
        <w:t>25</w:t>
      </w:r>
      <w:r w:rsidRPr="0047058F">
        <w:t>(8), 875–884.</w:t>
      </w:r>
    </w:p>
    <w:p w14:paraId="785CC140" w14:textId="77777777" w:rsidR="00160459" w:rsidRPr="0047058F" w:rsidRDefault="00160459" w:rsidP="00160459">
      <w:pPr>
        <w:pStyle w:val="References"/>
        <w:spacing w:before="240" w:after="0"/>
      </w:pPr>
      <w:r w:rsidRPr="0047058F">
        <w:t xml:space="preserve">Crum, R. M., Mojtabai, R., Lazareck, S., Bolton, J. M., Robinson, J., Sareen, J., … Storr, C. L. (2013). A prospective assessment of reports of drinking to self-medicate mood symptoms with the incidence and persistence of alcohol dependence. </w:t>
      </w:r>
      <w:r w:rsidRPr="0047058F">
        <w:rPr>
          <w:i/>
        </w:rPr>
        <w:t>JAMA Psychiatry</w:t>
      </w:r>
      <w:r w:rsidRPr="0047058F">
        <w:t xml:space="preserve">, </w:t>
      </w:r>
      <w:r w:rsidRPr="0047058F">
        <w:rPr>
          <w:i/>
        </w:rPr>
        <w:t>70</w:t>
      </w:r>
      <w:r w:rsidRPr="0047058F">
        <w:t>(7), 718–726.</w:t>
      </w:r>
    </w:p>
    <w:p w14:paraId="196EB55B" w14:textId="77777777" w:rsidR="00160459" w:rsidRPr="0047058F" w:rsidRDefault="00160459" w:rsidP="00160459">
      <w:pPr>
        <w:pStyle w:val="References"/>
        <w:spacing w:before="240" w:after="0"/>
      </w:pPr>
      <w:r w:rsidRPr="0047058F">
        <w:t xml:space="preserve">Cuijpers, P., van Straten, A., Schuurmans, J., van Oppen, P., Hollon, S. D., &amp; Andersson, G. (2010). Psychotherapy for chronic major depression and dysthymia: A meta-analysis. </w:t>
      </w:r>
      <w:r w:rsidRPr="0047058F">
        <w:rPr>
          <w:i/>
        </w:rPr>
        <w:t>Clinical Psychology Review</w:t>
      </w:r>
      <w:r w:rsidRPr="0047058F">
        <w:t xml:space="preserve">, </w:t>
      </w:r>
      <w:r w:rsidRPr="0047058F">
        <w:rPr>
          <w:i/>
        </w:rPr>
        <w:t>30</w:t>
      </w:r>
      <w:r w:rsidRPr="0047058F">
        <w:t>(1), 51–62.</w:t>
      </w:r>
    </w:p>
    <w:p w14:paraId="47301656" w14:textId="7FDC74EB" w:rsidR="00160459" w:rsidRPr="0047058F" w:rsidRDefault="00160459" w:rsidP="00160459">
      <w:pPr>
        <w:pStyle w:val="References"/>
        <w:spacing w:before="240" w:after="0"/>
      </w:pPr>
      <w:r w:rsidRPr="0047058F">
        <w:t xml:space="preserve">Cuijpers, P., </w:t>
      </w:r>
      <w:r w:rsidR="00F14DB3">
        <w:t>v</w:t>
      </w:r>
      <w:r w:rsidRPr="0047058F">
        <w:t xml:space="preserve">an Straten, A., &amp; Warmerdam, L. (2007). Behavioral activation treatments of depression: A meta-analysis. </w:t>
      </w:r>
      <w:r w:rsidRPr="0047058F">
        <w:rPr>
          <w:i/>
        </w:rPr>
        <w:t>Clinical Psychology Review</w:t>
      </w:r>
      <w:r w:rsidRPr="0047058F">
        <w:t xml:space="preserve">, </w:t>
      </w:r>
      <w:r w:rsidRPr="0047058F">
        <w:rPr>
          <w:i/>
        </w:rPr>
        <w:t>27</w:t>
      </w:r>
      <w:r w:rsidRPr="0047058F">
        <w:t>(3), 318–326.</w:t>
      </w:r>
    </w:p>
    <w:p w14:paraId="1AD5B683" w14:textId="77777777" w:rsidR="00160459" w:rsidRPr="0047058F" w:rsidRDefault="00160459" w:rsidP="00160459">
      <w:pPr>
        <w:pStyle w:val="References"/>
        <w:spacing w:before="240" w:after="0"/>
      </w:pPr>
      <w:r w:rsidRPr="0047058F">
        <w:t xml:space="preserve">Davis, L. L., Kyriakides, T. C., Suris, A., Ottomanelli, L., Drake, R. E., Parker, P. E., … Blansett, C. M. (2018). Veterans individual placement and support towards advancing recovery: Methods and baseline clinical characteristics of a multisite study. </w:t>
      </w:r>
      <w:r w:rsidRPr="0047058F">
        <w:rPr>
          <w:i/>
        </w:rPr>
        <w:t>Psychiatric Rehabilitation Journal</w:t>
      </w:r>
      <w:r w:rsidRPr="0047058F">
        <w:t xml:space="preserve">, </w:t>
      </w:r>
      <w:r w:rsidRPr="0047058F">
        <w:rPr>
          <w:i/>
        </w:rPr>
        <w:t>41</w:t>
      </w:r>
      <w:r w:rsidRPr="0047058F">
        <w:t>(1), 55–66.</w:t>
      </w:r>
    </w:p>
    <w:p w14:paraId="13C78E31" w14:textId="77777777" w:rsidR="00160459" w:rsidRPr="0047058F" w:rsidRDefault="00160459" w:rsidP="00160459">
      <w:pPr>
        <w:pStyle w:val="References"/>
        <w:spacing w:before="240" w:after="0"/>
      </w:pPr>
      <w:r w:rsidRPr="0047058F">
        <w:t xml:space="preserve">Davis, T. A., Jovanovic, T., Norrholm, S. D., Glover, E. M., Swanson, M., Spann, S., &amp; Bradley, B. (2013). Substance use attenuates physiological responses associated with PTSD among individuals with co-morbid PTSD and SUDs. </w:t>
      </w:r>
      <w:r w:rsidRPr="0047058F">
        <w:rPr>
          <w:i/>
        </w:rPr>
        <w:t>Journal of Psychology and Psychotherapy</w:t>
      </w:r>
      <w:r w:rsidRPr="0047058F">
        <w:t>, Suppl 7.</w:t>
      </w:r>
    </w:p>
    <w:p w14:paraId="69A6B608" w14:textId="77777777" w:rsidR="00160459" w:rsidRPr="0047058F" w:rsidRDefault="00160459" w:rsidP="00160459">
      <w:pPr>
        <w:pStyle w:val="References"/>
        <w:spacing w:before="240" w:after="0"/>
      </w:pPr>
      <w:r w:rsidRPr="0047058F">
        <w:t xml:space="preserve">Davy, C., Dobson, A., Lawrence-Wood, E. Lorimer, M., Moores, K., Lawrence, A., … McFarlane, A. (2012). </w:t>
      </w:r>
      <w:r w:rsidRPr="0047058F">
        <w:rPr>
          <w:i/>
        </w:rPr>
        <w:t>The Middle East Area of Operations (MEAO) Health Study: Prospective study report</w:t>
      </w:r>
      <w:r w:rsidRPr="0047058F">
        <w:t>. Adelaide: University of Adelaide, Centre for Military and Veterans’ Health.</w:t>
      </w:r>
    </w:p>
    <w:p w14:paraId="3BA22EA4" w14:textId="77777777" w:rsidR="00160459" w:rsidRPr="0047058F" w:rsidRDefault="00160459" w:rsidP="00160459">
      <w:pPr>
        <w:pStyle w:val="References"/>
        <w:spacing w:before="240" w:after="0"/>
      </w:pPr>
      <w:r w:rsidRPr="0047058F">
        <w:t xml:space="preserve">Dedert, E. A., Green, K. T., Calhoun, P. S., Yoash-Gantz, R., Taber, K. H., Mumford, M. M., … Beckham, J. C. (2009). Association of trauma exposure with psychiatric morbidity in military veterans who have served since September 11, 2001. </w:t>
      </w:r>
      <w:r w:rsidRPr="0047058F">
        <w:rPr>
          <w:i/>
        </w:rPr>
        <w:t>Journal of Psychiatric Research</w:t>
      </w:r>
      <w:r w:rsidRPr="0047058F">
        <w:t xml:space="preserve">, </w:t>
      </w:r>
      <w:r w:rsidRPr="0047058F">
        <w:rPr>
          <w:i/>
        </w:rPr>
        <w:t>43</w:t>
      </w:r>
      <w:r w:rsidRPr="0047058F">
        <w:t>(9), 830–836.</w:t>
      </w:r>
    </w:p>
    <w:p w14:paraId="57E42C55" w14:textId="77777777" w:rsidR="00160459" w:rsidRPr="0047058F" w:rsidRDefault="00160459" w:rsidP="00160459">
      <w:pPr>
        <w:pStyle w:val="References"/>
        <w:spacing w:before="240" w:after="0"/>
      </w:pPr>
      <w:r w:rsidRPr="0047058F">
        <w:t xml:space="preserve">Del Gaizo, A. L., Elhai, J. D., &amp; Weaver, T. L. (2011). Posttraumatic stress disorder, poor physical health and substance use behaviors in a national trauma-exposed sample. </w:t>
      </w:r>
      <w:r w:rsidRPr="0047058F">
        <w:rPr>
          <w:i/>
        </w:rPr>
        <w:t>Psychiatry Research</w:t>
      </w:r>
      <w:r w:rsidRPr="0047058F">
        <w:t xml:space="preserve">, </w:t>
      </w:r>
      <w:r w:rsidRPr="0047058F">
        <w:rPr>
          <w:i/>
        </w:rPr>
        <w:t>188</w:t>
      </w:r>
      <w:r w:rsidRPr="0047058F">
        <w:t>(3), 390–395.</w:t>
      </w:r>
    </w:p>
    <w:p w14:paraId="6785A227" w14:textId="77777777" w:rsidR="00160459" w:rsidRPr="0047058F" w:rsidRDefault="00160459" w:rsidP="00160459">
      <w:pPr>
        <w:pStyle w:val="References"/>
        <w:spacing w:before="240" w:after="0"/>
      </w:pPr>
      <w:r w:rsidRPr="0047058F">
        <w:t xml:space="preserve">Demers, A. (2011). When veterans return: The role of community in reintegration. </w:t>
      </w:r>
      <w:r w:rsidRPr="0047058F">
        <w:rPr>
          <w:i/>
        </w:rPr>
        <w:t>Journal of Loss and Trauma</w:t>
      </w:r>
      <w:r w:rsidRPr="0047058F">
        <w:t xml:space="preserve">, </w:t>
      </w:r>
      <w:r w:rsidRPr="0047058F">
        <w:rPr>
          <w:i/>
        </w:rPr>
        <w:t>16</w:t>
      </w:r>
      <w:r w:rsidRPr="0047058F">
        <w:t>, 160–179.</w:t>
      </w:r>
    </w:p>
    <w:p w14:paraId="0CAA93E1" w14:textId="77777777" w:rsidR="00160459" w:rsidRPr="0047058F" w:rsidRDefault="00160459" w:rsidP="00160459">
      <w:pPr>
        <w:pStyle w:val="References"/>
        <w:spacing w:before="240" w:after="0"/>
      </w:pPr>
      <w:r w:rsidRPr="0047058F">
        <w:t xml:space="preserve">Denneson, L. M., Teo, A. R., Ganzini, L., Helmer, D. A., Bair, M. J., &amp; Dobscha, S. K. (2015). Military veterans’ experiences with suicidal ideation: Implications for intervention and prevention. </w:t>
      </w:r>
      <w:r w:rsidRPr="0047058F">
        <w:rPr>
          <w:i/>
        </w:rPr>
        <w:t>Suicide and Life-Threatening Behavior</w:t>
      </w:r>
      <w:r w:rsidRPr="0047058F">
        <w:t xml:space="preserve">, </w:t>
      </w:r>
      <w:r w:rsidRPr="0047058F">
        <w:rPr>
          <w:i/>
        </w:rPr>
        <w:t>45</w:t>
      </w:r>
      <w:r w:rsidRPr="0047058F">
        <w:t>(4), 399–414.</w:t>
      </w:r>
    </w:p>
    <w:p w14:paraId="06F7CCD3" w14:textId="77777777" w:rsidR="00160459" w:rsidRPr="0047058F" w:rsidRDefault="00160459" w:rsidP="00160459">
      <w:pPr>
        <w:pStyle w:val="References"/>
        <w:spacing w:before="240" w:after="0"/>
      </w:pPr>
      <w:r w:rsidRPr="0047058F">
        <w:t xml:space="preserve">Department of Defence. (2003). </w:t>
      </w:r>
      <w:r w:rsidRPr="0047058F">
        <w:rPr>
          <w:i/>
        </w:rPr>
        <w:t>Alcohol Use Disorders Identification Test</w:t>
      </w:r>
      <w:r w:rsidRPr="0047058F">
        <w:t>. Australian Defence Force Health Bulletin no. 15/2003. Canberra: Department of Defence, Defence Health Services.</w:t>
      </w:r>
    </w:p>
    <w:p w14:paraId="6B7962F6" w14:textId="77777777" w:rsidR="00160459" w:rsidRPr="0047058F" w:rsidRDefault="00160459" w:rsidP="00160459">
      <w:pPr>
        <w:pStyle w:val="References"/>
        <w:spacing w:before="240" w:after="0"/>
      </w:pPr>
      <w:r w:rsidRPr="0047058F">
        <w:t xml:space="preserve">Department of Veterans’ Affairs. (2013). </w:t>
      </w:r>
      <w:r w:rsidRPr="0047058F">
        <w:rPr>
          <w:i/>
        </w:rPr>
        <w:t>Veteran Mental Health Strategy: A ten year framework 2013–2023</w:t>
      </w:r>
      <w:r w:rsidRPr="0047058F">
        <w:t>. Canberra: Department of Veterans’ Affairs.</w:t>
      </w:r>
    </w:p>
    <w:p w14:paraId="2AD66CEE" w14:textId="77777777" w:rsidR="00160459" w:rsidRPr="0047058F" w:rsidRDefault="00160459" w:rsidP="00160459">
      <w:pPr>
        <w:pStyle w:val="References"/>
        <w:spacing w:before="240" w:after="0"/>
      </w:pPr>
      <w:r w:rsidRPr="0047058F">
        <w:t xml:space="preserve">Department of Veterans’ Affairs. (2016). </w:t>
      </w:r>
      <w:r w:rsidRPr="0047058F">
        <w:rPr>
          <w:i/>
        </w:rPr>
        <w:t>Annual reports 2015–16</w:t>
      </w:r>
      <w:r w:rsidRPr="0047058F">
        <w:t xml:space="preserve">. Canberra: Department of Veterans’ Affairs. Retrieved from </w:t>
      </w:r>
      <w:hyperlink r:id="rId104" w:history="1">
        <w:r w:rsidRPr="0047058F">
          <w:rPr>
            <w:rStyle w:val="Hyperlink"/>
          </w:rPr>
          <w:t>https://www.dva.gov.au/sites/default/files/files/about%20dva/annual_report/2015-2016/annrep2015-16.pdf</w:t>
        </w:r>
      </w:hyperlink>
      <w:r w:rsidRPr="0047058F">
        <w:t>.</w:t>
      </w:r>
    </w:p>
    <w:p w14:paraId="7F1DC026" w14:textId="77777777" w:rsidR="00160459" w:rsidRPr="0047058F" w:rsidRDefault="00160459" w:rsidP="00160459">
      <w:pPr>
        <w:pStyle w:val="References"/>
        <w:spacing w:before="240" w:after="0"/>
      </w:pPr>
      <w:r w:rsidRPr="0047058F">
        <w:t xml:space="preserve">Dickstein, B. D., Suvak, M., Litz, B. T., &amp; Adler, A. B. (2010). Heterogeneity in the course of posttraumatic stress disorder: Trajectories of symptomatology. </w:t>
      </w:r>
      <w:r w:rsidRPr="0047058F">
        <w:rPr>
          <w:i/>
        </w:rPr>
        <w:t>Journal of Traumatic Stress</w:t>
      </w:r>
      <w:r w:rsidRPr="0047058F">
        <w:t xml:space="preserve">, </w:t>
      </w:r>
      <w:r w:rsidRPr="0047058F">
        <w:rPr>
          <w:i/>
        </w:rPr>
        <w:t>23</w:t>
      </w:r>
      <w:r w:rsidRPr="0047058F">
        <w:t>(3), 331–339.</w:t>
      </w:r>
    </w:p>
    <w:p w14:paraId="33615BE7" w14:textId="477E459F" w:rsidR="00160459" w:rsidRPr="0047058F" w:rsidRDefault="00160459" w:rsidP="00160459">
      <w:pPr>
        <w:pStyle w:val="References"/>
        <w:spacing w:before="240" w:after="0"/>
      </w:pPr>
      <w:r w:rsidRPr="0047058F">
        <w:t xml:space="preserve">Dobson, A., Treloar, S., Zheng, W., Anderson, R., Bredhauer, K., Kanesarajah, J., … Waller, M. (2012). </w:t>
      </w:r>
      <w:r w:rsidRPr="0047058F">
        <w:rPr>
          <w:i/>
        </w:rPr>
        <w:t xml:space="preserve">The Middle East Area of Operations (MEAO) Health Study: Census </w:t>
      </w:r>
      <w:r w:rsidR="00C172E0">
        <w:rPr>
          <w:i/>
        </w:rPr>
        <w:t>S</w:t>
      </w:r>
      <w:r w:rsidRPr="0047058F">
        <w:rPr>
          <w:i/>
        </w:rPr>
        <w:t>tudy report</w:t>
      </w:r>
      <w:r w:rsidRPr="0047058F">
        <w:t>. Brisbane: University of Queensland, Centre for Military and Veterans’ Health.</w:t>
      </w:r>
    </w:p>
    <w:p w14:paraId="390F8E8D" w14:textId="77777777" w:rsidR="00160459" w:rsidRPr="0047058F" w:rsidRDefault="00160459" w:rsidP="00160459">
      <w:pPr>
        <w:pStyle w:val="References"/>
        <w:spacing w:before="240" w:after="0"/>
      </w:pPr>
      <w:r w:rsidRPr="0047058F">
        <w:t xml:space="preserve">Donoho, C. J., Bonanno, G. A., Porter, B., Kearney, L., &amp; Powell, T. M. (2017). A decade of war: Prospective trajectories of posttraumatic stress disorder symptoms among deployed US military personnel and the influence of combat exposure. </w:t>
      </w:r>
      <w:r w:rsidRPr="0047058F">
        <w:rPr>
          <w:i/>
        </w:rPr>
        <w:t>American Journal of Epidemiology</w:t>
      </w:r>
      <w:r w:rsidRPr="0047058F">
        <w:t xml:space="preserve">, </w:t>
      </w:r>
      <w:r w:rsidRPr="0047058F">
        <w:rPr>
          <w:i/>
        </w:rPr>
        <w:t>186</w:t>
      </w:r>
      <w:r w:rsidRPr="0047058F">
        <w:t>(12), 1310–1318.</w:t>
      </w:r>
    </w:p>
    <w:p w14:paraId="24DC84B3" w14:textId="77777777" w:rsidR="00160459" w:rsidRPr="0047058F" w:rsidRDefault="00160459" w:rsidP="00160459">
      <w:pPr>
        <w:pStyle w:val="References"/>
        <w:spacing w:before="240" w:after="0"/>
      </w:pPr>
      <w:r w:rsidRPr="0047058F">
        <w:t xml:space="preserve">Earnshaw, V. A., &amp; Chaudoir, S. R. (2009). From conceptualizing to measuring HIV stigma: A review of HIV stigma mechanism measures. </w:t>
      </w:r>
      <w:r w:rsidRPr="0047058F">
        <w:rPr>
          <w:i/>
        </w:rPr>
        <w:t>AIDS and Behavior</w:t>
      </w:r>
      <w:r w:rsidRPr="0047058F">
        <w:t xml:space="preserve">, </w:t>
      </w:r>
      <w:r w:rsidRPr="0047058F">
        <w:rPr>
          <w:i/>
        </w:rPr>
        <w:t>13</w:t>
      </w:r>
      <w:r w:rsidRPr="0047058F">
        <w:t>(6), 1160–1177.</w:t>
      </w:r>
    </w:p>
    <w:p w14:paraId="3ADB99D3" w14:textId="77777777" w:rsidR="00160459" w:rsidRPr="0047058F" w:rsidRDefault="00160459" w:rsidP="00160459">
      <w:pPr>
        <w:pStyle w:val="References"/>
        <w:spacing w:before="240" w:after="0"/>
      </w:pPr>
      <w:r w:rsidRPr="0047058F">
        <w:t xml:space="preserve">Eekhout, I., Reijnen, A., Vermetten, E., &amp; Geuze, E. (2016). Post-traumatic stress symptoms 5 years after military deployment to Afghanistan: An observational cohort study. </w:t>
      </w:r>
      <w:r w:rsidRPr="0047058F">
        <w:rPr>
          <w:i/>
        </w:rPr>
        <w:t>The Lancet Psychiatry</w:t>
      </w:r>
      <w:r w:rsidRPr="0047058F">
        <w:t xml:space="preserve">, </w:t>
      </w:r>
      <w:r w:rsidRPr="0047058F">
        <w:rPr>
          <w:i/>
        </w:rPr>
        <w:t>3</w:t>
      </w:r>
      <w:r w:rsidRPr="0047058F">
        <w:t>(1), 58–64.</w:t>
      </w:r>
    </w:p>
    <w:p w14:paraId="15A9027B" w14:textId="77777777" w:rsidR="00160459" w:rsidRPr="0047058F" w:rsidRDefault="00160459" w:rsidP="00160459">
      <w:pPr>
        <w:pStyle w:val="References"/>
        <w:spacing w:before="240" w:after="0"/>
      </w:pPr>
      <w:r w:rsidRPr="0047058F">
        <w:t xml:space="preserve">Enz, K. F., &amp; Talarico, J. M. (2016). Forks in the road: Memories of turning points and transitions. </w:t>
      </w:r>
      <w:r w:rsidRPr="0047058F">
        <w:rPr>
          <w:i/>
        </w:rPr>
        <w:t>Applied Cognitive Psychology</w:t>
      </w:r>
      <w:r w:rsidRPr="0047058F">
        <w:t xml:space="preserve">, </w:t>
      </w:r>
      <w:r w:rsidRPr="0047058F">
        <w:rPr>
          <w:i/>
        </w:rPr>
        <w:t>30</w:t>
      </w:r>
      <w:r w:rsidRPr="0047058F">
        <w:t>(2), 188–195.</w:t>
      </w:r>
    </w:p>
    <w:p w14:paraId="0FD0DF76" w14:textId="77777777" w:rsidR="00160459" w:rsidRPr="0047058F" w:rsidRDefault="00160459" w:rsidP="00160459">
      <w:pPr>
        <w:pStyle w:val="References"/>
        <w:spacing w:before="240" w:after="0"/>
      </w:pPr>
      <w:r w:rsidRPr="0047058F">
        <w:t xml:space="preserve">Faravelli, C. (1985). Life events preceding the onset of panic disorder. </w:t>
      </w:r>
      <w:r w:rsidRPr="0047058F">
        <w:rPr>
          <w:i/>
        </w:rPr>
        <w:t>Journal of Affective Disorders</w:t>
      </w:r>
      <w:r w:rsidRPr="0047058F">
        <w:t xml:space="preserve">, </w:t>
      </w:r>
      <w:r w:rsidRPr="0047058F">
        <w:rPr>
          <w:i/>
        </w:rPr>
        <w:t>9</w:t>
      </w:r>
      <w:r w:rsidRPr="0047058F">
        <w:t>(1), 103–105.</w:t>
      </w:r>
    </w:p>
    <w:p w14:paraId="5B195CE0" w14:textId="77777777" w:rsidR="00160459" w:rsidRPr="0047058F" w:rsidRDefault="00160459" w:rsidP="00160459">
      <w:pPr>
        <w:pStyle w:val="References"/>
        <w:spacing w:before="240" w:after="0"/>
      </w:pPr>
      <w:r w:rsidRPr="0047058F">
        <w:t xml:space="preserve">Fear, N. T., Jones, M., Murphy, D., Hull, L., Iversen, A. C., Coker, B., … Wessely, S. (2010). What are the consequences of deployment to Iraq and Afghanistan on the mental health of the UK armed forces? A cohort study. </w:t>
      </w:r>
      <w:r w:rsidRPr="0047058F">
        <w:rPr>
          <w:i/>
        </w:rPr>
        <w:t>The Lancet</w:t>
      </w:r>
      <w:r w:rsidRPr="00801EA3">
        <w:t>,</w:t>
      </w:r>
      <w:r w:rsidRPr="0047058F">
        <w:t xml:space="preserve"> </w:t>
      </w:r>
      <w:r w:rsidRPr="0047058F">
        <w:rPr>
          <w:i/>
        </w:rPr>
        <w:t>375</w:t>
      </w:r>
      <w:r w:rsidRPr="0047058F">
        <w:t>(9728), 1783–1797.</w:t>
      </w:r>
    </w:p>
    <w:p w14:paraId="770CE140" w14:textId="77777777" w:rsidR="00160459" w:rsidRPr="0047058F" w:rsidRDefault="00160459" w:rsidP="00160459">
      <w:pPr>
        <w:pStyle w:val="References"/>
        <w:spacing w:before="240" w:after="0"/>
      </w:pPr>
      <w:r w:rsidRPr="0047058F">
        <w:t xml:space="preserve">Fear, N. T., Wood, D., &amp; Wessely, S. (2009). </w:t>
      </w:r>
      <w:r w:rsidRPr="0047058F">
        <w:rPr>
          <w:i/>
        </w:rPr>
        <w:t>Health and social outcomes and health service experiences of UK military veterans</w:t>
      </w:r>
      <w:r w:rsidRPr="0047058F">
        <w:t>. London: King’s College London, King’s Centre for Military Health Research.</w:t>
      </w:r>
    </w:p>
    <w:p w14:paraId="442A5953" w14:textId="77777777" w:rsidR="00160459" w:rsidRPr="0047058F" w:rsidRDefault="00160459" w:rsidP="00160459">
      <w:pPr>
        <w:pStyle w:val="References"/>
        <w:spacing w:before="240" w:after="0"/>
      </w:pPr>
      <w:r w:rsidRPr="0047058F">
        <w:t xml:space="preserve">Fetzner, M. G., McMillan, K. A., &amp; Asmundson, G. J. (2012). Similarities in specific physical health disorder prevalence among formerly deployed Canadian forces veterans with full and subsyndromal PTSD. </w:t>
      </w:r>
      <w:r w:rsidRPr="0047058F">
        <w:rPr>
          <w:i/>
        </w:rPr>
        <w:t>Depression and Anxiety</w:t>
      </w:r>
      <w:r w:rsidRPr="0047058F">
        <w:t xml:space="preserve">, </w:t>
      </w:r>
      <w:r w:rsidRPr="0047058F">
        <w:rPr>
          <w:i/>
        </w:rPr>
        <w:t>29</w:t>
      </w:r>
      <w:r w:rsidRPr="0047058F">
        <w:t>(11), 958–965.</w:t>
      </w:r>
    </w:p>
    <w:p w14:paraId="27B18F68" w14:textId="77777777" w:rsidR="00160459" w:rsidRPr="0047058F" w:rsidRDefault="00160459" w:rsidP="00160459">
      <w:pPr>
        <w:pStyle w:val="References"/>
        <w:spacing w:before="240" w:after="0"/>
      </w:pPr>
      <w:r w:rsidRPr="0047058F">
        <w:t>Fikretoglu, D., Blais, A.-R., &amp; Lam, Q. (2014). Development and validation of a new Theory of Planned Behavior Questionnaire for mental health service use [Manuscript under revision].</w:t>
      </w:r>
    </w:p>
    <w:p w14:paraId="61D762D8" w14:textId="77777777" w:rsidR="00160459" w:rsidRPr="0047058F" w:rsidRDefault="00160459" w:rsidP="00160459">
      <w:pPr>
        <w:pStyle w:val="References"/>
        <w:spacing w:before="240" w:after="0"/>
      </w:pPr>
      <w:r w:rsidRPr="0047058F">
        <w:t xml:space="preserve">Fikretoglu, D., Guay, S., Pedlar, D., &amp; Brunet, A. (2008). Twelve month use of mental health services in a nationally representative, active military sample. </w:t>
      </w:r>
      <w:r w:rsidRPr="0047058F">
        <w:rPr>
          <w:i/>
        </w:rPr>
        <w:t>Medical Care</w:t>
      </w:r>
      <w:r w:rsidRPr="0047058F">
        <w:t xml:space="preserve">, </w:t>
      </w:r>
      <w:r w:rsidRPr="0047058F">
        <w:rPr>
          <w:i/>
        </w:rPr>
        <w:t>46</w:t>
      </w:r>
      <w:r w:rsidRPr="0047058F">
        <w:t>(2), 217–223.</w:t>
      </w:r>
    </w:p>
    <w:p w14:paraId="1EF7DF0C" w14:textId="77777777" w:rsidR="00160459" w:rsidRPr="0047058F" w:rsidRDefault="00160459" w:rsidP="00160459">
      <w:pPr>
        <w:pStyle w:val="References"/>
        <w:spacing w:before="240" w:after="0"/>
      </w:pPr>
      <w:r w:rsidRPr="0047058F">
        <w:t xml:space="preserve">Foa, E. B., Riggs, D. S., Massie, E. D., &amp; Yarczower, M. (1995). The impact of fear activation and anger on the efficacy of exposure treatment for posttraumatic stress disorder. </w:t>
      </w:r>
      <w:r w:rsidRPr="0047058F">
        <w:rPr>
          <w:i/>
        </w:rPr>
        <w:t>Behavior Therapy</w:t>
      </w:r>
      <w:r w:rsidRPr="0047058F">
        <w:t xml:space="preserve">, </w:t>
      </w:r>
      <w:r w:rsidRPr="0047058F">
        <w:rPr>
          <w:i/>
        </w:rPr>
        <w:t>26</w:t>
      </w:r>
      <w:r w:rsidRPr="0047058F">
        <w:t>(3), 487–499.</w:t>
      </w:r>
    </w:p>
    <w:p w14:paraId="26349C63" w14:textId="77777777" w:rsidR="00160459" w:rsidRPr="0047058F" w:rsidRDefault="00160459" w:rsidP="00160459">
      <w:pPr>
        <w:pStyle w:val="References"/>
        <w:spacing w:before="240" w:after="0"/>
      </w:pPr>
      <w:r w:rsidRPr="0047058F">
        <w:t xml:space="preserve">Forbes, D., Hawthorne, G., Elliott, P., McHugh, T., Biddle, D., Creamer, M., &amp; Novaco, R. W. (2004). A concise measure of anger in combat-related posttraumatic stress disorder. </w:t>
      </w:r>
      <w:r w:rsidRPr="0047058F">
        <w:rPr>
          <w:i/>
        </w:rPr>
        <w:t>Journal of Traumatic Stress</w:t>
      </w:r>
      <w:r w:rsidRPr="0047058F">
        <w:t xml:space="preserve">, </w:t>
      </w:r>
      <w:r w:rsidRPr="0047058F">
        <w:rPr>
          <w:i/>
        </w:rPr>
        <w:t>17</w:t>
      </w:r>
      <w:r w:rsidRPr="0047058F">
        <w:t>(3), 249–256.</w:t>
      </w:r>
    </w:p>
    <w:p w14:paraId="4B605150" w14:textId="5B2F6936" w:rsidR="00160459" w:rsidRPr="0047058F" w:rsidRDefault="00160459" w:rsidP="00160459">
      <w:pPr>
        <w:pStyle w:val="References"/>
        <w:spacing w:before="240" w:after="0"/>
      </w:pPr>
      <w:r w:rsidRPr="0047058F">
        <w:t xml:space="preserve">Forbes, D., Van Hooff, M., Lawrence-Wood, E., Sadler, N., Hodson, S., Benassi, H., … McFarlane, A. C. (2018). </w:t>
      </w:r>
      <w:r w:rsidRPr="0047058F">
        <w:rPr>
          <w:i/>
        </w:rPr>
        <w:t>Pathways to Care: Mental Health and Wellbeing Transition Study</w:t>
      </w:r>
      <w:r w:rsidRPr="0047058F">
        <w:t>. Canberra: Department of Defence and Department of Veterans’ Affairs.</w:t>
      </w:r>
    </w:p>
    <w:p w14:paraId="491C519D" w14:textId="77777777" w:rsidR="00160459" w:rsidRPr="0047058F" w:rsidRDefault="00160459" w:rsidP="00160459">
      <w:pPr>
        <w:pStyle w:val="References"/>
        <w:spacing w:before="240" w:after="0"/>
      </w:pPr>
      <w:r w:rsidRPr="0047058F">
        <w:t xml:space="preserve">Forrest, W., Edwards , B., &amp; Daraganova, G. (2014). </w:t>
      </w:r>
      <w:r w:rsidRPr="0047058F">
        <w:rPr>
          <w:i/>
        </w:rPr>
        <w:t>Vietnam Veterans Health Study, Vol. 2: A study of health and social issues in Vietnam veteran sons and daughters</w:t>
      </w:r>
      <w:r w:rsidRPr="0047058F">
        <w:t>. Melbourne: Australian Institute of Family Studies.</w:t>
      </w:r>
    </w:p>
    <w:p w14:paraId="5E73CEEC" w14:textId="77777777" w:rsidR="00160459" w:rsidRPr="0047058F" w:rsidRDefault="00160459" w:rsidP="00160459">
      <w:pPr>
        <w:pStyle w:val="References"/>
        <w:spacing w:before="240" w:after="0"/>
      </w:pPr>
      <w:r w:rsidRPr="0047058F">
        <w:t xml:space="preserve">Friedman, M. J., Resick, P. A., Bryant, R. A., &amp; Brewin, C. R. (2011a). Considering PTSD for DSM‐5. </w:t>
      </w:r>
      <w:r w:rsidRPr="0047058F">
        <w:rPr>
          <w:i/>
        </w:rPr>
        <w:t>Depression and Anxiety</w:t>
      </w:r>
      <w:r w:rsidRPr="0047058F">
        <w:t xml:space="preserve">, </w:t>
      </w:r>
      <w:r w:rsidRPr="0047058F">
        <w:rPr>
          <w:i/>
        </w:rPr>
        <w:t>28</w:t>
      </w:r>
      <w:r w:rsidRPr="0047058F">
        <w:t>(9), 750–769.</w:t>
      </w:r>
    </w:p>
    <w:p w14:paraId="1BD61A3D" w14:textId="77777777" w:rsidR="00160459" w:rsidRPr="0047058F" w:rsidRDefault="00160459" w:rsidP="00160459">
      <w:pPr>
        <w:pStyle w:val="References"/>
        <w:spacing w:before="240" w:after="0"/>
      </w:pPr>
      <w:r w:rsidRPr="0047058F">
        <w:t xml:space="preserve">Friedman, M. J., Resick, P. A., Bryant, R. A., Strain, J., Horowitz, M., &amp; Spiegel, D. (2011b). Classification of trauma and stressor‐related disorders in DSM‐5. </w:t>
      </w:r>
      <w:r w:rsidRPr="0047058F">
        <w:rPr>
          <w:i/>
        </w:rPr>
        <w:t>Depression and Anxiety</w:t>
      </w:r>
      <w:r w:rsidRPr="0047058F">
        <w:t xml:space="preserve">, </w:t>
      </w:r>
      <w:r w:rsidRPr="0047058F">
        <w:rPr>
          <w:i/>
        </w:rPr>
        <w:t>28</w:t>
      </w:r>
      <w:r w:rsidRPr="0047058F">
        <w:t>(9), 737–749.</w:t>
      </w:r>
    </w:p>
    <w:p w14:paraId="7FB95C37" w14:textId="77777777" w:rsidR="00160459" w:rsidRPr="0047058F" w:rsidRDefault="00160459" w:rsidP="00160459">
      <w:pPr>
        <w:pStyle w:val="References"/>
        <w:spacing w:before="240" w:after="0"/>
      </w:pPr>
      <w:r w:rsidRPr="0047058F">
        <w:t xml:space="preserve">Fuehrlein, B. S., Mota, N., Arias, A. J., Trevisan, L. A., Kachadourian, L. K., Krystal, J. H., … Pietrzak, R. H. (2016). The burden of alcohol use disorders in US military veterans: Results from the National Health and Resilience in Veterans Study. </w:t>
      </w:r>
      <w:r w:rsidRPr="0047058F">
        <w:rPr>
          <w:i/>
        </w:rPr>
        <w:t>Addiction</w:t>
      </w:r>
      <w:r w:rsidRPr="0047058F">
        <w:t xml:space="preserve">, </w:t>
      </w:r>
      <w:r w:rsidRPr="0047058F">
        <w:rPr>
          <w:i/>
        </w:rPr>
        <w:t>111</w:t>
      </w:r>
      <w:r w:rsidRPr="0047058F">
        <w:t>(10), 1786–1794.</w:t>
      </w:r>
    </w:p>
    <w:p w14:paraId="0513A3D1" w14:textId="77777777" w:rsidR="00160459" w:rsidRPr="0047058F" w:rsidRDefault="00160459" w:rsidP="00160459">
      <w:pPr>
        <w:pStyle w:val="References"/>
        <w:spacing w:before="240" w:after="0"/>
      </w:pPr>
      <w:r w:rsidRPr="0047058F">
        <w:t xml:space="preserve">Gilbody, S., Richards, D., Brealey, S., &amp; Hewitt, C. (2007). Screening for depression in medical settings with the Patient Health Questionnaire (PHQ): A diagnostic meta-analysis. </w:t>
      </w:r>
      <w:r w:rsidRPr="0047058F">
        <w:rPr>
          <w:i/>
        </w:rPr>
        <w:t>Journal of General Internal Medicine</w:t>
      </w:r>
      <w:r w:rsidRPr="0047058F">
        <w:t xml:space="preserve">, </w:t>
      </w:r>
      <w:r w:rsidRPr="0047058F">
        <w:rPr>
          <w:i/>
        </w:rPr>
        <w:t>22</w:t>
      </w:r>
      <w:r w:rsidRPr="0047058F">
        <w:t>(11), 1596–1602.</w:t>
      </w:r>
    </w:p>
    <w:p w14:paraId="5D8049E3" w14:textId="77777777" w:rsidR="00160459" w:rsidRPr="0047058F" w:rsidRDefault="00160459" w:rsidP="00160459">
      <w:pPr>
        <w:pStyle w:val="References"/>
        <w:spacing w:before="240" w:after="0"/>
      </w:pPr>
      <w:r w:rsidRPr="0047058F">
        <w:t xml:space="preserve">Golub, A., &amp; Bennett, A. S. (2014). Substance use over the military-veteran life course: An analysis of a sample of OEF/OIF veterans returning to low-income predominately minority communities. </w:t>
      </w:r>
      <w:r w:rsidRPr="0047058F">
        <w:rPr>
          <w:i/>
        </w:rPr>
        <w:t>Addictive Behaviors</w:t>
      </w:r>
      <w:r w:rsidRPr="0047058F">
        <w:t xml:space="preserve">, </w:t>
      </w:r>
      <w:r w:rsidRPr="0047058F">
        <w:rPr>
          <w:i/>
        </w:rPr>
        <w:t>39</w:t>
      </w:r>
      <w:r w:rsidRPr="0047058F">
        <w:t>(2), 449–454.</w:t>
      </w:r>
    </w:p>
    <w:p w14:paraId="1D9F75D0" w14:textId="77777777" w:rsidR="00160459" w:rsidRPr="0047058F" w:rsidRDefault="00160459" w:rsidP="00160459">
      <w:pPr>
        <w:pStyle w:val="References"/>
        <w:spacing w:before="240" w:after="0"/>
      </w:pPr>
      <w:r w:rsidRPr="0047058F">
        <w:t xml:space="preserve">Gouvier, W. D., Cubic, B., Jones, G., Brantley, P., &amp; Cutlip, Q. (1992). Postconcussion symptoms and daily stress in normal and head-injured college populations. </w:t>
      </w:r>
      <w:r w:rsidRPr="0047058F">
        <w:rPr>
          <w:i/>
        </w:rPr>
        <w:t>Archives of Clinical Neuropsychology</w:t>
      </w:r>
      <w:r w:rsidRPr="0047058F">
        <w:t xml:space="preserve">, </w:t>
      </w:r>
      <w:r w:rsidRPr="0047058F">
        <w:rPr>
          <w:i/>
        </w:rPr>
        <w:t>7</w:t>
      </w:r>
      <w:r w:rsidRPr="0047058F">
        <w:t>(3), 193–211.</w:t>
      </w:r>
    </w:p>
    <w:p w14:paraId="09777911" w14:textId="77777777" w:rsidR="00160459" w:rsidRPr="0047058F" w:rsidRDefault="00160459" w:rsidP="00160459">
      <w:pPr>
        <w:pStyle w:val="References"/>
        <w:spacing w:before="240" w:after="0"/>
      </w:pPr>
      <w:r w:rsidRPr="0047058F">
        <w:t xml:space="preserve">Gray, M., &amp; Sanson, A. (2005). Growing up in Australia: The Longitudinal Study of Australian Children. </w:t>
      </w:r>
      <w:r w:rsidRPr="0047058F">
        <w:rPr>
          <w:i/>
        </w:rPr>
        <w:t>Family Matters</w:t>
      </w:r>
      <w:r w:rsidRPr="0047058F">
        <w:t xml:space="preserve">, </w:t>
      </w:r>
      <w:r w:rsidRPr="0047058F">
        <w:rPr>
          <w:i/>
        </w:rPr>
        <w:t>72</w:t>
      </w:r>
      <w:r w:rsidRPr="0047058F">
        <w:t>, 4–9.</w:t>
      </w:r>
    </w:p>
    <w:p w14:paraId="476C461C" w14:textId="77777777" w:rsidR="00160459" w:rsidRPr="0047058F" w:rsidRDefault="00160459" w:rsidP="00160459">
      <w:pPr>
        <w:pStyle w:val="References"/>
        <w:spacing w:before="240" w:after="0"/>
      </w:pPr>
      <w:r w:rsidRPr="0047058F">
        <w:t xml:space="preserve">Griffin, M. G. (2008). A prospective assessment of auditory startle alterations in rape and physical assault survivors. </w:t>
      </w:r>
      <w:r w:rsidRPr="0047058F">
        <w:rPr>
          <w:i/>
        </w:rPr>
        <w:t>Journal of Traumatic Stress</w:t>
      </w:r>
      <w:r w:rsidRPr="0047058F">
        <w:t xml:space="preserve">, </w:t>
      </w:r>
      <w:r w:rsidRPr="0047058F">
        <w:rPr>
          <w:i/>
        </w:rPr>
        <w:t>21</w:t>
      </w:r>
      <w:r w:rsidRPr="0047058F">
        <w:t>(1), 91–99.</w:t>
      </w:r>
    </w:p>
    <w:p w14:paraId="1FCA7E36" w14:textId="77777777" w:rsidR="00160459" w:rsidRPr="0047058F" w:rsidRDefault="00160459" w:rsidP="00160459">
      <w:pPr>
        <w:pStyle w:val="References"/>
        <w:spacing w:before="240" w:after="0"/>
      </w:pPr>
      <w:r w:rsidRPr="0047058F">
        <w:t xml:space="preserve">Halpern, J., Maunder, R. G., Schwartz, B., &amp; Gurevich, M. (2011). Identifying risk of emotional sequelae after critical incidents. </w:t>
      </w:r>
      <w:r w:rsidRPr="0047058F">
        <w:rPr>
          <w:i/>
        </w:rPr>
        <w:t>Emergency Medicine Journal</w:t>
      </w:r>
      <w:r w:rsidRPr="0047058F">
        <w:t xml:space="preserve">, </w:t>
      </w:r>
      <w:r w:rsidRPr="0047058F">
        <w:rPr>
          <w:i/>
        </w:rPr>
        <w:t>28</w:t>
      </w:r>
      <w:r w:rsidRPr="0047058F">
        <w:t>(1), 51–56.</w:t>
      </w:r>
    </w:p>
    <w:p w14:paraId="36588F85" w14:textId="77777777" w:rsidR="00160459" w:rsidRPr="0047058F" w:rsidRDefault="00160459" w:rsidP="00160459">
      <w:pPr>
        <w:pStyle w:val="References"/>
        <w:spacing w:before="240" w:after="0"/>
      </w:pPr>
      <w:r w:rsidRPr="0047058F">
        <w:t xml:space="preserve">Haro, J. M., Arbabzadeh-Bouchez, S., Brugha, T. S., De Girolamo, G., Guyer, M. E., Jin, R., … Kessler, R. C. (2006). Concordance of the Composite International Diagnostic Interview Version 3.0 (CIDI 3.0) with standardized clinical assessments in the WHO World Mental Health Surveys. </w:t>
      </w:r>
      <w:r w:rsidRPr="0047058F">
        <w:rPr>
          <w:i/>
        </w:rPr>
        <w:t>International Journal of Methods in Psychiatric Research</w:t>
      </w:r>
      <w:r w:rsidRPr="0047058F">
        <w:t xml:space="preserve">, </w:t>
      </w:r>
      <w:r w:rsidRPr="0047058F">
        <w:rPr>
          <w:i/>
        </w:rPr>
        <w:t>15</w:t>
      </w:r>
      <w:r w:rsidRPr="0047058F">
        <w:t>(4), 167–180.</w:t>
      </w:r>
    </w:p>
    <w:p w14:paraId="7E86BA1A" w14:textId="77777777" w:rsidR="00160459" w:rsidRPr="0047058F" w:rsidRDefault="00160459" w:rsidP="00160459">
      <w:pPr>
        <w:pStyle w:val="References"/>
        <w:spacing w:before="240" w:after="0"/>
      </w:pPr>
      <w:r w:rsidRPr="0047058F">
        <w:t xml:space="preserve">Harvey, S. B., Hatch, S. L., Jones, M., Hull, L., Jones, N., Greenberg, N., … Wessely, S. (2011). Coming home: Social functioning and the mental health of UK reservists on return from deployment to Iraq or Afghanistan. </w:t>
      </w:r>
      <w:r w:rsidRPr="0047058F">
        <w:rPr>
          <w:i/>
        </w:rPr>
        <w:t>Annals of Epidemiology</w:t>
      </w:r>
      <w:r w:rsidRPr="0047058F">
        <w:t xml:space="preserve">, </w:t>
      </w:r>
      <w:r w:rsidRPr="0047058F">
        <w:rPr>
          <w:i/>
        </w:rPr>
        <w:t>21</w:t>
      </w:r>
      <w:r w:rsidRPr="0047058F">
        <w:t>(9), 666–672.</w:t>
      </w:r>
    </w:p>
    <w:p w14:paraId="119E8104" w14:textId="77777777" w:rsidR="00160459" w:rsidRPr="0047058F" w:rsidRDefault="00160459" w:rsidP="00160459">
      <w:pPr>
        <w:pStyle w:val="References"/>
        <w:spacing w:before="240" w:after="0"/>
      </w:pPr>
      <w:r w:rsidRPr="0047058F">
        <w:t xml:space="preserve">Harvey, S. B., Milligan-Saville, J. S., Paterson, H. M., Harkness, E. L., Marsh, A. M., Dobson, M., … Bryant, R. A. (2016). The mental health of fire-fighters: An examination of the impact of repeated trauma exposure. </w:t>
      </w:r>
      <w:r w:rsidRPr="0047058F">
        <w:rPr>
          <w:i/>
        </w:rPr>
        <w:t>Australian and New Zealand Journal of Psychiatry</w:t>
      </w:r>
      <w:r w:rsidRPr="0047058F">
        <w:t xml:space="preserve">, </w:t>
      </w:r>
      <w:r w:rsidRPr="0047058F">
        <w:rPr>
          <w:i/>
        </w:rPr>
        <w:t>50</w:t>
      </w:r>
      <w:r w:rsidRPr="0047058F">
        <w:t>(7), 649–658.</w:t>
      </w:r>
    </w:p>
    <w:p w14:paraId="08C83CD1" w14:textId="77777777" w:rsidR="00160459" w:rsidRPr="0047058F" w:rsidRDefault="00160459" w:rsidP="00160459">
      <w:pPr>
        <w:pStyle w:val="References"/>
        <w:spacing w:before="240" w:after="0"/>
      </w:pPr>
      <w:r w:rsidRPr="0047058F">
        <w:t xml:space="preserve">Hatch, S. L., Harvey, S. B., Dandeker, C., Burdett, H., Greenberg, N., Fear, N. T., &amp; Wessely, S. (2013). Life in and after the Armed Forces: Social networks and mental health in the UK military. </w:t>
      </w:r>
      <w:r w:rsidRPr="0047058F">
        <w:rPr>
          <w:i/>
        </w:rPr>
        <w:t>Social Health and Illness</w:t>
      </w:r>
      <w:r w:rsidRPr="0047058F">
        <w:t xml:space="preserve">, </w:t>
      </w:r>
      <w:r w:rsidRPr="0047058F">
        <w:rPr>
          <w:i/>
        </w:rPr>
        <w:t>35</w:t>
      </w:r>
      <w:r w:rsidRPr="0047058F">
        <w:t>(7), 1045–1064.</w:t>
      </w:r>
    </w:p>
    <w:p w14:paraId="04D1C08C" w14:textId="77777777" w:rsidR="00160459" w:rsidRPr="0047058F" w:rsidRDefault="00160459" w:rsidP="00160459">
      <w:pPr>
        <w:pStyle w:val="References"/>
        <w:spacing w:before="240" w:after="0"/>
      </w:pPr>
      <w:r w:rsidRPr="0047058F">
        <w:t xml:space="preserve">Hawthorne, G., Korn, S., &amp; Creamer, M. (2014). </w:t>
      </w:r>
      <w:r w:rsidRPr="0047058F">
        <w:rPr>
          <w:i/>
        </w:rPr>
        <w:t>Australian peacekeepers: Long-term mental health status, health service use, and quality of life: Summary report</w:t>
      </w:r>
      <w:r w:rsidRPr="0047058F">
        <w:t xml:space="preserve"> [Unpublished manuscript]. Melbourne: University of Melbourne, Department of Psychiatry.</w:t>
      </w:r>
    </w:p>
    <w:p w14:paraId="7DD46B2F" w14:textId="77777777" w:rsidR="00160459" w:rsidRPr="0047058F" w:rsidRDefault="00160459" w:rsidP="00160459">
      <w:pPr>
        <w:pStyle w:val="References"/>
        <w:spacing w:before="240" w:after="0"/>
      </w:pPr>
      <w:r w:rsidRPr="0047058F">
        <w:t xml:space="preserve">Helzer, J. E., Robins, L. N., &amp; McEvoy, L. (1987). Post-traumatic stress disorder in the general population. </w:t>
      </w:r>
      <w:r w:rsidRPr="0047058F">
        <w:rPr>
          <w:i/>
        </w:rPr>
        <w:t>New England Journal of Medicine</w:t>
      </w:r>
      <w:r w:rsidRPr="0047058F">
        <w:t xml:space="preserve">, </w:t>
      </w:r>
      <w:r w:rsidRPr="0047058F">
        <w:rPr>
          <w:i/>
        </w:rPr>
        <w:t>317</w:t>
      </w:r>
      <w:r w:rsidRPr="0047058F">
        <w:t>(26), 1630–1634.</w:t>
      </w:r>
    </w:p>
    <w:p w14:paraId="5920F058" w14:textId="77777777" w:rsidR="00160459" w:rsidRPr="0047058F" w:rsidRDefault="00160459" w:rsidP="00160459">
      <w:pPr>
        <w:pStyle w:val="References"/>
        <w:spacing w:before="240" w:after="0"/>
      </w:pPr>
      <w:r w:rsidRPr="0047058F">
        <w:t xml:space="preserve">Hoge, C. W., Castro, C., Messer, S. C., McGurk, D., Cotting, D. I., &amp; Koffman, R. L. (2004). Combat duty in Iraq and Afghanistan, mental health problems and barriers to care. </w:t>
      </w:r>
      <w:r w:rsidRPr="0047058F">
        <w:rPr>
          <w:i/>
        </w:rPr>
        <w:t>New England Journal of Medicine</w:t>
      </w:r>
      <w:r w:rsidRPr="0047058F">
        <w:t xml:space="preserve">, </w:t>
      </w:r>
      <w:r w:rsidRPr="0047058F">
        <w:rPr>
          <w:i/>
        </w:rPr>
        <w:t>351</w:t>
      </w:r>
      <w:r w:rsidRPr="0047058F">
        <w:t>(1), 13–22.</w:t>
      </w:r>
    </w:p>
    <w:p w14:paraId="5FB14CFD" w14:textId="77777777" w:rsidR="00160459" w:rsidRPr="0047058F" w:rsidRDefault="00160459" w:rsidP="00160459">
      <w:pPr>
        <w:pStyle w:val="References"/>
        <w:spacing w:before="240" w:after="0"/>
      </w:pPr>
      <w:r w:rsidRPr="0047058F">
        <w:t xml:space="preserve">Hoggatt, K. J., Williams, E. C., Der-Martirosian, C., Yano, E. M., &amp; Washington, D. L. (2015). National prevalence and correlates of alcohol misuse in women veterans. </w:t>
      </w:r>
      <w:r w:rsidRPr="0047058F">
        <w:rPr>
          <w:i/>
        </w:rPr>
        <w:t>Journal of Substance Abuse Treatment</w:t>
      </w:r>
      <w:r w:rsidRPr="0047058F">
        <w:t xml:space="preserve">, </w:t>
      </w:r>
      <w:r w:rsidRPr="0047058F">
        <w:rPr>
          <w:i/>
        </w:rPr>
        <w:t>52</w:t>
      </w:r>
      <w:r w:rsidRPr="0047058F">
        <w:t>, 10–16.</w:t>
      </w:r>
    </w:p>
    <w:p w14:paraId="2FE36AC4" w14:textId="77777777" w:rsidR="00160459" w:rsidRPr="0047058F" w:rsidRDefault="00160459" w:rsidP="00160459">
      <w:pPr>
        <w:pStyle w:val="References"/>
        <w:spacing w:before="240" w:after="0"/>
      </w:pPr>
      <w:r w:rsidRPr="0047058F">
        <w:t xml:space="preserve">Horesh, D., Solomon, Z., Keinan, G., &amp; Ein-Dor, T. (2013). The clinical picture of late-onset PTSD: A 20-year longitudinal study of Israeli war veterans. </w:t>
      </w:r>
      <w:r w:rsidRPr="0047058F">
        <w:rPr>
          <w:i/>
        </w:rPr>
        <w:t>Psychiatry Research</w:t>
      </w:r>
      <w:r w:rsidRPr="0047058F">
        <w:t xml:space="preserve">, </w:t>
      </w:r>
      <w:r w:rsidRPr="0047058F">
        <w:rPr>
          <w:i/>
        </w:rPr>
        <w:t>208</w:t>
      </w:r>
      <w:r w:rsidRPr="0047058F">
        <w:t>(3), 265–273.</w:t>
      </w:r>
    </w:p>
    <w:p w14:paraId="4283A769" w14:textId="77777777" w:rsidR="00160459" w:rsidRPr="0047058F" w:rsidRDefault="00160459" w:rsidP="00160459">
      <w:pPr>
        <w:pStyle w:val="References"/>
        <w:spacing w:before="240" w:after="0"/>
      </w:pPr>
      <w:r w:rsidRPr="0047058F">
        <w:t xml:space="preserve">Hourani, L., Bender, R. H., Weimer, B., Peeler, R., Bradshaw, M., Lane, M., &amp; Larson, G. (2012). Longitudinal study of resilience and mental health in Marines leaving military service. </w:t>
      </w:r>
      <w:r w:rsidRPr="0047058F">
        <w:rPr>
          <w:i/>
        </w:rPr>
        <w:t>Journal of Affective Disorders</w:t>
      </w:r>
      <w:r w:rsidRPr="0047058F">
        <w:t xml:space="preserve">, </w:t>
      </w:r>
      <w:r w:rsidRPr="0047058F">
        <w:rPr>
          <w:i/>
        </w:rPr>
        <w:t>139</w:t>
      </w:r>
      <w:r w:rsidRPr="0047058F">
        <w:t>(2), 154–165.</w:t>
      </w:r>
    </w:p>
    <w:p w14:paraId="4FBA488D" w14:textId="77777777" w:rsidR="00160459" w:rsidRPr="0047058F" w:rsidRDefault="00160459" w:rsidP="00160459">
      <w:pPr>
        <w:pStyle w:val="References"/>
        <w:spacing w:before="240" w:after="0"/>
      </w:pPr>
      <w:r w:rsidRPr="0047058F">
        <w:t>Institute of Medicine. (2013). Returning home from Iraq and Afghanistan: Assessment of readjustment needs of veterans, service members and their families. Washington, DC: National Academies Press.</w:t>
      </w:r>
    </w:p>
    <w:p w14:paraId="387E2828" w14:textId="77777777" w:rsidR="00160459" w:rsidRPr="0047058F" w:rsidRDefault="00160459" w:rsidP="00160459">
      <w:pPr>
        <w:pStyle w:val="References"/>
        <w:spacing w:before="240" w:after="0"/>
      </w:pPr>
      <w:r w:rsidRPr="0047058F">
        <w:t xml:space="preserve">Interian, A., Kline, A., Janal, M., Glynn, S., &amp; Losonczy, M. (2014). Multiple deployments and combat trauma: Do homefront stressors increase the risk for posttraumatic stress symptoms? </w:t>
      </w:r>
      <w:r w:rsidRPr="0047058F">
        <w:rPr>
          <w:i/>
        </w:rPr>
        <w:t>Journal of Traumatic Stress</w:t>
      </w:r>
      <w:r w:rsidRPr="0047058F">
        <w:t xml:space="preserve">, </w:t>
      </w:r>
      <w:r w:rsidRPr="0047058F">
        <w:rPr>
          <w:i/>
        </w:rPr>
        <w:t>27</w:t>
      </w:r>
      <w:r w:rsidRPr="0047058F">
        <w:t>(1), 90–97.</w:t>
      </w:r>
    </w:p>
    <w:p w14:paraId="5AD765B0" w14:textId="5241AE1E" w:rsidR="00160459" w:rsidRPr="0047058F" w:rsidRDefault="00160459" w:rsidP="00160459">
      <w:pPr>
        <w:pStyle w:val="References"/>
        <w:spacing w:before="240" w:after="0"/>
      </w:pPr>
      <w:r w:rsidRPr="0047058F">
        <w:t xml:space="preserve">International Physical Activity Questionnaire. (2002). </w:t>
      </w:r>
      <w:r w:rsidRPr="0047058F">
        <w:rPr>
          <w:i/>
        </w:rPr>
        <w:t>International Physical Activity Questionna</w:t>
      </w:r>
      <w:r w:rsidR="000A11E6">
        <w:rPr>
          <w:i/>
        </w:rPr>
        <w:t>i</w:t>
      </w:r>
      <w:r w:rsidRPr="0047058F">
        <w:rPr>
          <w:i/>
        </w:rPr>
        <w:t>re</w:t>
      </w:r>
      <w:r w:rsidRPr="0047058F">
        <w:t xml:space="preserve">. Retrieved from </w:t>
      </w:r>
      <w:hyperlink r:id="rId105" w:history="1">
        <w:r w:rsidRPr="0047058F">
          <w:rPr>
            <w:rStyle w:val="Hyperlink"/>
          </w:rPr>
          <w:t>http://www.ipaq.ki.se</w:t>
        </w:r>
      </w:hyperlink>
      <w:r w:rsidRPr="0047058F">
        <w:t>.</w:t>
      </w:r>
    </w:p>
    <w:p w14:paraId="14650501" w14:textId="77777777" w:rsidR="00160459" w:rsidRPr="0047058F" w:rsidRDefault="00160459" w:rsidP="00160459">
      <w:pPr>
        <w:pStyle w:val="References"/>
        <w:spacing w:before="240" w:after="0"/>
      </w:pPr>
      <w:r w:rsidRPr="0047058F">
        <w:t xml:space="preserve">Isaacs, K., Mota, N. P., Tsai, J., Harpaz-Rotem, I., Cook, J. M., Kirwin, P. D., … Pietrzak, R. H. (2017). Psychological resilience in US military veterans: A 2-year, nationally representative prospective cohort study. </w:t>
      </w:r>
      <w:r w:rsidRPr="0047058F">
        <w:rPr>
          <w:i/>
        </w:rPr>
        <w:t>Journal of Psychiatric Research</w:t>
      </w:r>
      <w:r w:rsidRPr="0047058F">
        <w:t xml:space="preserve">, </w:t>
      </w:r>
      <w:r w:rsidRPr="0047058F">
        <w:rPr>
          <w:i/>
        </w:rPr>
        <w:t>84</w:t>
      </w:r>
      <w:r w:rsidRPr="0047058F">
        <w:t>, 301–309.</w:t>
      </w:r>
    </w:p>
    <w:p w14:paraId="027DB8B4" w14:textId="3718D4DF" w:rsidR="00160459" w:rsidRPr="0047058F" w:rsidRDefault="00160459" w:rsidP="00160459">
      <w:pPr>
        <w:pStyle w:val="References"/>
        <w:spacing w:before="240" w:after="0"/>
      </w:pPr>
      <w:r w:rsidRPr="0047058F">
        <w:t>Iversen, A.</w:t>
      </w:r>
      <w:r w:rsidR="00F14DB3">
        <w:t xml:space="preserve"> C.</w:t>
      </w:r>
      <w:r w:rsidRPr="0047058F">
        <w:t xml:space="preserve">, Dyson, C., Smith, N., Greenberg, N., Walwyn, R., Unwin, C., … Wessely, S. (2005). ‘Goodbye and good luck’: The mental health needs and treatment experiences of British ex-service personnel. </w:t>
      </w:r>
      <w:r w:rsidRPr="0047058F">
        <w:rPr>
          <w:i/>
        </w:rPr>
        <w:t>British Journal of Psychiatry</w:t>
      </w:r>
      <w:r w:rsidRPr="0047058F">
        <w:t xml:space="preserve">, </w:t>
      </w:r>
      <w:r w:rsidRPr="0047058F">
        <w:rPr>
          <w:i/>
        </w:rPr>
        <w:t>186</w:t>
      </w:r>
      <w:r w:rsidRPr="0047058F">
        <w:t>, 480–486.</w:t>
      </w:r>
    </w:p>
    <w:p w14:paraId="2C2393DB" w14:textId="77777777" w:rsidR="00160459" w:rsidRPr="0047058F" w:rsidRDefault="00160459" w:rsidP="00160459">
      <w:pPr>
        <w:pStyle w:val="References"/>
        <w:spacing w:before="240" w:after="0"/>
      </w:pPr>
      <w:r w:rsidRPr="0047058F">
        <w:t xml:space="preserve">Iversen, A. C., Fear, N. T., Simonoff, E., Hull, L., Horn, O., Greenberg, N., … Wessely, S. (2007). Influence of childhood adversity on health among male UK military personnel. </w:t>
      </w:r>
      <w:r w:rsidRPr="0047058F">
        <w:rPr>
          <w:i/>
        </w:rPr>
        <w:t>British Journal of Psychiatry</w:t>
      </w:r>
      <w:r w:rsidRPr="0047058F">
        <w:t xml:space="preserve">, </w:t>
      </w:r>
      <w:r w:rsidRPr="0047058F">
        <w:rPr>
          <w:i/>
        </w:rPr>
        <w:t>191</w:t>
      </w:r>
      <w:r w:rsidRPr="0047058F">
        <w:t>(6), 506–511.</w:t>
      </w:r>
    </w:p>
    <w:p w14:paraId="6BEBF075" w14:textId="77777777" w:rsidR="00160459" w:rsidRPr="0047058F" w:rsidRDefault="00160459" w:rsidP="00160459">
      <w:pPr>
        <w:pStyle w:val="References"/>
        <w:spacing w:before="240" w:after="0"/>
      </w:pPr>
      <w:r w:rsidRPr="0047058F">
        <w:t xml:space="preserve">Iversen, A. C., van Staden, L., Hughes, J. H., Browne, T., Hull, L., Hall, J., … Fear, N. T. (2009). The prevalence of common mental disorders and PTSD in the UK military: Using data from a clinical interview-based study. </w:t>
      </w:r>
      <w:r w:rsidRPr="0047058F">
        <w:rPr>
          <w:i/>
        </w:rPr>
        <w:t>BMC Psychiatry</w:t>
      </w:r>
      <w:r w:rsidRPr="0047058F">
        <w:t xml:space="preserve">, </w:t>
      </w:r>
      <w:r w:rsidRPr="0047058F">
        <w:rPr>
          <w:i/>
        </w:rPr>
        <w:t>9</w:t>
      </w:r>
      <w:r w:rsidRPr="0047058F">
        <w:t>(1), 68.</w:t>
      </w:r>
    </w:p>
    <w:p w14:paraId="55749650" w14:textId="77777777" w:rsidR="00160459" w:rsidRPr="0047058F" w:rsidRDefault="00160459" w:rsidP="00160459">
      <w:pPr>
        <w:pStyle w:val="References"/>
        <w:spacing w:before="240" w:after="0"/>
      </w:pPr>
      <w:r w:rsidRPr="0047058F">
        <w:t xml:space="preserve">Iversen, A. C., van Staden, L., Hughes, J. H., Greenberg, N., Hotopf, M., Rona, R. J., … Fear, N. T. (2011). The stigma of mental health problems and other barriers to care in the UK Armed Forces. </w:t>
      </w:r>
      <w:r w:rsidRPr="0047058F">
        <w:rPr>
          <w:i/>
        </w:rPr>
        <w:t>BMC Health Services Research</w:t>
      </w:r>
      <w:r w:rsidRPr="0047058F">
        <w:t xml:space="preserve">, </w:t>
      </w:r>
      <w:r w:rsidRPr="0047058F">
        <w:rPr>
          <w:i/>
        </w:rPr>
        <w:t>11</w:t>
      </w:r>
      <w:r w:rsidRPr="0047058F">
        <w:t>, 31.</w:t>
      </w:r>
    </w:p>
    <w:p w14:paraId="74B764C9" w14:textId="77777777" w:rsidR="00160459" w:rsidRPr="0047058F" w:rsidRDefault="00160459" w:rsidP="00160459">
      <w:pPr>
        <w:pStyle w:val="References"/>
        <w:spacing w:before="240" w:after="0"/>
      </w:pPr>
      <w:r w:rsidRPr="0047058F">
        <w:t xml:space="preserve">Jacobson, I. G., Donoho, C. J., Crum-Cianflone, N. F., &amp; Maguen, S. (2015). Longitudinal assessment of gender differences in the development of PTSD among US military personnel deployed in support of the operations in Iraq and Afghanistan. </w:t>
      </w:r>
      <w:r w:rsidRPr="0047058F">
        <w:rPr>
          <w:i/>
        </w:rPr>
        <w:t>Journal of Psychiatric Research</w:t>
      </w:r>
      <w:r w:rsidRPr="0047058F">
        <w:t xml:space="preserve">, </w:t>
      </w:r>
      <w:r w:rsidRPr="0047058F">
        <w:rPr>
          <w:i/>
        </w:rPr>
        <w:t>68</w:t>
      </w:r>
      <w:r w:rsidRPr="0047058F">
        <w:t>, 30–36.</w:t>
      </w:r>
    </w:p>
    <w:p w14:paraId="3AA2582C" w14:textId="77777777" w:rsidR="00160459" w:rsidRPr="0047058F" w:rsidRDefault="00160459" w:rsidP="00160459">
      <w:pPr>
        <w:pStyle w:val="References"/>
        <w:spacing w:before="240" w:after="0"/>
      </w:pPr>
      <w:r w:rsidRPr="0047058F">
        <w:t xml:space="preserve">Jakupcak, M., Conybeare, D., Phelps, L., Hunt, S., Holmes, H. A., Felker, B., … McFall, M. E. (2007). Anger, hostility, and aggression among Iraq and Afghanistan war veterans reporting PTSD and subthreshold PTSD. </w:t>
      </w:r>
      <w:r w:rsidRPr="0047058F">
        <w:rPr>
          <w:i/>
        </w:rPr>
        <w:t>Journal of Traumatic Stress</w:t>
      </w:r>
      <w:r w:rsidRPr="0047058F">
        <w:t xml:space="preserve">, </w:t>
      </w:r>
      <w:r w:rsidRPr="0047058F">
        <w:rPr>
          <w:i/>
        </w:rPr>
        <w:t>20</w:t>
      </w:r>
      <w:r w:rsidRPr="0047058F">
        <w:t>(6), 945–954.</w:t>
      </w:r>
    </w:p>
    <w:p w14:paraId="011D7238" w14:textId="77777777" w:rsidR="00160459" w:rsidRPr="0047058F" w:rsidRDefault="00160459" w:rsidP="00160459">
      <w:pPr>
        <w:pStyle w:val="References"/>
        <w:spacing w:before="240" w:after="0"/>
      </w:pPr>
      <w:r w:rsidRPr="0047058F">
        <w:t xml:space="preserve">Jenewein, J., Wittmann, L., Moergeli, H., Creutzig, J., &amp; Schnyder, U. (2009). Mutual influence of posttraumatic stress disorder symptoms and chronic pain among injured accident survivors: A longitudinal study. </w:t>
      </w:r>
      <w:r w:rsidRPr="0047058F">
        <w:rPr>
          <w:i/>
        </w:rPr>
        <w:t>Journal of Traumatic Stress</w:t>
      </w:r>
      <w:r w:rsidRPr="0047058F">
        <w:t xml:space="preserve">, </w:t>
      </w:r>
      <w:r w:rsidRPr="0047058F">
        <w:rPr>
          <w:i/>
        </w:rPr>
        <w:t>22</w:t>
      </w:r>
      <w:r w:rsidRPr="0047058F">
        <w:t>(6), 540–548.</w:t>
      </w:r>
    </w:p>
    <w:p w14:paraId="61B386D7" w14:textId="77777777" w:rsidR="00160459" w:rsidRPr="0047058F" w:rsidRDefault="00160459" w:rsidP="00160459">
      <w:pPr>
        <w:pStyle w:val="References"/>
        <w:spacing w:before="240" w:after="0"/>
      </w:pPr>
      <w:r w:rsidRPr="0047058F">
        <w:t xml:space="preserve">Jones, M., Sundin, J., Goodwin, L., Hull, L., Fear, N. T., Wessely, S., &amp; Rona, R. J. (2013). What explains post-traumatic stress disorder (PTSD) in UK service personnel: Deployment or something else? </w:t>
      </w:r>
      <w:r w:rsidRPr="0047058F">
        <w:rPr>
          <w:i/>
        </w:rPr>
        <w:t>Psychological Medicine</w:t>
      </w:r>
      <w:r w:rsidRPr="0047058F">
        <w:t xml:space="preserve">, </w:t>
      </w:r>
      <w:r w:rsidRPr="0047058F">
        <w:rPr>
          <w:i/>
        </w:rPr>
        <w:t>43</w:t>
      </w:r>
      <w:r w:rsidRPr="0047058F">
        <w:t>(8), 1703–1712.</w:t>
      </w:r>
    </w:p>
    <w:p w14:paraId="3F48BE4C" w14:textId="77777777" w:rsidR="00160459" w:rsidRPr="0047058F" w:rsidRDefault="00160459" w:rsidP="00160459">
      <w:pPr>
        <w:pStyle w:val="References"/>
        <w:spacing w:before="240" w:after="0"/>
      </w:pPr>
      <w:r w:rsidRPr="0047058F">
        <w:t xml:space="preserve">Judd, L. L., Paulus, M., Wells, K. B., &amp; Rapaport, M. (1996). Socioeconomic burden of subsyndromal depressive symptoms and major depression in a sample of the general population. </w:t>
      </w:r>
      <w:r w:rsidRPr="0047058F">
        <w:rPr>
          <w:i/>
        </w:rPr>
        <w:t>American Journal of Psychiatry</w:t>
      </w:r>
      <w:r w:rsidRPr="0047058F">
        <w:t xml:space="preserve">, </w:t>
      </w:r>
      <w:r w:rsidRPr="0047058F">
        <w:rPr>
          <w:i/>
        </w:rPr>
        <w:t>153</w:t>
      </w:r>
      <w:r w:rsidRPr="0047058F">
        <w:t>(11), 1411–1417.</w:t>
      </w:r>
    </w:p>
    <w:p w14:paraId="64B946E5" w14:textId="77777777" w:rsidR="00160459" w:rsidRPr="0047058F" w:rsidRDefault="00160459" w:rsidP="00160459">
      <w:pPr>
        <w:pStyle w:val="References"/>
        <w:spacing w:before="240" w:after="0"/>
      </w:pPr>
      <w:r w:rsidRPr="0047058F">
        <w:t xml:space="preserve">Kapur, N., While, D., Blatchley, N., Bray, I., &amp; Harrison, K. (2009). Suicide after leaving the UK armed forces: A cohort study. </w:t>
      </w:r>
      <w:r w:rsidRPr="0047058F">
        <w:rPr>
          <w:i/>
        </w:rPr>
        <w:t>PLoS Medicine</w:t>
      </w:r>
      <w:r w:rsidRPr="0047058F">
        <w:t xml:space="preserve">, </w:t>
      </w:r>
      <w:r w:rsidRPr="0047058F">
        <w:rPr>
          <w:i/>
        </w:rPr>
        <w:t>6</w:t>
      </w:r>
      <w:r w:rsidRPr="0047058F">
        <w:t>(3), e26.</w:t>
      </w:r>
    </w:p>
    <w:p w14:paraId="32E19E80" w14:textId="77777777" w:rsidR="00160459" w:rsidRPr="0047058F" w:rsidRDefault="00160459" w:rsidP="00160459">
      <w:pPr>
        <w:pStyle w:val="References"/>
        <w:spacing w:before="240" w:after="0"/>
      </w:pPr>
      <w:r w:rsidRPr="0047058F">
        <w:t xml:space="preserve">Karam, E. G., Friedman, M. J., Hill, E. D., Kessler, R. C., McLaughlin, K. A., Petukhova, M., … Koenen, K. C. (2014). Cumulative traumas and risk thresholds: 12-month PTSD in the World Mental Health (WMH) surveys. </w:t>
      </w:r>
      <w:r w:rsidRPr="0047058F">
        <w:rPr>
          <w:i/>
        </w:rPr>
        <w:t>Depression and Anxiety</w:t>
      </w:r>
      <w:r w:rsidRPr="0047058F">
        <w:t xml:space="preserve">, </w:t>
      </w:r>
      <w:r w:rsidRPr="0047058F">
        <w:rPr>
          <w:i/>
        </w:rPr>
        <w:t>31</w:t>
      </w:r>
      <w:r w:rsidRPr="0047058F">
        <w:t>(2), 130–142.</w:t>
      </w:r>
    </w:p>
    <w:p w14:paraId="148A7024" w14:textId="77777777" w:rsidR="00160459" w:rsidRPr="0047058F" w:rsidRDefault="00160459" w:rsidP="00160459">
      <w:pPr>
        <w:pStyle w:val="References"/>
        <w:spacing w:before="240" w:after="0"/>
      </w:pPr>
      <w:r w:rsidRPr="0047058F">
        <w:t xml:space="preserve">Karsten, J., Penninx , B. W., Verboom, C., Nolen, W., &amp; Hartman, C. (2013). Course and risk factors of functional impairment in subthreshold depression and anxiety. </w:t>
      </w:r>
      <w:r w:rsidRPr="0047058F">
        <w:rPr>
          <w:i/>
        </w:rPr>
        <w:t>Depression and Anxiety</w:t>
      </w:r>
      <w:r w:rsidRPr="0047058F">
        <w:t xml:space="preserve">, </w:t>
      </w:r>
      <w:r w:rsidRPr="0047058F">
        <w:rPr>
          <w:i/>
        </w:rPr>
        <w:t>30</w:t>
      </w:r>
      <w:r w:rsidRPr="0047058F">
        <w:t>(4), 386–394.</w:t>
      </w:r>
    </w:p>
    <w:p w14:paraId="1DFCCE2D" w14:textId="77777777" w:rsidR="00160459" w:rsidRPr="0047058F" w:rsidRDefault="00160459" w:rsidP="00160459">
      <w:pPr>
        <w:pStyle w:val="References"/>
        <w:spacing w:before="240" w:after="0"/>
      </w:pPr>
      <w:r w:rsidRPr="0047058F">
        <w:t xml:space="preserve">Kaufmann, C. N., Rutkow, L., Spira, A. P., &amp; Mojtabai, R. (2013). Mental health of protective services workers: Results from the National Epidemiologic Survey on Alcohol and Related Conditions. </w:t>
      </w:r>
      <w:r w:rsidRPr="0047058F">
        <w:rPr>
          <w:i/>
        </w:rPr>
        <w:t>Disaster Medicine and Public Health Preparedness</w:t>
      </w:r>
      <w:r w:rsidRPr="0047058F">
        <w:t xml:space="preserve">, </w:t>
      </w:r>
      <w:r w:rsidRPr="0047058F">
        <w:rPr>
          <w:i/>
        </w:rPr>
        <w:t>7</w:t>
      </w:r>
      <w:r w:rsidRPr="0047058F">
        <w:t>(1), 36–45.</w:t>
      </w:r>
    </w:p>
    <w:p w14:paraId="067E5790" w14:textId="77777777" w:rsidR="00160459" w:rsidRPr="0047058F" w:rsidRDefault="00160459" w:rsidP="00160459">
      <w:pPr>
        <w:pStyle w:val="References"/>
        <w:spacing w:before="240" w:after="0"/>
      </w:pPr>
      <w:r w:rsidRPr="0047058F">
        <w:t xml:space="preserve">Kehle, S. M., Polusny, M. A., Murdoch, M., Erbes, C. R., Arbisi, P. A., Thuras, P., &amp; Meis, L. A. (2010). Early mental health treatment‐seeking among US National Guard soldiers deployed to Iraq. </w:t>
      </w:r>
      <w:r w:rsidRPr="0047058F">
        <w:rPr>
          <w:i/>
        </w:rPr>
        <w:t>Journal of Traumatic Stress</w:t>
      </w:r>
      <w:r w:rsidRPr="0047058F">
        <w:t xml:space="preserve">, </w:t>
      </w:r>
      <w:r w:rsidRPr="0047058F">
        <w:rPr>
          <w:i/>
        </w:rPr>
        <w:t>23</w:t>
      </w:r>
      <w:r w:rsidRPr="0047058F">
        <w:t>(1), 33–40.</w:t>
      </w:r>
    </w:p>
    <w:p w14:paraId="37F1E02B" w14:textId="77777777" w:rsidR="00160459" w:rsidRPr="0047058F" w:rsidRDefault="00160459" w:rsidP="00160459">
      <w:pPr>
        <w:pStyle w:val="References"/>
        <w:spacing w:before="240" w:after="0"/>
      </w:pPr>
      <w:r w:rsidRPr="0047058F">
        <w:t xml:space="preserve">Kessler, R. C., Andrews, G., Colpe, L. J., Hiripi, E., Mroczek, D. K., Normand, S. L. T., … Zaslavsky, A. M. (2002). Short screening scales to monitor population prevalences and trends in non-specific psychological distress. </w:t>
      </w:r>
      <w:r w:rsidRPr="0047058F">
        <w:rPr>
          <w:i/>
        </w:rPr>
        <w:t>Psychological Medicine</w:t>
      </w:r>
      <w:r w:rsidRPr="0047058F">
        <w:t xml:space="preserve">, </w:t>
      </w:r>
      <w:r w:rsidRPr="0047058F">
        <w:rPr>
          <w:i/>
        </w:rPr>
        <w:t>32</w:t>
      </w:r>
      <w:r w:rsidRPr="0047058F">
        <w:t>(6), 959–976.</w:t>
      </w:r>
    </w:p>
    <w:p w14:paraId="55319595" w14:textId="678DE5D7" w:rsidR="00160459" w:rsidRPr="0047058F" w:rsidRDefault="00160459" w:rsidP="00160459">
      <w:pPr>
        <w:pStyle w:val="References"/>
        <w:spacing w:before="240" w:after="0"/>
      </w:pPr>
      <w:r w:rsidRPr="0047058F">
        <w:t xml:space="preserve">Kessler, R. C., &amp; Ustun, T. B. (2004). The World Mental Health (WMH) </w:t>
      </w:r>
      <w:r w:rsidR="002634E5">
        <w:t>S</w:t>
      </w:r>
      <w:r w:rsidRPr="0047058F">
        <w:t xml:space="preserve">urvey </w:t>
      </w:r>
      <w:r w:rsidR="002634E5">
        <w:t>I</w:t>
      </w:r>
      <w:r w:rsidRPr="0047058F">
        <w:t xml:space="preserve">nitiative version of the World Health Organization (WHO) Composite International Diagnostic Interview (CIDI). </w:t>
      </w:r>
      <w:r w:rsidRPr="0047058F">
        <w:rPr>
          <w:i/>
        </w:rPr>
        <w:t>International Journal of Methods in Psychiatric Research</w:t>
      </w:r>
      <w:r w:rsidRPr="0047058F">
        <w:t xml:space="preserve">, </w:t>
      </w:r>
      <w:r w:rsidRPr="0047058F">
        <w:rPr>
          <w:i/>
        </w:rPr>
        <w:t>13</w:t>
      </w:r>
      <w:r w:rsidRPr="0047058F">
        <w:t>(2), 93–117.</w:t>
      </w:r>
    </w:p>
    <w:p w14:paraId="6A44454D" w14:textId="77777777" w:rsidR="00160459" w:rsidRPr="0047058F" w:rsidRDefault="00160459" w:rsidP="00160459">
      <w:pPr>
        <w:pStyle w:val="References"/>
        <w:spacing w:before="240" w:after="0"/>
      </w:pPr>
      <w:r w:rsidRPr="0047058F">
        <w:t xml:space="preserve">Kimerling, R., Pavao, J., Greene, L., Karpenko, J., Rodriguez, A., Saweikis, M., &amp; Washington, D. L. (2015). Access to mental health care among women veterans: Is VA meeting women’s needs? </w:t>
      </w:r>
      <w:r w:rsidRPr="0047058F">
        <w:rPr>
          <w:i/>
        </w:rPr>
        <w:t>Medical Care</w:t>
      </w:r>
      <w:r w:rsidRPr="0047058F">
        <w:t xml:space="preserve">, </w:t>
      </w:r>
      <w:r w:rsidRPr="0047058F">
        <w:rPr>
          <w:i/>
        </w:rPr>
        <w:t>53</w:t>
      </w:r>
      <w:r w:rsidRPr="0047058F">
        <w:t>(4 Suppl 1), S97–S104.</w:t>
      </w:r>
    </w:p>
    <w:p w14:paraId="58238273" w14:textId="77777777" w:rsidR="00160459" w:rsidRPr="0047058F" w:rsidRDefault="00160459" w:rsidP="00160459">
      <w:pPr>
        <w:pStyle w:val="References"/>
        <w:spacing w:before="240" w:after="0"/>
      </w:pPr>
      <w:r w:rsidRPr="0047058F">
        <w:t xml:space="preserve">King, D. W., King, L. A., Foy, D. W., &amp; Gudanowski, D. M. (1996). Prewar factors in combat-related posttraumatic stress disorder: Structural equation modeling with a national sample of female and male Vietnam veterans. </w:t>
      </w:r>
      <w:r w:rsidRPr="0047058F">
        <w:rPr>
          <w:i/>
        </w:rPr>
        <w:t>Journal of Consulting and Clinical Psychology</w:t>
      </w:r>
      <w:r w:rsidRPr="0047058F">
        <w:t xml:space="preserve">, </w:t>
      </w:r>
      <w:r w:rsidRPr="0047058F">
        <w:rPr>
          <w:i/>
        </w:rPr>
        <w:t>64</w:t>
      </w:r>
      <w:r w:rsidRPr="0047058F">
        <w:t>(3), 520–531.</w:t>
      </w:r>
    </w:p>
    <w:p w14:paraId="655049B2" w14:textId="77777777" w:rsidR="00160459" w:rsidRPr="0047058F" w:rsidRDefault="00160459" w:rsidP="00160459">
      <w:pPr>
        <w:pStyle w:val="References"/>
        <w:spacing w:before="240" w:after="0"/>
      </w:pPr>
      <w:r w:rsidRPr="0047058F">
        <w:t xml:space="preserve">King’s Centre for Military Health Research. (2010). </w:t>
      </w:r>
      <w:r w:rsidRPr="0047058F">
        <w:rPr>
          <w:i/>
        </w:rPr>
        <w:t>King’s Centre for Military Health Research: A fifteen year report</w:t>
      </w:r>
      <w:r w:rsidRPr="0047058F">
        <w:t>. London: King’s College London, King’s Centre for Military Health Research.</w:t>
      </w:r>
    </w:p>
    <w:p w14:paraId="54281C49" w14:textId="77777777" w:rsidR="00160459" w:rsidRPr="0047058F" w:rsidRDefault="00160459" w:rsidP="00160459">
      <w:pPr>
        <w:pStyle w:val="References"/>
        <w:spacing w:before="240" w:after="0"/>
      </w:pPr>
      <w:r w:rsidRPr="0047058F">
        <w:t xml:space="preserve">King’s Centre for Military Health Research. (2014). </w:t>
      </w:r>
      <w:r w:rsidRPr="0047058F">
        <w:rPr>
          <w:i/>
        </w:rPr>
        <w:t>The mental health of the UK Armed Forces</w:t>
      </w:r>
      <w:r w:rsidRPr="0047058F">
        <w:t>. [Summary]. London: King’s College London, King’s Centre for Military Health Research and Academic Department of Military Mental Health.</w:t>
      </w:r>
    </w:p>
    <w:p w14:paraId="21D20891" w14:textId="77777777" w:rsidR="00160459" w:rsidRPr="0047058F" w:rsidRDefault="00160459" w:rsidP="00160459">
      <w:pPr>
        <w:pStyle w:val="References"/>
        <w:spacing w:before="240" w:after="0"/>
      </w:pPr>
      <w:r w:rsidRPr="0047058F">
        <w:t xml:space="preserve">Kirby, S. N., &amp; Naftel, S. (1998). </w:t>
      </w:r>
      <w:r w:rsidRPr="0047058F">
        <w:rPr>
          <w:i/>
        </w:rPr>
        <w:t>The effect of mobilization on retention of enlisted reservists after Operation Desert Shield/Storm</w:t>
      </w:r>
      <w:r w:rsidRPr="0047058F">
        <w:t>. Santa Monica, CA: RAND Corporation.</w:t>
      </w:r>
    </w:p>
    <w:p w14:paraId="119F79AC" w14:textId="77777777" w:rsidR="00160459" w:rsidRPr="0047058F" w:rsidRDefault="00160459" w:rsidP="00160459">
      <w:pPr>
        <w:pStyle w:val="References"/>
        <w:spacing w:before="240" w:after="0"/>
      </w:pPr>
      <w:r w:rsidRPr="0047058F">
        <w:t xml:space="preserve">Kline, A., Falca-Dodson, M., Sussner, B., Ciccone, D. S., Chandler, H., Callahan, L., &amp; Losonczy, M. (2010). Effects of repeated deployment to Iraq and Afghanistan on the health of New Jersey Army National Guard troops: Implications for military readiness. </w:t>
      </w:r>
      <w:r w:rsidRPr="0047058F">
        <w:rPr>
          <w:i/>
        </w:rPr>
        <w:t>American Journal of Public Health</w:t>
      </w:r>
      <w:r w:rsidRPr="0047058F">
        <w:t xml:space="preserve">, </w:t>
      </w:r>
      <w:r w:rsidRPr="0047058F">
        <w:rPr>
          <w:i/>
        </w:rPr>
        <w:t>100</w:t>
      </w:r>
      <w:r w:rsidRPr="0047058F">
        <w:t>(2), 276–283.</w:t>
      </w:r>
    </w:p>
    <w:p w14:paraId="2E0B6A8A" w14:textId="77777777" w:rsidR="00160459" w:rsidRPr="0047058F" w:rsidRDefault="00160459" w:rsidP="00160459">
      <w:pPr>
        <w:pStyle w:val="References"/>
        <w:spacing w:before="240" w:after="0"/>
      </w:pPr>
      <w:r w:rsidRPr="0047058F">
        <w:t xml:space="preserve">Koenen, K. C., Stellman, J. M., Stellman, S. D., &amp; Sommer Jr, J. F. (2003). Risk factors for course of posttraumatic stress disorder among Vietnam veterans: A 14-year follow-up of American Legionnaires. </w:t>
      </w:r>
      <w:r w:rsidRPr="0047058F">
        <w:rPr>
          <w:i/>
        </w:rPr>
        <w:t>Journal of Consulting and Clinical Psychology</w:t>
      </w:r>
      <w:r w:rsidRPr="0047058F">
        <w:t xml:space="preserve">, </w:t>
      </w:r>
      <w:r w:rsidRPr="0047058F">
        <w:rPr>
          <w:i/>
        </w:rPr>
        <w:t>71</w:t>
      </w:r>
      <w:r w:rsidRPr="0047058F">
        <w:t>(6), 980–986.</w:t>
      </w:r>
    </w:p>
    <w:p w14:paraId="07030CAC" w14:textId="77777777" w:rsidR="00160459" w:rsidRPr="0047058F" w:rsidRDefault="00160459" w:rsidP="00160459">
      <w:pPr>
        <w:pStyle w:val="References"/>
        <w:spacing w:before="240" w:after="0"/>
      </w:pPr>
      <w:r w:rsidRPr="0047058F">
        <w:t xml:space="preserve">Kornfield, S. L., Klaus, J., McKay, C., Helstrom, A., &amp; Oslin, D. (2012). Subsyndromal posttraumatic stress disorder symptomatology in primary care military veterans: Treatment implications. </w:t>
      </w:r>
      <w:r w:rsidRPr="0047058F">
        <w:rPr>
          <w:i/>
        </w:rPr>
        <w:t>Psychological Services</w:t>
      </w:r>
      <w:r w:rsidRPr="0047058F">
        <w:t xml:space="preserve">, </w:t>
      </w:r>
      <w:r w:rsidRPr="0047058F">
        <w:rPr>
          <w:i/>
        </w:rPr>
        <w:t>9</w:t>
      </w:r>
      <w:r w:rsidRPr="0047058F">
        <w:t>(4), 383–389.</w:t>
      </w:r>
    </w:p>
    <w:p w14:paraId="1B09E27A" w14:textId="77777777" w:rsidR="00160459" w:rsidRPr="0047058F" w:rsidRDefault="00160459" w:rsidP="00160459">
      <w:pPr>
        <w:pStyle w:val="References"/>
        <w:spacing w:before="240" w:after="0"/>
      </w:pPr>
      <w:r w:rsidRPr="0047058F">
        <w:t xml:space="preserve">Kroenke, K., Spitzer, R. L., &amp; Williams, J. B. (2001). The PHQ-9: Validity of a brief depression severity measure. </w:t>
      </w:r>
      <w:r w:rsidRPr="0047058F">
        <w:rPr>
          <w:i/>
        </w:rPr>
        <w:t>Journal of General Internal Medicine</w:t>
      </w:r>
      <w:r w:rsidRPr="0047058F">
        <w:t xml:space="preserve">, </w:t>
      </w:r>
      <w:r w:rsidRPr="0047058F">
        <w:rPr>
          <w:i/>
        </w:rPr>
        <w:t>16</w:t>
      </w:r>
      <w:r w:rsidRPr="0047058F">
        <w:t>(9), 606–613.</w:t>
      </w:r>
    </w:p>
    <w:p w14:paraId="65421A71" w14:textId="77777777" w:rsidR="00160459" w:rsidRPr="0047058F" w:rsidRDefault="00160459" w:rsidP="00160459">
      <w:pPr>
        <w:pStyle w:val="References"/>
        <w:spacing w:before="240" w:after="0"/>
      </w:pPr>
      <w:r w:rsidRPr="0047058F">
        <w:t xml:space="preserve">Kukla, M., Rattray, N. A., &amp; Salyers, M. P. (2015). Mixed methods study examining work reintegration experiences from perspectives of Veterans with mental health disorders. </w:t>
      </w:r>
      <w:r w:rsidRPr="0047058F">
        <w:rPr>
          <w:i/>
        </w:rPr>
        <w:t>Journal of Rehabilitation Research and Development,</w:t>
      </w:r>
      <w:r w:rsidRPr="0047058F">
        <w:t xml:space="preserve"> </w:t>
      </w:r>
      <w:r w:rsidRPr="00801EA3">
        <w:rPr>
          <w:i/>
        </w:rPr>
        <w:t>52</w:t>
      </w:r>
      <w:r w:rsidRPr="0047058F">
        <w:t>(4), 477–490.</w:t>
      </w:r>
    </w:p>
    <w:p w14:paraId="33FD3CC4" w14:textId="77777777" w:rsidR="00160459" w:rsidRPr="0047058F" w:rsidRDefault="00160459" w:rsidP="00160459">
      <w:pPr>
        <w:pStyle w:val="References"/>
        <w:spacing w:before="240" w:after="0"/>
      </w:pPr>
      <w:r w:rsidRPr="0047058F">
        <w:t xml:space="preserve">Kulka, R. A., Schlenger, W. E., Fairbank, J. A., Jordan, B. K., Marmar, C. R., Weiss, D. S., &amp; Grady, D. A. (1990). </w:t>
      </w:r>
      <w:r w:rsidRPr="0047058F">
        <w:rPr>
          <w:i/>
        </w:rPr>
        <w:t>Trauma and the Vietnam war generation: Report of findings from the Vietnam Veterans Readjustment Study</w:t>
      </w:r>
      <w:r w:rsidRPr="0047058F">
        <w:t>. New York: Brunner/Mazel.</w:t>
      </w:r>
    </w:p>
    <w:p w14:paraId="1510EB45" w14:textId="77777777" w:rsidR="00160459" w:rsidRPr="0047058F" w:rsidRDefault="00160459" w:rsidP="00160459">
      <w:pPr>
        <w:pStyle w:val="References"/>
        <w:spacing w:before="240" w:after="0"/>
      </w:pPr>
      <w:r w:rsidRPr="0047058F">
        <w:t xml:space="preserve">Lang, T. J., Blackwell, S. E., Harmer, C. J., Davison, P., &amp; Holmes, E. A. (2012). Cognitive bias modification using mental imagery for depression: Developing a novel computerized intervention to change negative thinking styles. </w:t>
      </w:r>
      <w:r w:rsidRPr="0047058F">
        <w:rPr>
          <w:i/>
        </w:rPr>
        <w:t>European Journal of Personality</w:t>
      </w:r>
      <w:r w:rsidRPr="0047058F">
        <w:t xml:space="preserve">, </w:t>
      </w:r>
      <w:r w:rsidRPr="0047058F">
        <w:rPr>
          <w:i/>
        </w:rPr>
        <w:t>26</w:t>
      </w:r>
      <w:r w:rsidRPr="0047058F">
        <w:t>(2), 145–157.</w:t>
      </w:r>
    </w:p>
    <w:p w14:paraId="451E7528" w14:textId="77777777" w:rsidR="00160459" w:rsidRPr="0047058F" w:rsidRDefault="00160459" w:rsidP="00160459">
      <w:pPr>
        <w:pStyle w:val="References"/>
        <w:spacing w:before="240" w:after="0"/>
      </w:pPr>
      <w:r w:rsidRPr="0047058F">
        <w:t xml:space="preserve">Langdon, K. J., Fox, A. B., King, L. A., King, D. W., Eisen, S., &amp; Vogt, D. (2016). Examination of the dynamic interplay between posttraumatic stress symptoms and alcohol misuse among combat-exposed Operation Enduring Freedom (OEF)/Operation Iraqi Freedom (OIF) Veterans. </w:t>
      </w:r>
      <w:r w:rsidRPr="0047058F">
        <w:rPr>
          <w:i/>
        </w:rPr>
        <w:t>Journal of Affective Disorders</w:t>
      </w:r>
      <w:r w:rsidRPr="0047058F">
        <w:t xml:space="preserve">, </w:t>
      </w:r>
      <w:r w:rsidRPr="0047058F">
        <w:rPr>
          <w:i/>
        </w:rPr>
        <w:t>196</w:t>
      </w:r>
      <w:r w:rsidRPr="0047058F">
        <w:t>, 234–242.</w:t>
      </w:r>
    </w:p>
    <w:p w14:paraId="3C81571F" w14:textId="77777777" w:rsidR="00160459" w:rsidRPr="0047058F" w:rsidRDefault="00160459" w:rsidP="00160459">
      <w:pPr>
        <w:pStyle w:val="References"/>
        <w:spacing w:before="240" w:after="0"/>
      </w:pPr>
      <w:r w:rsidRPr="0047058F">
        <w:t xml:space="preserve">Langston, V., Gould, M., &amp; Greenberg, N. (2007). Culture: What is its effect on stress in the military? </w:t>
      </w:r>
      <w:r w:rsidRPr="0047058F">
        <w:rPr>
          <w:i/>
        </w:rPr>
        <w:t>Military Medicine</w:t>
      </w:r>
      <w:r w:rsidRPr="0047058F">
        <w:t xml:space="preserve">, </w:t>
      </w:r>
      <w:r w:rsidRPr="0047058F">
        <w:rPr>
          <w:i/>
        </w:rPr>
        <w:t>172</w:t>
      </w:r>
      <w:r w:rsidRPr="0047058F">
        <w:t>(9), 931–935.</w:t>
      </w:r>
    </w:p>
    <w:p w14:paraId="48F82710" w14:textId="49B75800" w:rsidR="00160459" w:rsidRPr="0047058F" w:rsidRDefault="00160459" w:rsidP="00160459">
      <w:pPr>
        <w:pStyle w:val="References"/>
        <w:spacing w:before="240" w:after="0"/>
      </w:pPr>
      <w:r w:rsidRPr="0047058F">
        <w:t xml:space="preserve">Larsen, M. E., Nicholas, J., &amp; Christensen, H. (2016). A systematic assessment of smartphone tools for suicide prevention. </w:t>
      </w:r>
      <w:r w:rsidRPr="0047058F">
        <w:rPr>
          <w:i/>
        </w:rPr>
        <w:t>P</w:t>
      </w:r>
      <w:r w:rsidR="000A11E6">
        <w:rPr>
          <w:i/>
        </w:rPr>
        <w:t>L</w:t>
      </w:r>
      <w:r w:rsidRPr="0047058F">
        <w:rPr>
          <w:i/>
        </w:rPr>
        <w:t>oS One</w:t>
      </w:r>
      <w:r w:rsidRPr="0047058F">
        <w:t xml:space="preserve">, </w:t>
      </w:r>
      <w:r w:rsidRPr="0047058F">
        <w:rPr>
          <w:i/>
        </w:rPr>
        <w:t>11</w:t>
      </w:r>
      <w:r w:rsidRPr="0047058F">
        <w:t>(4), e0152285.</w:t>
      </w:r>
    </w:p>
    <w:p w14:paraId="72FF72BE" w14:textId="77777777" w:rsidR="00160459" w:rsidRPr="0047058F" w:rsidRDefault="00160459" w:rsidP="00160459">
      <w:pPr>
        <w:pStyle w:val="References"/>
        <w:spacing w:before="240" w:after="0"/>
      </w:pPr>
      <w:r w:rsidRPr="0047058F">
        <w:t xml:space="preserve">Leach, L. S., Butterworth, P., Strazdins, L., Rodgers, B., Broom, D. H., &amp; Olesen, S. C. (2010). The limitations of employment as a tool for social inclusion. </w:t>
      </w:r>
      <w:r w:rsidRPr="0047058F">
        <w:rPr>
          <w:i/>
        </w:rPr>
        <w:t>BMC Public Health</w:t>
      </w:r>
      <w:r w:rsidRPr="0047058F">
        <w:t xml:space="preserve">, </w:t>
      </w:r>
      <w:r w:rsidRPr="0047058F">
        <w:rPr>
          <w:i/>
        </w:rPr>
        <w:t>10</w:t>
      </w:r>
      <w:r w:rsidRPr="0047058F">
        <w:t>, 621.</w:t>
      </w:r>
    </w:p>
    <w:p w14:paraId="4CE1CC5F" w14:textId="77777777" w:rsidR="00160459" w:rsidRPr="0047058F" w:rsidRDefault="00160459" w:rsidP="00160459">
      <w:pPr>
        <w:pStyle w:val="References"/>
        <w:spacing w:before="240" w:after="0"/>
      </w:pPr>
      <w:r w:rsidRPr="0047058F">
        <w:t xml:space="preserve">LeBouthillier, D. M., McMillan, K. A., Thibodeau, M. A., &amp; Asmundson, G. J. (2015). Types and number of traumas associated with suicidal ideation and suicide attempts in PTSD: Findings from a U.S. nationally representative sample. </w:t>
      </w:r>
      <w:r w:rsidRPr="0047058F">
        <w:rPr>
          <w:i/>
        </w:rPr>
        <w:t>Journal of Traumatic Stress</w:t>
      </w:r>
      <w:r w:rsidRPr="0047058F">
        <w:t xml:space="preserve">, </w:t>
      </w:r>
      <w:r w:rsidRPr="0047058F">
        <w:rPr>
          <w:i/>
        </w:rPr>
        <w:t>28</w:t>
      </w:r>
      <w:r w:rsidRPr="0047058F">
        <w:t>(3), 183–190.</w:t>
      </w:r>
    </w:p>
    <w:p w14:paraId="0D6A4157" w14:textId="77777777" w:rsidR="00160459" w:rsidRPr="0047058F" w:rsidRDefault="00160459" w:rsidP="00160459">
      <w:pPr>
        <w:pStyle w:val="References"/>
        <w:spacing w:before="240" w:after="0"/>
      </w:pPr>
      <w:r w:rsidRPr="0047058F">
        <w:t xml:space="preserve">Litz, B. T., Stein, N., Delaney, E., Lebowitz, L., Nash, W. P., Silva, C., &amp; Maguen, S. (2009). Moral injury and moral repair in war veterans: A preliminary model and intervention strategy. </w:t>
      </w:r>
      <w:r w:rsidRPr="0047058F">
        <w:rPr>
          <w:i/>
        </w:rPr>
        <w:t>Clinical Psychology Review</w:t>
      </w:r>
      <w:r w:rsidRPr="0047058F">
        <w:t xml:space="preserve">, </w:t>
      </w:r>
      <w:r w:rsidRPr="0047058F">
        <w:rPr>
          <w:i/>
        </w:rPr>
        <w:t>29</w:t>
      </w:r>
      <w:r w:rsidRPr="0047058F">
        <w:t>(8), 695–706.</w:t>
      </w:r>
    </w:p>
    <w:p w14:paraId="40595E81" w14:textId="77777777" w:rsidR="00160459" w:rsidRPr="0047058F" w:rsidRDefault="00160459" w:rsidP="00160459">
      <w:pPr>
        <w:pStyle w:val="References"/>
        <w:spacing w:before="240" w:after="0"/>
      </w:pPr>
      <w:r w:rsidRPr="0047058F">
        <w:t xml:space="preserve">MacLean, M. B., Van Til, L., Thompson, J. M., Sweet, J., Poirier, A., Sudom, K., &amp; Pedlar, D. J. (2014). Postmilitary adjustment to civilian life: Potential risks and protective factors. </w:t>
      </w:r>
      <w:r w:rsidRPr="0047058F">
        <w:rPr>
          <w:i/>
        </w:rPr>
        <w:t>Physical Therapy</w:t>
      </w:r>
      <w:r w:rsidRPr="0047058F">
        <w:t xml:space="preserve">, </w:t>
      </w:r>
      <w:r w:rsidRPr="0047058F">
        <w:rPr>
          <w:i/>
        </w:rPr>
        <w:t>94</w:t>
      </w:r>
      <w:r w:rsidRPr="0047058F">
        <w:t>(8), 1186–1195.</w:t>
      </w:r>
    </w:p>
    <w:p w14:paraId="3F8B41AC" w14:textId="77777777" w:rsidR="00160459" w:rsidRPr="0047058F" w:rsidRDefault="00160459" w:rsidP="00160459">
      <w:pPr>
        <w:pStyle w:val="References"/>
        <w:spacing w:before="240" w:after="0"/>
      </w:pPr>
      <w:r w:rsidRPr="0047058F">
        <w:t xml:space="preserve">MacManus, D., Dean, K., Jones, M., Rona, R. J., Greenberg, N., Hull, L., … Fear, N. T. (2013). Violent offending by UK military personnel deployed to Iraq and Afghanistan: A data linkage cohort study. </w:t>
      </w:r>
      <w:r w:rsidRPr="0047058F">
        <w:rPr>
          <w:i/>
        </w:rPr>
        <w:t>The Lancet</w:t>
      </w:r>
      <w:r w:rsidRPr="0047058F">
        <w:t xml:space="preserve">, </w:t>
      </w:r>
      <w:r w:rsidRPr="0047058F">
        <w:rPr>
          <w:i/>
        </w:rPr>
        <w:t>381</w:t>
      </w:r>
      <w:r w:rsidRPr="0047058F">
        <w:t>(9870), 907–917.</w:t>
      </w:r>
    </w:p>
    <w:p w14:paraId="5C632FE9" w14:textId="77777777" w:rsidR="00160459" w:rsidRPr="0047058F" w:rsidRDefault="00160459" w:rsidP="00160459">
      <w:pPr>
        <w:pStyle w:val="References"/>
        <w:spacing w:before="240" w:after="0"/>
      </w:pPr>
      <w:r w:rsidRPr="0047058F">
        <w:t xml:space="preserve">Maguen, S., Luxton, D. D., Skopp, N. A., Gahm, G. A., Reger, M. A., Metzler, T. J., &amp; Marmar, C. R. (2011). Killing in combat, mental health symptoms, and suicidal ideation in Iraq war veterans. </w:t>
      </w:r>
      <w:r w:rsidRPr="0047058F">
        <w:rPr>
          <w:i/>
        </w:rPr>
        <w:t>Journal of Anxiety Disorders</w:t>
      </w:r>
      <w:r w:rsidRPr="0047058F">
        <w:t xml:space="preserve">, </w:t>
      </w:r>
      <w:r w:rsidRPr="0047058F">
        <w:rPr>
          <w:i/>
        </w:rPr>
        <w:t>25</w:t>
      </w:r>
      <w:r w:rsidRPr="0047058F">
        <w:t>(4), 563–567.</w:t>
      </w:r>
    </w:p>
    <w:p w14:paraId="6431E1F9" w14:textId="77777777" w:rsidR="00160459" w:rsidRPr="0047058F" w:rsidRDefault="00160459" w:rsidP="00160459">
      <w:pPr>
        <w:pStyle w:val="References"/>
        <w:spacing w:before="240" w:after="0"/>
      </w:pPr>
      <w:r w:rsidRPr="0047058F">
        <w:t xml:space="preserve">Maia, D. B., Marmar, C. R., Metzler, T., Nóbrega, A., Berger, W., Mendlowicz, M. V., … Figueira, I. (2007). Post-traumatic stress symptoms in an elite unit of Brazilian police officers: Prevalence and impact on psychosocial functioning and on physical and mental health. </w:t>
      </w:r>
      <w:r w:rsidRPr="0047058F">
        <w:rPr>
          <w:i/>
        </w:rPr>
        <w:t>Journal of Affective Disorders</w:t>
      </w:r>
      <w:r w:rsidRPr="0047058F">
        <w:t xml:space="preserve">, </w:t>
      </w:r>
      <w:r w:rsidRPr="0047058F">
        <w:rPr>
          <w:i/>
        </w:rPr>
        <w:t>97</w:t>
      </w:r>
      <w:r w:rsidRPr="0047058F">
        <w:t>(1), 241–245.</w:t>
      </w:r>
    </w:p>
    <w:p w14:paraId="68B6EF9C" w14:textId="77777777" w:rsidR="00160459" w:rsidRPr="0047058F" w:rsidRDefault="00160459" w:rsidP="00160459">
      <w:pPr>
        <w:pStyle w:val="References"/>
        <w:spacing w:before="240" w:after="0"/>
      </w:pPr>
      <w:r w:rsidRPr="0047058F">
        <w:t xml:space="preserve">Manea, L., Gilbody, S., &amp; McMillan, D. (2012). Optimal cut-off score for diagnosing depression with the Patient Health Questionnaire (PHQ-9): A meta-analysis. </w:t>
      </w:r>
      <w:r w:rsidRPr="0047058F">
        <w:rPr>
          <w:i/>
        </w:rPr>
        <w:t>CMAJ: Canadian Medical Association Journal</w:t>
      </w:r>
      <w:r w:rsidRPr="0047058F">
        <w:t xml:space="preserve">, </w:t>
      </w:r>
      <w:r w:rsidRPr="0047058F">
        <w:rPr>
          <w:i/>
        </w:rPr>
        <w:t>184</w:t>
      </w:r>
      <w:r w:rsidRPr="0047058F">
        <w:t>(3), E191–E196.</w:t>
      </w:r>
    </w:p>
    <w:p w14:paraId="4D1331ED" w14:textId="77777777" w:rsidR="00160459" w:rsidRPr="0047058F" w:rsidRDefault="00160459" w:rsidP="00160459">
      <w:pPr>
        <w:pStyle w:val="References"/>
        <w:spacing w:before="240" w:after="0"/>
      </w:pPr>
      <w:r w:rsidRPr="0047058F">
        <w:t xml:space="preserve">Manfro, G. G., Otto, M. W., McArdle, E. T., Worthington III, J. J., Rosenbaum, J. F., &amp; Pollack, M. H. (1996). Relationship of antecedent stressful life events to childhood and family history of anxiety and the course of panic disorder. </w:t>
      </w:r>
      <w:r w:rsidRPr="0047058F">
        <w:rPr>
          <w:i/>
        </w:rPr>
        <w:t>Journal of Affective Disorders</w:t>
      </w:r>
      <w:r w:rsidRPr="0047058F">
        <w:t xml:space="preserve">, </w:t>
      </w:r>
      <w:r w:rsidRPr="0047058F">
        <w:rPr>
          <w:i/>
        </w:rPr>
        <w:t>41</w:t>
      </w:r>
      <w:r w:rsidRPr="0047058F">
        <w:t>(2), 135–139.</w:t>
      </w:r>
    </w:p>
    <w:p w14:paraId="746F2D68" w14:textId="77777777" w:rsidR="00160459" w:rsidRPr="0047058F" w:rsidRDefault="00160459" w:rsidP="00160459">
      <w:pPr>
        <w:pStyle w:val="References"/>
        <w:spacing w:before="240" w:after="0"/>
      </w:pPr>
      <w:r w:rsidRPr="0047058F">
        <w:t xml:space="preserve">Marmar, C. R., Schlenger, W., Henn-Haase, C., Qian, M., Purchia, E., Li, M., … Kulka, R. A. (2015). Course of posttraumatic stress disorder 40 years after the Vietnam War: Findings from the National Vietnam Veterans Longitudinal Study. </w:t>
      </w:r>
      <w:r w:rsidRPr="0047058F">
        <w:rPr>
          <w:i/>
        </w:rPr>
        <w:t>JAMA Psychiatry</w:t>
      </w:r>
      <w:r w:rsidRPr="0047058F">
        <w:t xml:space="preserve">, </w:t>
      </w:r>
      <w:r w:rsidRPr="0047058F">
        <w:rPr>
          <w:i/>
        </w:rPr>
        <w:t>72</w:t>
      </w:r>
      <w:r w:rsidRPr="0047058F">
        <w:t>(9), 875–881.</w:t>
      </w:r>
    </w:p>
    <w:p w14:paraId="682DE697" w14:textId="77777777" w:rsidR="00160459" w:rsidRPr="0047058F" w:rsidRDefault="00160459" w:rsidP="00160459">
      <w:pPr>
        <w:pStyle w:val="References"/>
        <w:spacing w:before="240" w:after="0"/>
      </w:pPr>
      <w:r w:rsidRPr="0047058F">
        <w:t xml:space="preserve">Marshall, R. D., Olfson, M., Hellman, F., Blanco, C., Guardino, M., &amp; Struening, E. L. (2001). Comorbidity, impairment, and suicidality in subthreshold PTSD. </w:t>
      </w:r>
      <w:r w:rsidRPr="0047058F">
        <w:rPr>
          <w:i/>
        </w:rPr>
        <w:t>American Journal of Psychiatry</w:t>
      </w:r>
      <w:r w:rsidRPr="0047058F">
        <w:t xml:space="preserve">, </w:t>
      </w:r>
      <w:r w:rsidRPr="0047058F">
        <w:rPr>
          <w:i/>
        </w:rPr>
        <w:t>158</w:t>
      </w:r>
      <w:r w:rsidRPr="0047058F">
        <w:t>(9), 1467–1473.</w:t>
      </w:r>
    </w:p>
    <w:p w14:paraId="43F419C7" w14:textId="77777777" w:rsidR="00160459" w:rsidRPr="0047058F" w:rsidRDefault="00160459" w:rsidP="00160459">
      <w:pPr>
        <w:pStyle w:val="References"/>
        <w:spacing w:before="240" w:after="0"/>
      </w:pPr>
      <w:r w:rsidRPr="0047058F">
        <w:t xml:space="preserve">May, C. L., &amp; Wisco, B. E. (2016). Defining trauma: How level of exposure and proximity affect risk for posttraumatic stress disorder. </w:t>
      </w:r>
      <w:r w:rsidRPr="0047058F">
        <w:rPr>
          <w:i/>
        </w:rPr>
        <w:t>Psychological Trauma: Theory, Research, Practice, and Policy</w:t>
      </w:r>
      <w:r w:rsidRPr="0047058F">
        <w:t xml:space="preserve">, </w:t>
      </w:r>
      <w:r w:rsidRPr="0047058F">
        <w:rPr>
          <w:i/>
        </w:rPr>
        <w:t>8</w:t>
      </w:r>
      <w:r w:rsidRPr="0047058F">
        <w:t>(2), 233–240.</w:t>
      </w:r>
    </w:p>
    <w:p w14:paraId="068DC8DA" w14:textId="77777777" w:rsidR="00160459" w:rsidRPr="0047058F" w:rsidRDefault="00160459" w:rsidP="00160459">
      <w:pPr>
        <w:pStyle w:val="References"/>
        <w:spacing w:before="240" w:after="0"/>
      </w:pPr>
      <w:r w:rsidRPr="0047058F">
        <w:t xml:space="preserve">McCabe, R. E., Antony, M. M., Summerfeldt, L. J., Liss, A., &amp; Swinson, R. P. (2003). Preliminary examination of the relationship between anxiety disorders in adults and self-reported history of teasing or bullying experiences. </w:t>
      </w:r>
      <w:r w:rsidRPr="0047058F">
        <w:rPr>
          <w:i/>
        </w:rPr>
        <w:t>Cognitive Behaviour Therapy</w:t>
      </w:r>
      <w:r w:rsidRPr="0047058F">
        <w:t xml:space="preserve">, </w:t>
      </w:r>
      <w:r w:rsidRPr="0047058F">
        <w:rPr>
          <w:i/>
        </w:rPr>
        <w:t>32</w:t>
      </w:r>
      <w:r w:rsidRPr="0047058F">
        <w:t>(4), 187–193.</w:t>
      </w:r>
    </w:p>
    <w:p w14:paraId="085F19B5" w14:textId="77777777" w:rsidR="00160459" w:rsidRPr="0047058F" w:rsidRDefault="00160459" w:rsidP="00160459">
      <w:pPr>
        <w:pStyle w:val="References"/>
        <w:spacing w:before="240" w:after="0"/>
      </w:pPr>
      <w:r w:rsidRPr="0047058F">
        <w:t xml:space="preserve">McEvoy, P. M., Grove, R., &amp; Slade, T. (2011). Epidemiology of anxiety disorders in the Australian general population: Findings of the 2007 Australian National Survey of Mental Health and Wellbeing. </w:t>
      </w:r>
      <w:r w:rsidRPr="0047058F">
        <w:rPr>
          <w:i/>
        </w:rPr>
        <w:t>Australian and New Zealand Journal of Psychiatry</w:t>
      </w:r>
      <w:r w:rsidRPr="0047058F">
        <w:t xml:space="preserve">, </w:t>
      </w:r>
      <w:r w:rsidRPr="0047058F">
        <w:rPr>
          <w:i/>
        </w:rPr>
        <w:t>45</w:t>
      </w:r>
      <w:r w:rsidRPr="0047058F">
        <w:t>(11), 957–967.</w:t>
      </w:r>
    </w:p>
    <w:p w14:paraId="4369E54F" w14:textId="77777777" w:rsidR="00160459" w:rsidRPr="0047058F" w:rsidRDefault="00160459" w:rsidP="00160459">
      <w:pPr>
        <w:pStyle w:val="References"/>
        <w:spacing w:before="240" w:after="0"/>
      </w:pPr>
      <w:r w:rsidRPr="0047058F">
        <w:t xml:space="preserve">McFarlane, A. C. (2010). The long-term costs of traumatic stress: Intertwined physical and psychological consequences. </w:t>
      </w:r>
      <w:r w:rsidRPr="0047058F">
        <w:rPr>
          <w:i/>
        </w:rPr>
        <w:t>World Psychiatry</w:t>
      </w:r>
      <w:r w:rsidRPr="0047058F">
        <w:t xml:space="preserve">, </w:t>
      </w:r>
      <w:r w:rsidRPr="0047058F">
        <w:rPr>
          <w:i/>
        </w:rPr>
        <w:t>9</w:t>
      </w:r>
      <w:r w:rsidRPr="0047058F">
        <w:t>(1), 3–10.</w:t>
      </w:r>
    </w:p>
    <w:p w14:paraId="508ED626" w14:textId="77777777" w:rsidR="00160459" w:rsidRPr="0047058F" w:rsidRDefault="00160459" w:rsidP="00160459">
      <w:pPr>
        <w:pStyle w:val="References"/>
        <w:spacing w:before="240" w:after="0"/>
      </w:pPr>
      <w:r w:rsidRPr="0047058F">
        <w:t xml:space="preserve">McFarlane, A. C. (2014). PTSD and DSM-5: Unintended consequences of change. </w:t>
      </w:r>
      <w:r w:rsidRPr="0047058F">
        <w:rPr>
          <w:i/>
        </w:rPr>
        <w:t>Lancet Psychiatry</w:t>
      </w:r>
      <w:r w:rsidRPr="0047058F">
        <w:t xml:space="preserve">, </w:t>
      </w:r>
      <w:r w:rsidRPr="0047058F">
        <w:rPr>
          <w:i/>
        </w:rPr>
        <w:t>1</w:t>
      </w:r>
      <w:r w:rsidRPr="0047058F">
        <w:t>(4), 246–247.</w:t>
      </w:r>
    </w:p>
    <w:p w14:paraId="12BA5077" w14:textId="77777777" w:rsidR="00160459" w:rsidRPr="0047058F" w:rsidRDefault="00160459" w:rsidP="00160459">
      <w:pPr>
        <w:pStyle w:val="References"/>
        <w:spacing w:before="240" w:after="0"/>
      </w:pPr>
      <w:r w:rsidRPr="0047058F">
        <w:t xml:space="preserve">McFarlane, A. C., Hodson, S., Van Hooff, M., Verhagen, A., &amp; Davies, C. (2011). </w:t>
      </w:r>
      <w:r w:rsidRPr="0047058F">
        <w:rPr>
          <w:i/>
        </w:rPr>
        <w:t>Mental health in the Australian Defence Force: 2010 ADF Mental Health Prevalence and Wellbeing Study: Full report</w:t>
      </w:r>
      <w:r w:rsidRPr="0047058F">
        <w:t>. Canberra: Department of Defence.</w:t>
      </w:r>
    </w:p>
    <w:p w14:paraId="10ADA4D9" w14:textId="77777777" w:rsidR="00160459" w:rsidRPr="0047058F" w:rsidRDefault="00160459" w:rsidP="00160459">
      <w:pPr>
        <w:pStyle w:val="References"/>
        <w:spacing w:before="240" w:after="0"/>
      </w:pPr>
      <w:r w:rsidRPr="0047058F">
        <w:t xml:space="preserve">McGuire, A., Runge, C., Cosgrove, L., Bredhauer, K., Anderson, R., Waller, M., … Nasveld, P. (2012). </w:t>
      </w:r>
      <w:r w:rsidRPr="0047058F">
        <w:rPr>
          <w:i/>
        </w:rPr>
        <w:t>Timor-Leste Family Study 2012: Technical report</w:t>
      </w:r>
      <w:r w:rsidRPr="0047058F">
        <w:t xml:space="preserve">. Brisbane: University of Queensland, Centre for Military and Veterans’ Health. Retrieved from </w:t>
      </w:r>
      <w:hyperlink r:id="rId106" w:history="1">
        <w:r w:rsidRPr="0047058F">
          <w:rPr>
            <w:rStyle w:val="Hyperlink"/>
          </w:rPr>
          <w:t>https://www.dva.gov.au/sites/default/files/files/consultation%20and%20grants/healthstudies/timor_leste/tlfs-technical.pdf</w:t>
        </w:r>
      </w:hyperlink>
      <w:r w:rsidRPr="0047058F">
        <w:t>.</w:t>
      </w:r>
    </w:p>
    <w:p w14:paraId="7099D479" w14:textId="19B7CB3F" w:rsidR="00160459" w:rsidRPr="0047058F" w:rsidRDefault="00160459" w:rsidP="00160459">
      <w:pPr>
        <w:pStyle w:val="References"/>
        <w:spacing w:before="240" w:after="0"/>
      </w:pPr>
      <w:r w:rsidRPr="0047058F">
        <w:t xml:space="preserve">McGurk, D., Cotting, D. I., Britt, T. W., &amp; Adler, A. B. (2006). Joining the ranks: The role of indoctrination in transforming civilians to service members. In A. B. Adler, C. A. Castro, &amp; T. W. Britt (Eds.), </w:t>
      </w:r>
      <w:r w:rsidRPr="0047058F">
        <w:rPr>
          <w:i/>
        </w:rPr>
        <w:t>Military life: The psychology of service in peace and combat: Operational stress: Vol. 2</w:t>
      </w:r>
      <w:r w:rsidRPr="0047058F">
        <w:t>. Westport, CT: Praeger Security International.</w:t>
      </w:r>
    </w:p>
    <w:p w14:paraId="58791646" w14:textId="77777777" w:rsidR="00160459" w:rsidRPr="0047058F" w:rsidRDefault="00160459" w:rsidP="00160459">
      <w:pPr>
        <w:pStyle w:val="References"/>
        <w:spacing w:before="240" w:after="0"/>
      </w:pPr>
      <w:r w:rsidRPr="0047058F">
        <w:t xml:space="preserve">McNally, R. J., Lasko, N. B., Macklin, M. L., &amp; Pitman, R. K. (1995). Autobiographical memory disturbance in combat-related posttraumatic stress disorder. </w:t>
      </w:r>
      <w:r w:rsidRPr="0047058F">
        <w:rPr>
          <w:i/>
        </w:rPr>
        <w:t>Behaviour Research and Therapy</w:t>
      </w:r>
      <w:r w:rsidRPr="0047058F">
        <w:t xml:space="preserve">, </w:t>
      </w:r>
      <w:r w:rsidRPr="0047058F">
        <w:rPr>
          <w:i/>
        </w:rPr>
        <w:t>33</w:t>
      </w:r>
      <w:r w:rsidRPr="0047058F">
        <w:t>(6), 619–630.</w:t>
      </w:r>
    </w:p>
    <w:p w14:paraId="3858600F" w14:textId="3AFD0229" w:rsidR="00160459" w:rsidRPr="0047058F" w:rsidRDefault="00160459" w:rsidP="00160459">
      <w:pPr>
        <w:pStyle w:val="References"/>
        <w:spacing w:before="240" w:after="0"/>
      </w:pPr>
      <w:r w:rsidRPr="0047058F">
        <w:t xml:space="preserve">Meffert, S. M., Henn-Haase, C., Metzler, T. J., Qian, M., Best, S., Hirschfeld, A., … Marmar, C. R. (2014). Prospective study of police officer spouse/partners: A new pathway to secondary trauma and relationship violence? </w:t>
      </w:r>
      <w:r w:rsidRPr="0047058F">
        <w:rPr>
          <w:i/>
        </w:rPr>
        <w:t>P</w:t>
      </w:r>
      <w:r w:rsidR="001214AA">
        <w:rPr>
          <w:i/>
        </w:rPr>
        <w:t>L</w:t>
      </w:r>
      <w:r w:rsidRPr="0047058F">
        <w:rPr>
          <w:i/>
        </w:rPr>
        <w:t>oS One</w:t>
      </w:r>
      <w:r w:rsidRPr="0047058F">
        <w:t xml:space="preserve">, </w:t>
      </w:r>
      <w:r w:rsidRPr="0047058F">
        <w:rPr>
          <w:i/>
        </w:rPr>
        <w:t>9</w:t>
      </w:r>
      <w:r w:rsidRPr="0047058F">
        <w:t>(7), e100663.</w:t>
      </w:r>
    </w:p>
    <w:p w14:paraId="3169F71E" w14:textId="77777777" w:rsidR="00160459" w:rsidRPr="0047058F" w:rsidRDefault="00160459" w:rsidP="00160459">
      <w:pPr>
        <w:pStyle w:val="References"/>
        <w:spacing w:before="240" w:after="0"/>
      </w:pPr>
      <w:r w:rsidRPr="0047058F">
        <w:t xml:space="preserve">Milad, M. R., Rauch, S. L., Pitman, R. K., &amp; Quirk, G. J. (2006). Fear extinction in rats: Implications for human brain imaging and anxiety disorders. </w:t>
      </w:r>
      <w:r w:rsidRPr="0047058F">
        <w:rPr>
          <w:i/>
        </w:rPr>
        <w:t>Biological Psychology</w:t>
      </w:r>
      <w:r w:rsidRPr="0047058F">
        <w:t xml:space="preserve">, </w:t>
      </w:r>
      <w:r w:rsidRPr="0047058F">
        <w:rPr>
          <w:i/>
        </w:rPr>
        <w:t>73</w:t>
      </w:r>
      <w:r w:rsidRPr="0047058F">
        <w:t>(1), 61–71.</w:t>
      </w:r>
    </w:p>
    <w:p w14:paraId="493A014E" w14:textId="77777777" w:rsidR="00160459" w:rsidRPr="0047058F" w:rsidRDefault="00160459" w:rsidP="00160459">
      <w:pPr>
        <w:pStyle w:val="References"/>
        <w:spacing w:before="240" w:after="0"/>
      </w:pPr>
      <w:r w:rsidRPr="0047058F">
        <w:t xml:space="preserve">Mobbs, M. C., &amp; Bonanno, G. A. (2018). Beyond war and PTSD: The crucial role of transition stress in the lives of military veterans. </w:t>
      </w:r>
      <w:r w:rsidRPr="0047058F">
        <w:rPr>
          <w:i/>
        </w:rPr>
        <w:t>Clinical Psychology Review</w:t>
      </w:r>
      <w:r w:rsidRPr="0047058F">
        <w:t xml:space="preserve">, </w:t>
      </w:r>
      <w:r w:rsidRPr="0047058F">
        <w:rPr>
          <w:i/>
        </w:rPr>
        <w:t>59</w:t>
      </w:r>
      <w:r w:rsidRPr="0047058F">
        <w:t>, 137–144.</w:t>
      </w:r>
    </w:p>
    <w:p w14:paraId="2859D42B" w14:textId="77777777" w:rsidR="00160459" w:rsidRPr="0047058F" w:rsidRDefault="00160459" w:rsidP="00160459">
      <w:pPr>
        <w:pStyle w:val="References"/>
        <w:spacing w:before="240" w:after="0"/>
      </w:pPr>
      <w:r w:rsidRPr="0047058F">
        <w:t xml:space="preserve">Morgan, C. A., Hill, S., Fox, P., Kingham, P., &amp; Southwick, S. M. (1999). Anniversary reactions in Gulf War veterans: A follow-up inquiry 6 years after the war. </w:t>
      </w:r>
      <w:r w:rsidRPr="0047058F">
        <w:rPr>
          <w:i/>
        </w:rPr>
        <w:t>American Journal of Psychiatry</w:t>
      </w:r>
      <w:r w:rsidRPr="0047058F">
        <w:t xml:space="preserve">, </w:t>
      </w:r>
      <w:r w:rsidRPr="0047058F">
        <w:rPr>
          <w:i/>
        </w:rPr>
        <w:t>156</w:t>
      </w:r>
      <w:r w:rsidRPr="0047058F">
        <w:t>(7), 1075–1079.</w:t>
      </w:r>
    </w:p>
    <w:p w14:paraId="4EC7C470" w14:textId="77777777" w:rsidR="00646F3A" w:rsidRPr="0047058F" w:rsidRDefault="00646F3A" w:rsidP="00646F3A">
      <w:pPr>
        <w:pStyle w:val="References"/>
        <w:spacing w:before="240" w:after="0"/>
      </w:pPr>
      <w:r w:rsidRPr="0047058F">
        <w:t>Morgan, C.</w:t>
      </w:r>
      <w:r>
        <w:t xml:space="preserve"> A</w:t>
      </w:r>
      <w:r w:rsidRPr="0047058F">
        <w:t xml:space="preserve">, Kingham, P., Nicolaou, A., &amp; Southwick, S. </w:t>
      </w:r>
      <w:r>
        <w:t xml:space="preserve">M. </w:t>
      </w:r>
      <w:r w:rsidRPr="0047058F">
        <w:t xml:space="preserve">(1998). Anniversary reactions in Gulf War veterans: A naturalistic inquiry 2 years after the Gulf War. </w:t>
      </w:r>
      <w:r w:rsidRPr="0047058F">
        <w:rPr>
          <w:i/>
        </w:rPr>
        <w:t>Journal of Traumatic Stress</w:t>
      </w:r>
      <w:r w:rsidRPr="0047058F">
        <w:t xml:space="preserve">, </w:t>
      </w:r>
      <w:r w:rsidRPr="0047058F">
        <w:rPr>
          <w:i/>
        </w:rPr>
        <w:t>11</w:t>
      </w:r>
      <w:r w:rsidRPr="0047058F">
        <w:t>(1), 165–171.</w:t>
      </w:r>
    </w:p>
    <w:p w14:paraId="192D346A" w14:textId="77777777" w:rsidR="00160459" w:rsidRPr="0047058F" w:rsidRDefault="00160459" w:rsidP="00160459">
      <w:pPr>
        <w:pStyle w:val="References"/>
        <w:spacing w:before="240" w:after="0"/>
      </w:pPr>
      <w:r w:rsidRPr="0047058F">
        <w:t xml:space="preserve">Morin, R. (2011). </w:t>
      </w:r>
      <w:r w:rsidRPr="0047058F">
        <w:rPr>
          <w:i/>
        </w:rPr>
        <w:t>The difficult transition from military to civilian life</w:t>
      </w:r>
      <w:r w:rsidRPr="0047058F">
        <w:t>. Washington, DC: Pew Research Center.</w:t>
      </w:r>
    </w:p>
    <w:p w14:paraId="76408239" w14:textId="77777777" w:rsidR="00160459" w:rsidRPr="0047058F" w:rsidRDefault="00160459" w:rsidP="00160459">
      <w:pPr>
        <w:pStyle w:val="References"/>
        <w:spacing w:before="240" w:after="0"/>
      </w:pPr>
      <w:r w:rsidRPr="0047058F">
        <w:t xml:space="preserve">Morland, L. A., Greene, C. J., Rosen, C. S., Foy, D., Reilly, P., Shore, J., … Frueh, B. C. (2010). Telemedicine for anger management therapy in a rural population of combat veterans with posttraumatic stress disorder: A randomized noninferiority trial. </w:t>
      </w:r>
      <w:r w:rsidRPr="0047058F">
        <w:rPr>
          <w:i/>
        </w:rPr>
        <w:t>Journal of Clinical Psychiatry</w:t>
      </w:r>
      <w:r w:rsidRPr="0047058F">
        <w:t xml:space="preserve">, </w:t>
      </w:r>
      <w:r w:rsidRPr="0047058F">
        <w:rPr>
          <w:i/>
        </w:rPr>
        <w:t>71</w:t>
      </w:r>
      <w:r w:rsidRPr="0047058F">
        <w:t>(7), 855–863.</w:t>
      </w:r>
    </w:p>
    <w:p w14:paraId="23D0BBFF" w14:textId="77777777" w:rsidR="00160459" w:rsidRPr="0047058F" w:rsidRDefault="00160459" w:rsidP="00160459">
      <w:pPr>
        <w:pStyle w:val="References"/>
        <w:spacing w:before="240" w:after="0"/>
      </w:pPr>
      <w:r w:rsidRPr="0047058F">
        <w:t xml:space="preserve">Neria, Y., DiGrande, L., &amp; Adams, B. G. (2011). Posttraumatic stress disorder following the September 11, 2001, terrorist attacks: A review of the literature among highly exposed populations. </w:t>
      </w:r>
      <w:r w:rsidRPr="0047058F">
        <w:rPr>
          <w:i/>
        </w:rPr>
        <w:t>American Psychologist</w:t>
      </w:r>
      <w:r w:rsidRPr="0047058F">
        <w:t xml:space="preserve">, </w:t>
      </w:r>
      <w:r w:rsidRPr="0047058F">
        <w:rPr>
          <w:i/>
        </w:rPr>
        <w:t>66</w:t>
      </w:r>
      <w:r w:rsidRPr="0047058F">
        <w:t>(6), 429.</w:t>
      </w:r>
    </w:p>
    <w:p w14:paraId="19C8DFB5" w14:textId="77777777" w:rsidR="00160459" w:rsidRPr="0047058F" w:rsidRDefault="00160459" w:rsidP="00160459">
      <w:pPr>
        <w:pStyle w:val="References"/>
        <w:spacing w:before="240" w:after="0"/>
      </w:pPr>
      <w:r w:rsidRPr="0047058F">
        <w:t xml:space="preserve">Neylan, T. C., Metzler, T. J., Best, S. R., Weiss, D. S., Fagan, J. A., Liberman, A., … Lipsey, T. L. (2002). Critical incident exposure and sleep quality in police officers. </w:t>
      </w:r>
      <w:r w:rsidRPr="0047058F">
        <w:rPr>
          <w:i/>
        </w:rPr>
        <w:t>Psychosomatic Medicine</w:t>
      </w:r>
      <w:r w:rsidRPr="0047058F">
        <w:t xml:space="preserve">, </w:t>
      </w:r>
      <w:r w:rsidRPr="0047058F">
        <w:rPr>
          <w:i/>
        </w:rPr>
        <w:t>64</w:t>
      </w:r>
      <w:r w:rsidRPr="0047058F">
        <w:t>(2), 345–352.</w:t>
      </w:r>
    </w:p>
    <w:p w14:paraId="4A3AF3D3" w14:textId="77777777" w:rsidR="00160459" w:rsidRPr="0047058F" w:rsidRDefault="00160459" w:rsidP="00160459">
      <w:pPr>
        <w:pStyle w:val="References"/>
        <w:spacing w:before="240" w:after="0"/>
      </w:pPr>
      <w:r w:rsidRPr="0047058F">
        <w:t xml:space="preserve">Nitschke, J. B., Sarinopoulos, I., Oathes, D. J., Johnstone, T., Whalen, P. J., Davidson, R. J., &amp; Kalin, N. H. (2009). Anticipatory activation in the amygdala and anterior cingulate in generalized anxiety disorder and prediction of treatment response. </w:t>
      </w:r>
      <w:r w:rsidRPr="0047058F">
        <w:rPr>
          <w:i/>
        </w:rPr>
        <w:t>American Journal of Psychiatry</w:t>
      </w:r>
      <w:r w:rsidRPr="0047058F">
        <w:t xml:space="preserve">, </w:t>
      </w:r>
      <w:r w:rsidRPr="0047058F">
        <w:rPr>
          <w:i/>
        </w:rPr>
        <w:t>166</w:t>
      </w:r>
      <w:r w:rsidRPr="0047058F">
        <w:t>(3), 302–310.</w:t>
      </w:r>
    </w:p>
    <w:p w14:paraId="52A8D405" w14:textId="77777777" w:rsidR="00160459" w:rsidRPr="0047058F" w:rsidRDefault="00160459" w:rsidP="00160459">
      <w:pPr>
        <w:pStyle w:val="References"/>
        <w:spacing w:before="240" w:after="0"/>
      </w:pPr>
      <w:r w:rsidRPr="0047058F">
        <w:t xml:space="preserve">O’Donnell, M. (2013). Explanation of delayed-onset posttraumatic stress disorder after severe injury. </w:t>
      </w:r>
      <w:r w:rsidRPr="0047058F">
        <w:rPr>
          <w:i/>
        </w:rPr>
        <w:t>Psychological Medicine</w:t>
      </w:r>
      <w:r w:rsidRPr="0047058F">
        <w:t xml:space="preserve">, </w:t>
      </w:r>
      <w:r w:rsidRPr="0047058F">
        <w:rPr>
          <w:i/>
        </w:rPr>
        <w:t>75</w:t>
      </w:r>
      <w:r w:rsidRPr="0047058F">
        <w:t>(1), 68–75.</w:t>
      </w:r>
    </w:p>
    <w:p w14:paraId="31DAB303" w14:textId="77777777" w:rsidR="00160459" w:rsidRPr="0047058F" w:rsidRDefault="00160459" w:rsidP="00160459">
      <w:pPr>
        <w:pStyle w:val="References"/>
        <w:spacing w:before="240" w:after="0"/>
      </w:pPr>
      <w:r w:rsidRPr="0047058F">
        <w:t xml:space="preserve">O’Hara, A. F., Violanti, J. M., Levenson Jr, R. L., &amp; Clark Sr, R. G. (2013). National police suicide estimates: Web surveillance study III. </w:t>
      </w:r>
      <w:r w:rsidRPr="0047058F">
        <w:rPr>
          <w:i/>
        </w:rPr>
        <w:t>International Journal of Emergency Mental Health and Human Resilience</w:t>
      </w:r>
      <w:r w:rsidRPr="0047058F">
        <w:t xml:space="preserve">, </w:t>
      </w:r>
      <w:r w:rsidRPr="0047058F">
        <w:rPr>
          <w:i/>
        </w:rPr>
        <w:t>15</w:t>
      </w:r>
      <w:r w:rsidRPr="0047058F">
        <w:t>(1), 31–38.</w:t>
      </w:r>
    </w:p>
    <w:p w14:paraId="2E1242D9" w14:textId="77777777" w:rsidR="00160459" w:rsidRPr="0047058F" w:rsidRDefault="00160459" w:rsidP="00160459">
      <w:pPr>
        <w:pStyle w:val="References"/>
        <w:spacing w:before="240" w:after="0"/>
      </w:pPr>
      <w:r w:rsidRPr="0047058F">
        <w:t xml:space="preserve">Op den Velde, W., Aarts, P., Falger, P., Hovens, J., Frey-Wouters, E., Van Duijn, H., &amp; De Groen, J. (1996). Prevalence and course of posttraumatic stress disorder in Dutch veterans of the civilian resistance during World War II: An overview. </w:t>
      </w:r>
      <w:r w:rsidRPr="0047058F">
        <w:rPr>
          <w:i/>
        </w:rPr>
        <w:t>Psychological Reports</w:t>
      </w:r>
      <w:r w:rsidRPr="0047058F">
        <w:t xml:space="preserve">, </w:t>
      </w:r>
      <w:r w:rsidRPr="0047058F">
        <w:rPr>
          <w:i/>
        </w:rPr>
        <w:t>78</w:t>
      </w:r>
      <w:r w:rsidRPr="0047058F">
        <w:t>(2), 519–529.</w:t>
      </w:r>
    </w:p>
    <w:p w14:paraId="0D9B409F" w14:textId="77777777" w:rsidR="00160459" w:rsidRPr="0047058F" w:rsidRDefault="00160459" w:rsidP="00160459">
      <w:pPr>
        <w:pStyle w:val="References"/>
        <w:spacing w:before="240" w:after="0"/>
      </w:pPr>
      <w:r w:rsidRPr="0047058F">
        <w:t xml:space="preserve">Orcutt, H. K., Bonanno, G. A., Hannan, S. M., &amp; Miron, L. R. (2014). Prospective trajectories of posttraumatic stress in college women following a campus mass shooting. </w:t>
      </w:r>
      <w:r w:rsidRPr="0047058F">
        <w:rPr>
          <w:i/>
        </w:rPr>
        <w:t>Journal of Traumatic Stress</w:t>
      </w:r>
      <w:r w:rsidRPr="0047058F">
        <w:t xml:space="preserve">, </w:t>
      </w:r>
      <w:r w:rsidRPr="0047058F">
        <w:rPr>
          <w:i/>
        </w:rPr>
        <w:t>27</w:t>
      </w:r>
      <w:r w:rsidRPr="0047058F">
        <w:t>(3), 249–256.</w:t>
      </w:r>
    </w:p>
    <w:p w14:paraId="180AD9AC" w14:textId="77777777" w:rsidR="00160459" w:rsidRPr="0047058F" w:rsidRDefault="00160459" w:rsidP="00160459">
      <w:pPr>
        <w:pStyle w:val="References"/>
        <w:spacing w:before="240" w:after="0"/>
      </w:pPr>
      <w:r w:rsidRPr="0047058F">
        <w:t xml:space="preserve">Orcutt, H. K., Erickson, D. J., &amp; Wolfe, J. (2004). The course of PTSD symptoms among Gulf War veterans: A growth mixture modeling approach. </w:t>
      </w:r>
      <w:r w:rsidRPr="0047058F">
        <w:rPr>
          <w:i/>
        </w:rPr>
        <w:t>Journal of Traumatic Stress</w:t>
      </w:r>
      <w:r w:rsidRPr="0047058F">
        <w:t xml:space="preserve">, </w:t>
      </w:r>
      <w:r w:rsidRPr="0047058F">
        <w:rPr>
          <w:i/>
        </w:rPr>
        <w:t>17</w:t>
      </w:r>
      <w:r w:rsidRPr="0047058F">
        <w:t>(3), 195–202.</w:t>
      </w:r>
    </w:p>
    <w:p w14:paraId="734D6104" w14:textId="77777777" w:rsidR="00160459" w:rsidRPr="0047058F" w:rsidRDefault="00160459" w:rsidP="00160459">
      <w:pPr>
        <w:pStyle w:val="References"/>
        <w:spacing w:before="240" w:after="0"/>
      </w:pPr>
      <w:r w:rsidRPr="0047058F">
        <w:t xml:space="preserve">Osório, C., Jones, N., Fertout, M., &amp; Greenberg, N. (2013). Perceptions of stigma and barriers to care among UK military personnel deployed to Afghanistan and Iraq. </w:t>
      </w:r>
      <w:r w:rsidRPr="0047058F">
        <w:rPr>
          <w:i/>
        </w:rPr>
        <w:t>Anxiety, Stress and Coping</w:t>
      </w:r>
      <w:r w:rsidRPr="0047058F">
        <w:t xml:space="preserve">, </w:t>
      </w:r>
      <w:r w:rsidRPr="0047058F">
        <w:rPr>
          <w:i/>
        </w:rPr>
        <w:t>26</w:t>
      </w:r>
      <w:r w:rsidRPr="0047058F">
        <w:t>(5), 539–557.</w:t>
      </w:r>
    </w:p>
    <w:p w14:paraId="7A8FC5DE" w14:textId="77777777" w:rsidR="00160459" w:rsidRPr="0047058F" w:rsidRDefault="00160459" w:rsidP="00160459">
      <w:pPr>
        <w:pStyle w:val="References"/>
        <w:spacing w:before="240" w:after="0"/>
      </w:pPr>
      <w:r w:rsidRPr="0047058F">
        <w:t xml:space="preserve">Paterson, G., &amp; Sanson, A. (1999). The association of behavioural adjustment to temperament, parenting and family characteristics among 5-year-old children. </w:t>
      </w:r>
      <w:r w:rsidRPr="0047058F">
        <w:rPr>
          <w:i/>
        </w:rPr>
        <w:t>Social Development</w:t>
      </w:r>
      <w:r w:rsidRPr="0047058F">
        <w:t xml:space="preserve">, </w:t>
      </w:r>
      <w:r w:rsidRPr="0047058F">
        <w:rPr>
          <w:i/>
        </w:rPr>
        <w:t>8</w:t>
      </w:r>
      <w:r w:rsidRPr="0047058F">
        <w:t>(3), 293–309.</w:t>
      </w:r>
    </w:p>
    <w:p w14:paraId="78A6D9BE" w14:textId="77777777" w:rsidR="00160459" w:rsidRPr="0047058F" w:rsidRDefault="00160459" w:rsidP="00160459">
      <w:pPr>
        <w:pStyle w:val="References"/>
        <w:spacing w:before="240" w:after="0"/>
      </w:pPr>
      <w:r w:rsidRPr="0047058F">
        <w:t xml:space="preserve">Pease, J. L., Billera, M., &amp; Gerard, G. (2016). Military culture and the transition to civilian life: Suicide risk and other considerations. </w:t>
      </w:r>
      <w:r w:rsidRPr="0047058F">
        <w:rPr>
          <w:i/>
        </w:rPr>
        <w:t>Social Work</w:t>
      </w:r>
      <w:r w:rsidRPr="0047058F">
        <w:t xml:space="preserve">, </w:t>
      </w:r>
      <w:r w:rsidRPr="0047058F">
        <w:rPr>
          <w:i/>
        </w:rPr>
        <w:t>61</w:t>
      </w:r>
      <w:r w:rsidRPr="0047058F">
        <w:t>(1), 83–86.</w:t>
      </w:r>
    </w:p>
    <w:p w14:paraId="33FC5738" w14:textId="77777777" w:rsidR="00160459" w:rsidRPr="0047058F" w:rsidRDefault="00160459" w:rsidP="00160459">
      <w:pPr>
        <w:pStyle w:val="References"/>
        <w:spacing w:before="240" w:after="0"/>
      </w:pPr>
      <w:r w:rsidRPr="0047058F">
        <w:t>Pedlar, D., &amp; Thompson, J. M. (2016). Toward a military-civilian transition theory and conceptual framework: Report of the International Summit held at the University of Southern California in March 2016. Los Angeles, CA: University of Southern California.</w:t>
      </w:r>
    </w:p>
    <w:p w14:paraId="72AAC94C" w14:textId="77777777" w:rsidR="00160459" w:rsidRPr="0047058F" w:rsidRDefault="00160459" w:rsidP="00160459">
      <w:pPr>
        <w:pStyle w:val="References"/>
        <w:spacing w:before="240" w:after="0"/>
      </w:pPr>
      <w:r w:rsidRPr="0047058F">
        <w:t xml:space="preserve">Perry, Y., Werner-Seidler, A., Calear, A. L., &amp; Christensen, H. (2016). Web-based and mobile suicide prevention interventions for young people: A systematic review. </w:t>
      </w:r>
      <w:r w:rsidRPr="0047058F">
        <w:rPr>
          <w:i/>
        </w:rPr>
        <w:t>Journal of the Canadian Academy of Child and Adolescent Psychiatry</w:t>
      </w:r>
      <w:r w:rsidRPr="0047058F">
        <w:t xml:space="preserve">, </w:t>
      </w:r>
      <w:r w:rsidRPr="0047058F">
        <w:rPr>
          <w:i/>
        </w:rPr>
        <w:t>25</w:t>
      </w:r>
      <w:r w:rsidRPr="0047058F">
        <w:t>(2), 73.</w:t>
      </w:r>
    </w:p>
    <w:p w14:paraId="1CF94D2A" w14:textId="77777777" w:rsidR="00160459" w:rsidRPr="0047058F" w:rsidRDefault="00160459" w:rsidP="00160459">
      <w:pPr>
        <w:pStyle w:val="References"/>
        <w:spacing w:before="240" w:after="0"/>
      </w:pPr>
      <w:r w:rsidRPr="0047058F">
        <w:t xml:space="preserve">Pew Research Center. (2011). </w:t>
      </w:r>
      <w:r w:rsidRPr="0047058F">
        <w:rPr>
          <w:i/>
        </w:rPr>
        <w:t>The military-civilian gap: War and sacrifice in the post-9/11 era</w:t>
      </w:r>
      <w:r w:rsidRPr="0047058F">
        <w:t xml:space="preserve">. Washington, DC: Pew Research Center. Retrieved from </w:t>
      </w:r>
      <w:hyperlink r:id="rId107" w:history="1">
        <w:r w:rsidRPr="0047058F">
          <w:rPr>
            <w:rStyle w:val="Hyperlink"/>
          </w:rPr>
          <w:t>http://www.pewsocialtrends.org/files/2011/10/veterans-report.pdf</w:t>
        </w:r>
      </w:hyperlink>
      <w:r w:rsidRPr="0047058F">
        <w:t>.</w:t>
      </w:r>
    </w:p>
    <w:p w14:paraId="2312151C" w14:textId="77777777" w:rsidR="00160459" w:rsidRPr="0047058F" w:rsidRDefault="00160459" w:rsidP="00160459">
      <w:pPr>
        <w:pStyle w:val="References"/>
        <w:spacing w:before="240" w:after="0"/>
      </w:pPr>
      <w:r w:rsidRPr="0047058F">
        <w:t xml:space="preserve">Pietrzak, R. H., Feder, A., Singh, R., Schechter, C. B., Bromet, E. J., Katz, C. L., … Southwick, S. M. (2013). Trajectories of PTSD risk and resilience in World Trade Center responders: An 8-year prospective cohort study. </w:t>
      </w:r>
      <w:r w:rsidRPr="0047058F">
        <w:rPr>
          <w:i/>
        </w:rPr>
        <w:t>Psychological Medicine</w:t>
      </w:r>
      <w:r w:rsidRPr="0047058F">
        <w:t xml:space="preserve">, </w:t>
      </w:r>
      <w:r w:rsidRPr="0047058F">
        <w:rPr>
          <w:i/>
        </w:rPr>
        <w:t>44</w:t>
      </w:r>
      <w:r w:rsidRPr="0047058F">
        <w:t>(1), 205–219.</w:t>
      </w:r>
    </w:p>
    <w:p w14:paraId="07C08647" w14:textId="77777777" w:rsidR="00160459" w:rsidRPr="0047058F" w:rsidRDefault="00160459" w:rsidP="00160459">
      <w:pPr>
        <w:pStyle w:val="References"/>
        <w:spacing w:before="240" w:after="0"/>
      </w:pPr>
      <w:r w:rsidRPr="0047058F">
        <w:t xml:space="preserve">Pietrzak, R. H., Goldstein, M. B., Malley, J. C., Johnson, D. C., &amp; Southwick, S. M. (2009). Subsyndromal posttraumatic stress disorder is associated with health and psychosocial difficulties in veterans of Operations Enduring Freedom and Iraqi Freedom. </w:t>
      </w:r>
      <w:r w:rsidRPr="0047058F">
        <w:rPr>
          <w:i/>
        </w:rPr>
        <w:t>Depression and Anxiety</w:t>
      </w:r>
      <w:r w:rsidRPr="0047058F">
        <w:t xml:space="preserve">, </w:t>
      </w:r>
      <w:r w:rsidRPr="0047058F">
        <w:rPr>
          <w:i/>
        </w:rPr>
        <w:t>26</w:t>
      </w:r>
      <w:r w:rsidRPr="0047058F">
        <w:t>(8), 739–744.</w:t>
      </w:r>
    </w:p>
    <w:p w14:paraId="7FEC009F" w14:textId="77777777" w:rsidR="00160459" w:rsidRPr="0047058F" w:rsidRDefault="00160459" w:rsidP="00160459">
      <w:pPr>
        <w:pStyle w:val="References"/>
        <w:spacing w:before="240" w:after="0"/>
      </w:pPr>
      <w:r w:rsidRPr="0047058F">
        <w:t xml:space="preserve">Pietrzak, R. H., Schechter, C. B., Bromet, E. J., Katz, C. L., Reissman, D. B., Ozbay, F., … Herbert, R. (2012). The burden of full and subsyndromal posttraumatic stress disorder among police involved in the World Trade Center rescue and recovery effort. </w:t>
      </w:r>
      <w:r w:rsidRPr="0047058F">
        <w:rPr>
          <w:i/>
        </w:rPr>
        <w:t>Journal of Psychiatric Research</w:t>
      </w:r>
      <w:r w:rsidRPr="0047058F">
        <w:t xml:space="preserve">, </w:t>
      </w:r>
      <w:r w:rsidRPr="0047058F">
        <w:rPr>
          <w:i/>
        </w:rPr>
        <w:t>46</w:t>
      </w:r>
      <w:r w:rsidRPr="0047058F">
        <w:t>(7), 835–842.</w:t>
      </w:r>
    </w:p>
    <w:p w14:paraId="1BE0C1C2" w14:textId="77777777" w:rsidR="00160459" w:rsidRPr="0047058F" w:rsidRDefault="00160459" w:rsidP="00160459">
      <w:pPr>
        <w:pStyle w:val="References"/>
        <w:spacing w:before="240" w:after="0"/>
      </w:pPr>
      <w:r w:rsidRPr="0047058F">
        <w:t xml:space="preserve">Pinder, R. J., Iversen, A. C., Kapur, N., Wessely, S., &amp; Fear, N. T. (2012). Self-harm and attempted suicide among UK Armed Forces personnel: Results of a cross-sectional survey. </w:t>
      </w:r>
      <w:r w:rsidRPr="0047058F">
        <w:rPr>
          <w:i/>
        </w:rPr>
        <w:t>International Journal of Social Psychiatry</w:t>
      </w:r>
      <w:r w:rsidRPr="0047058F">
        <w:t xml:space="preserve">, </w:t>
      </w:r>
      <w:r w:rsidRPr="0047058F">
        <w:rPr>
          <w:i/>
        </w:rPr>
        <w:t>58</w:t>
      </w:r>
      <w:r w:rsidRPr="0047058F">
        <w:t>(4), 433–439.</w:t>
      </w:r>
    </w:p>
    <w:p w14:paraId="1875FBD5" w14:textId="77777777" w:rsidR="00160459" w:rsidRPr="0047058F" w:rsidRDefault="00160459" w:rsidP="00160459">
      <w:pPr>
        <w:pStyle w:val="References"/>
        <w:spacing w:before="240" w:after="0"/>
      </w:pPr>
      <w:r w:rsidRPr="0047058F">
        <w:t xml:space="preserve">Pinnock, C., O’Brien, B., &amp; Marshall, V. R. (1998). Older men’s concerns about their urological health: A qualitative study. </w:t>
      </w:r>
      <w:r w:rsidRPr="0047058F">
        <w:rPr>
          <w:i/>
        </w:rPr>
        <w:t>Australian and New Zealand Journal of Public Health</w:t>
      </w:r>
      <w:r w:rsidRPr="0047058F">
        <w:t xml:space="preserve">, </w:t>
      </w:r>
      <w:r w:rsidRPr="0047058F">
        <w:rPr>
          <w:i/>
        </w:rPr>
        <w:t>22</w:t>
      </w:r>
      <w:r w:rsidRPr="0047058F">
        <w:t>(3), 368–373.</w:t>
      </w:r>
    </w:p>
    <w:p w14:paraId="014AD161" w14:textId="77777777" w:rsidR="00160459" w:rsidRPr="0047058F" w:rsidRDefault="00160459" w:rsidP="00160459">
      <w:pPr>
        <w:pStyle w:val="References"/>
        <w:spacing w:before="240" w:after="0"/>
      </w:pPr>
      <w:r w:rsidRPr="0047058F">
        <w:t xml:space="preserve">Post, R. M., Weiss, S. R. B., &amp; Smith, M. A. (1995). Sensitization and kindling: Implications for the evolving neural substrates of post-traumatic stress disorder. In M. J. Friedman, D. S. Charney, &amp; A. Y. Deutch (Eds.), </w:t>
      </w:r>
      <w:r w:rsidRPr="0047058F">
        <w:rPr>
          <w:i/>
        </w:rPr>
        <w:t>Neurobiological and clinical consequences of stress: From normal adaptation to PTSD</w:t>
      </w:r>
      <w:r w:rsidRPr="0047058F">
        <w:t>. Philadelphia, PA: Lipincott-Raven.</w:t>
      </w:r>
    </w:p>
    <w:p w14:paraId="2E4F3627" w14:textId="77777777" w:rsidR="00160459" w:rsidRPr="0047058F" w:rsidRDefault="00160459" w:rsidP="00160459">
      <w:pPr>
        <w:pStyle w:val="References"/>
        <w:spacing w:before="240" w:after="0"/>
      </w:pPr>
      <w:r w:rsidRPr="0047058F">
        <w:t xml:space="preserve">Prigerson, H. G., Maciejewski, P. K., &amp; Rosenheck, R. A. (2001). Combat trauma: Trauma with highest risk of delayed onset and unresolved posttraumatic stress disorder symptoms, unemployment, and abuse among men. </w:t>
      </w:r>
      <w:r w:rsidRPr="0047058F">
        <w:rPr>
          <w:i/>
        </w:rPr>
        <w:t>Journal of Nervous and Mental Disease</w:t>
      </w:r>
      <w:r w:rsidRPr="0047058F">
        <w:t xml:space="preserve">, </w:t>
      </w:r>
      <w:r w:rsidRPr="0047058F">
        <w:rPr>
          <w:i/>
        </w:rPr>
        <w:t>189</w:t>
      </w:r>
      <w:r w:rsidRPr="0047058F">
        <w:t>(2), 99–108.</w:t>
      </w:r>
    </w:p>
    <w:p w14:paraId="2FDD4DB0" w14:textId="77777777" w:rsidR="00160459" w:rsidRPr="0047058F" w:rsidRDefault="00160459" w:rsidP="00160459">
      <w:pPr>
        <w:pStyle w:val="References"/>
        <w:spacing w:before="240" w:after="0"/>
      </w:pPr>
      <w:r w:rsidRPr="0047058F">
        <w:t xml:space="preserve">Rahman, A., Hamdani, S. U., Awan, N. R., Bryant, R. A., Dawson, K. S., Khan, M. F., … Chiumento, A. (2016). Effect of a multicomponent behavioral intervention in adults impaired by psychological distress in a conflict-affected area of Pakistan: A randomized clinical trial. </w:t>
      </w:r>
      <w:r w:rsidRPr="0047058F">
        <w:rPr>
          <w:i/>
        </w:rPr>
        <w:t>JAMA: The Journal of the American Medical Association</w:t>
      </w:r>
      <w:r w:rsidRPr="0047058F">
        <w:t xml:space="preserve">, </w:t>
      </w:r>
      <w:r w:rsidRPr="0047058F">
        <w:rPr>
          <w:i/>
        </w:rPr>
        <w:t>316</w:t>
      </w:r>
      <w:r w:rsidRPr="0047058F">
        <w:t>(24), 2609–2617.</w:t>
      </w:r>
    </w:p>
    <w:p w14:paraId="57FA1DE8" w14:textId="77777777" w:rsidR="00160459" w:rsidRPr="0047058F" w:rsidRDefault="00160459" w:rsidP="00160459">
      <w:pPr>
        <w:pStyle w:val="References"/>
        <w:spacing w:before="240" w:after="0"/>
      </w:pPr>
      <w:r w:rsidRPr="0047058F">
        <w:t xml:space="preserve">Ramchand, R., Rudavsky, R., Grant, S., Tanielian, T., &amp; Jaycox, L. (2015). Prevalence of, risk factors for, and consequences of posttraumatic stress disorder and other mental health problems in military populations deployed to Iraq and Afghanistan. </w:t>
      </w:r>
      <w:r w:rsidRPr="0047058F">
        <w:rPr>
          <w:i/>
        </w:rPr>
        <w:t>Current Psychiatry Reports</w:t>
      </w:r>
      <w:r w:rsidRPr="0047058F">
        <w:t xml:space="preserve">, </w:t>
      </w:r>
      <w:r w:rsidRPr="0047058F">
        <w:rPr>
          <w:i/>
        </w:rPr>
        <w:t>17</w:t>
      </w:r>
      <w:r w:rsidRPr="0047058F">
        <w:t>(5), 37.</w:t>
      </w:r>
    </w:p>
    <w:p w14:paraId="315A41FC" w14:textId="77777777" w:rsidR="00160459" w:rsidRPr="0047058F" w:rsidRDefault="00160459" w:rsidP="00160459">
      <w:pPr>
        <w:pStyle w:val="References"/>
        <w:spacing w:before="240" w:after="0"/>
      </w:pPr>
      <w:r w:rsidRPr="0047058F">
        <w:t xml:space="preserve">Rauch, S. L., &amp; Drevets, W. C. (2009). Neuroimaging and neuroanatomy of stress-induced and fear circuitry disorders. In G. Andrews, D. S. Charney, P. J. Sirovatka, &amp; D. A. Regier (Eds.), </w:t>
      </w:r>
      <w:r w:rsidRPr="0047058F">
        <w:rPr>
          <w:i/>
        </w:rPr>
        <w:t>Stress-induced and fear circuitry disorders: Refining the research agenda for DSM-V</w:t>
      </w:r>
      <w:r w:rsidRPr="0047058F">
        <w:t xml:space="preserve"> (pp. 215–254). Arlington, VA: American Psychiatric Association.</w:t>
      </w:r>
    </w:p>
    <w:p w14:paraId="6EA22388" w14:textId="77777777" w:rsidR="00160459" w:rsidRPr="0047058F" w:rsidRDefault="00160459" w:rsidP="00160459">
      <w:pPr>
        <w:pStyle w:val="References"/>
        <w:spacing w:before="240" w:after="0"/>
      </w:pPr>
      <w:r w:rsidRPr="0047058F">
        <w:t xml:space="preserve">Rauch, S. L., Wedig, M. M., Wright, C. I., Martis, B., McMullin, K. G., Shin, L. M., … Wilhelm, S. (2007). Functional magnetic resonance imaging study of regional brain activation during implicit sequence learning in obsessive-compulsive disorder. </w:t>
      </w:r>
      <w:r w:rsidRPr="0047058F">
        <w:rPr>
          <w:i/>
        </w:rPr>
        <w:t>Biological Psychiatry</w:t>
      </w:r>
      <w:r w:rsidRPr="0047058F">
        <w:t xml:space="preserve">, </w:t>
      </w:r>
      <w:r w:rsidRPr="0047058F">
        <w:rPr>
          <w:i/>
        </w:rPr>
        <w:t>61</w:t>
      </w:r>
      <w:r w:rsidRPr="0047058F">
        <w:t>(3), 330–336.</w:t>
      </w:r>
    </w:p>
    <w:p w14:paraId="5D3A0114" w14:textId="77777777" w:rsidR="00160459" w:rsidRPr="0047058F" w:rsidRDefault="00160459" w:rsidP="00160459">
      <w:pPr>
        <w:pStyle w:val="References"/>
        <w:spacing w:before="240" w:after="0"/>
      </w:pPr>
      <w:r w:rsidRPr="0047058F">
        <w:t xml:space="preserve">Ray, S. L., &amp; Heaslip, K. (2011). Canadian military transitioning to civilian life: A discussion paper. </w:t>
      </w:r>
      <w:r w:rsidRPr="0047058F">
        <w:rPr>
          <w:i/>
        </w:rPr>
        <w:t>Journal of Psychiatric and Mental Health Nursing</w:t>
      </w:r>
      <w:r w:rsidRPr="0047058F">
        <w:t xml:space="preserve">, </w:t>
      </w:r>
      <w:r w:rsidRPr="0047058F">
        <w:rPr>
          <w:i/>
        </w:rPr>
        <w:t>18</w:t>
      </w:r>
      <w:r w:rsidRPr="0047058F">
        <w:t>(3), 198–204.</w:t>
      </w:r>
    </w:p>
    <w:p w14:paraId="15485308" w14:textId="77777777" w:rsidR="00160459" w:rsidRPr="0047058F" w:rsidRDefault="00160459" w:rsidP="00160459">
      <w:pPr>
        <w:pStyle w:val="References"/>
        <w:spacing w:before="240" w:after="0"/>
      </w:pPr>
      <w:r w:rsidRPr="0047058F">
        <w:t xml:space="preserve">Riviere, L. A., Kendall-Robbins, A., McGurk, D., Castro, C. A., &amp; Hoge, C. W. (2011). Coming home may hurt: Risk factors for mental ill health in US reservists after deployment in Iraq. </w:t>
      </w:r>
      <w:r w:rsidRPr="0047058F">
        <w:rPr>
          <w:i/>
        </w:rPr>
        <w:t>British Journal of Psychiatry</w:t>
      </w:r>
      <w:r w:rsidRPr="0047058F">
        <w:t xml:space="preserve">, </w:t>
      </w:r>
      <w:r w:rsidRPr="0047058F">
        <w:rPr>
          <w:i/>
        </w:rPr>
        <w:t>198</w:t>
      </w:r>
      <w:r w:rsidRPr="0047058F">
        <w:t>(2), 136–142.</w:t>
      </w:r>
    </w:p>
    <w:p w14:paraId="12A60990" w14:textId="77777777" w:rsidR="00160459" w:rsidRPr="0047058F" w:rsidRDefault="00160459" w:rsidP="00160459">
      <w:pPr>
        <w:pStyle w:val="References"/>
        <w:spacing w:before="240" w:after="0"/>
      </w:pPr>
      <w:r w:rsidRPr="0047058F">
        <w:t xml:space="preserve">Rodenburg, J., Heesink, L., &amp; Drožđek, B. (2016). PTSD, anger, and aggression: Epidemiology, etiology and clinical practice. In C. R. Martin, V. R. Preedy, &amp; V. B. Patel (Eds.), </w:t>
      </w:r>
      <w:r w:rsidRPr="0047058F">
        <w:rPr>
          <w:i/>
        </w:rPr>
        <w:t>Comprehensive guide to post-traumatic stress disorders</w:t>
      </w:r>
      <w:r w:rsidRPr="0047058F">
        <w:t>. Cham: Springer.</w:t>
      </w:r>
    </w:p>
    <w:p w14:paraId="06C9A0DF" w14:textId="77777777" w:rsidR="00160459" w:rsidRPr="0047058F" w:rsidRDefault="00160459" w:rsidP="00160459">
      <w:pPr>
        <w:pStyle w:val="References"/>
        <w:spacing w:before="240" w:after="0"/>
      </w:pPr>
      <w:r w:rsidRPr="0047058F">
        <w:t xml:space="preserve">Rona, R. J., Burdett, H., Khondoker, M., Chesnokov, M., Green, K., Pernet, D., … Fear, N. T. (2017). Post-deployment screening for mental disorders and tailored advice about help-seeking in the UK military: A cluster randomised controlled trial. </w:t>
      </w:r>
      <w:r w:rsidRPr="0047058F">
        <w:rPr>
          <w:i/>
        </w:rPr>
        <w:t>The Lancet</w:t>
      </w:r>
      <w:r w:rsidRPr="0047058F">
        <w:t xml:space="preserve">, </w:t>
      </w:r>
      <w:r w:rsidRPr="0047058F">
        <w:rPr>
          <w:i/>
        </w:rPr>
        <w:t>389</w:t>
      </w:r>
      <w:r w:rsidRPr="0047058F">
        <w:t>(10077), 1410–1423.</w:t>
      </w:r>
    </w:p>
    <w:p w14:paraId="002D5066" w14:textId="77777777" w:rsidR="00160459" w:rsidRPr="0047058F" w:rsidRDefault="00160459" w:rsidP="00160459">
      <w:pPr>
        <w:pStyle w:val="References"/>
        <w:spacing w:before="240" w:after="0"/>
      </w:pPr>
      <w:r w:rsidRPr="0047058F">
        <w:t xml:space="preserve">Rona, R. J., Hooper, R., Jones, M., Hull, L., Browne, T., Horn, O., … Wessely, S. (2006). Mental health screening in armed forces before the Iraq war and prevention of subsequent psychological morbidity: Follow-up study. </w:t>
      </w:r>
      <w:r w:rsidRPr="0047058F">
        <w:rPr>
          <w:i/>
        </w:rPr>
        <w:t>British Medical Journal</w:t>
      </w:r>
      <w:r w:rsidRPr="0047058F">
        <w:t xml:space="preserve">, </w:t>
      </w:r>
      <w:r w:rsidRPr="0047058F">
        <w:rPr>
          <w:i/>
        </w:rPr>
        <w:t>333</w:t>
      </w:r>
      <w:r w:rsidRPr="0047058F">
        <w:t>(7576), 991–994.</w:t>
      </w:r>
    </w:p>
    <w:p w14:paraId="6572142C" w14:textId="77777777" w:rsidR="00160459" w:rsidRPr="0047058F" w:rsidRDefault="00160459" w:rsidP="00160459">
      <w:pPr>
        <w:pStyle w:val="References"/>
        <w:spacing w:before="240" w:after="0"/>
      </w:pPr>
      <w:r w:rsidRPr="0047058F">
        <w:t xml:space="preserve">Salim, A., &amp; Welsh, A. H. (2009). Designing 2-phase prevalence studies in the absence of a “gold standard” test. </w:t>
      </w:r>
      <w:r w:rsidRPr="0047058F">
        <w:rPr>
          <w:i/>
        </w:rPr>
        <w:t>American Journal of Epidemiology</w:t>
      </w:r>
      <w:r w:rsidRPr="0047058F">
        <w:t xml:space="preserve">, </w:t>
      </w:r>
      <w:r w:rsidRPr="0047058F">
        <w:rPr>
          <w:i/>
        </w:rPr>
        <w:t>170</w:t>
      </w:r>
      <w:r w:rsidRPr="0047058F">
        <w:t>(3), 369–378.</w:t>
      </w:r>
    </w:p>
    <w:p w14:paraId="647CC1E3" w14:textId="77777777" w:rsidR="00160459" w:rsidRPr="0047058F" w:rsidRDefault="00160459" w:rsidP="00160459">
      <w:pPr>
        <w:pStyle w:val="References"/>
        <w:spacing w:before="240" w:after="0"/>
      </w:pPr>
      <w:r w:rsidRPr="0047058F">
        <w:t xml:space="preserve">Saunders, J. B., Aasland, O. G., Babor, T. F., de la Fuente, J. R., &amp; Grant, M. (1993). Development of the Alcohol Use Disorders Identification Test (AUDIT): WHO collaborative project on early detection of persons with harmful alcohol consumption – II. </w:t>
      </w:r>
      <w:r w:rsidRPr="0047058F">
        <w:rPr>
          <w:i/>
        </w:rPr>
        <w:t>Addiction</w:t>
      </w:r>
      <w:r w:rsidRPr="0047058F">
        <w:t xml:space="preserve">, </w:t>
      </w:r>
      <w:r w:rsidRPr="0047058F">
        <w:rPr>
          <w:i/>
        </w:rPr>
        <w:t>88</w:t>
      </w:r>
      <w:r w:rsidRPr="0047058F">
        <w:t>(6), 791–804.</w:t>
      </w:r>
    </w:p>
    <w:p w14:paraId="21270AE4" w14:textId="77777777" w:rsidR="00160459" w:rsidRPr="0047058F" w:rsidRDefault="00160459" w:rsidP="00160459">
      <w:pPr>
        <w:pStyle w:val="References"/>
        <w:spacing w:before="240" w:after="0"/>
      </w:pPr>
      <w:r w:rsidRPr="0047058F">
        <w:t xml:space="preserve">Sayer, N. A., Carlson, K. F., &amp; Frazier, P. A. (2014). Reintegration challenges in U.S. service members and veterans following combat deployment. </w:t>
      </w:r>
      <w:r w:rsidRPr="0047058F">
        <w:rPr>
          <w:i/>
        </w:rPr>
        <w:t>Social Issues and Policy Review</w:t>
      </w:r>
      <w:r w:rsidRPr="0047058F">
        <w:t xml:space="preserve">, </w:t>
      </w:r>
      <w:r w:rsidRPr="0047058F">
        <w:rPr>
          <w:i/>
        </w:rPr>
        <w:t>8</w:t>
      </w:r>
      <w:r w:rsidRPr="0047058F">
        <w:t>(1), 33–73.</w:t>
      </w:r>
    </w:p>
    <w:p w14:paraId="71D9961B" w14:textId="77777777" w:rsidR="00160459" w:rsidRPr="0047058F" w:rsidRDefault="00160459" w:rsidP="00160459">
      <w:pPr>
        <w:pStyle w:val="References"/>
        <w:spacing w:before="240" w:after="0"/>
      </w:pPr>
      <w:r w:rsidRPr="0047058F">
        <w:t xml:space="preserve">Sayer, N. A., Noorbaloochi, S., Frazier, P., Carlson, K., Gravely, A., &amp; Murdoch, M. (2010). Reintegration problems and treatment interests among Iraq and Afghanistan combat veterans receiving VA medical care. </w:t>
      </w:r>
      <w:r w:rsidRPr="0047058F">
        <w:rPr>
          <w:i/>
        </w:rPr>
        <w:t>Psychiatric Services</w:t>
      </w:r>
      <w:r w:rsidRPr="0047058F">
        <w:t xml:space="preserve">, </w:t>
      </w:r>
      <w:r w:rsidRPr="0047058F">
        <w:rPr>
          <w:i/>
        </w:rPr>
        <w:t>61</w:t>
      </w:r>
      <w:r w:rsidRPr="0047058F">
        <w:t>(6), 589–597.</w:t>
      </w:r>
    </w:p>
    <w:p w14:paraId="43607C60" w14:textId="77777777" w:rsidR="00160459" w:rsidRPr="0047058F" w:rsidRDefault="00160459" w:rsidP="00160459">
      <w:pPr>
        <w:pStyle w:val="References"/>
        <w:spacing w:before="240" w:after="0"/>
      </w:pPr>
      <w:r w:rsidRPr="0047058F">
        <w:t xml:space="preserve">Sayer, N. A., Orazem, R. J., Noorbaloochi, S., Gravely, A., Frazier, P., Carlson, K. F., … Oleson, H. (2015). Iraq and Afghanistan War veterans with reintegration problems: Differences by Veterans Affairs healthcare user status. </w:t>
      </w:r>
      <w:r w:rsidRPr="0047058F">
        <w:rPr>
          <w:i/>
        </w:rPr>
        <w:t>Administration and Policy in Mental Health and Mental Health Services Research</w:t>
      </w:r>
      <w:r w:rsidRPr="0047058F">
        <w:t xml:space="preserve">, </w:t>
      </w:r>
      <w:r w:rsidRPr="0047058F">
        <w:rPr>
          <w:i/>
        </w:rPr>
        <w:t>42</w:t>
      </w:r>
      <w:r w:rsidRPr="0047058F">
        <w:t>(4), 493–503.</w:t>
      </w:r>
    </w:p>
    <w:p w14:paraId="67903E5F" w14:textId="77777777" w:rsidR="00160459" w:rsidRPr="0047058F" w:rsidRDefault="00160459" w:rsidP="00160459">
      <w:pPr>
        <w:pStyle w:val="References"/>
        <w:spacing w:before="240" w:after="0"/>
      </w:pPr>
      <w:r w:rsidRPr="0047058F">
        <w:t xml:space="preserve">Schmidt, U. (2015). A plea for symptom-based research in psychiatry. </w:t>
      </w:r>
      <w:r w:rsidRPr="0047058F">
        <w:rPr>
          <w:i/>
        </w:rPr>
        <w:t>European Journal of Psychotraumatology</w:t>
      </w:r>
      <w:r w:rsidRPr="0047058F">
        <w:t xml:space="preserve">, </w:t>
      </w:r>
      <w:r w:rsidRPr="0047058F">
        <w:rPr>
          <w:i/>
        </w:rPr>
        <w:t>6</w:t>
      </w:r>
      <w:r w:rsidRPr="0047058F">
        <w:t>.</w:t>
      </w:r>
    </w:p>
    <w:p w14:paraId="23B5B800" w14:textId="77777777" w:rsidR="00160459" w:rsidRPr="0047058F" w:rsidRDefault="00160459" w:rsidP="00160459">
      <w:pPr>
        <w:pStyle w:val="References"/>
        <w:spacing w:before="240" w:after="0"/>
      </w:pPr>
      <w:r w:rsidRPr="0047058F">
        <w:t xml:space="preserve">Schnurr, P. P., Lunney, C. A., Sengupta, A., &amp; Spiro III, A. (2005). A longitudinal study of retirement in older male veterans. </w:t>
      </w:r>
      <w:r w:rsidRPr="0047058F">
        <w:rPr>
          <w:i/>
        </w:rPr>
        <w:t>Journal of Consulting and Clinical Psychology</w:t>
      </w:r>
      <w:r w:rsidRPr="0047058F">
        <w:t xml:space="preserve">, </w:t>
      </w:r>
      <w:r w:rsidRPr="0047058F">
        <w:rPr>
          <w:i/>
        </w:rPr>
        <w:t>73</w:t>
      </w:r>
      <w:r w:rsidRPr="0047058F">
        <w:t>(3), 561–566.</w:t>
      </w:r>
    </w:p>
    <w:p w14:paraId="0D60AAA6" w14:textId="77777777" w:rsidR="00160459" w:rsidRPr="0047058F" w:rsidRDefault="00160459" w:rsidP="00160459">
      <w:pPr>
        <w:pStyle w:val="References"/>
        <w:spacing w:before="240" w:after="0"/>
      </w:pPr>
      <w:r w:rsidRPr="0047058F">
        <w:t xml:space="preserve">Schoenbaum, M., Kessler, R. C., Gilman, S. E., Colpe, L. J., Heeringa, S. G., Stein, M. B., … Cox, K. L. (2014). Predictors of suicide and accident death in the Army Study to Assess Risk and Resilience in Servicemembers (Army STARRS): Results from the Army Study to Assess Risk and Resilience in Servicemembers (Army STARRS). </w:t>
      </w:r>
      <w:r w:rsidRPr="0047058F">
        <w:rPr>
          <w:i/>
        </w:rPr>
        <w:t>JAMA Psychiatry</w:t>
      </w:r>
      <w:r w:rsidRPr="0047058F">
        <w:t xml:space="preserve">, </w:t>
      </w:r>
      <w:r w:rsidRPr="0047058F">
        <w:rPr>
          <w:i/>
        </w:rPr>
        <w:t>71</w:t>
      </w:r>
      <w:r w:rsidRPr="0047058F">
        <w:t>(5), 493–503.</w:t>
      </w:r>
    </w:p>
    <w:p w14:paraId="507F6331" w14:textId="77777777" w:rsidR="00160459" w:rsidRPr="0047058F" w:rsidRDefault="00160459" w:rsidP="00160459">
      <w:pPr>
        <w:pStyle w:val="References"/>
        <w:spacing w:before="240" w:after="0"/>
      </w:pPr>
      <w:r w:rsidRPr="0047058F">
        <w:t xml:space="preserve">Schür, R. R., Boks, M. P., Geuze, E., Prinsen, H. C., Verhoeven-Duif, N. M., Joëls, M., … Vinkers, C. H. (2016). Development of psychopathology in deployed armed forces in relation to plasma GABA levels. </w:t>
      </w:r>
      <w:r w:rsidRPr="0047058F">
        <w:rPr>
          <w:i/>
        </w:rPr>
        <w:t>Psychoneuroendocrinology</w:t>
      </w:r>
      <w:r w:rsidRPr="0047058F">
        <w:t xml:space="preserve">, </w:t>
      </w:r>
      <w:r w:rsidRPr="0047058F">
        <w:rPr>
          <w:i/>
        </w:rPr>
        <w:t>73</w:t>
      </w:r>
      <w:r w:rsidRPr="0047058F">
        <w:t>, 263–270.</w:t>
      </w:r>
    </w:p>
    <w:p w14:paraId="420D342E" w14:textId="77777777" w:rsidR="00160459" w:rsidRPr="0047058F" w:rsidRDefault="00160459" w:rsidP="00160459">
      <w:pPr>
        <w:pStyle w:val="References"/>
        <w:spacing w:before="240" w:after="0"/>
      </w:pPr>
      <w:r w:rsidRPr="0047058F">
        <w:t xml:space="preserve">Schuster, T. L., Kessler, R. C., &amp; Aseltine Jr, R. H. (1990). Supportive interactions, negative interactions, and depressed mood. </w:t>
      </w:r>
      <w:r w:rsidRPr="0047058F">
        <w:rPr>
          <w:i/>
        </w:rPr>
        <w:t>American Journal of Community Psychology</w:t>
      </w:r>
      <w:r w:rsidRPr="0047058F">
        <w:t xml:space="preserve">, </w:t>
      </w:r>
      <w:r w:rsidRPr="0047058F">
        <w:rPr>
          <w:i/>
        </w:rPr>
        <w:t>18</w:t>
      </w:r>
      <w:r w:rsidRPr="0047058F">
        <w:t>(3), 423–438.</w:t>
      </w:r>
    </w:p>
    <w:p w14:paraId="0F979956" w14:textId="77777777" w:rsidR="00160459" w:rsidRPr="0047058F" w:rsidRDefault="00160459" w:rsidP="00160459">
      <w:pPr>
        <w:pStyle w:val="References"/>
        <w:spacing w:before="240" w:after="0"/>
      </w:pPr>
      <w:r w:rsidRPr="0047058F">
        <w:t xml:space="preserve">Seal, K. H., Metzler, T. J., Gima, K. S., Bertenthal, D., Maguen, S., &amp; Marmar, C. R. (2009). Trends and risk factors for mental health diagnoses among Iraq and Afghanistan veterans using Department of Veterans Affairs Health Care, 2002–2008. </w:t>
      </w:r>
      <w:r w:rsidRPr="0047058F">
        <w:rPr>
          <w:i/>
        </w:rPr>
        <w:t>American Journal of Public Health</w:t>
      </w:r>
      <w:r w:rsidRPr="0047058F">
        <w:t xml:space="preserve">, </w:t>
      </w:r>
      <w:r w:rsidRPr="0047058F">
        <w:rPr>
          <w:i/>
        </w:rPr>
        <w:t>99</w:t>
      </w:r>
      <w:r w:rsidRPr="0047058F">
        <w:t>(9), 1651–1658.</w:t>
      </w:r>
    </w:p>
    <w:p w14:paraId="45E23CCD" w14:textId="77777777" w:rsidR="00160459" w:rsidRPr="0047058F" w:rsidRDefault="00160459" w:rsidP="00160459">
      <w:pPr>
        <w:pStyle w:val="References"/>
        <w:spacing w:before="240" w:after="0"/>
      </w:pPr>
      <w:r w:rsidRPr="0047058F">
        <w:t xml:space="preserve">Shalev, A. Y., Peri, T., Brandes, D., Freedman, S., Orr, S. P., &amp; Pitman, R. K. (2000). Auditory startle response in trauma survivors with posttraumatic stress disorder: A prospective study. </w:t>
      </w:r>
      <w:r w:rsidRPr="0047058F">
        <w:rPr>
          <w:i/>
        </w:rPr>
        <w:t>American Journal of Psychiatry</w:t>
      </w:r>
      <w:r w:rsidRPr="0047058F">
        <w:t xml:space="preserve">, </w:t>
      </w:r>
      <w:r w:rsidRPr="0047058F">
        <w:rPr>
          <w:i/>
        </w:rPr>
        <w:t>157</w:t>
      </w:r>
      <w:r w:rsidRPr="0047058F">
        <w:t>(2), 255–261.</w:t>
      </w:r>
    </w:p>
    <w:p w14:paraId="13436608" w14:textId="77777777" w:rsidR="00160459" w:rsidRPr="0047058F" w:rsidRDefault="00160459" w:rsidP="00160459">
      <w:pPr>
        <w:pStyle w:val="References"/>
        <w:spacing w:before="240" w:after="0"/>
      </w:pPr>
      <w:r w:rsidRPr="0047058F">
        <w:t xml:space="preserve">Sharp, M.-L., Fear, N. T., Rona, R. J., Wessely, S., Greenberg, N., Jones, N., &amp; Goodwin, L. (2015). Stigma as a barrier to seeking health care among military personnel with mental health problems. </w:t>
      </w:r>
      <w:r w:rsidRPr="0047058F">
        <w:rPr>
          <w:i/>
        </w:rPr>
        <w:t>Epidemiologic Reviews</w:t>
      </w:r>
      <w:r w:rsidRPr="0047058F">
        <w:t xml:space="preserve">, </w:t>
      </w:r>
      <w:r w:rsidRPr="0047058F">
        <w:rPr>
          <w:i/>
        </w:rPr>
        <w:t>37</w:t>
      </w:r>
      <w:r w:rsidRPr="0047058F">
        <w:t>(1), 144–162.</w:t>
      </w:r>
    </w:p>
    <w:p w14:paraId="1BAE076B" w14:textId="77777777" w:rsidR="00160459" w:rsidRPr="0047058F" w:rsidRDefault="00160459" w:rsidP="00160459">
      <w:pPr>
        <w:pStyle w:val="References"/>
        <w:spacing w:before="240" w:after="0"/>
      </w:pPr>
      <w:r w:rsidRPr="0047058F">
        <w:t xml:space="preserve">Sheehan, D. V. (1983). </w:t>
      </w:r>
      <w:r w:rsidRPr="0047058F">
        <w:rPr>
          <w:i/>
        </w:rPr>
        <w:t>The anxiety disease</w:t>
      </w:r>
      <w:r w:rsidRPr="0047058F">
        <w:t>. New York: Charles Scribner and Sons.</w:t>
      </w:r>
    </w:p>
    <w:p w14:paraId="7E5F446C" w14:textId="77777777" w:rsidR="00160459" w:rsidRPr="0047058F" w:rsidRDefault="00160459" w:rsidP="00160459">
      <w:pPr>
        <w:pStyle w:val="References"/>
        <w:spacing w:before="240" w:after="0"/>
      </w:pPr>
      <w:r w:rsidRPr="0047058F">
        <w:t xml:space="preserve">Sheilds, D. M., Kuhl, D., Lutz, K., Freder, J., Baumann, N., &amp; Lopresti, P. (2016). </w:t>
      </w:r>
      <w:r w:rsidRPr="0047058F">
        <w:rPr>
          <w:i/>
        </w:rPr>
        <w:t>Mental health and well-being of military veterans during military to civilian transition: Review and analysis of the recent literature</w:t>
      </w:r>
      <w:r w:rsidRPr="0047058F">
        <w:t>. Kingston, ON: Canadian Institute for Military and Veteran Health Research, and Scientific Authority, Veterans Affairs Canada.</w:t>
      </w:r>
    </w:p>
    <w:p w14:paraId="27D0D80D" w14:textId="77777777" w:rsidR="00160459" w:rsidRPr="0047058F" w:rsidRDefault="00160459" w:rsidP="00160459">
      <w:pPr>
        <w:pStyle w:val="References"/>
        <w:spacing w:before="240" w:after="0"/>
      </w:pPr>
      <w:r w:rsidRPr="0047058F">
        <w:t xml:space="preserve">Shirt, L. (2012). </w:t>
      </w:r>
      <w:r w:rsidRPr="0047058F">
        <w:rPr>
          <w:i/>
        </w:rPr>
        <w:t>2011 Australian Defence Force Exit Survey: Preliminary report</w:t>
      </w:r>
      <w:r w:rsidRPr="0047058F">
        <w:t>. Canberra: Department of Defence, Directorate of Strategic Personnel Policy Research.</w:t>
      </w:r>
    </w:p>
    <w:p w14:paraId="11FD2518" w14:textId="77777777" w:rsidR="00160459" w:rsidRPr="0047058F" w:rsidRDefault="00160459" w:rsidP="00160459">
      <w:pPr>
        <w:pStyle w:val="References"/>
        <w:spacing w:before="240" w:after="0"/>
      </w:pPr>
      <w:r w:rsidRPr="0047058F">
        <w:t xml:space="preserve">Sim, M. R., Clarke, D., Forbes, A. B., Glass, D., Gwini, S., Ikin, J. F., … Wright, B. (2015). </w:t>
      </w:r>
      <w:r w:rsidRPr="0047058F">
        <w:rPr>
          <w:i/>
        </w:rPr>
        <w:t>Australian Gulf War Veterans’ Follow up Health Study: Technical report</w:t>
      </w:r>
      <w:r w:rsidRPr="0047058F">
        <w:t xml:space="preserve">. Melbourne: Monash University. Retrieved from </w:t>
      </w:r>
      <w:hyperlink r:id="rId108" w:history="1">
        <w:r w:rsidRPr="0047058F">
          <w:rPr>
            <w:rStyle w:val="Hyperlink"/>
          </w:rPr>
          <w:t>https://www.dva.gov.au/sites/default/files/files/consultation%20and%20grants/healthstudies/gulfwar/follow_up2015/aus_gulf_war_follow_up_tech_report2015.pdf</w:t>
        </w:r>
      </w:hyperlink>
      <w:r w:rsidRPr="0047058F">
        <w:t>.</w:t>
      </w:r>
    </w:p>
    <w:p w14:paraId="3784D04D" w14:textId="77777777" w:rsidR="00160459" w:rsidRPr="0047058F" w:rsidRDefault="00160459" w:rsidP="00160459">
      <w:pPr>
        <w:pStyle w:val="References"/>
        <w:spacing w:before="240" w:after="0"/>
      </w:pPr>
      <w:r w:rsidRPr="0047058F">
        <w:t xml:space="preserve">Slade, T., Johnston, A., Oakley Browne, M. A., Andrews, G., &amp; Whiteford, H. (2009). 2007 National Survey of Mental Health and Wellbeing: Methods and key findings. </w:t>
      </w:r>
      <w:r w:rsidRPr="0047058F">
        <w:rPr>
          <w:i/>
        </w:rPr>
        <w:t>Australian and New Zealand Journal of Psychiatry</w:t>
      </w:r>
      <w:r w:rsidRPr="0047058F">
        <w:t xml:space="preserve">, </w:t>
      </w:r>
      <w:r w:rsidRPr="0047058F">
        <w:rPr>
          <w:i/>
        </w:rPr>
        <w:t>43</w:t>
      </w:r>
      <w:r w:rsidRPr="0047058F">
        <w:t>(7), 594–605.</w:t>
      </w:r>
    </w:p>
    <w:p w14:paraId="7D37F7DB" w14:textId="77777777" w:rsidR="00160459" w:rsidRPr="0047058F" w:rsidRDefault="00160459" w:rsidP="00160459">
      <w:pPr>
        <w:pStyle w:val="References"/>
        <w:spacing w:before="240" w:after="0"/>
      </w:pPr>
      <w:r w:rsidRPr="0047058F">
        <w:t xml:space="preserve">Slade, T., Johnston, A., Teesson, M., Whiteford, H., Burgess, P., Pirkis, J., &amp; Saw, S. (2007). </w:t>
      </w:r>
      <w:r w:rsidRPr="0047058F">
        <w:rPr>
          <w:i/>
        </w:rPr>
        <w:t>The mental health of Australians 2: Report on the 2007 National Survey of Mental Health and Wellbeing</w:t>
      </w:r>
      <w:r w:rsidRPr="0047058F">
        <w:t>. Canberra: Department of Health and Ageing.</w:t>
      </w:r>
    </w:p>
    <w:p w14:paraId="672C7D40" w14:textId="77777777" w:rsidR="00160459" w:rsidRPr="0047058F" w:rsidRDefault="00160459" w:rsidP="00160459">
      <w:pPr>
        <w:pStyle w:val="References"/>
        <w:spacing w:before="240" w:after="0"/>
      </w:pPr>
      <w:r w:rsidRPr="0047058F">
        <w:t xml:space="preserve">Smart, D., Vassallo, S., Sanson, A., Cockfield, S., Harris, A., Harrison, W., &amp; McIntyre, A. (2005). </w:t>
      </w:r>
      <w:r w:rsidRPr="0047058F">
        <w:rPr>
          <w:i/>
        </w:rPr>
        <w:t xml:space="preserve">In the driver’s seat: Understanding young adults’ driving behaviour. </w:t>
      </w:r>
      <w:r w:rsidRPr="0047058F">
        <w:t>Research report No. 12. Melbourne: Australian Institute of Family Studies.</w:t>
      </w:r>
    </w:p>
    <w:p w14:paraId="30CDE149" w14:textId="77777777" w:rsidR="00160459" w:rsidRPr="0047058F" w:rsidRDefault="00160459" w:rsidP="00160459">
      <w:pPr>
        <w:pStyle w:val="References"/>
        <w:spacing w:before="240" w:after="0"/>
      </w:pPr>
      <w:r w:rsidRPr="0047058F">
        <w:t xml:space="preserve">Smid, G. E., Kleber, R. J., Rademaker, A. R., van Zuiden, M., &amp; Vermetten, E. (2013). The role of stress sensitization in progression of posttraumatic distress following deployment. </w:t>
      </w:r>
      <w:r w:rsidRPr="0047058F">
        <w:rPr>
          <w:i/>
        </w:rPr>
        <w:t>Social Psychiatry and Psychiatric Epidemiology</w:t>
      </w:r>
      <w:r w:rsidRPr="0047058F">
        <w:t xml:space="preserve">, </w:t>
      </w:r>
      <w:r w:rsidRPr="0047058F">
        <w:rPr>
          <w:i/>
        </w:rPr>
        <w:t>48</w:t>
      </w:r>
      <w:r w:rsidRPr="0047058F">
        <w:t>(11), 1743–1754.</w:t>
      </w:r>
    </w:p>
    <w:p w14:paraId="6548699C" w14:textId="77777777" w:rsidR="00160459" w:rsidRPr="0047058F" w:rsidRDefault="00160459" w:rsidP="00160459">
      <w:pPr>
        <w:pStyle w:val="References"/>
        <w:spacing w:before="240" w:after="0"/>
      </w:pPr>
      <w:r w:rsidRPr="0047058F">
        <w:t xml:space="preserve">Smid, G. E., Mooren, T. T., van der Mast, R. C., Gersons, B. P., &amp; Kleber, R. J. (2009). Delayed posttraumatic stress disorder: Systematic review, meta-analysis, and meta-regression analysis of prospective studies. </w:t>
      </w:r>
      <w:r w:rsidRPr="0047058F">
        <w:rPr>
          <w:i/>
        </w:rPr>
        <w:t>Journal of Clinical Psychiatry</w:t>
      </w:r>
      <w:r w:rsidRPr="0047058F">
        <w:t xml:space="preserve">, </w:t>
      </w:r>
      <w:r w:rsidRPr="0047058F">
        <w:rPr>
          <w:i/>
        </w:rPr>
        <w:t>70</w:t>
      </w:r>
      <w:r w:rsidRPr="0047058F">
        <w:t>(11), 1572–1582.</w:t>
      </w:r>
    </w:p>
    <w:p w14:paraId="26087970" w14:textId="77777777" w:rsidR="00160459" w:rsidRPr="0047058F" w:rsidRDefault="00160459" w:rsidP="00160459">
      <w:pPr>
        <w:pStyle w:val="References"/>
        <w:spacing w:before="240" w:after="0"/>
      </w:pPr>
      <w:r w:rsidRPr="0047058F">
        <w:t xml:space="preserve">Smid, G. E., Van der Velden, P., Lensvelt-Mulders, G., Knipscheer, J., Gersons, B., &amp; Kleber, R. (2012). Stress sensitization following a disaster: A prospective study. </w:t>
      </w:r>
      <w:r w:rsidRPr="0047058F">
        <w:rPr>
          <w:i/>
        </w:rPr>
        <w:t>Psychological Medicine</w:t>
      </w:r>
      <w:r w:rsidRPr="0047058F">
        <w:t xml:space="preserve">, </w:t>
      </w:r>
      <w:r w:rsidRPr="0047058F">
        <w:rPr>
          <w:i/>
        </w:rPr>
        <w:t>42</w:t>
      </w:r>
      <w:r w:rsidRPr="0047058F">
        <w:t>(8), 1675–1686.</w:t>
      </w:r>
    </w:p>
    <w:p w14:paraId="2E278984" w14:textId="77777777" w:rsidR="00160459" w:rsidRPr="0047058F" w:rsidRDefault="00160459" w:rsidP="00160459">
      <w:pPr>
        <w:pStyle w:val="References"/>
        <w:spacing w:before="240" w:after="0"/>
      </w:pPr>
      <w:r w:rsidRPr="0047058F">
        <w:t xml:space="preserve">Smith, B. W., Dalen, J., Wiggins, K., Tooley, E., Christopher, P., &amp; Bernard, J. (2008). The Brief Resilience Scale: Assessing the ability to bounce back. </w:t>
      </w:r>
      <w:r w:rsidRPr="0047058F">
        <w:rPr>
          <w:i/>
        </w:rPr>
        <w:t>International Journal of Behavioral Medicine</w:t>
      </w:r>
      <w:r w:rsidRPr="0047058F">
        <w:t xml:space="preserve">, </w:t>
      </w:r>
      <w:r w:rsidRPr="0047058F">
        <w:rPr>
          <w:i/>
        </w:rPr>
        <w:t>15</w:t>
      </w:r>
      <w:r w:rsidRPr="0047058F">
        <w:t>(3), 194–200.</w:t>
      </w:r>
    </w:p>
    <w:p w14:paraId="3DD35FE6" w14:textId="77777777" w:rsidR="00160459" w:rsidRPr="0047058F" w:rsidRDefault="00160459" w:rsidP="00160459">
      <w:pPr>
        <w:pStyle w:val="References"/>
        <w:spacing w:before="240" w:after="0"/>
      </w:pPr>
      <w:r w:rsidRPr="0047058F">
        <w:t xml:space="preserve">Solomon, Z. (1993). Twenty years after the Yom Kippur War: The belated recognition of war-induced psychic trauma. </w:t>
      </w:r>
      <w:r w:rsidRPr="0047058F">
        <w:rPr>
          <w:i/>
        </w:rPr>
        <w:t>Israel Journal of Psychiatry and Related Sciences</w:t>
      </w:r>
      <w:r w:rsidRPr="0047058F">
        <w:t xml:space="preserve">, </w:t>
      </w:r>
      <w:r w:rsidRPr="0047058F">
        <w:rPr>
          <w:i/>
        </w:rPr>
        <w:t>30</w:t>
      </w:r>
      <w:r w:rsidRPr="0047058F">
        <w:t>(3), 128–129.</w:t>
      </w:r>
    </w:p>
    <w:p w14:paraId="7112D750" w14:textId="77777777" w:rsidR="00160459" w:rsidRPr="0047058F" w:rsidRDefault="00160459" w:rsidP="00160459">
      <w:pPr>
        <w:pStyle w:val="References"/>
        <w:spacing w:before="240" w:after="0"/>
      </w:pPr>
      <w:r w:rsidRPr="0047058F">
        <w:t xml:space="preserve">Solomon, Z., &amp; Mikulincer, M. (2006). Trajectories of PTSD: A 20-year longitudinal study. </w:t>
      </w:r>
      <w:r w:rsidRPr="0047058F">
        <w:rPr>
          <w:i/>
        </w:rPr>
        <w:t>American Journal of Psychiatry</w:t>
      </w:r>
      <w:r w:rsidRPr="0047058F">
        <w:t xml:space="preserve">, </w:t>
      </w:r>
      <w:r w:rsidRPr="0047058F">
        <w:rPr>
          <w:i/>
        </w:rPr>
        <w:t>163</w:t>
      </w:r>
      <w:r w:rsidRPr="0047058F">
        <w:t>(4), 659–666.</w:t>
      </w:r>
    </w:p>
    <w:p w14:paraId="7ADB1351" w14:textId="77777777" w:rsidR="00160459" w:rsidRPr="0047058F" w:rsidRDefault="00160459" w:rsidP="00160459">
      <w:pPr>
        <w:pStyle w:val="References"/>
        <w:spacing w:before="240" w:after="0"/>
      </w:pPr>
      <w:r w:rsidRPr="0047058F">
        <w:t xml:space="preserve">Southwick, S. M., Morgan III, C., Darnell, A., &amp; Bremner, D. (1995). Trauma-related symptoms in veterans of Operation Desert Storm: A 2-year follow-up. </w:t>
      </w:r>
      <w:r w:rsidRPr="0047058F">
        <w:rPr>
          <w:i/>
        </w:rPr>
        <w:t>The American Journal of Psychiatry</w:t>
      </w:r>
      <w:r w:rsidRPr="0047058F">
        <w:t xml:space="preserve">, </w:t>
      </w:r>
      <w:r w:rsidRPr="0047058F">
        <w:rPr>
          <w:i/>
        </w:rPr>
        <w:t>152</w:t>
      </w:r>
      <w:r w:rsidRPr="0047058F">
        <w:t>(8), 1150–1155.</w:t>
      </w:r>
    </w:p>
    <w:p w14:paraId="418102FC" w14:textId="77777777" w:rsidR="00160459" w:rsidRPr="0047058F" w:rsidRDefault="00160459" w:rsidP="00160459">
      <w:pPr>
        <w:pStyle w:val="References"/>
        <w:spacing w:before="240" w:after="0"/>
      </w:pPr>
      <w:r w:rsidRPr="0047058F">
        <w:t xml:space="preserve">Spitzer, R. L., Kroenke, K., Williams, J. B., &amp; Lowe, B. (2006). A brief measure for assessing generalized anxiety disorder: The GAD-7. </w:t>
      </w:r>
      <w:r w:rsidRPr="0047058F">
        <w:rPr>
          <w:i/>
        </w:rPr>
        <w:t>Archives of Internal Medicine</w:t>
      </w:r>
      <w:r w:rsidRPr="0047058F">
        <w:t xml:space="preserve">, </w:t>
      </w:r>
      <w:r w:rsidRPr="0047058F">
        <w:rPr>
          <w:i/>
        </w:rPr>
        <w:t>166</w:t>
      </w:r>
      <w:r w:rsidRPr="0047058F">
        <w:t>(10), 1092–1097.</w:t>
      </w:r>
    </w:p>
    <w:p w14:paraId="0D5C616E" w14:textId="77777777" w:rsidR="00160459" w:rsidRPr="0047058F" w:rsidRDefault="00160459" w:rsidP="00160459">
      <w:pPr>
        <w:pStyle w:val="References"/>
        <w:spacing w:before="240" w:after="0"/>
      </w:pPr>
      <w:r w:rsidRPr="0047058F">
        <w:t xml:space="preserve">Sripada, R. K., Henry, J., Yosef, M., Levine, D. S., Bohnert, K. M., Miller, E., &amp; Zivin, K. (2018). Occupational functioning and employment services use among VA primary care patients with posttraumatic stress disorder. </w:t>
      </w:r>
      <w:r w:rsidRPr="0047058F">
        <w:rPr>
          <w:i/>
        </w:rPr>
        <w:t>Psychological Trauma: Theory, Research, Practice, and Policy</w:t>
      </w:r>
      <w:r w:rsidRPr="0047058F">
        <w:t xml:space="preserve">, </w:t>
      </w:r>
      <w:r w:rsidRPr="0047058F">
        <w:rPr>
          <w:i/>
        </w:rPr>
        <w:t>10</w:t>
      </w:r>
      <w:r w:rsidRPr="0047058F">
        <w:t>(2), 140–143.</w:t>
      </w:r>
    </w:p>
    <w:p w14:paraId="2C12714F" w14:textId="77777777" w:rsidR="00160459" w:rsidRPr="0047058F" w:rsidRDefault="00160459" w:rsidP="00160459">
      <w:pPr>
        <w:pStyle w:val="References"/>
        <w:spacing w:before="240" w:after="0"/>
      </w:pPr>
      <w:r w:rsidRPr="0047058F">
        <w:t>St George’s House. (2014). Back to Civvy Street: How can we better support individuals to lead successful civilian lives after a career in the UK Armed Forces? Windsor: College of St George, Windsor Castle.</w:t>
      </w:r>
    </w:p>
    <w:p w14:paraId="5A91ADF4" w14:textId="77777777" w:rsidR="00160459" w:rsidRPr="0047058F" w:rsidRDefault="00160459" w:rsidP="00160459">
      <w:pPr>
        <w:pStyle w:val="References"/>
        <w:spacing w:before="240" w:after="0"/>
      </w:pPr>
      <w:r w:rsidRPr="0047058F">
        <w:t xml:space="preserve">Stam, R. (2007a). PTSD and stress sensitisation: A tale of brain and body Part 1: Human studies. </w:t>
      </w:r>
      <w:r w:rsidRPr="0047058F">
        <w:rPr>
          <w:i/>
        </w:rPr>
        <w:t>Neuroscience and Biobehavioral Reviews</w:t>
      </w:r>
      <w:r w:rsidRPr="0047058F">
        <w:t xml:space="preserve">, </w:t>
      </w:r>
      <w:r w:rsidRPr="0047058F">
        <w:rPr>
          <w:i/>
        </w:rPr>
        <w:t>31</w:t>
      </w:r>
      <w:r w:rsidRPr="0047058F">
        <w:t>(4), 530–557.</w:t>
      </w:r>
    </w:p>
    <w:p w14:paraId="21CB43B5" w14:textId="77777777" w:rsidR="00160459" w:rsidRPr="0047058F" w:rsidRDefault="00160459" w:rsidP="00160459">
      <w:pPr>
        <w:pStyle w:val="References"/>
        <w:spacing w:before="240" w:after="0"/>
      </w:pPr>
      <w:r w:rsidRPr="0047058F">
        <w:t xml:space="preserve">Stam, R. (2007b). PTSD and stress sensitisation: A tale of brain and body Part 2: Animal models. </w:t>
      </w:r>
      <w:r w:rsidRPr="0047058F">
        <w:rPr>
          <w:i/>
        </w:rPr>
        <w:t>Neuroscience and Biobehavioral Reviews</w:t>
      </w:r>
      <w:r w:rsidRPr="0047058F">
        <w:t xml:space="preserve">, </w:t>
      </w:r>
      <w:r w:rsidRPr="0047058F">
        <w:rPr>
          <w:i/>
        </w:rPr>
        <w:t>31</w:t>
      </w:r>
      <w:r w:rsidRPr="0047058F">
        <w:t>(4), 558–584.</w:t>
      </w:r>
    </w:p>
    <w:p w14:paraId="0DF136F9" w14:textId="77777777" w:rsidR="00160459" w:rsidRPr="0047058F" w:rsidRDefault="00160459" w:rsidP="00160459">
      <w:pPr>
        <w:pStyle w:val="References"/>
        <w:spacing w:before="240" w:after="0"/>
      </w:pPr>
      <w:r w:rsidRPr="0047058F">
        <w:t xml:space="preserve">Stanley, I. H., Hom, M. A., Hagan, C. R., &amp; Joiner, T. E. (2015). Career prevalence and correlates of suicidal thoughts and behaviors among firefighters. </w:t>
      </w:r>
      <w:r w:rsidRPr="0047058F">
        <w:rPr>
          <w:i/>
        </w:rPr>
        <w:t>Journal of Affective Disorders</w:t>
      </w:r>
      <w:r w:rsidRPr="0047058F">
        <w:t xml:space="preserve">, </w:t>
      </w:r>
      <w:r w:rsidRPr="0047058F">
        <w:rPr>
          <w:i/>
        </w:rPr>
        <w:t>187</w:t>
      </w:r>
      <w:r w:rsidRPr="0047058F">
        <w:t>, 163–171.</w:t>
      </w:r>
    </w:p>
    <w:p w14:paraId="79D6951E" w14:textId="77777777" w:rsidR="00160459" w:rsidRPr="0047058F" w:rsidRDefault="00160459" w:rsidP="00160459">
      <w:pPr>
        <w:pStyle w:val="References"/>
        <w:spacing w:before="240" w:after="0"/>
      </w:pPr>
      <w:r w:rsidRPr="0047058F">
        <w:t xml:space="preserve">Stanley, I. H., Hom, M. A., &amp; Joiner, T. E. (2016). A systematic review of suicidal thoughts and behaviors among police officers, firefighters, EMTs, and paramedics. </w:t>
      </w:r>
      <w:r w:rsidRPr="0047058F">
        <w:rPr>
          <w:i/>
        </w:rPr>
        <w:t>Clinical Psychology Review</w:t>
      </w:r>
      <w:r w:rsidRPr="0047058F">
        <w:t xml:space="preserve">, </w:t>
      </w:r>
      <w:r w:rsidRPr="0047058F">
        <w:rPr>
          <w:i/>
        </w:rPr>
        <w:t>44</w:t>
      </w:r>
      <w:r w:rsidRPr="0047058F">
        <w:t>, 25–44.</w:t>
      </w:r>
    </w:p>
    <w:p w14:paraId="3823959D" w14:textId="77777777" w:rsidR="00160459" w:rsidRPr="0047058F" w:rsidRDefault="00160459" w:rsidP="00160459">
      <w:pPr>
        <w:pStyle w:val="References"/>
        <w:spacing w:before="240" w:after="0"/>
      </w:pPr>
      <w:r w:rsidRPr="0047058F">
        <w:t xml:space="preserve">Statistics Canada. (2003). </w:t>
      </w:r>
      <w:r w:rsidRPr="0047058F">
        <w:rPr>
          <w:i/>
        </w:rPr>
        <w:t>National Longitudinal Survey of Children and Youth: Cycle 4 survey instruments, 2000–2001: Book 1 – Parent, child and youth</w:t>
      </w:r>
      <w:r w:rsidRPr="0047058F">
        <w:t>. Catalogue no. 89FOO77XPE, no. 4a. Ottawa: Statistics Canada.</w:t>
      </w:r>
    </w:p>
    <w:p w14:paraId="482F694C" w14:textId="77777777" w:rsidR="00160459" w:rsidRPr="0047058F" w:rsidRDefault="00160459" w:rsidP="00160459">
      <w:pPr>
        <w:pStyle w:val="References"/>
        <w:spacing w:before="240" w:after="0"/>
      </w:pPr>
      <w:r w:rsidRPr="0047058F">
        <w:t xml:space="preserve">Steele, N., &amp; Goodman, M. (2006). </w:t>
      </w:r>
      <w:r w:rsidRPr="0047058F">
        <w:rPr>
          <w:i/>
        </w:rPr>
        <w:t>History of ADF mental health screening 1999–2005</w:t>
      </w:r>
      <w:r w:rsidRPr="0047058F">
        <w:t>. Psychology Research and Technology Group Technical Brief 4/2006. Canberra: Department of Defence.</w:t>
      </w:r>
    </w:p>
    <w:p w14:paraId="5DE76A77" w14:textId="77777777" w:rsidR="00160459" w:rsidRPr="0047058F" w:rsidRDefault="00160459" w:rsidP="00160459">
      <w:pPr>
        <w:pStyle w:val="References"/>
        <w:spacing w:before="240" w:after="0"/>
      </w:pPr>
      <w:r w:rsidRPr="0047058F">
        <w:t xml:space="preserve">Steenkamp, M. M., Litz, B. T., Gray, M. J., Lebowitz, L., Nash, W., Conoscenti, L., … Lang, A. (2011). A brief exposure-based intervention for service members with PTSD. </w:t>
      </w:r>
      <w:r w:rsidRPr="0047058F">
        <w:rPr>
          <w:i/>
        </w:rPr>
        <w:t>Cognitive and Behavioral Practice</w:t>
      </w:r>
      <w:r w:rsidRPr="0047058F">
        <w:t xml:space="preserve">, </w:t>
      </w:r>
      <w:r w:rsidRPr="0047058F">
        <w:rPr>
          <w:i/>
        </w:rPr>
        <w:t>18</w:t>
      </w:r>
      <w:r w:rsidRPr="0047058F">
        <w:t>(1), 98–107.</w:t>
      </w:r>
    </w:p>
    <w:p w14:paraId="11EC399D" w14:textId="77777777" w:rsidR="00160459" w:rsidRPr="0047058F" w:rsidRDefault="00160459" w:rsidP="00160459">
      <w:pPr>
        <w:pStyle w:val="References"/>
        <w:spacing w:before="240" w:after="0"/>
      </w:pPr>
      <w:r w:rsidRPr="0047058F">
        <w:t xml:space="preserve">Steenkamp, M. M., Schlenger, W. E., Corry, N., Henn‐Haase, C., Qian, M., Li, M., … Ho, C. L. (2017). Predictors of PTSD 40 years after combat: Findings from the National Vietnam Veterans Longitudinal Study. </w:t>
      </w:r>
      <w:r w:rsidRPr="0047058F">
        <w:rPr>
          <w:i/>
        </w:rPr>
        <w:t>Depression and Anxiety</w:t>
      </w:r>
      <w:r w:rsidRPr="0047058F">
        <w:t xml:space="preserve">, </w:t>
      </w:r>
      <w:r w:rsidRPr="0047058F">
        <w:rPr>
          <w:i/>
        </w:rPr>
        <w:t>34</w:t>
      </w:r>
      <w:r w:rsidRPr="0047058F">
        <w:t>(8), 711–722.</w:t>
      </w:r>
    </w:p>
    <w:p w14:paraId="2E6B0278" w14:textId="77777777" w:rsidR="00160459" w:rsidRPr="0047058F" w:rsidRDefault="00160459" w:rsidP="00160459">
      <w:pPr>
        <w:pStyle w:val="References"/>
        <w:spacing w:before="240" w:after="0"/>
      </w:pPr>
      <w:r w:rsidRPr="0047058F">
        <w:t xml:space="preserve">Stein, M. B., Walker, J. R., Hazen, A. L., &amp; Forde, D. R. (1997). Full and partial posttraumatic stress disorder: Findings from a community survey. </w:t>
      </w:r>
      <w:r w:rsidRPr="0047058F">
        <w:rPr>
          <w:i/>
        </w:rPr>
        <w:t>American Journal of Psychiatry</w:t>
      </w:r>
      <w:r w:rsidRPr="0047058F">
        <w:t xml:space="preserve">, </w:t>
      </w:r>
      <w:r w:rsidRPr="0047058F">
        <w:rPr>
          <w:i/>
        </w:rPr>
        <w:t>154</w:t>
      </w:r>
      <w:r w:rsidRPr="0047058F">
        <w:t>(8), 1114–1119.</w:t>
      </w:r>
    </w:p>
    <w:p w14:paraId="5A4A858A" w14:textId="77777777" w:rsidR="00160459" w:rsidRPr="0047058F" w:rsidRDefault="00160459" w:rsidP="00160459">
      <w:pPr>
        <w:pStyle w:val="References"/>
        <w:spacing w:before="240" w:after="0"/>
      </w:pPr>
      <w:r w:rsidRPr="0047058F">
        <w:t xml:space="preserve">Steudte-Schmiedgen, S., Stalder, T., Schönfeld, S., Wittchen, H.-U., Trautmann, S., Alexander, N., … Kirschbaum, C. (2015). Hair cortisol concentrations and cortisol stress reactivity predict PTSD symptom increase after trauma exposure during military deployment. </w:t>
      </w:r>
      <w:r w:rsidRPr="0047058F">
        <w:rPr>
          <w:i/>
        </w:rPr>
        <w:t>Psychoneuroendocrinology</w:t>
      </w:r>
      <w:r w:rsidRPr="0047058F">
        <w:t xml:space="preserve">, </w:t>
      </w:r>
      <w:r w:rsidRPr="0047058F">
        <w:rPr>
          <w:i/>
        </w:rPr>
        <w:t>59</w:t>
      </w:r>
      <w:r w:rsidRPr="0047058F">
        <w:t>, 123–133.</w:t>
      </w:r>
    </w:p>
    <w:p w14:paraId="77F1F810" w14:textId="77777777" w:rsidR="00160459" w:rsidRPr="0047058F" w:rsidRDefault="00160459" w:rsidP="00160459">
      <w:pPr>
        <w:pStyle w:val="References"/>
        <w:spacing w:before="240" w:after="0"/>
      </w:pPr>
      <w:r w:rsidRPr="0047058F">
        <w:t xml:space="preserve">Steyn, R., Vawda, G., Wyatt, E., &amp; Williams, J. (2013). Posttraumatic stress disorder diagnostic criteria and suicidal ideation in a South African Police sample. </w:t>
      </w:r>
      <w:r w:rsidRPr="0047058F">
        <w:rPr>
          <w:i/>
        </w:rPr>
        <w:t>African Journal of Psychiatry</w:t>
      </w:r>
      <w:r w:rsidRPr="0047058F">
        <w:t xml:space="preserve">, </w:t>
      </w:r>
      <w:r w:rsidRPr="0047058F">
        <w:rPr>
          <w:i/>
        </w:rPr>
        <w:t>16</w:t>
      </w:r>
      <w:r w:rsidRPr="0047058F">
        <w:t>(1), 19–22.</w:t>
      </w:r>
    </w:p>
    <w:p w14:paraId="18C68476" w14:textId="77777777" w:rsidR="00160459" w:rsidRPr="0047058F" w:rsidRDefault="00160459" w:rsidP="00160459">
      <w:pPr>
        <w:pStyle w:val="References"/>
        <w:spacing w:before="240" w:after="0"/>
      </w:pPr>
      <w:r w:rsidRPr="0047058F">
        <w:t xml:space="preserve">Stinchfield, R., Govoni, R., &amp; Frisch, G. R. (2007). A review of screening and assessment instruments for problem and pathological gambling. </w:t>
      </w:r>
      <w:r w:rsidRPr="0047058F">
        <w:rPr>
          <w:i/>
        </w:rPr>
        <w:t>Research and Measurement Issues in Gambling Studies</w:t>
      </w:r>
      <w:r w:rsidRPr="0047058F">
        <w:t xml:space="preserve">, </w:t>
      </w:r>
      <w:r w:rsidRPr="0047058F">
        <w:rPr>
          <w:i/>
        </w:rPr>
        <w:t>1</w:t>
      </w:r>
      <w:r w:rsidRPr="0047058F">
        <w:t>, 179–213.</w:t>
      </w:r>
    </w:p>
    <w:p w14:paraId="12D46615" w14:textId="77777777" w:rsidR="00160459" w:rsidRPr="0047058F" w:rsidRDefault="00160459" w:rsidP="00160459">
      <w:pPr>
        <w:pStyle w:val="References"/>
        <w:spacing w:before="240" w:after="0"/>
      </w:pPr>
      <w:r w:rsidRPr="0047058F">
        <w:t xml:space="preserve">Sundin, J., Herrell, R. K., Hoge, C. W., Fear, N. T., Adler, A. B., Greenberg, N., … Bliese, P. D. (2014). Mental health outcomes in US and UK military personnel returning from Iraq. </w:t>
      </w:r>
      <w:r w:rsidRPr="0047058F">
        <w:rPr>
          <w:i/>
        </w:rPr>
        <w:t>British Journal of Psychiatry</w:t>
      </w:r>
      <w:r w:rsidRPr="0047058F">
        <w:t xml:space="preserve">, </w:t>
      </w:r>
      <w:r w:rsidRPr="0047058F">
        <w:rPr>
          <w:i/>
        </w:rPr>
        <w:t>204</w:t>
      </w:r>
      <w:r w:rsidRPr="0047058F">
        <w:t>(3), 200–207.</w:t>
      </w:r>
    </w:p>
    <w:p w14:paraId="795CE47B" w14:textId="45138139" w:rsidR="00160459" w:rsidRPr="0047058F" w:rsidRDefault="00160459" w:rsidP="00160459">
      <w:pPr>
        <w:pStyle w:val="References"/>
        <w:spacing w:before="240" w:after="0"/>
      </w:pPr>
      <w:r w:rsidRPr="0047058F">
        <w:t xml:space="preserve">Tanielian, T., &amp; Jaycox, L. H. (Eds.). </w:t>
      </w:r>
      <w:r w:rsidR="00153511">
        <w:t>(</w:t>
      </w:r>
      <w:r w:rsidRPr="0047058F">
        <w:t>2008</w:t>
      </w:r>
      <w:r w:rsidR="0038031B">
        <w:t>)</w:t>
      </w:r>
      <w:r w:rsidRPr="0047058F">
        <w:t xml:space="preserve">. </w:t>
      </w:r>
      <w:r w:rsidRPr="0047058F">
        <w:rPr>
          <w:i/>
        </w:rPr>
        <w:t>Invisible wounds of war: Psychological and cognitive injuries, their consequences, and services to assist recovery</w:t>
      </w:r>
      <w:r w:rsidRPr="0047058F">
        <w:t>. Santa Monica, CA: RAND Corporation.</w:t>
      </w:r>
    </w:p>
    <w:p w14:paraId="7BB62D01" w14:textId="77777777" w:rsidR="00160459" w:rsidRPr="0047058F" w:rsidRDefault="00160459" w:rsidP="00160459">
      <w:pPr>
        <w:pStyle w:val="References"/>
        <w:spacing w:before="240" w:after="0"/>
      </w:pPr>
      <w:r w:rsidRPr="0047058F">
        <w:t xml:space="preserve">Thomas, J. T., Wilk, J. E., Riviere, L. A., McGurk, D., Castro, C. A., &amp; Hoge, C. W. (2010). The prevalence and functional impact of mental health problems among Active Component and National Guard soldiers 3 and 12 months following combat in Iraq. </w:t>
      </w:r>
      <w:r w:rsidRPr="0047058F">
        <w:rPr>
          <w:i/>
        </w:rPr>
        <w:t>Archives of General Psychiatry</w:t>
      </w:r>
      <w:r w:rsidRPr="0047058F">
        <w:t xml:space="preserve">, </w:t>
      </w:r>
      <w:r w:rsidRPr="0047058F">
        <w:rPr>
          <w:i/>
        </w:rPr>
        <w:t>67</w:t>
      </w:r>
      <w:r w:rsidRPr="0047058F">
        <w:t>, 614–623.</w:t>
      </w:r>
    </w:p>
    <w:p w14:paraId="16E975FA" w14:textId="384F5488" w:rsidR="00160459" w:rsidRPr="0047058F" w:rsidRDefault="00160459" w:rsidP="00160459">
      <w:pPr>
        <w:pStyle w:val="References"/>
        <w:spacing w:before="240" w:after="0"/>
      </w:pPr>
      <w:r w:rsidRPr="0047058F">
        <w:t>Thompson, J.</w:t>
      </w:r>
      <w:r w:rsidR="00646F3A">
        <w:t xml:space="preserve"> M.</w:t>
      </w:r>
      <w:r w:rsidRPr="0047058F">
        <w:t>, Hopman, W., Sweet, J., Van</w:t>
      </w:r>
      <w:r w:rsidR="00F745EE">
        <w:t xml:space="preserve"> </w:t>
      </w:r>
      <w:r w:rsidRPr="0047058F">
        <w:t xml:space="preserve">Til, L., MacLean, M., VanDenKerkhof, E., … Pedlar, D. (2013). Health-related quality of life of Canadian Forces veterans after transition to civilian life. </w:t>
      </w:r>
      <w:r w:rsidRPr="0047058F">
        <w:rPr>
          <w:i/>
        </w:rPr>
        <w:t>Canadian Journal of Public Health</w:t>
      </w:r>
      <w:r w:rsidRPr="0047058F">
        <w:t xml:space="preserve">, </w:t>
      </w:r>
      <w:r w:rsidRPr="0047058F">
        <w:rPr>
          <w:i/>
        </w:rPr>
        <w:t>104</w:t>
      </w:r>
      <w:r w:rsidRPr="0047058F">
        <w:t>(1), e15–e21.</w:t>
      </w:r>
    </w:p>
    <w:p w14:paraId="155FBFFB" w14:textId="7DAF2A16" w:rsidR="00160459" w:rsidRPr="0047058F" w:rsidRDefault="00160459" w:rsidP="00160459">
      <w:pPr>
        <w:pStyle w:val="References"/>
        <w:spacing w:before="240" w:after="0"/>
      </w:pPr>
      <w:r w:rsidRPr="0047058F">
        <w:t>Thompson, J.</w:t>
      </w:r>
      <w:r w:rsidR="00646F3A">
        <w:t xml:space="preserve"> M.</w:t>
      </w:r>
      <w:r w:rsidRPr="0047058F">
        <w:t xml:space="preserve">, MacLean, M. B., Van Til, L., Sudom, K., Sweet, J., Poirier, A., … Pedlar, D. (2011). </w:t>
      </w:r>
      <w:r w:rsidRPr="0047058F">
        <w:rPr>
          <w:i/>
        </w:rPr>
        <w:t>Survey on Transition to Civilian Life: Report on Regular Force veterans</w:t>
      </w:r>
      <w:r w:rsidRPr="0047058F">
        <w:t>. Charlottetown, PE: Veterans Affairs Canada.</w:t>
      </w:r>
    </w:p>
    <w:p w14:paraId="581F70EA" w14:textId="77777777" w:rsidR="0001747C" w:rsidRPr="0047058F" w:rsidRDefault="0001747C" w:rsidP="0001747C">
      <w:pPr>
        <w:pStyle w:val="References"/>
        <w:spacing w:before="240" w:after="0"/>
      </w:pPr>
      <w:r w:rsidRPr="0047058F">
        <w:t xml:space="preserve">Thompson, J. M., Van Til, L., Poirier, A., Sweet, J., McKinnon, K., Sudom, K., … Pedlar, D. (2014). </w:t>
      </w:r>
      <w:r w:rsidRPr="0047058F">
        <w:rPr>
          <w:i/>
        </w:rPr>
        <w:t>Health and well-being of Canadian Armed Forces veterans: Findings from the 2013 Life After Service Survey</w:t>
      </w:r>
      <w:r w:rsidRPr="0047058F">
        <w:t>. Research Directorate Technical Report. 3 July 2014. Charlottetown, PE: Veterans Affairs Canada.</w:t>
      </w:r>
    </w:p>
    <w:p w14:paraId="1554B097" w14:textId="36B3B488" w:rsidR="00160459" w:rsidRPr="0047058F" w:rsidRDefault="00160459" w:rsidP="00160459">
      <w:pPr>
        <w:pStyle w:val="References"/>
        <w:spacing w:before="240" w:after="0"/>
      </w:pPr>
      <w:r w:rsidRPr="0047058F">
        <w:t>Thompson, J.</w:t>
      </w:r>
      <w:r w:rsidR="00646F3A">
        <w:t xml:space="preserve"> M.</w:t>
      </w:r>
      <w:r w:rsidRPr="0047058F">
        <w:t xml:space="preserve">, Van Til, L., Sweet, J., Poirier, A., McKinnon, K., Dursun, S., … Pedlar, D. (2015). </w:t>
      </w:r>
      <w:r w:rsidRPr="0047058F">
        <w:rPr>
          <w:i/>
        </w:rPr>
        <w:t>Canadian Armed Forces veterans: Mental health findings from the 2013 Life After Service Survey</w:t>
      </w:r>
      <w:r w:rsidRPr="0047058F">
        <w:t>. Research Directorate Technical Report. 19 March 2015. Charlottetown, PE: Veterans Affairs Canada.</w:t>
      </w:r>
    </w:p>
    <w:p w14:paraId="4CC96C0C" w14:textId="77777777" w:rsidR="00160459" w:rsidRPr="0047058F" w:rsidRDefault="00160459" w:rsidP="00160459">
      <w:pPr>
        <w:pStyle w:val="References"/>
        <w:spacing w:before="240" w:after="0"/>
      </w:pPr>
      <w:r w:rsidRPr="0047058F">
        <w:t xml:space="preserve">Ursano, R. J., Kessler, R. C., Stein, M. B., Naifeh, J. A., Aliaga, P. A., Fullerton, C. S., … Schoenbaum, M. (2015). Suicide attempts in the US Army during the wars in Afghanistan and Iraq, 2004 to 2009. </w:t>
      </w:r>
      <w:r w:rsidRPr="0047058F">
        <w:rPr>
          <w:i/>
        </w:rPr>
        <w:t>JAMA Psychiatry</w:t>
      </w:r>
      <w:r w:rsidRPr="0047058F">
        <w:t xml:space="preserve">, </w:t>
      </w:r>
      <w:r w:rsidRPr="0047058F">
        <w:rPr>
          <w:i/>
        </w:rPr>
        <w:t>72</w:t>
      </w:r>
      <w:r w:rsidRPr="0047058F">
        <w:t>(9), 917–926.</w:t>
      </w:r>
    </w:p>
    <w:p w14:paraId="6642ED96" w14:textId="77777777" w:rsidR="00160459" w:rsidRPr="0047058F" w:rsidRDefault="00160459" w:rsidP="00160459">
      <w:pPr>
        <w:pStyle w:val="References"/>
        <w:spacing w:before="240" w:after="0"/>
      </w:pPr>
      <w:r w:rsidRPr="0047058F">
        <w:t xml:space="preserve">Ursano, R. J., Kessler, R. C., Stein, M. B., Naifeh, J. A., Aliaga, P. A., Fullerton, C. S., … Zhang, B. G. (2016). Risk factors, methods, and timing of suicide attempts among US Army soldiers. </w:t>
      </w:r>
      <w:r w:rsidRPr="0047058F">
        <w:rPr>
          <w:i/>
        </w:rPr>
        <w:t>JAMA Psychiatry</w:t>
      </w:r>
      <w:r w:rsidRPr="0047058F">
        <w:t xml:space="preserve">, </w:t>
      </w:r>
      <w:r w:rsidRPr="0047058F">
        <w:rPr>
          <w:i/>
        </w:rPr>
        <w:t>73</w:t>
      </w:r>
      <w:r w:rsidRPr="0047058F">
        <w:t>(7), 741–749.</w:t>
      </w:r>
    </w:p>
    <w:p w14:paraId="30A17C8B" w14:textId="77777777" w:rsidR="00160459" w:rsidRPr="0047058F" w:rsidRDefault="00160459" w:rsidP="00160459">
      <w:pPr>
        <w:pStyle w:val="References"/>
        <w:spacing w:before="240" w:after="0"/>
      </w:pPr>
      <w:r w:rsidRPr="0047058F">
        <w:t xml:space="preserve">Ursano, R. J. &amp; McCarroll, J. E. (1990). The nature of a traumatic stressor: Handling dead bodies. </w:t>
      </w:r>
      <w:r w:rsidRPr="0047058F">
        <w:rPr>
          <w:i/>
        </w:rPr>
        <w:t>Journal of Nervous and Mental Disease</w:t>
      </w:r>
      <w:r w:rsidRPr="0047058F">
        <w:t xml:space="preserve">, </w:t>
      </w:r>
      <w:r w:rsidRPr="0047058F">
        <w:rPr>
          <w:i/>
        </w:rPr>
        <w:t>178</w:t>
      </w:r>
      <w:r w:rsidRPr="0047058F">
        <w:t>(6), 396–398.</w:t>
      </w:r>
    </w:p>
    <w:p w14:paraId="3E33AD4C" w14:textId="7FED5943" w:rsidR="00160459" w:rsidRPr="0047058F" w:rsidRDefault="00160459" w:rsidP="00160459">
      <w:pPr>
        <w:pStyle w:val="References"/>
        <w:spacing w:before="240" w:after="0"/>
      </w:pPr>
      <w:bookmarkStart w:id="800" w:name="_Hlk529183376"/>
      <w:r w:rsidRPr="0047058F">
        <w:t xml:space="preserve">Van Hooff, M., Lawrence-Wood, E., Hodson, S., Sadler, N., Benassi, H., Hansen, C., … McFarlane, A. C. (2018). </w:t>
      </w:r>
      <w:r w:rsidRPr="0047058F">
        <w:rPr>
          <w:i/>
        </w:rPr>
        <w:t>Mental Health Prevalence: Mental Health and Wellbeing Transition Study</w:t>
      </w:r>
      <w:r w:rsidRPr="0047058F">
        <w:t xml:space="preserve">. Canberra: </w:t>
      </w:r>
      <w:r w:rsidR="00766991">
        <w:t xml:space="preserve">Department of Defence and </w:t>
      </w:r>
      <w:r w:rsidRPr="0047058F">
        <w:t>Department of Veterans’ Affairs.</w:t>
      </w:r>
      <w:bookmarkEnd w:id="800"/>
    </w:p>
    <w:p w14:paraId="5F8C1D6A" w14:textId="378528AF" w:rsidR="00160459" w:rsidRPr="0047058F" w:rsidRDefault="00160459" w:rsidP="00160459">
      <w:pPr>
        <w:pStyle w:val="References"/>
        <w:spacing w:before="240" w:after="0"/>
      </w:pPr>
      <w:bookmarkStart w:id="801" w:name="_Hlk529183401"/>
      <w:r w:rsidRPr="0047058F">
        <w:t xml:space="preserve">Van Hooff, M., McFarlane, A. C., Lorimer, M., Saccone, E. J., Searle, A. K., &amp; Fairweather-Schmidt, A. K. (2012). </w:t>
      </w:r>
      <w:r w:rsidRPr="0047058F">
        <w:rPr>
          <w:i/>
        </w:rPr>
        <w:t>The prevalence of ICD</w:t>
      </w:r>
      <w:r w:rsidR="00BB1ECA">
        <w:rPr>
          <w:i/>
        </w:rPr>
        <w:t>-</w:t>
      </w:r>
      <w:r w:rsidRPr="0047058F">
        <w:rPr>
          <w:i/>
        </w:rPr>
        <w:t>10 trauma exposure in the Australian Defence Force: Results from the 2010 ADF Mental Health Prevalence and Wellbeing dataset</w:t>
      </w:r>
      <w:r w:rsidRPr="0047058F">
        <w:t>. Canberra: Department of Defence.</w:t>
      </w:r>
      <w:bookmarkEnd w:id="801"/>
    </w:p>
    <w:p w14:paraId="1D515F6D" w14:textId="77777777" w:rsidR="00160459" w:rsidRPr="0047058F" w:rsidRDefault="00160459" w:rsidP="00160459">
      <w:pPr>
        <w:pStyle w:val="References"/>
        <w:spacing w:before="240" w:after="0"/>
      </w:pPr>
      <w:bookmarkStart w:id="802" w:name="_Hlk529183424"/>
      <w:r w:rsidRPr="0047058F">
        <w:t xml:space="preserve">van Staden, L., Fear, N. T., Iversen, A. C., French, C. E., Dandeker, C., &amp; Wessely, S. (2007). Transition back into civilian life: A study of personnel leaving the U.K. armed forces via “military prison”. </w:t>
      </w:r>
      <w:r w:rsidRPr="0047058F">
        <w:rPr>
          <w:i/>
        </w:rPr>
        <w:t>Military Medicine</w:t>
      </w:r>
      <w:r w:rsidRPr="0047058F">
        <w:t xml:space="preserve">, </w:t>
      </w:r>
      <w:r w:rsidRPr="0047058F">
        <w:rPr>
          <w:i/>
        </w:rPr>
        <w:t>172</w:t>
      </w:r>
      <w:r w:rsidRPr="0047058F">
        <w:t>(9), 925–930.</w:t>
      </w:r>
      <w:bookmarkEnd w:id="802"/>
    </w:p>
    <w:p w14:paraId="55C68BFF" w14:textId="77777777" w:rsidR="00160459" w:rsidRPr="0047058F" w:rsidRDefault="00160459" w:rsidP="00160459">
      <w:pPr>
        <w:pStyle w:val="References"/>
        <w:spacing w:before="240" w:after="0"/>
      </w:pPr>
      <w:r w:rsidRPr="0047058F">
        <w:t xml:space="preserve">Van Til, L., Macintosh, S., Thomspon, J., MacLean, M. B., Campbell, L., &amp; Pedlar, D. (2014a). </w:t>
      </w:r>
      <w:r w:rsidRPr="0047058F">
        <w:rPr>
          <w:i/>
        </w:rPr>
        <w:t>2013 synthesis of Life After Service Studies</w:t>
      </w:r>
      <w:r w:rsidRPr="0047058F">
        <w:t>. Research Directorate Synthesis Report. 3 July 2014. Charlottetown, PE: Veterans Affairs Canada.</w:t>
      </w:r>
    </w:p>
    <w:p w14:paraId="3CF5A6B4" w14:textId="77777777" w:rsidR="00160459" w:rsidRPr="0047058F" w:rsidRDefault="00160459" w:rsidP="00160459">
      <w:pPr>
        <w:pStyle w:val="References"/>
        <w:spacing w:before="240" w:after="0"/>
      </w:pPr>
      <w:r w:rsidRPr="0047058F">
        <w:t xml:space="preserve">Van Til, L., Poirier, A., Sweet, J., McKinnon, K., &amp; MacLean, M. B. (2014b). </w:t>
      </w:r>
      <w:r w:rsidRPr="0047058F">
        <w:rPr>
          <w:i/>
        </w:rPr>
        <w:t>Methodology: Life After Service Studies 2013</w:t>
      </w:r>
      <w:r w:rsidRPr="0047058F">
        <w:t>. Research Directorate Technical Report. 31 December 2014. Charlottetown, PE: Veterans Affairs Canada.</w:t>
      </w:r>
    </w:p>
    <w:p w14:paraId="370924E7" w14:textId="77777777" w:rsidR="00160459" w:rsidRPr="0047058F" w:rsidRDefault="00160459" w:rsidP="00160459">
      <w:pPr>
        <w:pStyle w:val="References"/>
        <w:spacing w:before="240" w:after="0"/>
      </w:pPr>
      <w:r w:rsidRPr="0047058F">
        <w:t xml:space="preserve">van Zuiden, M., Kavelaars, A., Vermetten, E., Olff, M., Geuze, E., &amp; Heijnen, C. (2015). Pre-deployment differences in glucocorticoid sensitivity of leukocytes in soldiers developing symptoms of PTSD, depression or fatigue persist after return from military deployment. </w:t>
      </w:r>
      <w:r w:rsidRPr="0047058F">
        <w:rPr>
          <w:i/>
        </w:rPr>
        <w:t>Psychoneuroendocrinology</w:t>
      </w:r>
      <w:r w:rsidRPr="0047058F">
        <w:t xml:space="preserve">, </w:t>
      </w:r>
      <w:r w:rsidRPr="0047058F">
        <w:rPr>
          <w:i/>
        </w:rPr>
        <w:t>51</w:t>
      </w:r>
      <w:r w:rsidRPr="0047058F">
        <w:t>, 513–524.</w:t>
      </w:r>
    </w:p>
    <w:p w14:paraId="74D97FC4" w14:textId="77777777" w:rsidR="00160459" w:rsidRPr="0047058F" w:rsidRDefault="00160459" w:rsidP="00160459">
      <w:pPr>
        <w:pStyle w:val="References"/>
        <w:spacing w:before="240" w:after="0"/>
      </w:pPr>
      <w:r w:rsidRPr="0047058F">
        <w:t xml:space="preserve">Vasterling, J. J., Aslan, M., Proctor, S. P., Ko, J., Marx, B. P., Jakupcak, M., … Concato, J. (2016). Longitudinal examination of posttraumatic stress disorder as a long-term outcome of Iraq War deployment. </w:t>
      </w:r>
      <w:r w:rsidRPr="0047058F">
        <w:rPr>
          <w:i/>
        </w:rPr>
        <w:t>American Journal of Epidemiology</w:t>
      </w:r>
      <w:r w:rsidRPr="0047058F">
        <w:t xml:space="preserve">, </w:t>
      </w:r>
      <w:r w:rsidRPr="0047058F">
        <w:rPr>
          <w:i/>
        </w:rPr>
        <w:t>184</w:t>
      </w:r>
      <w:r w:rsidRPr="0047058F">
        <w:t>(11), 796–805.</w:t>
      </w:r>
    </w:p>
    <w:p w14:paraId="570777D7" w14:textId="77777777" w:rsidR="00160459" w:rsidRPr="0047058F" w:rsidRDefault="00160459" w:rsidP="00160459">
      <w:pPr>
        <w:pStyle w:val="References"/>
        <w:spacing w:before="240" w:after="0"/>
      </w:pPr>
      <w:r w:rsidRPr="0047058F">
        <w:t xml:space="preserve">Vermetten, E., Baker, D., &amp; Yehuda, R. (2015). New findings from prospective studies. </w:t>
      </w:r>
      <w:r w:rsidRPr="0047058F">
        <w:rPr>
          <w:i/>
        </w:rPr>
        <w:t>Psychoneuroendocrinology</w:t>
      </w:r>
      <w:r w:rsidRPr="0047058F">
        <w:t xml:space="preserve">, </w:t>
      </w:r>
      <w:r w:rsidRPr="0047058F">
        <w:rPr>
          <w:i/>
        </w:rPr>
        <w:t>51</w:t>
      </w:r>
      <w:r w:rsidRPr="0047058F">
        <w:t>, 441–443.</w:t>
      </w:r>
    </w:p>
    <w:p w14:paraId="548D53D6" w14:textId="3022D692" w:rsidR="00160459" w:rsidRPr="0047058F" w:rsidRDefault="00160459" w:rsidP="00160459">
      <w:pPr>
        <w:pStyle w:val="References"/>
        <w:spacing w:before="240" w:after="0"/>
      </w:pPr>
      <w:r w:rsidRPr="0047058F">
        <w:t>Villatte, J. L., O’Connor, S. S., Leitner, R., Kerbrat, A. H., Johnson, L. L., &amp; Gutierrez, P. M. (2015). Suicide attempt character</w:t>
      </w:r>
      <w:r w:rsidR="00122936">
        <w:t>i</w:t>
      </w:r>
      <w:r w:rsidRPr="0047058F">
        <w:t xml:space="preserve">stics among veterans and active-duty service members receiving mental health services: A pooled data analysis. </w:t>
      </w:r>
      <w:r w:rsidRPr="0047058F">
        <w:rPr>
          <w:i/>
        </w:rPr>
        <w:t>Military Behavioral Health</w:t>
      </w:r>
      <w:r w:rsidRPr="0047058F">
        <w:t xml:space="preserve">, </w:t>
      </w:r>
      <w:r w:rsidRPr="0047058F">
        <w:rPr>
          <w:i/>
        </w:rPr>
        <w:t>3</w:t>
      </w:r>
      <w:r w:rsidRPr="0047058F">
        <w:t>(4), 316–327.</w:t>
      </w:r>
    </w:p>
    <w:p w14:paraId="4CD625B0" w14:textId="77777777" w:rsidR="00160459" w:rsidRPr="0047058F" w:rsidRDefault="00160459" w:rsidP="00160459">
      <w:pPr>
        <w:pStyle w:val="References"/>
        <w:spacing w:before="240" w:after="0"/>
      </w:pPr>
      <w:r w:rsidRPr="0047058F">
        <w:t xml:space="preserve">Vogel, D. L., Wade, N. G., &amp; Haake, S. (2006). Measuring the self-stigma associated with seeking psychological help. </w:t>
      </w:r>
      <w:r w:rsidRPr="0047058F">
        <w:rPr>
          <w:i/>
        </w:rPr>
        <w:t>Journal of Counseling Psychology</w:t>
      </w:r>
      <w:r w:rsidRPr="0047058F">
        <w:t xml:space="preserve">, </w:t>
      </w:r>
      <w:r w:rsidRPr="0047058F">
        <w:rPr>
          <w:i/>
        </w:rPr>
        <w:t>53</w:t>
      </w:r>
      <w:r w:rsidRPr="0047058F">
        <w:t>(3), 325.</w:t>
      </w:r>
    </w:p>
    <w:p w14:paraId="4E70AED2" w14:textId="77777777" w:rsidR="00160459" w:rsidRPr="0047058F" w:rsidRDefault="00160459" w:rsidP="00160459">
      <w:pPr>
        <w:pStyle w:val="References"/>
        <w:spacing w:before="240" w:after="0"/>
      </w:pPr>
      <w:r w:rsidRPr="0047058F">
        <w:t xml:space="preserve">Vogt, D. (2011). Mental health-related beliefs as a barrier to service use for military personnel and veterans: A review. </w:t>
      </w:r>
      <w:r w:rsidRPr="0047058F">
        <w:rPr>
          <w:i/>
        </w:rPr>
        <w:t>Psychiatric Services</w:t>
      </w:r>
      <w:r w:rsidRPr="0047058F">
        <w:t xml:space="preserve">, </w:t>
      </w:r>
      <w:r w:rsidRPr="0047058F">
        <w:rPr>
          <w:i/>
        </w:rPr>
        <w:t>62</w:t>
      </w:r>
      <w:r w:rsidRPr="0047058F">
        <w:t>(2), 135–142.</w:t>
      </w:r>
    </w:p>
    <w:p w14:paraId="53EF9EFB" w14:textId="77777777" w:rsidR="00160459" w:rsidRPr="0047058F" w:rsidRDefault="00160459" w:rsidP="00160459">
      <w:pPr>
        <w:pStyle w:val="References"/>
        <w:spacing w:before="240" w:after="0"/>
      </w:pPr>
      <w:r w:rsidRPr="0047058F">
        <w:t xml:space="preserve">Wagner, D., Heinrichs, M., &amp; Ehlert, U. (1998). Prevalence of symptoms of posttraumatic stress disorder in German professional firefighters. </w:t>
      </w:r>
      <w:r w:rsidRPr="0047058F">
        <w:rPr>
          <w:i/>
        </w:rPr>
        <w:t>American Journal of Psychiatry</w:t>
      </w:r>
      <w:r w:rsidRPr="0047058F">
        <w:t xml:space="preserve">, </w:t>
      </w:r>
      <w:r w:rsidRPr="0047058F">
        <w:rPr>
          <w:i/>
        </w:rPr>
        <w:t>155</w:t>
      </w:r>
      <w:r w:rsidRPr="0047058F">
        <w:t>(12), 1727–1732.</w:t>
      </w:r>
    </w:p>
    <w:p w14:paraId="2AB2E438" w14:textId="77777777" w:rsidR="00160459" w:rsidRPr="0047058F" w:rsidRDefault="00160459" w:rsidP="00160459">
      <w:pPr>
        <w:pStyle w:val="References"/>
        <w:spacing w:before="240" w:after="0"/>
      </w:pPr>
      <w:r w:rsidRPr="0047058F">
        <w:t xml:space="preserve">Wagstaff, G. F., &amp; Rowledge, A. M. (1995). Stoicism: Its relation to gender, attitudes toward poverty, and reactions to emotive material. </w:t>
      </w:r>
      <w:r w:rsidRPr="0047058F">
        <w:rPr>
          <w:i/>
        </w:rPr>
        <w:t>Journal of Social Psychology</w:t>
      </w:r>
      <w:r w:rsidRPr="0047058F">
        <w:t xml:space="preserve">, </w:t>
      </w:r>
      <w:r w:rsidRPr="0047058F">
        <w:rPr>
          <w:i/>
        </w:rPr>
        <w:t>135</w:t>
      </w:r>
      <w:r w:rsidRPr="0047058F">
        <w:t>(2), 181–184.</w:t>
      </w:r>
    </w:p>
    <w:p w14:paraId="2BE9F470" w14:textId="77777777" w:rsidR="00160459" w:rsidRPr="0047058F" w:rsidRDefault="00160459" w:rsidP="00160459">
      <w:pPr>
        <w:pStyle w:val="References"/>
        <w:spacing w:before="240" w:after="0"/>
      </w:pPr>
      <w:r w:rsidRPr="0047058F">
        <w:t xml:space="preserve">Wainwright, V., McDonnell, S., Lennox, C., Shaw, J., &amp; Senior, J. (2016). Soldier, civilian, criminal: Identifying pathways to offending of ex-armed forces personnel in prison. </w:t>
      </w:r>
      <w:r w:rsidRPr="0047058F">
        <w:rPr>
          <w:i/>
        </w:rPr>
        <w:t>Psychology, Crime and Law</w:t>
      </w:r>
      <w:r w:rsidRPr="0047058F">
        <w:t xml:space="preserve">, </w:t>
      </w:r>
      <w:r w:rsidRPr="0047058F">
        <w:rPr>
          <w:i/>
        </w:rPr>
        <w:t>22</w:t>
      </w:r>
      <w:r w:rsidRPr="0047058F">
        <w:t>(8), 741–757.</w:t>
      </w:r>
    </w:p>
    <w:p w14:paraId="49533A17" w14:textId="77777777" w:rsidR="00160459" w:rsidRPr="0047058F" w:rsidRDefault="00160459" w:rsidP="00160459">
      <w:pPr>
        <w:pStyle w:val="References"/>
        <w:spacing w:before="240" w:after="0"/>
      </w:pPr>
      <w:r w:rsidRPr="0047058F">
        <w:t>Ware, J. E., &amp; Sherbourne, C. D. (1992). The MOS 36-item short-form health survey (SF</w:t>
      </w:r>
      <w:r w:rsidRPr="0047058F">
        <w:noBreakHyphen/>
        <w:t xml:space="preserve">36) conceptual framework and item selection. </w:t>
      </w:r>
      <w:r w:rsidRPr="0047058F">
        <w:rPr>
          <w:i/>
        </w:rPr>
        <w:t>Medical Care</w:t>
      </w:r>
      <w:r w:rsidRPr="0047058F">
        <w:t xml:space="preserve">, </w:t>
      </w:r>
      <w:r w:rsidRPr="0047058F">
        <w:rPr>
          <w:i/>
        </w:rPr>
        <w:t>30</w:t>
      </w:r>
      <w:r w:rsidRPr="0047058F">
        <w:t>(6), 473–483.</w:t>
      </w:r>
    </w:p>
    <w:p w14:paraId="18E85030" w14:textId="77777777" w:rsidR="00160459" w:rsidRPr="0047058F" w:rsidRDefault="00160459" w:rsidP="00160459">
      <w:pPr>
        <w:pStyle w:val="References"/>
        <w:spacing w:before="240" w:after="0"/>
      </w:pPr>
      <w:r w:rsidRPr="0047058F">
        <w:t xml:space="preserve">Watson, N., &amp; Wooden, M. (2002). </w:t>
      </w:r>
      <w:r w:rsidRPr="0047058F">
        <w:rPr>
          <w:i/>
        </w:rPr>
        <w:t>The Household, Income and Labour Dynamics in Australia (HILDA) Survey: Wave 1 survey methodology</w:t>
      </w:r>
      <w:r w:rsidRPr="0047058F">
        <w:t xml:space="preserve">. HILDA Project Technical Paper Series no. 1/02. Melbourne: Melbourne Institute. Retrieved from </w:t>
      </w:r>
      <w:hyperlink r:id="rId109" w:history="1">
        <w:r w:rsidRPr="0047058F">
          <w:rPr>
            <w:rStyle w:val="Hyperlink"/>
          </w:rPr>
          <w:t>http://melbourneinstitute.unimelb.edu.au/hilda</w:t>
        </w:r>
      </w:hyperlink>
      <w:r w:rsidRPr="0047058F">
        <w:t>.</w:t>
      </w:r>
    </w:p>
    <w:p w14:paraId="2358EE06" w14:textId="77777777" w:rsidR="00160459" w:rsidRPr="0047058F" w:rsidRDefault="00160459" w:rsidP="00160459">
      <w:pPr>
        <w:pStyle w:val="References"/>
        <w:spacing w:before="240" w:after="0"/>
      </w:pPr>
      <w:bookmarkStart w:id="803" w:name="_Hlk529183450"/>
      <w:r w:rsidRPr="0047058F">
        <w:t xml:space="preserve">Weathers, F. W., Litz, B. T., Herman, D. S., Huska, J. A., &amp; Keane, T. M. (1993). </w:t>
      </w:r>
      <w:r w:rsidRPr="0047058F">
        <w:rPr>
          <w:i/>
        </w:rPr>
        <w:t>The PTSD Checklist (PCL): Reliability, validity, and diagnostic utility</w:t>
      </w:r>
      <w:r w:rsidRPr="0047058F">
        <w:t>. [Paper presented at the 9th Annual Conference of the International Society for Traumatic Stress Studies, San Antonio, TX].</w:t>
      </w:r>
      <w:bookmarkEnd w:id="803"/>
    </w:p>
    <w:p w14:paraId="25B01294" w14:textId="438E731C" w:rsidR="00160459" w:rsidRPr="0047058F" w:rsidRDefault="00160459" w:rsidP="00160459">
      <w:pPr>
        <w:pStyle w:val="References"/>
        <w:spacing w:before="240" w:after="0"/>
      </w:pPr>
      <w:r w:rsidRPr="0047058F">
        <w:t xml:space="preserve">Wiborg, J. F., Rademaker, A. R., Geuze, E., Twisk, J., Vermetten, E., &amp; Knoop, H. (2016). Course and predictors of postdeployment fatigue: A prospective cohort study in the Dutch Armed Forces. </w:t>
      </w:r>
      <w:r w:rsidRPr="0047058F">
        <w:rPr>
          <w:i/>
        </w:rPr>
        <w:t>Journal of Clinical Psychiatry</w:t>
      </w:r>
      <w:r w:rsidRPr="0047058F">
        <w:t xml:space="preserve">, </w:t>
      </w:r>
      <w:r w:rsidRPr="0047058F">
        <w:rPr>
          <w:i/>
        </w:rPr>
        <w:t>77</w:t>
      </w:r>
      <w:r w:rsidRPr="0047058F">
        <w:t>(8), 1074–1079.</w:t>
      </w:r>
    </w:p>
    <w:p w14:paraId="6EC58CA8" w14:textId="77777777" w:rsidR="00160459" w:rsidRPr="0047058F" w:rsidRDefault="00160459" w:rsidP="00160459">
      <w:pPr>
        <w:pStyle w:val="References"/>
        <w:spacing w:before="240" w:after="0"/>
      </w:pPr>
      <w:r w:rsidRPr="0047058F">
        <w:t xml:space="preserve">Williams, J., Brown, J. M., Bray, R. M., Anderson Goodell, E. M., Rae Olmsted, K., &amp; Adler, A. B. (2016). Unit cohesion, resilience, and mental health of soldiers in basic combat training. </w:t>
      </w:r>
      <w:r w:rsidRPr="0047058F">
        <w:rPr>
          <w:i/>
        </w:rPr>
        <w:t>Military Psychology</w:t>
      </w:r>
      <w:r w:rsidRPr="0047058F">
        <w:t xml:space="preserve">, </w:t>
      </w:r>
      <w:r w:rsidRPr="0047058F">
        <w:rPr>
          <w:i/>
        </w:rPr>
        <w:t>28</w:t>
      </w:r>
      <w:r w:rsidRPr="0047058F">
        <w:t>(4), 241–250.</w:t>
      </w:r>
    </w:p>
    <w:p w14:paraId="2BB20184" w14:textId="77777777" w:rsidR="00160459" w:rsidRPr="0047058F" w:rsidRDefault="00160459" w:rsidP="00160459">
      <w:pPr>
        <w:pStyle w:val="References"/>
        <w:spacing w:before="240" w:after="0"/>
      </w:pPr>
      <w:bookmarkStart w:id="804" w:name="_Hlk529183478"/>
      <w:r w:rsidRPr="0047058F">
        <w:t xml:space="preserve">Wisco, B. E., Marx, B. P., May, C. L., Martini, B., Krystal, J. H., Southwick, S. M., &amp; Pietrzak, R. H. (2017). Moral injury in US combat veterans: Results from the national health and resilience in veterans study. </w:t>
      </w:r>
      <w:r w:rsidRPr="0047058F">
        <w:rPr>
          <w:i/>
        </w:rPr>
        <w:t>Depression and Anxiety</w:t>
      </w:r>
      <w:r w:rsidRPr="0047058F">
        <w:t xml:space="preserve">, </w:t>
      </w:r>
      <w:r w:rsidRPr="0047058F">
        <w:rPr>
          <w:i/>
        </w:rPr>
        <w:t>34</w:t>
      </w:r>
      <w:r w:rsidRPr="0047058F">
        <w:t>(4), 340–347.</w:t>
      </w:r>
      <w:bookmarkEnd w:id="804"/>
    </w:p>
    <w:p w14:paraId="66F101CA" w14:textId="77777777" w:rsidR="00160459" w:rsidRPr="0047058F" w:rsidRDefault="00160459" w:rsidP="00160459">
      <w:pPr>
        <w:pStyle w:val="References"/>
        <w:spacing w:before="240" w:after="0"/>
      </w:pPr>
      <w:r w:rsidRPr="0047058F">
        <w:t xml:space="preserve">Wisco, B. E., Marx, B. P., Wolf, E. J., Miller, M. W., Southwick, S. M., &amp; Pietrzak, R. H. (2014). Posttraumatic stress disorder in the US veteran population: Results from the National Health and Resilience in Veterans Study. </w:t>
      </w:r>
      <w:r w:rsidRPr="0047058F">
        <w:rPr>
          <w:i/>
        </w:rPr>
        <w:t>Journal of Clinical Psychiatry</w:t>
      </w:r>
      <w:r w:rsidRPr="0047058F">
        <w:t xml:space="preserve">, </w:t>
      </w:r>
      <w:r w:rsidRPr="0047058F">
        <w:rPr>
          <w:i/>
        </w:rPr>
        <w:t>75</w:t>
      </w:r>
      <w:r w:rsidRPr="0047058F">
        <w:t>(12), 1338–1346.</w:t>
      </w:r>
    </w:p>
    <w:p w14:paraId="46DE7E3F" w14:textId="77777777" w:rsidR="00160459" w:rsidRPr="0047058F" w:rsidRDefault="00160459" w:rsidP="00160459">
      <w:pPr>
        <w:pStyle w:val="References"/>
        <w:spacing w:before="240" w:after="0"/>
      </w:pPr>
      <w:r w:rsidRPr="0047058F">
        <w:t xml:space="preserve">Wittkampf, K. A., Naeije, L., Schene, A. H., Huyser, J., &amp; van Weert, H. C. (2007). Diagnostic accuracy of the mood module of the Patient Health Questionnaire: A systematic review. </w:t>
      </w:r>
      <w:r w:rsidRPr="0047058F">
        <w:rPr>
          <w:i/>
        </w:rPr>
        <w:t>General Hospital Psychiatry</w:t>
      </w:r>
      <w:r w:rsidRPr="0047058F">
        <w:t xml:space="preserve">, </w:t>
      </w:r>
      <w:r w:rsidRPr="0047058F">
        <w:rPr>
          <w:i/>
        </w:rPr>
        <w:t>29</w:t>
      </w:r>
      <w:r w:rsidRPr="0047058F">
        <w:t>(5), 388–395.</w:t>
      </w:r>
    </w:p>
    <w:p w14:paraId="609E04E3" w14:textId="77777777" w:rsidR="00160459" w:rsidRPr="0047058F" w:rsidRDefault="00160459" w:rsidP="00160459">
      <w:pPr>
        <w:pStyle w:val="References"/>
        <w:spacing w:before="240" w:after="0"/>
      </w:pPr>
      <w:bookmarkStart w:id="805" w:name="_Hlk529183500"/>
      <w:r w:rsidRPr="0047058F">
        <w:t xml:space="preserve">World Health Organization. (1994). </w:t>
      </w:r>
      <w:r w:rsidRPr="0047058F">
        <w:rPr>
          <w:i/>
        </w:rPr>
        <w:t>International Statistical Classification of Diseases and Related Health Problems, 10th Revision (ICD-10)</w:t>
      </w:r>
      <w:r w:rsidRPr="0047058F">
        <w:t>. Geneva: World Health Organization.</w:t>
      </w:r>
      <w:bookmarkEnd w:id="805"/>
    </w:p>
    <w:p w14:paraId="292E55AD" w14:textId="77777777" w:rsidR="00160459" w:rsidRPr="0047058F" w:rsidRDefault="00160459" w:rsidP="00160459">
      <w:pPr>
        <w:pStyle w:val="References"/>
        <w:spacing w:before="240" w:after="0"/>
      </w:pPr>
      <w:r w:rsidRPr="0047058F">
        <w:t xml:space="preserve">Young and Well Cooperative Research Centre. (2013). </w:t>
      </w:r>
      <w:r w:rsidRPr="0047058F">
        <w:rPr>
          <w:i/>
        </w:rPr>
        <w:t>Young and Well CRC standard measures</w:t>
      </w:r>
      <w:r w:rsidRPr="0047058F">
        <w:t>. Melbourne: Young and Well Cooperative Research Centre.</w:t>
      </w:r>
    </w:p>
    <w:p w14:paraId="7199A62F" w14:textId="77777777" w:rsidR="00160459" w:rsidRPr="0047058F" w:rsidRDefault="00160459" w:rsidP="00160459">
      <w:pPr>
        <w:pStyle w:val="References"/>
        <w:spacing w:before="240"/>
      </w:pPr>
      <w:bookmarkStart w:id="806" w:name="_Hlk529183524"/>
      <w:r w:rsidRPr="0047058F">
        <w:t xml:space="preserve">Zlotnick, C., Franklin, C. L., &amp; Zimmerman, M. (2002). Does “subthreshold” posttraumatic stress disorder have any clinical relevance? </w:t>
      </w:r>
      <w:r w:rsidRPr="0047058F">
        <w:rPr>
          <w:i/>
        </w:rPr>
        <w:t>Comprehensive Psychiatry</w:t>
      </w:r>
      <w:r w:rsidRPr="0047058F">
        <w:t xml:space="preserve">, </w:t>
      </w:r>
      <w:r w:rsidRPr="0047058F">
        <w:rPr>
          <w:i/>
        </w:rPr>
        <w:t>43</w:t>
      </w:r>
      <w:r w:rsidRPr="0047058F">
        <w:t>(6), 413–419.</w:t>
      </w:r>
      <w:bookmarkEnd w:id="806"/>
    </w:p>
    <w:p w14:paraId="2E895F32" w14:textId="77777777" w:rsidR="00ED05E6" w:rsidRPr="0047058F" w:rsidRDefault="00ED05E6" w:rsidP="0061597C"/>
    <w:sectPr w:rsidR="00ED05E6" w:rsidRPr="0047058F" w:rsidSect="000A1090">
      <w:type w:val="oddPage"/>
      <w:pgSz w:w="9979" w:h="14170" w:code="243"/>
      <w:pgMar w:top="1440" w:right="1152" w:bottom="1440" w:left="1728" w:header="576" w:footer="57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4D03F4" w16cid:durableId="1FB27725"/>
  <w16cid:commentId w16cid:paraId="1A5E559C" w16cid:durableId="1FABE5C1"/>
  <w16cid:commentId w16cid:paraId="691D6012" w16cid:durableId="1FACF21C"/>
  <w16cid:commentId w16cid:paraId="47C0216A" w16cid:durableId="1FB28766"/>
  <w16cid:commentId w16cid:paraId="480DD66B" w16cid:durableId="1FACF2FA"/>
  <w16cid:commentId w16cid:paraId="1223049C" w16cid:durableId="1FAD2073"/>
  <w16cid:commentId w16cid:paraId="2A0E1137" w16cid:durableId="1FAD32E1"/>
  <w16cid:commentId w16cid:paraId="0D191097" w16cid:durableId="1FAD3BD8"/>
  <w16cid:commentId w16cid:paraId="05B247F9" w16cid:durableId="1FAD48EE"/>
  <w16cid:commentId w16cid:paraId="6266C8A3" w16cid:durableId="1FB278EB"/>
  <w16cid:commentId w16cid:paraId="41D75FD7" w16cid:durableId="1FAE6A20"/>
  <w16cid:commentId w16cid:paraId="56923CD6" w16cid:durableId="1FAE720B"/>
  <w16cid:commentId w16cid:paraId="2D970543" w16cid:durableId="1FAE77BE"/>
  <w16cid:commentId w16cid:paraId="76652655" w16cid:durableId="1FAE773D"/>
  <w16cid:commentId w16cid:paraId="60CBC5DC" w16cid:durableId="1FB401D4"/>
  <w16cid:commentId w16cid:paraId="0238DBC3" w16cid:durableId="1FAE77F1"/>
  <w16cid:commentId w16cid:paraId="3A97A96C" w16cid:durableId="1FAE7CA1"/>
  <w16cid:commentId w16cid:paraId="28836C27" w16cid:durableId="1FB401F9"/>
  <w16cid:commentId w16cid:paraId="5A1EDE86" w16cid:durableId="1FAE8266"/>
  <w16cid:commentId w16cid:paraId="16090278" w16cid:durableId="1FAE8A4D"/>
  <w16cid:commentId w16cid:paraId="6C3376F6" w16cid:durableId="1FAE8D54"/>
  <w16cid:commentId w16cid:paraId="64D1DDD8" w16cid:durableId="1FAE8FFA"/>
  <w16cid:commentId w16cid:paraId="47BB4C51" w16cid:durableId="1FB3EA26"/>
  <w16cid:commentId w16cid:paraId="0F5D5E25" w16cid:durableId="1FAEA4C4"/>
  <w16cid:commentId w16cid:paraId="0CA93AA9" w16cid:durableId="1FAFB4E4"/>
  <w16cid:commentId w16cid:paraId="1B5FEA1E" w16cid:durableId="1FAEA866"/>
  <w16cid:commentId w16cid:paraId="49A541F0" w16cid:durableId="1FAF9CF4"/>
  <w16cid:commentId w16cid:paraId="78117A4B" w16cid:durableId="1FB403CA"/>
  <w16cid:commentId w16cid:paraId="6945565C" w16cid:durableId="1FAEBD94"/>
  <w16cid:commentId w16cid:paraId="65D527B4" w16cid:durableId="1FB403F5"/>
  <w16cid:commentId w16cid:paraId="57E3AF8C" w16cid:durableId="1FAF83D4"/>
  <w16cid:commentId w16cid:paraId="4175FB38" w16cid:durableId="1FAF85E5"/>
  <w16cid:commentId w16cid:paraId="36C755A1" w16cid:durableId="1FAF8E9B"/>
  <w16cid:commentId w16cid:paraId="4AABA33C" w16cid:durableId="1FAF994F"/>
  <w16cid:commentId w16cid:paraId="68058C5E" w16cid:durableId="1FAF9E06"/>
  <w16cid:commentId w16cid:paraId="57457A3A" w16cid:durableId="1FAF9FA4"/>
  <w16cid:commentId w16cid:paraId="503E82D2" w16cid:durableId="1FAFA02C"/>
  <w16cid:commentId w16cid:paraId="79DFB16B" w16cid:durableId="1FAFB996"/>
  <w16cid:commentId w16cid:paraId="40454328" w16cid:durableId="1FAFBA6A"/>
  <w16cid:commentId w16cid:paraId="5A5DD825" w16cid:durableId="1FAFBDB9"/>
  <w16cid:commentId w16cid:paraId="5952BB2B" w16cid:durableId="1FAFD137"/>
  <w16cid:commentId w16cid:paraId="30D25F8A" w16cid:durableId="1FAFC050"/>
  <w16cid:commentId w16cid:paraId="04B8C359" w16cid:durableId="1FAFC3A0"/>
  <w16cid:commentId w16cid:paraId="297D6235" w16cid:durableId="1FAFC5BA"/>
  <w16cid:commentId w16cid:paraId="11C16243" w16cid:durableId="1FAFC482"/>
  <w16cid:commentId w16cid:paraId="2539C688" w16cid:durableId="1FAFC0A5"/>
  <w16cid:commentId w16cid:paraId="008776F2" w16cid:durableId="1FAFC3ED"/>
  <w16cid:commentId w16cid:paraId="77CD019F" w16cid:durableId="1FAFC779"/>
  <w16cid:commentId w16cid:paraId="091F59C6" w16cid:durableId="1FAFC49E"/>
  <w16cid:commentId w16cid:paraId="2037383C" w16cid:durableId="1FAFC0B5"/>
  <w16cid:commentId w16cid:paraId="67E20678" w16cid:durableId="1FAFC9E9"/>
  <w16cid:commentId w16cid:paraId="1BC49D77" w16cid:durableId="1FAFC4AE"/>
  <w16cid:commentId w16cid:paraId="430C1B4A" w16cid:durableId="1FAFC79F"/>
  <w16cid:commentId w16cid:paraId="220AA089" w16cid:durableId="1FAFC4BB"/>
  <w16cid:commentId w16cid:paraId="34B25C85" w16cid:durableId="1FAFCCA7"/>
  <w16cid:commentId w16cid:paraId="022415B1" w16cid:durableId="1FAFD54C"/>
  <w16cid:commentId w16cid:paraId="55EDD205" w16cid:durableId="1FB2988B"/>
  <w16cid:commentId w16cid:paraId="2BE3C0BF" w16cid:durableId="1FB28BAD"/>
  <w16cid:commentId w16cid:paraId="2CF982BB" w16cid:durableId="1FB122D9"/>
  <w16cid:commentId w16cid:paraId="674EAFBD" w16cid:durableId="1FAE6B0F"/>
  <w16cid:commentId w16cid:paraId="23F90701" w16cid:durableId="1FAE7317"/>
  <w16cid:commentId w16cid:paraId="2FF1F077" w16cid:durableId="1FB12D6F"/>
  <w16cid:commentId w16cid:paraId="4257A287" w16cid:durableId="1FB12D86"/>
  <w16cid:commentId w16cid:paraId="5044278F" w16cid:durableId="1FB12DEB"/>
  <w16cid:commentId w16cid:paraId="49E950EA" w16cid:durableId="1FB13013"/>
  <w16cid:commentId w16cid:paraId="12A50529" w16cid:durableId="1FB12E69"/>
  <w16cid:commentId w16cid:paraId="5798976C" w16cid:durableId="1FB4BEC1"/>
  <w16cid:commentId w16cid:paraId="72D94533" w16cid:durableId="1FB1313A"/>
  <w16cid:commentId w16cid:paraId="6D0B9F7E" w16cid:durableId="1FB13237"/>
  <w16cid:commentId w16cid:paraId="21444191" w16cid:durableId="1FB13CF4"/>
  <w16cid:commentId w16cid:paraId="220B704E" w16cid:durableId="1FAE728D"/>
  <w16cid:commentId w16cid:paraId="0D3A2ED8" w16cid:durableId="1FB143B7"/>
  <w16cid:commentId w16cid:paraId="5D09ED80" w16cid:durableId="1FB26EA0"/>
  <w16cid:commentId w16cid:paraId="56ADBECF" w16cid:durableId="1FB25AF3"/>
  <w16cid:commentId w16cid:paraId="398EE4F2" w16cid:durableId="1FAD3061"/>
  <w16cid:commentId w16cid:paraId="493B9527" w16cid:durableId="1FB26BE1"/>
  <w16cid:commentId w16cid:paraId="1502C726" w16cid:durableId="1FAD4C7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05ADF" w14:textId="77777777" w:rsidR="00C90166" w:rsidRDefault="00C90166" w:rsidP="00746525">
      <w:pPr>
        <w:spacing w:after="0" w:line="240" w:lineRule="auto"/>
      </w:pPr>
      <w:r>
        <w:separator/>
      </w:r>
    </w:p>
  </w:endnote>
  <w:endnote w:type="continuationSeparator" w:id="0">
    <w:p w14:paraId="2115CFAD" w14:textId="77777777" w:rsidR="00C90166" w:rsidRDefault="00C90166"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I'48ﬁˇøÊ∞—">
    <w:altName w:val="Cambria"/>
    <w:panose1 w:val="00000000000000000000"/>
    <w:charset w:val="4D"/>
    <w:family w:val="auto"/>
    <w:notTrueType/>
    <w:pitch w:val="default"/>
    <w:sig w:usb0="00000003" w:usb1="00000000" w:usb2="00000000" w:usb3="00000000" w:csb0="00000001" w:csb1="00000000"/>
  </w:font>
  <w:font w:name="@필기체">
    <w:charset w:val="81"/>
    <w:family w:val="auto"/>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51C80" w14:textId="77777777" w:rsidR="001A1792" w:rsidRPr="00746525" w:rsidRDefault="001A1792" w:rsidP="00F72851">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D1AA5"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54</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4E800"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55</w:t>
    </w:r>
    <w:r w:rsidRPr="00746525">
      <w:rPr>
        <w:b/>
      </w:rPr>
      <w:fldChar w:fldCharType="end"/>
    </w:r>
    <w:r>
      <w:rPr>
        <w:b/>
      </w:rPr>
      <w:br/>
    </w:r>
    <w:r w:rsidRPr="00750441">
      <w:t>Mental Health Changes Over Time: a Longitudinal Perspective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E4A3"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0768" behindDoc="0" locked="1" layoutInCell="0" allowOverlap="1" wp14:anchorId="5D2960DF" wp14:editId="17764260">
              <wp:simplePos x="0" y="0"/>
              <wp:positionH relativeFrom="page">
                <wp:posOffset>358775</wp:posOffset>
              </wp:positionH>
              <wp:positionV relativeFrom="page">
                <wp:posOffset>685800</wp:posOffset>
              </wp:positionV>
              <wp:extent cx="2374265" cy="4608830"/>
              <wp:effectExtent l="0" t="0" r="3175" b="127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20C481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56</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D2960DF" id="_x0000_t202" coordsize="21600,21600" o:spt="202" path="m,l,21600r21600,l21600,xe">
              <v:stroke joinstyle="miter"/>
              <v:path gradientshapeok="t" o:connecttype="rect"/>
            </v:shapetype>
            <v:shape id="_x0000_s1101" type="#_x0000_t202" style="position:absolute;left:0;text-align:left;margin-left:28.25pt;margin-top:54pt;width:186.95pt;height:362.9pt;z-index:25168076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BeBQ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" o:allowincell="f" filled="f" stroked="f">
              <v:textbox style="layout-flow:vertical;mso-fit-shape-to-text:t" inset="0,0,0,0">
                <w:txbxContent>
                  <w:p w14:paraId="620C481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56</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E9255"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699200" behindDoc="0" locked="1" layoutInCell="0" allowOverlap="1" wp14:anchorId="2EDD1DEA" wp14:editId="73D166F5">
              <wp:simplePos x="0" y="0"/>
              <wp:positionH relativeFrom="page">
                <wp:posOffset>285750</wp:posOffset>
              </wp:positionH>
              <wp:positionV relativeFrom="page">
                <wp:posOffset>1117600</wp:posOffset>
              </wp:positionV>
              <wp:extent cx="429260" cy="4608195"/>
              <wp:effectExtent l="0" t="0" r="8890" b="1905"/>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18214F67"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57</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D1DEA" id="_x0000_t202" coordsize="21600,21600" o:spt="202" path="m,l,21600r21600,l21600,xe">
              <v:stroke joinstyle="miter"/>
              <v:path gradientshapeok="t" o:connecttype="rect"/>
            </v:shapetype>
            <v:shape id="_x0000_s1102" type="#_x0000_t202" style="position:absolute;margin-left:22.5pt;margin-top:88pt;width:33.8pt;height:362.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" o:allowincell="f" filled="f" stroked="f">
              <v:textbox style="layout-flow:vertical" inset="0,0,0,0">
                <w:txbxContent>
                  <w:p w14:paraId="18214F67"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57</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2C5A"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58</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7A0BD"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57</w:t>
    </w:r>
    <w:r w:rsidRPr="00746525">
      <w:rPr>
        <w:b/>
      </w:rPr>
      <w:fldChar w:fldCharType="end"/>
    </w:r>
    <w:r>
      <w:rPr>
        <w:b/>
      </w:rPr>
      <w:br/>
    </w:r>
    <w:r w:rsidRPr="00750441">
      <w:t>Mental Health Changes Over Time: a Longitudinal Perspective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F603D"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2816" behindDoc="0" locked="1" layoutInCell="0" allowOverlap="1" wp14:anchorId="4367B3C0" wp14:editId="7C679235">
              <wp:simplePos x="0" y="0"/>
              <wp:positionH relativeFrom="page">
                <wp:posOffset>358775</wp:posOffset>
              </wp:positionH>
              <wp:positionV relativeFrom="page">
                <wp:posOffset>685800</wp:posOffset>
              </wp:positionV>
              <wp:extent cx="2374265" cy="4608830"/>
              <wp:effectExtent l="0" t="0" r="3175" b="127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C2CC10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367B3C0" id="_x0000_t202" coordsize="21600,21600" o:spt="202" path="m,l,21600r21600,l21600,xe">
              <v:stroke joinstyle="miter"/>
              <v:path gradientshapeok="t" o:connecttype="rect"/>
            </v:shapetype>
            <v:shape id="_x0000_s1103" type="#_x0000_t202" style="position:absolute;left:0;text-align:left;margin-left:28.25pt;margin-top:54pt;width:186.95pt;height:362.9pt;z-index:2516828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OUBw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" o:allowincell="f" filled="f" stroked="f">
              <v:textbox style="layout-flow:vertical;mso-fit-shape-to-text:t" inset="0,0,0,0">
                <w:txbxContent>
                  <w:p w14:paraId="1C2CC10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08214"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01248" behindDoc="0" locked="1" layoutInCell="0" allowOverlap="1" wp14:anchorId="2C60E3B5" wp14:editId="1C0C5253">
              <wp:simplePos x="0" y="0"/>
              <wp:positionH relativeFrom="page">
                <wp:posOffset>285750</wp:posOffset>
              </wp:positionH>
              <wp:positionV relativeFrom="page">
                <wp:posOffset>1117600</wp:posOffset>
              </wp:positionV>
              <wp:extent cx="429260" cy="4608195"/>
              <wp:effectExtent l="0" t="0" r="8890" b="1905"/>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1A453589"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59</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0E3B5" id="_x0000_t202" coordsize="21600,21600" o:spt="202" path="m,l,21600r21600,l21600,xe">
              <v:stroke joinstyle="miter"/>
              <v:path gradientshapeok="t" o:connecttype="rect"/>
            </v:shapetype>
            <v:shape id="_x0000_s1104" type="#_x0000_t202" style="position:absolute;margin-left:22.5pt;margin-top:88pt;width:33.8pt;height:362.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" o:allowincell="f" filled="f" stroked="f">
              <v:textbox style="layout-flow:vertical" inset="0,0,0,0">
                <w:txbxContent>
                  <w:p w14:paraId="1A453589"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59</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3C355"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60</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4E8E2"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59</w:t>
    </w:r>
    <w:r w:rsidRPr="00746525">
      <w:rPr>
        <w:b/>
      </w:rPr>
      <w:fldChar w:fldCharType="end"/>
    </w:r>
    <w:r>
      <w:rPr>
        <w:b/>
      </w:rPr>
      <w:br/>
    </w:r>
    <w:r w:rsidRPr="00750441">
      <w:t>Mental Health Changes Over Time: a Longitudinal Perspective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6E7BE" w14:textId="77777777" w:rsidR="001A1792" w:rsidRPr="00746525" w:rsidRDefault="001A1792" w:rsidP="00CA4443">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27528">
      <w:rPr>
        <w:b/>
        <w:color w:val="720829"/>
      </w:rPr>
      <w:t>iv</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A2B9"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4864" behindDoc="0" locked="1" layoutInCell="0" allowOverlap="1" wp14:anchorId="1FBEFD24" wp14:editId="7D021063">
              <wp:simplePos x="0" y="0"/>
              <wp:positionH relativeFrom="page">
                <wp:posOffset>358775</wp:posOffset>
              </wp:positionH>
              <wp:positionV relativeFrom="page">
                <wp:posOffset>685800</wp:posOffset>
              </wp:positionV>
              <wp:extent cx="2374265" cy="4608830"/>
              <wp:effectExtent l="0" t="0" r="3175" b="127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BEEA5B1"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60</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FBEFD24" id="_x0000_t202" coordsize="21600,21600" o:spt="202" path="m,l,21600r21600,l21600,xe">
              <v:stroke joinstyle="miter"/>
              <v:path gradientshapeok="t" o:connecttype="rect"/>
            </v:shapetype>
            <v:shape id="_x0000_s1105" type="#_x0000_t202" style="position:absolute;left:0;text-align:left;margin-left:28.25pt;margin-top:54pt;width:186.95pt;height:362.9pt;z-index:2516848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daBg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" o:allowincell="f" filled="f" stroked="f">
              <v:textbox style="layout-flow:vertical;mso-fit-shape-to-text:t" inset="0,0,0,0">
                <w:txbxContent>
                  <w:p w14:paraId="2BEEA5B1"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60</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0746"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03296" behindDoc="0" locked="1" layoutInCell="0" allowOverlap="1" wp14:anchorId="533B9CA7" wp14:editId="30F581B8">
              <wp:simplePos x="0" y="0"/>
              <wp:positionH relativeFrom="page">
                <wp:posOffset>285750</wp:posOffset>
              </wp:positionH>
              <wp:positionV relativeFrom="page">
                <wp:posOffset>1117600</wp:posOffset>
              </wp:positionV>
              <wp:extent cx="429260" cy="4608195"/>
              <wp:effectExtent l="0" t="0" r="8890" b="190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1A15A0A6"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61</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3B9CA7" id="_x0000_t202" coordsize="21600,21600" o:spt="202" path="m,l,21600r21600,l21600,xe">
              <v:stroke joinstyle="miter"/>
              <v:path gradientshapeok="t" o:connecttype="rect"/>
            </v:shapetype>
            <v:shape id="_x0000_s1106" type="#_x0000_t202" style="position:absolute;margin-left:22.5pt;margin-top:88pt;width:33.8pt;height:362.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" o:allowincell="f" filled="f" stroked="f">
              <v:textbox style="layout-flow:vertical" inset="0,0,0,0">
                <w:txbxContent>
                  <w:p w14:paraId="1A15A0A6"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61</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E134"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92</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83D02"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93</w:t>
    </w:r>
    <w:r w:rsidRPr="00746525">
      <w:rPr>
        <w:b/>
      </w:rPr>
      <w:fldChar w:fldCharType="end"/>
    </w:r>
    <w:r>
      <w:rPr>
        <w:b/>
      </w:rPr>
      <w:br/>
    </w:r>
    <w:r w:rsidRPr="00750441">
      <w:t>Mental Health Changes Over Time: a Longitudinal Perspective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DF13"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6912" behindDoc="0" locked="1" layoutInCell="0" allowOverlap="1" wp14:anchorId="557E3B85" wp14:editId="66BE48B0">
              <wp:simplePos x="0" y="0"/>
              <wp:positionH relativeFrom="page">
                <wp:posOffset>358775</wp:posOffset>
              </wp:positionH>
              <wp:positionV relativeFrom="page">
                <wp:posOffset>685800</wp:posOffset>
              </wp:positionV>
              <wp:extent cx="2374265" cy="4608830"/>
              <wp:effectExtent l="0" t="0" r="3175" b="127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01F35E9"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94</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57E3B85" id="_x0000_t202" coordsize="21600,21600" o:spt="202" path="m,l,21600r21600,l21600,xe">
              <v:stroke joinstyle="miter"/>
              <v:path gradientshapeok="t" o:connecttype="rect"/>
            </v:shapetype>
            <v:shape id="_x0000_s1107" type="#_x0000_t202" style="position:absolute;left:0;text-align:left;margin-left:28.25pt;margin-top:54pt;width:186.95pt;height:362.9pt;z-index:2516869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" o:allowincell="f" filled="f" stroked="f">
              <v:textbox style="layout-flow:vertical;mso-fit-shape-to-text:t" inset="0,0,0,0">
                <w:txbxContent>
                  <w:p w14:paraId="601F35E9"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94</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FC635"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05344" behindDoc="0" locked="1" layoutInCell="0" allowOverlap="1" wp14:anchorId="2CF76CF1" wp14:editId="2B1B2DB2">
              <wp:simplePos x="0" y="0"/>
              <wp:positionH relativeFrom="page">
                <wp:posOffset>285750</wp:posOffset>
              </wp:positionH>
              <wp:positionV relativeFrom="page">
                <wp:posOffset>1117600</wp:posOffset>
              </wp:positionV>
              <wp:extent cx="429260" cy="4608195"/>
              <wp:effectExtent l="0" t="0" r="8890" b="1905"/>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216F697F"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95</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76CF1" id="_x0000_t202" coordsize="21600,21600" o:spt="202" path="m,l,21600r21600,l21600,xe">
              <v:stroke joinstyle="miter"/>
              <v:path gradientshapeok="t" o:connecttype="rect"/>
            </v:shapetype>
            <v:shape id="_x0000_s1108" type="#_x0000_t202" style="position:absolute;margin-left:22.5pt;margin-top:88pt;width:33.8pt;height:362.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" o:allowincell="f" filled="f" stroked="f">
              <v:textbox style="layout-flow:vertical" inset="0,0,0,0">
                <w:txbxContent>
                  <w:p w14:paraId="216F697F"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95</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EFEBF"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120</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02A16"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121</w:t>
    </w:r>
    <w:r w:rsidRPr="00746525">
      <w:rPr>
        <w:b/>
      </w:rPr>
      <w:fldChar w:fldCharType="end"/>
    </w:r>
    <w:r>
      <w:rPr>
        <w:b/>
      </w:rPr>
      <w:br/>
    </w:r>
    <w:r w:rsidRPr="00750441">
      <w:t>Mental Health Changes Over Time: a Longitudinal Perspective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3EC2"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8960" behindDoc="0" locked="1" layoutInCell="0" allowOverlap="1" wp14:anchorId="4CB4DED4" wp14:editId="51D54AB3">
              <wp:simplePos x="0" y="0"/>
              <wp:positionH relativeFrom="page">
                <wp:posOffset>358775</wp:posOffset>
              </wp:positionH>
              <wp:positionV relativeFrom="page">
                <wp:posOffset>685800</wp:posOffset>
              </wp:positionV>
              <wp:extent cx="2374265" cy="4608830"/>
              <wp:effectExtent l="0" t="0" r="3175" b="127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468AD5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124</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CB4DED4" id="_x0000_t202" coordsize="21600,21600" o:spt="202" path="m,l,21600r21600,l21600,xe">
              <v:stroke joinstyle="miter"/>
              <v:path gradientshapeok="t" o:connecttype="rect"/>
            </v:shapetype>
            <v:shape id="_x0000_s1109" type="#_x0000_t202" style="position:absolute;left:0;text-align:left;margin-left:28.25pt;margin-top:54pt;width:186.95pt;height:362.9pt;z-index:2516889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wBwIAAO0DAAAOAAAAZHJzL2Uyb0RvYy54bWysU9uO2yAQfa/Uf0C8N3ayS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" o:allowincell="f" filled="f" stroked="f">
              <v:textbox style="layout-flow:vertical;mso-fit-shape-to-text:t" inset="0,0,0,0">
                <w:txbxContent>
                  <w:p w14:paraId="0468AD55"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124</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24FE"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07392" behindDoc="0" locked="1" layoutInCell="0" allowOverlap="1" wp14:anchorId="7E9F8D24" wp14:editId="49F68F4B">
              <wp:simplePos x="0" y="0"/>
              <wp:positionH relativeFrom="page">
                <wp:posOffset>285750</wp:posOffset>
              </wp:positionH>
              <wp:positionV relativeFrom="page">
                <wp:posOffset>1117600</wp:posOffset>
              </wp:positionV>
              <wp:extent cx="429260" cy="4608195"/>
              <wp:effectExtent l="0" t="0" r="8890" b="190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0834D884"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123</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F8D24" id="_x0000_t202" coordsize="21600,21600" o:spt="202" path="m,l,21600r21600,l21600,xe">
              <v:stroke joinstyle="miter"/>
              <v:path gradientshapeok="t" o:connecttype="rect"/>
            </v:shapetype>
            <v:shape id="_x0000_s1110" type="#_x0000_t202" style="position:absolute;margin-left:22.5pt;margin-top:88pt;width:33.8pt;height:362.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" o:allowincell="f" filled="f" stroked="f">
              <v:textbox style="layout-flow:vertical" inset="0,0,0,0">
                <w:txbxContent>
                  <w:p w14:paraId="0834D884"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123</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73E33" w14:textId="77777777" w:rsidR="001A1792" w:rsidRDefault="001A1792" w:rsidP="00746525">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27528">
      <w:rPr>
        <w:b/>
      </w:rPr>
      <w:t>iii</w:t>
    </w:r>
    <w:r w:rsidRPr="00746525">
      <w:rPr>
        <w:b/>
      </w:rPr>
      <w:fldChar w:fldCharType="end"/>
    </w:r>
    <w:r>
      <w:rPr>
        <w:b/>
      </w:rPr>
      <w:br/>
    </w:r>
    <w:r w:rsidRPr="00750441">
      <w:t>Mental Health Changes Over Time: a Longitudinal Perspective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8F3C6"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126</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3B268" w14:textId="77777777" w:rsidR="001A1792" w:rsidRDefault="001A1792" w:rsidP="00CC068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125</w:t>
    </w:r>
    <w:r w:rsidRPr="00746525">
      <w:rPr>
        <w:b/>
      </w:rPr>
      <w:fldChar w:fldCharType="end"/>
    </w:r>
    <w:r>
      <w:rPr>
        <w:b/>
      </w:rPr>
      <w:br/>
    </w:r>
    <w:r w:rsidRPr="00750441">
      <w:t>Mental Health Changes Over Time: a Longitudinal Perspective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EA294"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1008" behindDoc="0" locked="1" layoutInCell="0" allowOverlap="1" wp14:anchorId="12E41BC5" wp14:editId="540A2124">
              <wp:simplePos x="0" y="0"/>
              <wp:positionH relativeFrom="page">
                <wp:posOffset>358775</wp:posOffset>
              </wp:positionH>
              <wp:positionV relativeFrom="page">
                <wp:posOffset>685800</wp:posOffset>
              </wp:positionV>
              <wp:extent cx="2374265" cy="4608830"/>
              <wp:effectExtent l="0" t="0" r="3175" b="127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292321E"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128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2E41BC5" id="_x0000_t202" coordsize="21600,21600" o:spt="202" path="m,l,21600r21600,l21600,xe">
              <v:stroke joinstyle="miter"/>
              <v:path gradientshapeok="t" o:connecttype="rect"/>
            </v:shapetype>
            <v:shape id="_x0000_s1111" type="#_x0000_t202" style="position:absolute;left:0;text-align:left;margin-left:28.25pt;margin-top:54pt;width:186.95pt;height:362.9pt;z-index:2516910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mpBwIAAO0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" o:allowincell="f" filled="f" stroked="f">
              <v:textbox style="layout-flow:vertical;mso-fit-shape-to-text:t" inset="0,0,0,0">
                <w:txbxContent>
                  <w:p w14:paraId="6292321E"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128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736EE"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09440" behindDoc="0" locked="1" layoutInCell="0" allowOverlap="1" wp14:anchorId="23A65459" wp14:editId="3EFE8DE2">
              <wp:simplePos x="0" y="0"/>
              <wp:positionH relativeFrom="page">
                <wp:posOffset>285750</wp:posOffset>
              </wp:positionH>
              <wp:positionV relativeFrom="page">
                <wp:posOffset>1117600</wp:posOffset>
              </wp:positionV>
              <wp:extent cx="429260" cy="4608195"/>
              <wp:effectExtent l="0" t="0" r="8890" b="1905"/>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28023E43"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127</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65459" id="_x0000_t202" coordsize="21600,21600" o:spt="202" path="m,l,21600r21600,l21600,xe">
              <v:stroke joinstyle="miter"/>
              <v:path gradientshapeok="t" o:connecttype="rect"/>
            </v:shapetype>
            <v:shape id="_x0000_s1112" type="#_x0000_t202" style="position:absolute;margin-left:22.5pt;margin-top:88pt;width:33.8pt;height:362.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" o:allowincell="f" filled="f" stroked="f">
              <v:textbox style="layout-flow:vertical" inset="0,0,0,0">
                <w:txbxContent>
                  <w:p w14:paraId="28023E43"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127</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BFA18" w14:textId="77777777" w:rsidR="001A1792" w:rsidRPr="00746525" w:rsidRDefault="001A1792" w:rsidP="00ED05E6">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130</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ECA71"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129</w:t>
    </w:r>
    <w:r w:rsidRPr="00746525">
      <w:rPr>
        <w:b/>
      </w:rPr>
      <w:fldChar w:fldCharType="end"/>
    </w:r>
    <w:r>
      <w:rPr>
        <w:b/>
      </w:rPr>
      <w:br/>
    </w:r>
    <w:r w:rsidRPr="00750441">
      <w:t>Mental Health Changes Over Time: a Longitudinal Perspective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BC125" w14:textId="77777777" w:rsidR="001A1792" w:rsidRPr="00746525" w:rsidRDefault="001A1792" w:rsidP="00294C1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3056" behindDoc="0" locked="1" layoutInCell="0" allowOverlap="1" wp14:anchorId="4695EFBE" wp14:editId="011B214C">
              <wp:simplePos x="0" y="0"/>
              <wp:positionH relativeFrom="page">
                <wp:posOffset>358775</wp:posOffset>
              </wp:positionH>
              <wp:positionV relativeFrom="page">
                <wp:posOffset>685800</wp:posOffset>
              </wp:positionV>
              <wp:extent cx="2374265" cy="4608830"/>
              <wp:effectExtent l="0" t="0" r="3175" b="127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8052394"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132</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695EFBE" id="_x0000_t202" coordsize="21600,21600" o:spt="202" path="m,l,21600r21600,l21600,xe">
              <v:stroke joinstyle="miter"/>
              <v:path gradientshapeok="t" o:connecttype="rect"/>
            </v:shapetype>
            <v:shape id="_x0000_s1113" type="#_x0000_t202" style="position:absolute;left:0;text-align:left;margin-left:28.25pt;margin-top:54pt;width:186.95pt;height:362.9pt;z-index:2516930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WSBwIAAO0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" o:allowincell="f" filled="f" stroked="f">
              <v:textbox style="layout-flow:vertical;mso-fit-shape-to-text:t" inset="0,0,0,0">
                <w:txbxContent>
                  <w:p w14:paraId="28052394" w14:textId="77777777" w:rsidR="001A1792" w:rsidRPr="00746525" w:rsidRDefault="001A1792" w:rsidP="00294C1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132</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72FF4"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711488" behindDoc="0" locked="1" layoutInCell="0" allowOverlap="1" wp14:anchorId="08D908D9" wp14:editId="09353511">
              <wp:simplePos x="0" y="0"/>
              <wp:positionH relativeFrom="page">
                <wp:posOffset>285750</wp:posOffset>
              </wp:positionH>
              <wp:positionV relativeFrom="page">
                <wp:posOffset>1117600</wp:posOffset>
              </wp:positionV>
              <wp:extent cx="429260" cy="4608195"/>
              <wp:effectExtent l="0" t="0" r="8890" b="1905"/>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7D039AC5"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131</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908D9" id="_x0000_t202" coordsize="21600,21600" o:spt="202" path="m,l,21600r21600,l21600,xe">
              <v:stroke joinstyle="miter"/>
              <v:path gradientshapeok="t" o:connecttype="rect"/>
            </v:shapetype>
            <v:shape id="_x0000_s1114" type="#_x0000_t202" style="position:absolute;margin-left:22.5pt;margin-top:88pt;width:33.8pt;height:362.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" o:allowincell="f" filled="f" stroked="f">
              <v:textbox style="layout-flow:vertical" inset="0,0,0,0">
                <w:txbxContent>
                  <w:p w14:paraId="7D039AC5"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131</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BE0C"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164</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A6A2"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163</w:t>
    </w:r>
    <w:r w:rsidRPr="00746525">
      <w:rPr>
        <w:b/>
      </w:rPr>
      <w:fldChar w:fldCharType="end"/>
    </w:r>
    <w:r>
      <w:rPr>
        <w:b/>
      </w:rPr>
      <w:br/>
    </w:r>
    <w:r w:rsidRPr="00750441">
      <w:t>Mental Health Changes Over Time: a Longitudinal Perspective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E9E55" w14:textId="77777777" w:rsidR="001A1792" w:rsidRPr="00746525" w:rsidRDefault="001A1792" w:rsidP="001E395F">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6672" behindDoc="0" locked="1" layoutInCell="0" allowOverlap="1" wp14:anchorId="5D1AC8BD" wp14:editId="6793F518">
              <wp:simplePos x="0" y="0"/>
              <wp:positionH relativeFrom="page">
                <wp:posOffset>358775</wp:posOffset>
              </wp:positionH>
              <wp:positionV relativeFrom="page">
                <wp:posOffset>685800</wp:posOffset>
              </wp:positionV>
              <wp:extent cx="2374265" cy="4608830"/>
              <wp:effectExtent l="0" t="0" r="317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4ED2E6C8" w14:textId="77777777" w:rsidR="001A1792" w:rsidRPr="00746525" w:rsidRDefault="001A1792" w:rsidP="001E395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48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D1AC8BD" id="_x0000_t202" coordsize="21600,21600" o:spt="202" path="m,l,21600r21600,l21600,xe">
              <v:stroke joinstyle="miter"/>
              <v:path gradientshapeok="t" o:connecttype="rect"/>
            </v:shapetype>
            <v:shape id="Text Box 2" o:spid="_x0000_s1097" type="#_x0000_t202" style="position:absolute;left:0;text-align:left;margin-left:28.25pt;margin-top:54pt;width:186.95pt;height:362.9pt;z-index:25167667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" o:allowincell="f" filled="f" stroked="f">
              <v:textbox style="layout-flow:vertical;mso-fit-shape-to-text:t" inset="0,0,0,0">
                <w:txbxContent>
                  <w:p w14:paraId="4ED2E6C8" w14:textId="77777777" w:rsidR="001A1792" w:rsidRPr="00746525" w:rsidRDefault="001A1792" w:rsidP="001E395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48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80CBC" w14:textId="77777777" w:rsidR="001A1792" w:rsidRPr="00746525" w:rsidRDefault="001A1792" w:rsidP="00160459">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5584" behindDoc="0" locked="1" layoutInCell="0" allowOverlap="1" wp14:anchorId="5941900C" wp14:editId="43400DC3">
              <wp:simplePos x="0" y="0"/>
              <wp:positionH relativeFrom="page">
                <wp:posOffset>358775</wp:posOffset>
              </wp:positionH>
              <wp:positionV relativeFrom="page">
                <wp:posOffset>685800</wp:posOffset>
              </wp:positionV>
              <wp:extent cx="2374265" cy="4608830"/>
              <wp:effectExtent l="0" t="0" r="317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18FBEEB" w14:textId="77777777" w:rsidR="001A1792" w:rsidRPr="00746525" w:rsidRDefault="001A1792" w:rsidP="0016045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941900C" id="_x0000_t202" coordsize="21600,21600" o:spt="202" path="m,l,21600r21600,l21600,xe">
              <v:stroke joinstyle="miter"/>
              <v:path gradientshapeok="t" o:connecttype="rect"/>
            </v:shapetype>
            <v:shape id="_x0000_s1115" type="#_x0000_t202" style="position:absolute;left:0;text-align:left;margin-left:28.25pt;margin-top:54pt;width:186.95pt;height:362.9pt;z-index:2517155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" o:allowincell="f" filled="f" stroked="f">
              <v:textbox style="layout-flow:vertical;mso-fit-shape-to-text:t" inset="0,0,0,0">
                <w:txbxContent>
                  <w:p w14:paraId="018FBEEB" w14:textId="77777777" w:rsidR="001A1792" w:rsidRPr="00746525" w:rsidRDefault="001A1792" w:rsidP="0016045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168</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E110A" w14:textId="77777777" w:rsidR="001A1792" w:rsidRDefault="001A1792" w:rsidP="00160459">
    <w:pPr>
      <w:pStyle w:val="Footer"/>
      <w:pBdr>
        <w:top w:val="none" w:sz="0" w:space="0" w:color="auto"/>
      </w:pBdr>
    </w:pPr>
    <w:r>
      <w:rPr>
        <w:lang w:eastAsia="en-AU"/>
      </w:rPr>
      <mc:AlternateContent>
        <mc:Choice Requires="wps">
          <w:drawing>
            <wp:anchor distT="0" distB="0" distL="114300" distR="114300" simplePos="0" relativeHeight="251717632" behindDoc="0" locked="1" layoutInCell="0" allowOverlap="1" wp14:anchorId="0B5CDB7E" wp14:editId="045D2899">
              <wp:simplePos x="0" y="0"/>
              <wp:positionH relativeFrom="page">
                <wp:posOffset>285750</wp:posOffset>
              </wp:positionH>
              <wp:positionV relativeFrom="page">
                <wp:posOffset>1117600</wp:posOffset>
              </wp:positionV>
              <wp:extent cx="429260" cy="4608195"/>
              <wp:effectExtent l="0" t="0" r="889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33C6E2C1" w14:textId="77777777" w:rsidR="001A1792" w:rsidRDefault="001A1792" w:rsidP="00160459">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165</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CDB7E" id="_x0000_t202" coordsize="21600,21600" o:spt="202" path="m,l,21600r21600,l21600,xe">
              <v:stroke joinstyle="miter"/>
              <v:path gradientshapeok="t" o:connecttype="rect"/>
            </v:shapetype>
            <v:shape id="_x0000_s1116" type="#_x0000_t202" style="position:absolute;margin-left:22.5pt;margin-top:88pt;width:33.8pt;height:362.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" o:allowincell="f" filled="f" stroked="f">
              <v:textbox style="layout-flow:vertical" inset="0,0,0,0">
                <w:txbxContent>
                  <w:p w14:paraId="33C6E2C1" w14:textId="77777777" w:rsidR="001A1792" w:rsidRDefault="001A1792" w:rsidP="00160459">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165</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1E606" w14:textId="77777777" w:rsidR="001A1792" w:rsidRPr="00746525" w:rsidRDefault="001A1792" w:rsidP="00DD24A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260</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BD12"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261</w:t>
    </w:r>
    <w:r w:rsidRPr="00746525">
      <w:rPr>
        <w:b/>
      </w:rPr>
      <w:fldChar w:fldCharType="end"/>
    </w:r>
    <w:r>
      <w:rPr>
        <w:b/>
      </w:rPr>
      <w:br/>
    </w:r>
    <w:r w:rsidRPr="00750441">
      <w:t>Mental Health Changes Over Time: a Longitudinal Perspective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2BCA" w14:textId="77777777" w:rsidR="001A1792" w:rsidRDefault="001A1792" w:rsidP="001E395F">
    <w:pPr>
      <w:pStyle w:val="Footer"/>
      <w:pBdr>
        <w:top w:val="none" w:sz="0" w:space="0" w:color="auto"/>
      </w:pBdr>
    </w:pPr>
    <w:r>
      <w:rPr>
        <w:lang w:eastAsia="en-AU"/>
      </w:rPr>
      <mc:AlternateContent>
        <mc:Choice Requires="wps">
          <w:drawing>
            <wp:anchor distT="0" distB="0" distL="114300" distR="114300" simplePos="0" relativeHeight="251678720" behindDoc="0" locked="1" layoutInCell="0" allowOverlap="1" wp14:anchorId="322E82EB" wp14:editId="3D614C1C">
              <wp:simplePos x="0" y="0"/>
              <wp:positionH relativeFrom="page">
                <wp:posOffset>285750</wp:posOffset>
              </wp:positionH>
              <wp:positionV relativeFrom="page">
                <wp:posOffset>1117600</wp:posOffset>
              </wp:positionV>
              <wp:extent cx="429260" cy="4608195"/>
              <wp:effectExtent l="0" t="0" r="8890" b="19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08863F8F" w14:textId="77777777" w:rsidR="001A1792" w:rsidRDefault="001A1792" w:rsidP="001E395F">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49</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E82EB" id="_x0000_t202" coordsize="21600,21600" o:spt="202" path="m,l,21600r21600,l21600,xe">
              <v:stroke joinstyle="miter"/>
              <v:path gradientshapeok="t" o:connecttype="rect"/>
            </v:shapetype>
            <v:shape id="_x0000_s1098" type="#_x0000_t202" style="position:absolute;margin-left:22.5pt;margin-top:88pt;width:33.8pt;height:36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" o:allowincell="f" filled="f" stroked="f">
              <v:textbox style="layout-flow:vertical" inset="0,0,0,0">
                <w:txbxContent>
                  <w:p w14:paraId="08863F8F" w14:textId="77777777" w:rsidR="001A1792" w:rsidRDefault="001A1792" w:rsidP="001E395F">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49</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300F6" w14:textId="77777777" w:rsidR="001A1792" w:rsidRPr="00746525" w:rsidRDefault="001A1792" w:rsidP="00CA4443">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50</w:t>
    </w:r>
    <w:r w:rsidRPr="00E14F7B">
      <w:rPr>
        <w:b/>
        <w:color w:val="720829"/>
      </w:rPr>
      <w:fldChar w:fldCharType="end"/>
    </w:r>
    <w:r>
      <w:rPr>
        <w:b/>
        <w:color w:val="720829"/>
      </w:rPr>
      <w:tab/>
    </w:r>
    <w:r w:rsidRPr="00746525">
      <w:rPr>
        <w:b/>
        <w:color w:val="720829"/>
      </w:rPr>
      <w:t>TRANSITION AND WELLBEING RESEARCH PROGRAMME</w:t>
    </w:r>
    <w:r>
      <w:rPr>
        <w:b/>
        <w:color w:val="720829"/>
      </w:rPr>
      <w:b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CECF2" w14:textId="77777777" w:rsidR="001A1792" w:rsidRDefault="001A1792" w:rsidP="00DD24A8">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62373">
      <w:rPr>
        <w:b/>
      </w:rPr>
      <w:t>51</w:t>
    </w:r>
    <w:r w:rsidRPr="00746525">
      <w:rPr>
        <w:b/>
      </w:rPr>
      <w:fldChar w:fldCharType="end"/>
    </w:r>
    <w:r>
      <w:rPr>
        <w:b/>
      </w:rPr>
      <w:br/>
    </w:r>
    <w:r w:rsidRPr="00750441">
      <w:t>Mental Health Changes Over Time: a Longitudinal Perspective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AB9E" w14:textId="77777777" w:rsidR="001A1792" w:rsidRPr="00746525" w:rsidRDefault="001A1792" w:rsidP="00DD24A8">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3536" behindDoc="0" locked="1" layoutInCell="0" allowOverlap="1" wp14:anchorId="58B1A6BC" wp14:editId="32566EF6">
              <wp:simplePos x="0" y="0"/>
              <wp:positionH relativeFrom="page">
                <wp:posOffset>358775</wp:posOffset>
              </wp:positionH>
              <wp:positionV relativeFrom="page">
                <wp:posOffset>685800</wp:posOffset>
              </wp:positionV>
              <wp:extent cx="2374265" cy="4608830"/>
              <wp:effectExtent l="0" t="0" r="3175" b="127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75EEF3E" w14:textId="77777777" w:rsidR="001A1792" w:rsidRPr="00746525" w:rsidRDefault="001A1792" w:rsidP="00DD24A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52</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8B1A6BC" id="_x0000_t202" coordsize="21600,21600" o:spt="202" path="m,l,21600r21600,l21600,xe">
              <v:stroke joinstyle="miter"/>
              <v:path gradientshapeok="t" o:connecttype="rect"/>
            </v:shapetype>
            <v:shape id="_x0000_s1099" type="#_x0000_t202" style="position:absolute;left:0;text-align:left;margin-left:28.25pt;margin-top:54pt;width:186.95pt;height:362.9pt;z-index:25171353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" o:allowincell="f" filled="f" stroked="f">
              <v:textbox style="layout-flow:vertical;mso-fit-shape-to-text:t" inset="0,0,0,0">
                <w:txbxContent>
                  <w:p w14:paraId="575EEF3E" w14:textId="77777777" w:rsidR="001A1792" w:rsidRPr="00746525" w:rsidRDefault="001A1792" w:rsidP="00DD24A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62373">
                      <w:rPr>
                        <w:b/>
                        <w:color w:val="720829"/>
                      </w:rPr>
                      <w:t>52</w:t>
                    </w:r>
                    <w:r w:rsidRPr="00E14F7B">
                      <w:rPr>
                        <w:b/>
                        <w:color w:val="720829"/>
                      </w:rPr>
                      <w:fldChar w:fldCharType="end"/>
                    </w:r>
                    <w:r>
                      <w:rPr>
                        <w:b/>
                        <w:color w:val="720829"/>
                      </w:rPr>
                      <w:tab/>
                    </w:r>
                    <w:r w:rsidRPr="00746525">
                      <w:rPr>
                        <w:b/>
                        <w:color w:val="720829"/>
                      </w:rPr>
                      <w:t>TRANSITION AND WELLBEING RESEARCH PROGRAMME</w:t>
                    </w:r>
                    <w:r>
                      <w:rPr>
                        <w:b/>
                        <w:color w:val="720829"/>
                      </w:rPr>
                      <w:br/>
                    </w:r>
                  </w:p>
                </w:txbxContent>
              </v:textbox>
              <w10:wrap anchorx="page" anchory="page"/>
              <w10:anchorlock/>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91D71" w14:textId="77777777" w:rsidR="001A1792" w:rsidRDefault="001A1792" w:rsidP="00294C13">
    <w:pPr>
      <w:pStyle w:val="Footer"/>
      <w:pBdr>
        <w:top w:val="none" w:sz="0" w:space="0" w:color="auto"/>
      </w:pBdr>
    </w:pPr>
    <w:r>
      <w:rPr>
        <w:lang w:eastAsia="en-AU"/>
      </w:rPr>
      <mc:AlternateContent>
        <mc:Choice Requires="wps">
          <w:drawing>
            <wp:anchor distT="0" distB="0" distL="114300" distR="114300" simplePos="0" relativeHeight="251695104" behindDoc="0" locked="1" layoutInCell="0" allowOverlap="1" wp14:anchorId="38EBA617" wp14:editId="434F8836">
              <wp:simplePos x="0" y="0"/>
              <wp:positionH relativeFrom="page">
                <wp:posOffset>285750</wp:posOffset>
              </wp:positionH>
              <wp:positionV relativeFrom="page">
                <wp:posOffset>1117600</wp:posOffset>
              </wp:positionV>
              <wp:extent cx="429260" cy="4608195"/>
              <wp:effectExtent l="0" t="0" r="8890" b="190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4608195"/>
                      </a:xfrm>
                      <a:prstGeom prst="rect">
                        <a:avLst/>
                      </a:prstGeom>
                      <a:noFill/>
                      <a:ln w="9525">
                        <a:noFill/>
                        <a:miter lim="800000"/>
                        <a:headEnd/>
                        <a:tailEnd/>
                      </a:ln>
                    </wps:spPr>
                    <wps:txbx>
                      <w:txbxContent>
                        <w:p w14:paraId="3C779C96"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53</w:t>
                          </w:r>
                          <w:r w:rsidRPr="00746525">
                            <w:rPr>
                              <w:b/>
                            </w:rPr>
                            <w:fldChar w:fldCharType="end"/>
                          </w:r>
                          <w:r>
                            <w:rPr>
                              <w:b/>
                            </w:rPr>
                            <w:br/>
                          </w:r>
                          <w:r w:rsidRPr="00750441">
                            <w:t>Mental Health Changes Over Time: a Longitudinal Perspective</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BA617" id="_x0000_t202" coordsize="21600,21600" o:spt="202" path="m,l,21600r21600,l21600,xe">
              <v:stroke joinstyle="miter"/>
              <v:path gradientshapeok="t" o:connecttype="rect"/>
            </v:shapetype>
            <v:shape id="_x0000_s1100" type="#_x0000_t202" style="position:absolute;margin-left:22.5pt;margin-top:88pt;width:33.8pt;height:362.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" o:allowincell="f" filled="f" stroked="f">
              <v:textbox style="layout-flow:vertical" inset="0,0,0,0">
                <w:txbxContent>
                  <w:p w14:paraId="3C779C96" w14:textId="77777777" w:rsidR="001A1792" w:rsidRDefault="001A1792" w:rsidP="00294C13">
                    <w:pPr>
                      <w:pStyle w:val="Footer"/>
                    </w:pPr>
                    <w:r w:rsidRPr="00746525">
                      <w:t xml:space="preserve">MENTAL HEALTH AND WELLBEING TRANSITION STUDY: </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53</w:t>
                    </w:r>
                    <w:r w:rsidRPr="00746525">
                      <w:rPr>
                        <w:b/>
                      </w:rPr>
                      <w:fldChar w:fldCharType="end"/>
                    </w:r>
                    <w:r>
                      <w:rPr>
                        <w:b/>
                      </w:rPr>
                      <w:br/>
                    </w:r>
                    <w:r w:rsidRPr="00750441">
                      <w:t>Mental Health Changes Over Time: a Longitudinal Perspective</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FB9B9" w14:textId="77777777" w:rsidR="00C90166" w:rsidRDefault="00C90166" w:rsidP="00746525">
      <w:pPr>
        <w:spacing w:after="0" w:line="240" w:lineRule="auto"/>
      </w:pPr>
      <w:r>
        <w:separator/>
      </w:r>
    </w:p>
  </w:footnote>
  <w:footnote w:type="continuationSeparator" w:id="0">
    <w:p w14:paraId="68DBB2EA" w14:textId="77777777" w:rsidR="00C90166" w:rsidRDefault="00C90166" w:rsidP="007465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D6E7E"/>
    <w:multiLevelType w:val="hybridMultilevel"/>
    <w:tmpl w:val="B78CE692"/>
    <w:lvl w:ilvl="0" w:tplc="356AB5B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A61C4"/>
    <w:multiLevelType w:val="multilevel"/>
    <w:tmpl w:val="1D2098A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75F64D5"/>
    <w:multiLevelType w:val="hybridMultilevel"/>
    <w:tmpl w:val="F87C552E"/>
    <w:lvl w:ilvl="0" w:tplc="C41C0458">
      <w:start w:val="1"/>
      <w:numFmt w:val="bullet"/>
      <w:lvlText w:val=""/>
      <w:lvlJc w:val="left"/>
      <w:pPr>
        <w:ind w:left="720" w:hanging="360"/>
      </w:pPr>
      <w:rPr>
        <w:rFonts w:ascii="Symbol" w:hAnsi="Symbol" w:hint="default"/>
      </w:rPr>
    </w:lvl>
    <w:lvl w:ilvl="1" w:tplc="C41C045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6322AC"/>
    <w:multiLevelType w:val="hybridMultilevel"/>
    <w:tmpl w:val="E5C2095A"/>
    <w:lvl w:ilvl="0" w:tplc="180259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27005E"/>
    <w:multiLevelType w:val="hybridMultilevel"/>
    <w:tmpl w:val="29CA994C"/>
    <w:lvl w:ilvl="0" w:tplc="8A7C2F28">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BC7091"/>
    <w:multiLevelType w:val="hybridMultilevel"/>
    <w:tmpl w:val="75FA5AAC"/>
    <w:lvl w:ilvl="0" w:tplc="C41C0458">
      <w:start w:val="1"/>
      <w:numFmt w:val="bullet"/>
      <w:lvlText w:val=""/>
      <w:lvlJc w:val="left"/>
      <w:pPr>
        <w:ind w:left="720" w:hanging="360"/>
      </w:pPr>
      <w:rPr>
        <w:rFonts w:ascii="Symbol" w:hAnsi="Symbol" w:hint="default"/>
      </w:rPr>
    </w:lvl>
    <w:lvl w:ilvl="1" w:tplc="C41C045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0"/>
  </w:num>
  <w:num w:numId="5">
    <w:abstractNumId w:val="4"/>
  </w:num>
  <w:num w:numId="6">
    <w:abstractNumId w:val="5"/>
  </w:num>
  <w:num w:numId="7">
    <w:abstractNumId w:val="1"/>
  </w:num>
  <w:num w:numId="8">
    <w:abstractNumId w:val="3"/>
  </w:num>
  <w:num w:numId="9">
    <w:abstractNumId w:val="8"/>
  </w:num>
  <w:num w:numId="10">
    <w:abstractNumId w:val="2"/>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4B"/>
    <w:rsid w:val="0000066A"/>
    <w:rsid w:val="000171FD"/>
    <w:rsid w:val="0001747C"/>
    <w:rsid w:val="00020AE5"/>
    <w:rsid w:val="00022308"/>
    <w:rsid w:val="0002363D"/>
    <w:rsid w:val="000262B0"/>
    <w:rsid w:val="00031ACA"/>
    <w:rsid w:val="0004360B"/>
    <w:rsid w:val="00052ECC"/>
    <w:rsid w:val="00055107"/>
    <w:rsid w:val="000643F8"/>
    <w:rsid w:val="00064C43"/>
    <w:rsid w:val="0007057D"/>
    <w:rsid w:val="0008078F"/>
    <w:rsid w:val="000955BF"/>
    <w:rsid w:val="000A1090"/>
    <w:rsid w:val="000A11E6"/>
    <w:rsid w:val="000C3E04"/>
    <w:rsid w:val="000D0AB8"/>
    <w:rsid w:val="000D2AAD"/>
    <w:rsid w:val="000D2D22"/>
    <w:rsid w:val="000D39D7"/>
    <w:rsid w:val="000D5576"/>
    <w:rsid w:val="000D563E"/>
    <w:rsid w:val="000D781D"/>
    <w:rsid w:val="000E0B73"/>
    <w:rsid w:val="000F0132"/>
    <w:rsid w:val="00104F54"/>
    <w:rsid w:val="00110E34"/>
    <w:rsid w:val="00116CE6"/>
    <w:rsid w:val="001214AA"/>
    <w:rsid w:val="00122936"/>
    <w:rsid w:val="001340FD"/>
    <w:rsid w:val="0013519C"/>
    <w:rsid w:val="001374AF"/>
    <w:rsid w:val="00140BA1"/>
    <w:rsid w:val="00147BFC"/>
    <w:rsid w:val="00153511"/>
    <w:rsid w:val="00154034"/>
    <w:rsid w:val="00160459"/>
    <w:rsid w:val="00173D32"/>
    <w:rsid w:val="00186778"/>
    <w:rsid w:val="00191932"/>
    <w:rsid w:val="001A0E53"/>
    <w:rsid w:val="001A1792"/>
    <w:rsid w:val="001A27E2"/>
    <w:rsid w:val="001A5E46"/>
    <w:rsid w:val="001B4761"/>
    <w:rsid w:val="001C545D"/>
    <w:rsid w:val="001C6099"/>
    <w:rsid w:val="001D74E2"/>
    <w:rsid w:val="001E395F"/>
    <w:rsid w:val="001F4FEF"/>
    <w:rsid w:val="00200DE1"/>
    <w:rsid w:val="00205A62"/>
    <w:rsid w:val="00207826"/>
    <w:rsid w:val="00210E6A"/>
    <w:rsid w:val="00216D60"/>
    <w:rsid w:val="00220382"/>
    <w:rsid w:val="00225451"/>
    <w:rsid w:val="00225BAA"/>
    <w:rsid w:val="002275D6"/>
    <w:rsid w:val="00233514"/>
    <w:rsid w:val="00242C69"/>
    <w:rsid w:val="002548A9"/>
    <w:rsid w:val="002549BB"/>
    <w:rsid w:val="00256D32"/>
    <w:rsid w:val="00262373"/>
    <w:rsid w:val="002634C4"/>
    <w:rsid w:val="002634E5"/>
    <w:rsid w:val="002730A1"/>
    <w:rsid w:val="00273129"/>
    <w:rsid w:val="00273999"/>
    <w:rsid w:val="0028328A"/>
    <w:rsid w:val="002938AA"/>
    <w:rsid w:val="00294C13"/>
    <w:rsid w:val="002A0139"/>
    <w:rsid w:val="002A7B9F"/>
    <w:rsid w:val="002B5010"/>
    <w:rsid w:val="002C1B09"/>
    <w:rsid w:val="002D0CAE"/>
    <w:rsid w:val="002D458C"/>
    <w:rsid w:val="002D47A3"/>
    <w:rsid w:val="002D6AF4"/>
    <w:rsid w:val="002F24F8"/>
    <w:rsid w:val="00307644"/>
    <w:rsid w:val="00325095"/>
    <w:rsid w:val="0033018C"/>
    <w:rsid w:val="003347E7"/>
    <w:rsid w:val="003427E0"/>
    <w:rsid w:val="003454A7"/>
    <w:rsid w:val="00354620"/>
    <w:rsid w:val="00354A92"/>
    <w:rsid w:val="0035755E"/>
    <w:rsid w:val="00371DBB"/>
    <w:rsid w:val="0038031B"/>
    <w:rsid w:val="00381CF9"/>
    <w:rsid w:val="00382A17"/>
    <w:rsid w:val="003876A3"/>
    <w:rsid w:val="003A5DA1"/>
    <w:rsid w:val="003B5AB8"/>
    <w:rsid w:val="003B7430"/>
    <w:rsid w:val="003C2006"/>
    <w:rsid w:val="003C2CCB"/>
    <w:rsid w:val="003C4514"/>
    <w:rsid w:val="003D22F5"/>
    <w:rsid w:val="003D3001"/>
    <w:rsid w:val="003D62F9"/>
    <w:rsid w:val="003D6EDF"/>
    <w:rsid w:val="003E2590"/>
    <w:rsid w:val="003E4647"/>
    <w:rsid w:val="003E4D16"/>
    <w:rsid w:val="003E536C"/>
    <w:rsid w:val="003F0291"/>
    <w:rsid w:val="003F0E93"/>
    <w:rsid w:val="0040397D"/>
    <w:rsid w:val="004065AD"/>
    <w:rsid w:val="004113C8"/>
    <w:rsid w:val="004530F1"/>
    <w:rsid w:val="00466C4D"/>
    <w:rsid w:val="0047058F"/>
    <w:rsid w:val="0047223A"/>
    <w:rsid w:val="00483608"/>
    <w:rsid w:val="004A17C6"/>
    <w:rsid w:val="004A5AED"/>
    <w:rsid w:val="004B0C33"/>
    <w:rsid w:val="004B7F47"/>
    <w:rsid w:val="004C041A"/>
    <w:rsid w:val="004C1628"/>
    <w:rsid w:val="004C2CBC"/>
    <w:rsid w:val="004C7568"/>
    <w:rsid w:val="004D0088"/>
    <w:rsid w:val="004E2F54"/>
    <w:rsid w:val="004E6B37"/>
    <w:rsid w:val="004F7DC6"/>
    <w:rsid w:val="00503D69"/>
    <w:rsid w:val="00504454"/>
    <w:rsid w:val="00511B16"/>
    <w:rsid w:val="00512DD2"/>
    <w:rsid w:val="00513AD0"/>
    <w:rsid w:val="00515BC4"/>
    <w:rsid w:val="00522E7E"/>
    <w:rsid w:val="00525C60"/>
    <w:rsid w:val="005276A9"/>
    <w:rsid w:val="00530D63"/>
    <w:rsid w:val="00535A40"/>
    <w:rsid w:val="00544CE5"/>
    <w:rsid w:val="0054766D"/>
    <w:rsid w:val="00555B53"/>
    <w:rsid w:val="005632DC"/>
    <w:rsid w:val="005721DD"/>
    <w:rsid w:val="005746A6"/>
    <w:rsid w:val="00576F51"/>
    <w:rsid w:val="00577DF5"/>
    <w:rsid w:val="00577E77"/>
    <w:rsid w:val="00580FCA"/>
    <w:rsid w:val="0059767D"/>
    <w:rsid w:val="005B32DD"/>
    <w:rsid w:val="005B62E0"/>
    <w:rsid w:val="005B7698"/>
    <w:rsid w:val="005D527A"/>
    <w:rsid w:val="005E27B8"/>
    <w:rsid w:val="005E2890"/>
    <w:rsid w:val="005F13FA"/>
    <w:rsid w:val="005F585B"/>
    <w:rsid w:val="005F6199"/>
    <w:rsid w:val="005F7A33"/>
    <w:rsid w:val="00611943"/>
    <w:rsid w:val="00612118"/>
    <w:rsid w:val="00612655"/>
    <w:rsid w:val="0061597C"/>
    <w:rsid w:val="00617A85"/>
    <w:rsid w:val="00622F8A"/>
    <w:rsid w:val="00630520"/>
    <w:rsid w:val="00644820"/>
    <w:rsid w:val="006462FC"/>
    <w:rsid w:val="00646F3A"/>
    <w:rsid w:val="006537CC"/>
    <w:rsid w:val="00657620"/>
    <w:rsid w:val="00666A47"/>
    <w:rsid w:val="006706D8"/>
    <w:rsid w:val="00681EE8"/>
    <w:rsid w:val="006861A3"/>
    <w:rsid w:val="00690234"/>
    <w:rsid w:val="006A4D13"/>
    <w:rsid w:val="006A7D5E"/>
    <w:rsid w:val="006D07B2"/>
    <w:rsid w:val="006D3B58"/>
    <w:rsid w:val="006D5661"/>
    <w:rsid w:val="006D605F"/>
    <w:rsid w:val="006D634F"/>
    <w:rsid w:val="006E2189"/>
    <w:rsid w:val="00710BDA"/>
    <w:rsid w:val="00711057"/>
    <w:rsid w:val="00736F35"/>
    <w:rsid w:val="0074194B"/>
    <w:rsid w:val="00743DBD"/>
    <w:rsid w:val="00744417"/>
    <w:rsid w:val="007444A3"/>
    <w:rsid w:val="00746221"/>
    <w:rsid w:val="00746525"/>
    <w:rsid w:val="00750441"/>
    <w:rsid w:val="00755680"/>
    <w:rsid w:val="007564DD"/>
    <w:rsid w:val="007604B2"/>
    <w:rsid w:val="00760F9C"/>
    <w:rsid w:val="0076220C"/>
    <w:rsid w:val="00766991"/>
    <w:rsid w:val="00774740"/>
    <w:rsid w:val="00784201"/>
    <w:rsid w:val="00790911"/>
    <w:rsid w:val="0079589F"/>
    <w:rsid w:val="00796443"/>
    <w:rsid w:val="007A0888"/>
    <w:rsid w:val="007A7F0B"/>
    <w:rsid w:val="007B04B8"/>
    <w:rsid w:val="007B481D"/>
    <w:rsid w:val="007C15E5"/>
    <w:rsid w:val="007D2912"/>
    <w:rsid w:val="007D4D7B"/>
    <w:rsid w:val="007E06C2"/>
    <w:rsid w:val="007E4B66"/>
    <w:rsid w:val="007E5B0C"/>
    <w:rsid w:val="007F0B0D"/>
    <w:rsid w:val="007F1534"/>
    <w:rsid w:val="007F4D9C"/>
    <w:rsid w:val="00801EA3"/>
    <w:rsid w:val="008048C5"/>
    <w:rsid w:val="008055E1"/>
    <w:rsid w:val="0080650F"/>
    <w:rsid w:val="00810D07"/>
    <w:rsid w:val="00813522"/>
    <w:rsid w:val="008159C5"/>
    <w:rsid w:val="0082788D"/>
    <w:rsid w:val="008307CD"/>
    <w:rsid w:val="00831A9D"/>
    <w:rsid w:val="00833F39"/>
    <w:rsid w:val="0083574C"/>
    <w:rsid w:val="00855BD0"/>
    <w:rsid w:val="00860F45"/>
    <w:rsid w:val="00866864"/>
    <w:rsid w:val="008814E1"/>
    <w:rsid w:val="0088742B"/>
    <w:rsid w:val="0089179A"/>
    <w:rsid w:val="008A131F"/>
    <w:rsid w:val="008A174F"/>
    <w:rsid w:val="008A417C"/>
    <w:rsid w:val="008B1111"/>
    <w:rsid w:val="008D79C8"/>
    <w:rsid w:val="008F6289"/>
    <w:rsid w:val="008F6781"/>
    <w:rsid w:val="008F70CA"/>
    <w:rsid w:val="00910ECD"/>
    <w:rsid w:val="00933801"/>
    <w:rsid w:val="00936968"/>
    <w:rsid w:val="00941427"/>
    <w:rsid w:val="00944C77"/>
    <w:rsid w:val="00945C18"/>
    <w:rsid w:val="00955414"/>
    <w:rsid w:val="00967106"/>
    <w:rsid w:val="009775E2"/>
    <w:rsid w:val="00982D22"/>
    <w:rsid w:val="00992AAE"/>
    <w:rsid w:val="009C6431"/>
    <w:rsid w:val="009D156E"/>
    <w:rsid w:val="009D2348"/>
    <w:rsid w:val="009E6B67"/>
    <w:rsid w:val="009E6D01"/>
    <w:rsid w:val="009F0D87"/>
    <w:rsid w:val="00A05B20"/>
    <w:rsid w:val="00A05E10"/>
    <w:rsid w:val="00A17214"/>
    <w:rsid w:val="00A32E0B"/>
    <w:rsid w:val="00A337D3"/>
    <w:rsid w:val="00A340EE"/>
    <w:rsid w:val="00A40469"/>
    <w:rsid w:val="00A438DE"/>
    <w:rsid w:val="00A46A87"/>
    <w:rsid w:val="00A60746"/>
    <w:rsid w:val="00A66010"/>
    <w:rsid w:val="00A678A8"/>
    <w:rsid w:val="00A6791F"/>
    <w:rsid w:val="00A729C2"/>
    <w:rsid w:val="00A741AD"/>
    <w:rsid w:val="00A83198"/>
    <w:rsid w:val="00A831E8"/>
    <w:rsid w:val="00A85062"/>
    <w:rsid w:val="00A854EA"/>
    <w:rsid w:val="00A85D32"/>
    <w:rsid w:val="00A94F9F"/>
    <w:rsid w:val="00AA0AB3"/>
    <w:rsid w:val="00AA57C5"/>
    <w:rsid w:val="00AA7A7D"/>
    <w:rsid w:val="00AB27B1"/>
    <w:rsid w:val="00AC5742"/>
    <w:rsid w:val="00AD21C5"/>
    <w:rsid w:val="00AD3BC0"/>
    <w:rsid w:val="00AD7A45"/>
    <w:rsid w:val="00AE3A46"/>
    <w:rsid w:val="00AE4C37"/>
    <w:rsid w:val="00AF7596"/>
    <w:rsid w:val="00B05319"/>
    <w:rsid w:val="00B23411"/>
    <w:rsid w:val="00B31C86"/>
    <w:rsid w:val="00B47835"/>
    <w:rsid w:val="00B60D12"/>
    <w:rsid w:val="00B650A1"/>
    <w:rsid w:val="00B67226"/>
    <w:rsid w:val="00B717B7"/>
    <w:rsid w:val="00B777DC"/>
    <w:rsid w:val="00B81778"/>
    <w:rsid w:val="00B82DAB"/>
    <w:rsid w:val="00B8552A"/>
    <w:rsid w:val="00B93A94"/>
    <w:rsid w:val="00BA696E"/>
    <w:rsid w:val="00BB1ECA"/>
    <w:rsid w:val="00BB46BC"/>
    <w:rsid w:val="00BB55D4"/>
    <w:rsid w:val="00BB7A2A"/>
    <w:rsid w:val="00BC63E2"/>
    <w:rsid w:val="00BD0C61"/>
    <w:rsid w:val="00BD3C3E"/>
    <w:rsid w:val="00BD4307"/>
    <w:rsid w:val="00BD64A6"/>
    <w:rsid w:val="00BE01FB"/>
    <w:rsid w:val="00BE414B"/>
    <w:rsid w:val="00BE6D1E"/>
    <w:rsid w:val="00BF6EDF"/>
    <w:rsid w:val="00C116B9"/>
    <w:rsid w:val="00C172E0"/>
    <w:rsid w:val="00C246BE"/>
    <w:rsid w:val="00C46FAA"/>
    <w:rsid w:val="00C5725D"/>
    <w:rsid w:val="00C61786"/>
    <w:rsid w:val="00C67637"/>
    <w:rsid w:val="00C71218"/>
    <w:rsid w:val="00C77573"/>
    <w:rsid w:val="00C87C8D"/>
    <w:rsid w:val="00C90166"/>
    <w:rsid w:val="00C91013"/>
    <w:rsid w:val="00C93439"/>
    <w:rsid w:val="00CA166C"/>
    <w:rsid w:val="00CA4443"/>
    <w:rsid w:val="00CA5406"/>
    <w:rsid w:val="00CA6D9D"/>
    <w:rsid w:val="00CB4A37"/>
    <w:rsid w:val="00CC0683"/>
    <w:rsid w:val="00CC4A12"/>
    <w:rsid w:val="00CD639A"/>
    <w:rsid w:val="00CD6626"/>
    <w:rsid w:val="00CD6C32"/>
    <w:rsid w:val="00CE45A5"/>
    <w:rsid w:val="00D009A2"/>
    <w:rsid w:val="00D03F5A"/>
    <w:rsid w:val="00D14F71"/>
    <w:rsid w:val="00D308EE"/>
    <w:rsid w:val="00D55E70"/>
    <w:rsid w:val="00D562F7"/>
    <w:rsid w:val="00D62E4A"/>
    <w:rsid w:val="00D63A21"/>
    <w:rsid w:val="00D74123"/>
    <w:rsid w:val="00D80D99"/>
    <w:rsid w:val="00D80FB3"/>
    <w:rsid w:val="00D814D9"/>
    <w:rsid w:val="00DB3A52"/>
    <w:rsid w:val="00DC4EA0"/>
    <w:rsid w:val="00DC55BE"/>
    <w:rsid w:val="00DC6B4E"/>
    <w:rsid w:val="00DD24A8"/>
    <w:rsid w:val="00DE1267"/>
    <w:rsid w:val="00DE13DF"/>
    <w:rsid w:val="00DF0CEB"/>
    <w:rsid w:val="00DF71CD"/>
    <w:rsid w:val="00E02C00"/>
    <w:rsid w:val="00E13CCE"/>
    <w:rsid w:val="00E14F7B"/>
    <w:rsid w:val="00E27528"/>
    <w:rsid w:val="00E319E4"/>
    <w:rsid w:val="00E31CEE"/>
    <w:rsid w:val="00E41D7D"/>
    <w:rsid w:val="00E42E0C"/>
    <w:rsid w:val="00E442C3"/>
    <w:rsid w:val="00E50E3A"/>
    <w:rsid w:val="00E603DF"/>
    <w:rsid w:val="00E62E79"/>
    <w:rsid w:val="00E66343"/>
    <w:rsid w:val="00E73745"/>
    <w:rsid w:val="00E7507F"/>
    <w:rsid w:val="00E77BCC"/>
    <w:rsid w:val="00E8216F"/>
    <w:rsid w:val="00E9085B"/>
    <w:rsid w:val="00EA1CF1"/>
    <w:rsid w:val="00EA1EE5"/>
    <w:rsid w:val="00EB1690"/>
    <w:rsid w:val="00EB2A31"/>
    <w:rsid w:val="00EB3D9F"/>
    <w:rsid w:val="00EB450C"/>
    <w:rsid w:val="00EB6A8D"/>
    <w:rsid w:val="00EC2CF0"/>
    <w:rsid w:val="00EC635D"/>
    <w:rsid w:val="00EC67CD"/>
    <w:rsid w:val="00ED05E6"/>
    <w:rsid w:val="00ED63E0"/>
    <w:rsid w:val="00EE2B97"/>
    <w:rsid w:val="00EE3A5F"/>
    <w:rsid w:val="00EE564B"/>
    <w:rsid w:val="00F11BFF"/>
    <w:rsid w:val="00F14DB3"/>
    <w:rsid w:val="00F21201"/>
    <w:rsid w:val="00F32543"/>
    <w:rsid w:val="00F32D4C"/>
    <w:rsid w:val="00F345D3"/>
    <w:rsid w:val="00F357C3"/>
    <w:rsid w:val="00F37C48"/>
    <w:rsid w:val="00F41942"/>
    <w:rsid w:val="00F43A95"/>
    <w:rsid w:val="00F5278A"/>
    <w:rsid w:val="00F61CF6"/>
    <w:rsid w:val="00F717DC"/>
    <w:rsid w:val="00F72851"/>
    <w:rsid w:val="00F745EE"/>
    <w:rsid w:val="00F74A04"/>
    <w:rsid w:val="00F77104"/>
    <w:rsid w:val="00F90132"/>
    <w:rsid w:val="00F90213"/>
    <w:rsid w:val="00F92BE1"/>
    <w:rsid w:val="00F947DD"/>
    <w:rsid w:val="00F97EE1"/>
    <w:rsid w:val="00FA015A"/>
    <w:rsid w:val="00FB023B"/>
    <w:rsid w:val="00FB2EBB"/>
    <w:rsid w:val="00FC4733"/>
    <w:rsid w:val="00FD0E97"/>
    <w:rsid w:val="00FD21C0"/>
    <w:rsid w:val="00FD3AB7"/>
    <w:rsid w:val="00FD4A9E"/>
    <w:rsid w:val="00FD7F58"/>
    <w:rsid w:val="00FE05C9"/>
    <w:rsid w:val="00FF06E2"/>
    <w:rsid w:val="00FF13EA"/>
    <w:rsid w:val="00FF5B5F"/>
    <w:rsid w:val="00FF7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28A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888"/>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CD639A"/>
    <w:pPr>
      <w:keepNext/>
      <w:keepLines/>
      <w:numPr>
        <w:numId w:val="7"/>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860F45"/>
    <w:pPr>
      <w:keepNext/>
      <w:keepLines/>
      <w:numPr>
        <w:ilvl w:val="1"/>
        <w:numId w:val="7"/>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860F45"/>
    <w:pPr>
      <w:keepNext/>
      <w:keepLines/>
      <w:numPr>
        <w:ilvl w:val="2"/>
        <w:numId w:val="7"/>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unhideWhenUsed/>
    <w:qFormat/>
    <w:rsid w:val="000A1090"/>
    <w:pPr>
      <w:keepNext/>
      <w:keepLines/>
      <w:spacing w:after="0"/>
      <w:outlineLvl w:val="5"/>
    </w:pPr>
    <w:rPr>
      <w:rFonts w:eastAsiaTheme="majorEastAsia" w:cstheme="majorBidi"/>
      <w:b/>
      <w:iCs/>
      <w:color w:val="auto"/>
      <w:sz w:val="18"/>
      <w:lang w:eastAsia="en-AU"/>
    </w:rPr>
  </w:style>
  <w:style w:type="paragraph" w:styleId="Heading7">
    <w:name w:val="heading 7"/>
    <w:basedOn w:val="Normal"/>
    <w:next w:val="Normal"/>
    <w:link w:val="Heading7Char"/>
    <w:uiPriority w:val="99"/>
    <w:semiHidden/>
    <w:unhideWhenUsed/>
    <w:qFormat/>
    <w:rsid w:val="0047223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7"/>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7"/>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D639A"/>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860F45"/>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860F45"/>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rsid w:val="000A1090"/>
    <w:rPr>
      <w:rFonts w:ascii="Calibri" w:eastAsiaTheme="majorEastAsia" w:hAnsi="Calibri" w:cstheme="majorBidi"/>
      <w:b/>
      <w:iCs/>
      <w:sz w:val="18"/>
      <w:lang w:eastAsia="en-AU"/>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CD639A"/>
    <w:pPr>
      <w:numPr>
        <w:numId w:val="0"/>
      </w:numPr>
      <w:outlineLvl w:val="9"/>
    </w:p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BD0C61"/>
    <w:pPr>
      <w:numPr>
        <w:numId w:val="4"/>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813522"/>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813522"/>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813522"/>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CD639A"/>
    <w:pPr>
      <w:numPr>
        <w:ilvl w:val="0"/>
        <w:numId w:val="0"/>
      </w:numPr>
      <w:outlineLvl w:val="9"/>
    </w:pPr>
  </w:style>
  <w:style w:type="paragraph" w:styleId="TOC4">
    <w:name w:val="toc 4"/>
    <w:basedOn w:val="Normal"/>
    <w:next w:val="Normal"/>
    <w:autoRedefine/>
    <w:uiPriority w:val="39"/>
    <w:unhideWhenUsed/>
    <w:rsid w:val="00813522"/>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9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99"/>
    <w:rsid w:val="00CD639A"/>
    <w:rPr>
      <w:rFonts w:ascii="Calibri" w:hAnsi="Calibri"/>
      <w:iCs/>
      <w:color w:val="000000" w:themeColor="text1"/>
      <w:sz w:val="18"/>
    </w:rPr>
  </w:style>
  <w:style w:type="paragraph" w:customStyle="1" w:styleId="References">
    <w:name w:val="References"/>
    <w:basedOn w:val="Normal"/>
    <w:rsid w:val="00CD639A"/>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544CE5"/>
    <w:pPr>
      <w:numPr>
        <w:numId w:val="2"/>
      </w:numPr>
      <w:ind w:left="360"/>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3"/>
      </w:numPr>
      <w:tabs>
        <w:tab w:val="left" w:pos="216"/>
      </w:tabs>
    </w:pPr>
    <w:rPr>
      <w:lang w:eastAsia="en-AU"/>
    </w:rPr>
  </w:style>
  <w:style w:type="paragraph" w:styleId="TOC5">
    <w:name w:val="toc 5"/>
    <w:basedOn w:val="Normal"/>
    <w:next w:val="Normal"/>
    <w:autoRedefine/>
    <w:uiPriority w:val="39"/>
    <w:semiHidden/>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semiHidden/>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semiHidden/>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semiHidden/>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semiHidden/>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5"/>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1A1792"/>
    <w:pPr>
      <w:numPr>
        <w:numId w:val="11"/>
      </w:numPr>
    </w:pPr>
  </w:style>
  <w:style w:type="paragraph" w:customStyle="1" w:styleId="Heading2b">
    <w:name w:val="Heading 2b"/>
    <w:basedOn w:val="Heading2"/>
    <w:rsid w:val="00CD639A"/>
    <w:pPr>
      <w:numPr>
        <w:numId w:val="11"/>
      </w:numPr>
      <w:outlineLvl w:val="9"/>
    </w:pPr>
    <w:rPr>
      <w:rFonts w:eastAsia="MS Gothic" w:cstheme="minorBidi"/>
      <w:lang w:eastAsia="en-AU"/>
    </w:rPr>
  </w:style>
  <w:style w:type="paragraph" w:customStyle="1" w:styleId="Heading3b">
    <w:name w:val="Heading 3b"/>
    <w:basedOn w:val="Heading3"/>
    <w:rsid w:val="00CD639A"/>
    <w:pPr>
      <w:numPr>
        <w:numId w:val="11"/>
      </w:numPr>
      <w:outlineLvl w:val="9"/>
    </w:pPr>
    <w:rPr>
      <w:rFonts w:cs="Calibri"/>
      <w:bCs w:val="0"/>
      <w:szCs w:val="22"/>
    </w:rPr>
  </w:style>
  <w:style w:type="character" w:styleId="CommentReference">
    <w:name w:val="annotation reference"/>
    <w:uiPriority w:val="99"/>
    <w:semiHidden/>
    <w:rsid w:val="00BD0C61"/>
    <w:rPr>
      <w:rFonts w:ascii="Times New Roman" w:hAnsi="Times New Roman" w:cs="Times New Roman" w:hint="default"/>
      <w:sz w:val="16"/>
    </w:rPr>
  </w:style>
  <w:style w:type="paragraph" w:customStyle="1" w:styleId="Heading3a">
    <w:name w:val="Heading 3a"/>
    <w:basedOn w:val="Heading3"/>
    <w:rsid w:val="00BD0C61"/>
    <w:pPr>
      <w:numPr>
        <w:ilvl w:val="0"/>
        <w:numId w:val="0"/>
      </w:numPr>
      <w:outlineLvl w:val="9"/>
    </w:pPr>
  </w:style>
  <w:style w:type="paragraph" w:styleId="CommentText">
    <w:name w:val="annotation text"/>
    <w:basedOn w:val="Normal"/>
    <w:link w:val="CommentTextChar"/>
    <w:uiPriority w:val="99"/>
    <w:semiHidden/>
    <w:rsid w:val="00A340EE"/>
    <w:pPr>
      <w:spacing w:after="240" w:line="240" w:lineRule="auto"/>
    </w:pPr>
    <w:rPr>
      <w:rFonts w:ascii="Times New Roman" w:eastAsia="MS Mincho" w:hAnsi="Times New Roman"/>
      <w:color w:val="auto"/>
      <w:sz w:val="24"/>
      <w:lang w:val="en-US" w:eastAsia="en-AU"/>
    </w:rPr>
  </w:style>
  <w:style w:type="character" w:customStyle="1" w:styleId="CommentTextChar">
    <w:name w:val="Comment Text Char"/>
    <w:basedOn w:val="DefaultParagraphFont"/>
    <w:link w:val="CommentText"/>
    <w:uiPriority w:val="99"/>
    <w:semiHidden/>
    <w:rsid w:val="00A340EE"/>
    <w:rPr>
      <w:rFonts w:eastAsia="MS Mincho"/>
      <w:sz w:val="24"/>
      <w:lang w:val="en-US" w:eastAsia="en-AU"/>
    </w:rPr>
  </w:style>
  <w:style w:type="paragraph" w:styleId="z-BottomofForm">
    <w:name w:val="HTML Bottom of Form"/>
    <w:basedOn w:val="Normal"/>
    <w:next w:val="Normal"/>
    <w:link w:val="z-BottomofFormChar"/>
    <w:hidden/>
    <w:uiPriority w:val="99"/>
    <w:unhideWhenUsed/>
    <w:rsid w:val="00A340EE"/>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A340EE"/>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A340EE"/>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A340EE"/>
    <w:rPr>
      <w:rFonts w:ascii="Arial" w:eastAsia="MS ??" w:hAnsi="Arial" w:cs="Arial"/>
      <w:vanish/>
      <w:sz w:val="16"/>
      <w:szCs w:val="16"/>
    </w:rPr>
  </w:style>
  <w:style w:type="paragraph" w:styleId="Revision">
    <w:name w:val="Revision"/>
    <w:hidden/>
    <w:uiPriority w:val="99"/>
    <w:semiHidden/>
    <w:rsid w:val="00A340EE"/>
    <w:rPr>
      <w:rFonts w:ascii="Calibri" w:hAnsi="Calibri"/>
      <w:color w:val="000000"/>
    </w:rPr>
  </w:style>
  <w:style w:type="paragraph" w:styleId="BalloonText">
    <w:name w:val="Balloon Text"/>
    <w:basedOn w:val="Normal"/>
    <w:link w:val="BalloonTextChar"/>
    <w:uiPriority w:val="99"/>
    <w:semiHidden/>
    <w:unhideWhenUsed/>
    <w:rsid w:val="00A3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0EE"/>
    <w:rPr>
      <w:rFonts w:ascii="Tahoma" w:hAnsi="Tahoma" w:cs="Tahoma"/>
      <w:color w:val="000000"/>
      <w:sz w:val="16"/>
      <w:szCs w:val="16"/>
    </w:rPr>
  </w:style>
  <w:style w:type="paragraph" w:styleId="CommentSubject">
    <w:name w:val="annotation subject"/>
    <w:basedOn w:val="CommentText"/>
    <w:next w:val="CommentText"/>
    <w:link w:val="CommentSubjectChar"/>
    <w:uiPriority w:val="99"/>
    <w:semiHidden/>
    <w:rsid w:val="00A340EE"/>
    <w:pPr>
      <w:spacing w:after="200"/>
    </w:pPr>
    <w:rPr>
      <w:rFonts w:ascii="Calibri" w:eastAsiaTheme="minorHAnsi" w:hAnsi="Calibri"/>
      <w:b/>
      <w:bCs/>
      <w:color w:val="000000"/>
      <w:sz w:val="20"/>
      <w:lang w:val="en-AU" w:eastAsia="en-US"/>
    </w:rPr>
  </w:style>
  <w:style w:type="character" w:customStyle="1" w:styleId="CommentSubjectChar">
    <w:name w:val="Comment Subject Char"/>
    <w:basedOn w:val="CommentTextChar"/>
    <w:link w:val="CommentSubject"/>
    <w:uiPriority w:val="99"/>
    <w:semiHidden/>
    <w:rsid w:val="00A340EE"/>
    <w:rPr>
      <w:rFonts w:ascii="Calibri" w:eastAsia="MS Mincho" w:hAnsi="Calibri"/>
      <w:b/>
      <w:bCs/>
      <w:color w:val="000000"/>
      <w:sz w:val="24"/>
      <w:lang w:val="en-US" w:eastAsia="en-AU"/>
    </w:rPr>
  </w:style>
  <w:style w:type="paragraph" w:customStyle="1" w:styleId="FindingsBullet">
    <w:name w:val="FindingsBullet"/>
    <w:basedOn w:val="Bullet"/>
    <w:rsid w:val="00A340EE"/>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style>
  <w:style w:type="paragraph" w:customStyle="1" w:styleId="FindingsHeading">
    <w:name w:val="FindingsHeading"/>
    <w:basedOn w:val="Heading2a"/>
    <w:rsid w:val="00A340EE"/>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A340EE"/>
    <w:pPr>
      <w:pBdr>
        <w:top w:val="single" w:sz="2" w:space="4" w:color="002561"/>
        <w:left w:val="single" w:sz="2" w:space="4" w:color="002561"/>
        <w:bottom w:val="single" w:sz="2" w:space="4" w:color="002561"/>
        <w:right w:val="single" w:sz="2" w:space="4" w:color="002561"/>
      </w:pBdr>
      <w:shd w:val="clear" w:color="002561" w:fill="C1D9FF"/>
    </w:pPr>
  </w:style>
  <w:style w:type="character" w:styleId="FootnoteReference">
    <w:name w:val="footnote reference"/>
    <w:basedOn w:val="DefaultParagraphFont"/>
    <w:uiPriority w:val="99"/>
    <w:rsid w:val="00A340EE"/>
    <w:rPr>
      <w:rFonts w:cs="Times New Roman"/>
      <w:color w:val="000000"/>
    </w:rPr>
  </w:style>
  <w:style w:type="paragraph" w:styleId="FootnoteText">
    <w:name w:val="footnote text"/>
    <w:basedOn w:val="Normal"/>
    <w:link w:val="FootnoteTextChar"/>
    <w:uiPriority w:val="99"/>
    <w:rsid w:val="00A340EE"/>
    <w:pPr>
      <w:spacing w:after="0" w:line="240" w:lineRule="auto"/>
    </w:pPr>
    <w:rPr>
      <w:rFonts w:ascii="Dutch" w:eastAsia="MS ??" w:hAnsi="Dutch"/>
      <w:color w:val="auto"/>
    </w:rPr>
  </w:style>
  <w:style w:type="character" w:customStyle="1" w:styleId="FootnoteTextChar">
    <w:name w:val="Footnote Text Char"/>
    <w:basedOn w:val="DefaultParagraphFont"/>
    <w:link w:val="FootnoteText"/>
    <w:uiPriority w:val="99"/>
    <w:rsid w:val="00A340EE"/>
    <w:rPr>
      <w:rFonts w:ascii="Dutch" w:eastAsia="MS ??" w:hAnsi="Dutch"/>
    </w:rPr>
  </w:style>
  <w:style w:type="character" w:styleId="PageNumber">
    <w:name w:val="page number"/>
    <w:basedOn w:val="DefaultParagraphFont"/>
    <w:uiPriority w:val="99"/>
    <w:unhideWhenUsed/>
    <w:rsid w:val="00A340EE"/>
  </w:style>
  <w:style w:type="character" w:styleId="FollowedHyperlink">
    <w:name w:val="FollowedHyperlink"/>
    <w:basedOn w:val="DefaultParagraphFont"/>
    <w:uiPriority w:val="99"/>
    <w:semiHidden/>
    <w:unhideWhenUsed/>
    <w:rsid w:val="00C93439"/>
    <w:rPr>
      <w:color w:val="002561" w:themeColor="followedHyperlink"/>
      <w:u w:val="single"/>
    </w:rPr>
  </w:style>
  <w:style w:type="character" w:customStyle="1" w:styleId="UnresolvedMention">
    <w:name w:val="Unresolved Mention"/>
    <w:basedOn w:val="DefaultParagraphFont"/>
    <w:uiPriority w:val="99"/>
    <w:semiHidden/>
    <w:unhideWhenUsed/>
    <w:rsid w:val="00EC6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846700">
      <w:bodyDiv w:val="1"/>
      <w:marLeft w:val="0"/>
      <w:marRight w:val="0"/>
      <w:marTop w:val="0"/>
      <w:marBottom w:val="0"/>
      <w:divBdr>
        <w:top w:val="none" w:sz="0" w:space="0" w:color="auto"/>
        <w:left w:val="none" w:sz="0" w:space="0" w:color="auto"/>
        <w:bottom w:val="none" w:sz="0" w:space="0" w:color="auto"/>
        <w:right w:val="none" w:sz="0" w:space="0" w:color="auto"/>
      </w:divBdr>
      <w:divsChild>
        <w:div w:id="1069572961">
          <w:marLeft w:val="0"/>
          <w:marRight w:val="0"/>
          <w:marTop w:val="0"/>
          <w:marBottom w:val="0"/>
          <w:divBdr>
            <w:top w:val="none" w:sz="0" w:space="0" w:color="auto"/>
            <w:left w:val="none" w:sz="0" w:space="0" w:color="auto"/>
            <w:bottom w:val="none" w:sz="0" w:space="0" w:color="auto"/>
            <w:right w:val="none" w:sz="0" w:space="0" w:color="auto"/>
          </w:divBdr>
        </w:div>
        <w:div w:id="796411584">
          <w:marLeft w:val="0"/>
          <w:marRight w:val="0"/>
          <w:marTop w:val="0"/>
          <w:marBottom w:val="0"/>
          <w:divBdr>
            <w:top w:val="none" w:sz="0" w:space="0" w:color="auto"/>
            <w:left w:val="none" w:sz="0" w:space="0" w:color="auto"/>
            <w:bottom w:val="none" w:sz="0" w:space="0" w:color="auto"/>
            <w:right w:val="none" w:sz="0" w:space="0" w:color="auto"/>
          </w:divBdr>
        </w:div>
        <w:div w:id="1602953546">
          <w:marLeft w:val="0"/>
          <w:marRight w:val="0"/>
          <w:marTop w:val="0"/>
          <w:marBottom w:val="0"/>
          <w:divBdr>
            <w:top w:val="none" w:sz="0" w:space="0" w:color="auto"/>
            <w:left w:val="none" w:sz="0" w:space="0" w:color="auto"/>
            <w:bottom w:val="none" w:sz="0" w:space="0" w:color="auto"/>
            <w:right w:val="none" w:sz="0" w:space="0" w:color="auto"/>
          </w:divBdr>
        </w:div>
        <w:div w:id="316963489">
          <w:marLeft w:val="0"/>
          <w:marRight w:val="0"/>
          <w:marTop w:val="0"/>
          <w:marBottom w:val="0"/>
          <w:divBdr>
            <w:top w:val="none" w:sz="0" w:space="0" w:color="auto"/>
            <w:left w:val="none" w:sz="0" w:space="0" w:color="auto"/>
            <w:bottom w:val="none" w:sz="0" w:space="0" w:color="auto"/>
            <w:right w:val="none" w:sz="0" w:space="0" w:color="auto"/>
          </w:divBdr>
        </w:div>
        <w:div w:id="700017460">
          <w:marLeft w:val="0"/>
          <w:marRight w:val="0"/>
          <w:marTop w:val="0"/>
          <w:marBottom w:val="0"/>
          <w:divBdr>
            <w:top w:val="none" w:sz="0" w:space="0" w:color="auto"/>
            <w:left w:val="none" w:sz="0" w:space="0" w:color="auto"/>
            <w:bottom w:val="none" w:sz="0" w:space="0" w:color="auto"/>
            <w:right w:val="none" w:sz="0" w:space="0" w:color="auto"/>
          </w:divBdr>
        </w:div>
        <w:div w:id="1275400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8.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6.xml"/><Relationship Id="rId68" Type="http://schemas.openxmlformats.org/officeDocument/2006/relationships/chart" Target="charts/chart31.xml"/><Relationship Id="rId84" Type="http://schemas.openxmlformats.org/officeDocument/2006/relationships/footer" Target="footer35.xml"/><Relationship Id="rId89" Type="http://schemas.openxmlformats.org/officeDocument/2006/relationships/footer" Target="footer4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4.xml"/><Relationship Id="rId107" Type="http://schemas.openxmlformats.org/officeDocument/2006/relationships/hyperlink" Target="http://www.pewsocialtrends.org/files/2011/10/veterans-report.pdf" TargetMode="External"/><Relationship Id="rId11" Type="http://schemas.openxmlformats.org/officeDocument/2006/relationships/hyperlink" Target="http://www.dva.gov.au/mental-health-changes-over-time-report" TargetMode="External"/><Relationship Id="rId24" Type="http://schemas.openxmlformats.org/officeDocument/2006/relationships/chart" Target="charts/chart3.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footer" Target="footer25.xml"/><Relationship Id="rId66" Type="http://schemas.openxmlformats.org/officeDocument/2006/relationships/chart" Target="charts/chart29.xml"/><Relationship Id="rId74" Type="http://schemas.openxmlformats.org/officeDocument/2006/relationships/chart" Target="charts/chart35.xml"/><Relationship Id="rId79" Type="http://schemas.openxmlformats.org/officeDocument/2006/relationships/footer" Target="footer30.xml"/><Relationship Id="rId87" Type="http://schemas.openxmlformats.org/officeDocument/2006/relationships/footer" Target="footer38.xml"/><Relationship Id="rId102" Type="http://schemas.openxmlformats.org/officeDocument/2006/relationships/hyperlink" Target="https://www.aihw.gov.au/reports/illicit-use-of-drugs/ndshs-2013-detailed/contents/table-of-contents"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hart" Target="charts/chart24.xml"/><Relationship Id="rId82" Type="http://schemas.openxmlformats.org/officeDocument/2006/relationships/footer" Target="footer33.xml"/><Relationship Id="rId90" Type="http://schemas.openxmlformats.org/officeDocument/2006/relationships/footer" Target="footer41.xml"/><Relationship Id="rId95" Type="http://schemas.openxmlformats.org/officeDocument/2006/relationships/hyperlink" Target="http://www.melbourneinstitute.com/hilda/" TargetMode="Externa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9.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7.xml"/><Relationship Id="rId69" Type="http://schemas.openxmlformats.org/officeDocument/2006/relationships/chart" Target="charts/chart32.xml"/><Relationship Id="rId77" Type="http://schemas.openxmlformats.org/officeDocument/2006/relationships/footer" Target="footer28.xml"/><Relationship Id="rId100" Type="http://schemas.openxmlformats.org/officeDocument/2006/relationships/hyperlink" Target="http://www.ausstats.abs.gov.au/Ausstats/subscriber.nsf/0/1680ECA402368CCFCA257AC90015AA4E/$File/4364.0.55.001.pdf" TargetMode="External"/><Relationship Id="rId105" Type="http://schemas.openxmlformats.org/officeDocument/2006/relationships/hyperlink" Target="http://www.ipaq.ki.se" TargetMode="External"/><Relationship Id="rId8" Type="http://schemas.openxmlformats.org/officeDocument/2006/relationships/hyperlink" Target="https://creativecommons.org/licenses/by/3.0/au/legalcode" TargetMode="External"/><Relationship Id="rId51" Type="http://schemas.openxmlformats.org/officeDocument/2006/relationships/chart" Target="charts/chart16.xml"/><Relationship Id="rId72" Type="http://schemas.openxmlformats.org/officeDocument/2006/relationships/footer" Target="footer26.xml"/><Relationship Id="rId80" Type="http://schemas.openxmlformats.org/officeDocument/2006/relationships/footer" Target="footer31.xml"/><Relationship Id="rId85" Type="http://schemas.openxmlformats.org/officeDocument/2006/relationships/footer" Target="footer36.xml"/><Relationship Id="rId93" Type="http://schemas.openxmlformats.org/officeDocument/2006/relationships/hyperlink" Target="http://www.melbourneinstitute.com/hilda/" TargetMode="External"/><Relationship Id="rId98" Type="http://schemas.openxmlformats.org/officeDocument/2006/relationships/hyperlink" Target="http://www.abs.gov.au/ausstats/abs@.nsf/mf/4326.0"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chart" Target="charts/chart4.xml"/><Relationship Id="rId38" Type="http://schemas.openxmlformats.org/officeDocument/2006/relationships/footer" Target="footer22.xml"/><Relationship Id="rId46" Type="http://schemas.openxmlformats.org/officeDocument/2006/relationships/chart" Target="charts/chart11.xml"/><Relationship Id="rId59" Type="http://schemas.openxmlformats.org/officeDocument/2006/relationships/chart" Target="charts/chart22.xml"/><Relationship Id="rId67" Type="http://schemas.openxmlformats.org/officeDocument/2006/relationships/chart" Target="charts/chart30.xml"/><Relationship Id="rId103" Type="http://schemas.openxmlformats.org/officeDocument/2006/relationships/hyperlink" Target="http://www.aihw.gov.au/publication-detail/?id=60129557674" TargetMode="External"/><Relationship Id="rId108" Type="http://schemas.openxmlformats.org/officeDocument/2006/relationships/hyperlink" Target="https://www.dva.gov.au/sites/default/files/files/consultation%20and%20grants/healthstudies/gulfwar/follow_up2015/aus_gulf_war_follow_up_tech_report2015.pdf" TargetMode="External"/><Relationship Id="rId116" Type="http://schemas.microsoft.com/office/2016/09/relationships/commentsIds" Target="commentsIds.xml"/><Relationship Id="rId20" Type="http://schemas.openxmlformats.org/officeDocument/2006/relationships/footer" Target="footer7.xml"/><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5.xml"/><Relationship Id="rId70" Type="http://schemas.openxmlformats.org/officeDocument/2006/relationships/chart" Target="charts/chart33.xml"/><Relationship Id="rId75" Type="http://schemas.openxmlformats.org/officeDocument/2006/relationships/chart" Target="charts/chart36.xml"/><Relationship Id="rId83" Type="http://schemas.openxmlformats.org/officeDocument/2006/relationships/footer" Target="footer34.xml"/><Relationship Id="rId88" Type="http://schemas.openxmlformats.org/officeDocument/2006/relationships/footer" Target="footer39.xml"/><Relationship Id="rId91" Type="http://schemas.openxmlformats.org/officeDocument/2006/relationships/hyperlink" Target="http://www.melbourneinstitute.com/hilda/" TargetMode="External"/><Relationship Id="rId96" Type="http://schemas.openxmlformats.org/officeDocument/2006/relationships/footer" Target="footer42.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chart" Target="charts/chart2.xml"/><Relationship Id="rId28" Type="http://schemas.openxmlformats.org/officeDocument/2006/relationships/footer" Target="footer13.xml"/><Relationship Id="rId36" Type="http://schemas.openxmlformats.org/officeDocument/2006/relationships/footer" Target="footer20.xml"/><Relationship Id="rId49" Type="http://schemas.openxmlformats.org/officeDocument/2006/relationships/chart" Target="charts/chart14.xml"/><Relationship Id="rId57" Type="http://schemas.openxmlformats.org/officeDocument/2006/relationships/footer" Target="footer24.xml"/><Relationship Id="rId106" Type="http://schemas.openxmlformats.org/officeDocument/2006/relationships/hyperlink" Target="https://www.dva.gov.au/sites/default/files/files/consultation%20and%20grants/healthstudies/timor_leste/tlfs-technical.pdf" TargetMode="External"/><Relationship Id="rId10" Type="http://schemas.openxmlformats.org/officeDocument/2006/relationships/hyperlink" Target="http://www.defence.gov.au/Health/DMH/ResearchSurveillancePlan.asp" TargetMode="External"/><Relationship Id="rId31" Type="http://schemas.openxmlformats.org/officeDocument/2006/relationships/footer" Target="footer16.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footer" Target="footer27.xml"/><Relationship Id="rId78" Type="http://schemas.openxmlformats.org/officeDocument/2006/relationships/footer" Target="footer29.xml"/><Relationship Id="rId81" Type="http://schemas.openxmlformats.org/officeDocument/2006/relationships/footer" Target="footer32.xml"/><Relationship Id="rId86" Type="http://schemas.openxmlformats.org/officeDocument/2006/relationships/footer" Target="footer37.xml"/><Relationship Id="rId94" Type="http://schemas.openxmlformats.org/officeDocument/2006/relationships/hyperlink" Target="http://www.melbourneinstitute.com/hilda/" TargetMode="External"/><Relationship Id="rId99" Type="http://schemas.openxmlformats.org/officeDocument/2006/relationships/hyperlink" Target="http://www.abs.gov.au/AUSSTATS/abs@.nsf/DetailsPage/4159.02010" TargetMode="External"/><Relationship Id="rId101" Type="http://schemas.openxmlformats.org/officeDocument/2006/relationships/hyperlink" Target="https://www.dva.gov.au/sites/default/files/files/health%20and%20wellbeing/mental/govtresponse.pdf" TargetMode="External"/><Relationship Id="rId4" Type="http://schemas.openxmlformats.org/officeDocument/2006/relationships/webSettings" Target="webSettings.xml"/><Relationship Id="rId9" Type="http://schemas.openxmlformats.org/officeDocument/2006/relationships/hyperlink" Target="mailto:publications@dva.gov.au" TargetMode="External"/><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footer" Target="footer23.xml"/><Relationship Id="rId109" Type="http://schemas.openxmlformats.org/officeDocument/2006/relationships/hyperlink" Target="http://melbourneinstitute.unimelb.edu.au/hilda" TargetMode="External"/><Relationship Id="rId34" Type="http://schemas.openxmlformats.org/officeDocument/2006/relationships/footer" Target="footer18.xm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37.xml"/><Relationship Id="rId97" Type="http://schemas.openxmlformats.org/officeDocument/2006/relationships/footer" Target="footer43.xml"/><Relationship Id="rId104" Type="http://schemas.openxmlformats.org/officeDocument/2006/relationships/hyperlink" Target="https://www.dva.gov.au/sites/default/files/files/about%20dva/annual_report/2015-2016/annrep2015-16.pdf" TargetMode="External"/><Relationship Id="rId7" Type="http://schemas.openxmlformats.org/officeDocument/2006/relationships/image" Target="media/image1.png"/><Relationship Id="rId71" Type="http://schemas.openxmlformats.org/officeDocument/2006/relationships/chart" Target="charts/chart34.xml"/><Relationship Id="rId92" Type="http://schemas.openxmlformats.org/officeDocument/2006/relationships/hyperlink" Target="http://www.melbourneinstitute.com/hild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2015 Regular ADF</c:v>
                </c:pt>
              </c:strCache>
            </c:strRef>
          </c:tx>
          <c:spPr>
            <a:solidFill>
              <a:schemeClr val="accent3"/>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Any disorder</c:v>
                </c:pt>
                <c:pt idx="1">
                  <c:v>PTSD</c:v>
                </c:pt>
                <c:pt idx="2">
                  <c:v>Alcohol disorder</c:v>
                </c:pt>
                <c:pt idx="3">
                  <c:v>Affective disorder</c:v>
                </c:pt>
                <c:pt idx="4">
                  <c:v>Anxiety disorder</c:v>
                </c:pt>
              </c:strCache>
            </c:strRef>
          </c:cat>
          <c:val>
            <c:numRef>
              <c:f>Sheet1!$B$2:$B$6</c:f>
              <c:numCache>
                <c:formatCode>0.0%</c:formatCode>
                <c:ptCount val="5"/>
                <c:pt idx="0">
                  <c:v>4.2999999999999997E-2</c:v>
                </c:pt>
                <c:pt idx="1">
                  <c:v>2.5000000000000001E-2</c:v>
                </c:pt>
                <c:pt idx="2">
                  <c:v>-8.9999999999999993E-3</c:v>
                </c:pt>
                <c:pt idx="3">
                  <c:v>0.03</c:v>
                </c:pt>
                <c:pt idx="4">
                  <c:v>5.7000000000000002E-2</c:v>
                </c:pt>
              </c:numCache>
            </c:numRef>
          </c:val>
          <c:extLst xmlns:c16r2="http://schemas.microsoft.com/office/drawing/2015/06/chart">
            <c:ext xmlns:c16="http://schemas.microsoft.com/office/drawing/2014/chart" uri="{C3380CC4-5D6E-409C-BE32-E72D297353CC}">
              <c16:uniqueId val="{00000000-A42C-B146-8378-B9677D72AA35}"/>
            </c:ext>
          </c:extLst>
        </c:ser>
        <c:ser>
          <c:idx val="1"/>
          <c:order val="1"/>
          <c:tx>
            <c:strRef>
              <c:f>Sheet1!$C$1</c:f>
              <c:strCache>
                <c:ptCount val="1"/>
                <c:pt idx="0">
                  <c:v>Transitioned ADF</c:v>
                </c:pt>
              </c:strCache>
            </c:strRef>
          </c:tx>
          <c:spPr>
            <a:solidFill>
              <a:schemeClr val="accent1"/>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Any disorder</c:v>
                </c:pt>
                <c:pt idx="1">
                  <c:v>PTSD</c:v>
                </c:pt>
                <c:pt idx="2">
                  <c:v>Alcohol disorder</c:v>
                </c:pt>
                <c:pt idx="3">
                  <c:v>Affective disorder</c:v>
                </c:pt>
                <c:pt idx="4">
                  <c:v>Anxiety disorder</c:v>
                </c:pt>
              </c:strCache>
            </c:strRef>
          </c:cat>
          <c:val>
            <c:numRef>
              <c:f>Sheet1!$C$2:$C$6</c:f>
              <c:numCache>
                <c:formatCode>0.0%</c:formatCode>
                <c:ptCount val="5"/>
                <c:pt idx="0">
                  <c:v>3.4000000000000002E-2</c:v>
                </c:pt>
                <c:pt idx="1">
                  <c:v>0.05</c:v>
                </c:pt>
                <c:pt idx="2">
                  <c:v>1.4999999999999999E-2</c:v>
                </c:pt>
                <c:pt idx="3">
                  <c:v>2.3E-2</c:v>
                </c:pt>
                <c:pt idx="4">
                  <c:v>4.2000000000000003E-2</c:v>
                </c:pt>
              </c:numCache>
            </c:numRef>
          </c:val>
          <c:extLst xmlns:c16r2="http://schemas.microsoft.com/office/drawing/2015/06/chart">
            <c:ext xmlns:c16="http://schemas.microsoft.com/office/drawing/2014/chart" uri="{C3380CC4-5D6E-409C-BE32-E72D297353CC}">
              <c16:uniqueId val="{00000001-A42C-B146-8378-B9677D72AA35}"/>
            </c:ext>
          </c:extLst>
        </c:ser>
        <c:dLbls>
          <c:showLegendKey val="0"/>
          <c:showVal val="0"/>
          <c:showCatName val="0"/>
          <c:showSerName val="0"/>
          <c:showPercent val="0"/>
          <c:showBubbleSize val="0"/>
        </c:dLbls>
        <c:gapWidth val="150"/>
        <c:axId val="269258160"/>
        <c:axId val="269254632"/>
      </c:barChart>
      <c:catAx>
        <c:axId val="269258160"/>
        <c:scaling>
          <c:orientation val="minMax"/>
        </c:scaling>
        <c:delete val="0"/>
        <c:axPos val="l"/>
        <c:numFmt formatCode="General" sourceLinked="0"/>
        <c:majorTickMark val="out"/>
        <c:minorTickMark val="none"/>
        <c:tickLblPos val="low"/>
        <c:crossAx val="269254632"/>
        <c:crosses val="autoZero"/>
        <c:auto val="1"/>
        <c:lblAlgn val="ctr"/>
        <c:lblOffset val="100"/>
        <c:noMultiLvlLbl val="0"/>
      </c:catAx>
      <c:valAx>
        <c:axId val="269254632"/>
        <c:scaling>
          <c:orientation val="minMax"/>
          <c:max val="7.0000000000000007E-2"/>
        </c:scaling>
        <c:delete val="0"/>
        <c:axPos val="b"/>
        <c:majorGridlines>
          <c:spPr>
            <a:ln>
              <a:solidFill>
                <a:schemeClr val="bg1">
                  <a:lumMod val="50000"/>
                  <a:alpha val="34000"/>
                </a:schemeClr>
              </a:solidFill>
            </a:ln>
          </c:spPr>
        </c:majorGridlines>
        <c:numFmt formatCode="0.0%" sourceLinked="1"/>
        <c:majorTickMark val="out"/>
        <c:minorTickMark val="none"/>
        <c:tickLblPos val="nextTo"/>
        <c:crossAx val="269258160"/>
        <c:crosses val="autoZero"/>
        <c:crossBetween val="between"/>
        <c:majorUnit val="0.01"/>
      </c:valAx>
    </c:plotArea>
    <c:legend>
      <c:legendPos val="b"/>
      <c:layout>
        <c:manualLayout>
          <c:xMode val="edge"/>
          <c:yMode val="edge"/>
          <c:x val="0.46504658792650921"/>
          <c:y val="0.91155386826646667"/>
          <c:w val="0.4921288276465442"/>
          <c:h val="6.6883083648638014E-2"/>
        </c:manualLayout>
      </c:layout>
      <c:overlay val="0"/>
    </c:legend>
    <c:plotVisOnly val="1"/>
    <c:dispBlanksAs val="gap"/>
    <c:showDLblsOverMax val="0"/>
  </c:chart>
  <c:spPr>
    <a:ln>
      <a:noFill/>
    </a:ln>
  </c:spPr>
  <c:txPr>
    <a:bodyPr/>
    <a:lstStyle/>
    <a:p>
      <a:pPr>
        <a:defRPr sz="900" baseline="0">
          <a:latin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7.8703703703703706E-2"/>
          <c:w val="0.84734951881014875"/>
          <c:h val="0.7497295129775444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83.2</c:v>
                </c:pt>
                <c:pt idx="1">
                  <c:v>45.4</c:v>
                </c:pt>
                <c:pt idx="2">
                  <c:v>17.100000000000001</c:v>
                </c:pt>
              </c:numCache>
            </c:numRef>
          </c:val>
          <c:extLst xmlns:c16r2="http://schemas.microsoft.com/office/drawing/2015/06/chart">
            <c:ext xmlns:c16="http://schemas.microsoft.com/office/drawing/2014/chart" uri="{C3380CC4-5D6E-409C-BE32-E72D297353CC}">
              <c16:uniqueId val="{00000000-5835-0541-B422-0E4B646B7A3A}"/>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14.1</c:v>
                </c:pt>
                <c:pt idx="1">
                  <c:v>40.299999999999997</c:v>
                </c:pt>
                <c:pt idx="2">
                  <c:v>45.4</c:v>
                </c:pt>
              </c:numCache>
            </c:numRef>
          </c:val>
          <c:extLst xmlns:c16r2="http://schemas.microsoft.com/office/drawing/2015/06/chart">
            <c:ext xmlns:c16="http://schemas.microsoft.com/office/drawing/2014/chart" uri="{C3380CC4-5D6E-409C-BE32-E72D297353CC}">
              <c16:uniqueId val="{00000001-5835-0541-B422-0E4B646B7A3A}"/>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2.6</c:v>
                </c:pt>
                <c:pt idx="1">
                  <c:v>14.3</c:v>
                </c:pt>
                <c:pt idx="2">
                  <c:v>37.6</c:v>
                </c:pt>
              </c:numCache>
            </c:numRef>
          </c:val>
          <c:extLst xmlns:c16r2="http://schemas.microsoft.com/office/drawing/2015/06/chart">
            <c:ext xmlns:c16="http://schemas.microsoft.com/office/drawing/2014/chart" uri="{C3380CC4-5D6E-409C-BE32-E72D297353CC}">
              <c16:uniqueId val="{00000002-5835-0541-B422-0E4B646B7A3A}"/>
            </c:ext>
          </c:extLst>
        </c:ser>
        <c:dLbls>
          <c:dLblPos val="outEnd"/>
          <c:showLegendKey val="0"/>
          <c:showVal val="1"/>
          <c:showCatName val="0"/>
          <c:showSerName val="0"/>
          <c:showPercent val="0"/>
          <c:showBubbleSize val="0"/>
        </c:dLbls>
        <c:gapWidth val="219"/>
        <c:overlap val="-27"/>
        <c:axId val="392789488"/>
        <c:axId val="392787136"/>
      </c:barChart>
      <c:catAx>
        <c:axId val="39278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87136"/>
        <c:crosses val="autoZero"/>
        <c:auto val="1"/>
        <c:lblAlgn val="ctr"/>
        <c:lblOffset val="100"/>
        <c:noMultiLvlLbl val="0"/>
      </c:catAx>
      <c:valAx>
        <c:axId val="39278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7097112860892386E-2"/>
              <c:y val="0.3008380723242927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2789488"/>
        <c:crosses val="autoZero"/>
        <c:crossBetween val="between"/>
      </c:valAx>
      <c:spPr>
        <a:noFill/>
        <a:ln>
          <a:noFill/>
        </a:ln>
        <a:effectLst/>
      </c:spPr>
    </c:plotArea>
    <c:legend>
      <c:legendPos val="b"/>
      <c:layout>
        <c:manualLayout>
          <c:xMode val="edge"/>
          <c:yMode val="edge"/>
          <c:x val="0.59166666666666667"/>
          <c:y val="4.6874453193350832E-2"/>
          <c:w val="0.3527777777777778"/>
          <c:h val="0.17997739865850101"/>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9444444444444448E-2"/>
          <c:w val="0.83468285214348203"/>
          <c:h val="0.76361840186643326"/>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B3C-4455-99FA-B390E59C9797}"/>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73.900000000000006</c:v>
                </c:pt>
                <c:pt idx="1">
                  <c:v>34.700000000000003</c:v>
                </c:pt>
                <c:pt idx="2">
                  <c:v>10.1</c:v>
                </c:pt>
              </c:numCache>
            </c:numRef>
          </c:val>
          <c:extLst xmlns:c16r2="http://schemas.microsoft.com/office/drawing/2015/06/chart">
            <c:ext xmlns:c16="http://schemas.microsoft.com/office/drawing/2014/chart" uri="{C3380CC4-5D6E-409C-BE32-E72D297353CC}">
              <c16:uniqueId val="{00000001-CB3C-4455-99FA-B390E59C9797}"/>
            </c:ext>
          </c:extLst>
        </c:ser>
        <c:ser>
          <c:idx val="1"/>
          <c:order val="1"/>
          <c:tx>
            <c:strRef>
              <c:f>Sheet1!$C$1</c:f>
              <c:strCache>
                <c:ptCount val="1"/>
                <c:pt idx="0">
                  <c:v>Subsyndromal disorder 2015</c:v>
                </c:pt>
              </c:strCache>
            </c:strRef>
          </c:tx>
          <c:spPr>
            <a:solidFill>
              <a:schemeClr val="accent3"/>
            </a:solidFill>
            <a:ln>
              <a:noFill/>
            </a:ln>
            <a:effectLst/>
          </c:spPr>
          <c:invertIfNegative val="0"/>
          <c:dLbls>
            <c:dLbl>
              <c:idx val="1"/>
              <c:tx>
                <c:rich>
                  <a:bodyPr/>
                  <a:lstStyle/>
                  <a:p>
                    <a:r>
                      <a:rPr lang="en-US"/>
                      <a:t>42.0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3C-4455-99FA-B390E59C9797}"/>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19.8</c:v>
                </c:pt>
                <c:pt idx="1">
                  <c:v>42</c:v>
                </c:pt>
                <c:pt idx="2">
                  <c:v>34.9</c:v>
                </c:pt>
              </c:numCache>
            </c:numRef>
          </c:val>
          <c:extLst xmlns:c16r2="http://schemas.microsoft.com/office/drawing/2015/06/chart">
            <c:ext xmlns:c16="http://schemas.microsoft.com/office/drawing/2014/chart" uri="{C3380CC4-5D6E-409C-BE32-E72D297353CC}">
              <c16:uniqueId val="{00000003-CB3C-4455-99FA-B390E59C9797}"/>
            </c:ext>
          </c:extLst>
        </c:ser>
        <c:ser>
          <c:idx val="2"/>
          <c:order val="2"/>
          <c:tx>
            <c:strRef>
              <c:f>Sheet1!$D$1</c:f>
              <c:strCache>
                <c:ptCount val="1"/>
                <c:pt idx="0">
                  <c:v>Probable disorder 2015</c:v>
                </c:pt>
              </c:strCache>
            </c:strRef>
          </c:tx>
          <c:spPr>
            <a:solidFill>
              <a:schemeClr val="accent2"/>
            </a:solidFill>
            <a:ln>
              <a:noFill/>
            </a:ln>
            <a:effectLst/>
          </c:spPr>
          <c:invertIfNegative val="0"/>
          <c:dLbls>
            <c:dLbl>
              <c:idx val="2"/>
              <c:tx>
                <c:rich>
                  <a:bodyPr/>
                  <a:lstStyle/>
                  <a:p>
                    <a:r>
                      <a:rPr lang="en-US"/>
                      <a:t>55.0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3C-4455-99FA-B390E59C9797}"/>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6.3</c:v>
                </c:pt>
                <c:pt idx="1">
                  <c:v>23.4</c:v>
                </c:pt>
                <c:pt idx="2">
                  <c:v>55</c:v>
                </c:pt>
              </c:numCache>
            </c:numRef>
          </c:val>
          <c:extLst xmlns:c16r2="http://schemas.microsoft.com/office/drawing/2015/06/chart">
            <c:ext xmlns:c16="http://schemas.microsoft.com/office/drawing/2014/chart" uri="{C3380CC4-5D6E-409C-BE32-E72D297353CC}">
              <c16:uniqueId val="{00000005-CB3C-4455-99FA-B390E59C9797}"/>
            </c:ext>
          </c:extLst>
        </c:ser>
        <c:dLbls>
          <c:dLblPos val="outEnd"/>
          <c:showLegendKey val="0"/>
          <c:showVal val="1"/>
          <c:showCatName val="0"/>
          <c:showSerName val="0"/>
          <c:showPercent val="0"/>
          <c:showBubbleSize val="0"/>
        </c:dLbls>
        <c:gapWidth val="219"/>
        <c:overlap val="-27"/>
        <c:axId val="392786352"/>
        <c:axId val="392793016"/>
      </c:barChart>
      <c:catAx>
        <c:axId val="39278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93016"/>
        <c:crosses val="autoZero"/>
        <c:auto val="1"/>
        <c:lblAlgn val="ctr"/>
        <c:lblOffset val="100"/>
        <c:noMultiLvlLbl val="0"/>
      </c:catAx>
      <c:valAx>
        <c:axId val="3927930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035684601924759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2786352"/>
        <c:crosses val="autoZero"/>
        <c:crossBetween val="between"/>
      </c:valAx>
      <c:spPr>
        <a:noFill/>
        <a:ln>
          <a:noFill/>
        </a:ln>
        <a:effectLst/>
      </c:spPr>
    </c:plotArea>
    <c:legend>
      <c:legendPos val="b"/>
      <c:layout>
        <c:manualLayout>
          <c:xMode val="edge"/>
          <c:yMode val="edge"/>
          <c:x val="0.59444444444444444"/>
          <c:y val="5.6133712452610091E-2"/>
          <c:w val="0.3527777777777778"/>
          <c:h val="0.207755176436278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4814814814814811E-2"/>
          <c:w val="0.83468285214348203"/>
          <c:h val="0.77287766112569267"/>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dLbl>
              <c:idx val="2"/>
              <c:tx>
                <c:rich>
                  <a:bodyPr/>
                  <a:lstStyle/>
                  <a:p>
                    <a:r>
                      <a:rPr lang="en-US"/>
                      <a:t>25.0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93-4D5C-A6A4-A9D631F8D601}"/>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86.3</c:v>
                </c:pt>
                <c:pt idx="1">
                  <c:v>50.6</c:v>
                </c:pt>
                <c:pt idx="2">
                  <c:v>25</c:v>
                </c:pt>
              </c:numCache>
            </c:numRef>
          </c:val>
          <c:extLst xmlns:c16r2="http://schemas.microsoft.com/office/drawing/2015/06/chart">
            <c:ext xmlns:c16="http://schemas.microsoft.com/office/drawing/2014/chart" uri="{C3380CC4-5D6E-409C-BE32-E72D297353CC}">
              <c16:uniqueId val="{00000000-5358-474D-A8CB-018DF9583C9F}"/>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12.3</c:v>
                </c:pt>
                <c:pt idx="1">
                  <c:v>39.5</c:v>
                </c:pt>
                <c:pt idx="2">
                  <c:v>57.3</c:v>
                </c:pt>
              </c:numCache>
            </c:numRef>
          </c:val>
          <c:extLst xmlns:c16r2="http://schemas.microsoft.com/office/drawing/2015/06/chart">
            <c:ext xmlns:c16="http://schemas.microsoft.com/office/drawing/2014/chart" uri="{C3380CC4-5D6E-409C-BE32-E72D297353CC}">
              <c16:uniqueId val="{00000001-5358-474D-A8CB-018DF9583C9F}"/>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1.4</c:v>
                </c:pt>
                <c:pt idx="1">
                  <c:v>9.9</c:v>
                </c:pt>
                <c:pt idx="2">
                  <c:v>17.7</c:v>
                </c:pt>
              </c:numCache>
            </c:numRef>
          </c:val>
          <c:extLst xmlns:c16r2="http://schemas.microsoft.com/office/drawing/2015/06/chart">
            <c:ext xmlns:c16="http://schemas.microsoft.com/office/drawing/2014/chart" uri="{C3380CC4-5D6E-409C-BE32-E72D297353CC}">
              <c16:uniqueId val="{00000002-5358-474D-A8CB-018DF9583C9F}"/>
            </c:ext>
          </c:extLst>
        </c:ser>
        <c:dLbls>
          <c:dLblPos val="outEnd"/>
          <c:showLegendKey val="0"/>
          <c:showVal val="1"/>
          <c:showCatName val="0"/>
          <c:showSerName val="0"/>
          <c:showPercent val="0"/>
          <c:showBubbleSize val="0"/>
        </c:dLbls>
        <c:gapWidth val="219"/>
        <c:overlap val="-27"/>
        <c:axId val="392789880"/>
        <c:axId val="392790272"/>
      </c:barChart>
      <c:catAx>
        <c:axId val="39278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90272"/>
        <c:crosses val="autoZero"/>
        <c:auto val="1"/>
        <c:lblAlgn val="ctr"/>
        <c:lblOffset val="100"/>
        <c:noMultiLvlLbl val="0"/>
      </c:catAx>
      <c:valAx>
        <c:axId val="39279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2789880"/>
        <c:crosses val="autoZero"/>
        <c:crossBetween val="between"/>
      </c:valAx>
      <c:spPr>
        <a:noFill/>
        <a:ln>
          <a:noFill/>
        </a:ln>
        <a:effectLst/>
      </c:spPr>
    </c:plotArea>
    <c:legend>
      <c:legendPos val="b"/>
      <c:layout>
        <c:manualLayout>
          <c:xMode val="edge"/>
          <c:yMode val="edge"/>
          <c:x val="0.58888888888888891"/>
          <c:y val="4.6874453193350832E-2"/>
          <c:w val="0.35833333333333334"/>
          <c:h val="0.19849591717701953"/>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2825896762903"/>
          <c:y val="6.4814814814814811E-2"/>
          <c:w val="0.86001618547681535"/>
          <c:h val="0.73577136191309422"/>
        </c:manualLayout>
      </c:layout>
      <c:barChart>
        <c:barDir val="col"/>
        <c:grouping val="clustered"/>
        <c:varyColors val="0"/>
        <c:ser>
          <c:idx val="0"/>
          <c:order val="0"/>
          <c:tx>
            <c:strRef>
              <c:f>Sheet1!$B$1</c:f>
              <c:strCache>
                <c:ptCount val="1"/>
                <c:pt idx="0">
                  <c:v>Transitioned ADF</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Sheet1!$B$2:$B$3</c:f>
              <c:numCache>
                <c:formatCode>General</c:formatCode>
                <c:ptCount val="2"/>
                <c:pt idx="0">
                  <c:v>5.9</c:v>
                </c:pt>
                <c:pt idx="1">
                  <c:v>6.8</c:v>
                </c:pt>
              </c:numCache>
            </c:numRef>
          </c:val>
          <c:extLst xmlns:c16r2="http://schemas.microsoft.com/office/drawing/2015/06/chart">
            <c:ext xmlns:c16="http://schemas.microsoft.com/office/drawing/2014/chart" uri="{C3380CC4-5D6E-409C-BE32-E72D297353CC}">
              <c16:uniqueId val="{00000000-F58B-E549-AF7F-E2309BA766DE}"/>
            </c:ext>
          </c:extLst>
        </c:ser>
        <c:ser>
          <c:idx val="1"/>
          <c:order val="1"/>
          <c:tx>
            <c:strRef>
              <c:f>Sheet1!$C$1</c:f>
              <c:strCache>
                <c:ptCount val="1"/>
                <c:pt idx="0">
                  <c:v>2015 Regular ADF</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Sheet1!$C$2:$C$3</c:f>
              <c:numCache>
                <c:formatCode>General</c:formatCode>
                <c:ptCount val="2"/>
                <c:pt idx="0">
                  <c:v>5.5</c:v>
                </c:pt>
                <c:pt idx="1">
                  <c:v>5.2</c:v>
                </c:pt>
              </c:numCache>
            </c:numRef>
          </c:val>
          <c:extLst xmlns:c16r2="http://schemas.microsoft.com/office/drawing/2015/06/chart">
            <c:ext xmlns:c16="http://schemas.microsoft.com/office/drawing/2014/chart" uri="{C3380CC4-5D6E-409C-BE32-E72D297353CC}">
              <c16:uniqueId val="{00000001-F58B-E549-AF7F-E2309BA766DE}"/>
            </c:ext>
          </c:extLst>
        </c:ser>
        <c:dLbls>
          <c:dLblPos val="outEnd"/>
          <c:showLegendKey val="0"/>
          <c:showVal val="1"/>
          <c:showCatName val="0"/>
          <c:showSerName val="0"/>
          <c:showPercent val="0"/>
          <c:showBubbleSize val="0"/>
        </c:dLbls>
        <c:gapWidth val="219"/>
        <c:overlap val="-27"/>
        <c:axId val="392790664"/>
        <c:axId val="392791448"/>
      </c:barChart>
      <c:catAx>
        <c:axId val="39279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91448"/>
        <c:crosses val="autoZero"/>
        <c:auto val="1"/>
        <c:lblAlgn val="ctr"/>
        <c:lblOffset val="100"/>
        <c:noMultiLvlLbl val="0"/>
      </c:catAx>
      <c:valAx>
        <c:axId val="39279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a:t>
                </a:r>
              </a:p>
            </c:rich>
          </c:tx>
          <c:layout>
            <c:manualLayout>
              <c:xMode val="edge"/>
              <c:yMode val="edge"/>
              <c:x val="1.1111111111111112E-2"/>
              <c:y val="0.3593901283172936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2790664"/>
        <c:crosses val="autoZero"/>
        <c:crossBetween val="between"/>
      </c:valAx>
      <c:spPr>
        <a:noFill/>
        <a:ln>
          <a:noFill/>
        </a:ln>
        <a:effectLst/>
      </c:spPr>
    </c:plotArea>
    <c:legend>
      <c:legendPos val="b"/>
      <c:layout>
        <c:manualLayout>
          <c:xMode val="edge"/>
          <c:yMode val="edge"/>
          <c:x val="0.48449103237095364"/>
          <c:y val="0.89409667541557303"/>
          <c:w val="0.4921288276465442"/>
          <c:h val="7.8125546806649168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4814814814814811E-2"/>
          <c:w val="0.83468285214348203"/>
          <c:h val="0.7682480314960630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88.6</c:v>
                </c:pt>
                <c:pt idx="1">
                  <c:v>41.9</c:v>
                </c:pt>
                <c:pt idx="2">
                  <c:v>15.4</c:v>
                </c:pt>
              </c:numCache>
            </c:numRef>
          </c:val>
          <c:extLst xmlns:c16r2="http://schemas.microsoft.com/office/drawing/2015/06/chart">
            <c:ext xmlns:c16="http://schemas.microsoft.com/office/drawing/2014/chart" uri="{C3380CC4-5D6E-409C-BE32-E72D297353CC}">
              <c16:uniqueId val="{00000000-BE78-0F44-B5C4-4333B5DE5EA4}"/>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10.7</c:v>
                </c:pt>
                <c:pt idx="1">
                  <c:v>51.7</c:v>
                </c:pt>
                <c:pt idx="2">
                  <c:v>48.7</c:v>
                </c:pt>
              </c:numCache>
            </c:numRef>
          </c:val>
          <c:extLst xmlns:c16r2="http://schemas.microsoft.com/office/drawing/2015/06/chart">
            <c:ext xmlns:c16="http://schemas.microsoft.com/office/drawing/2014/chart" uri="{C3380CC4-5D6E-409C-BE32-E72D297353CC}">
              <c16:uniqueId val="{00000001-BE78-0F44-B5C4-4333B5DE5EA4}"/>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0.7</c:v>
                </c:pt>
                <c:pt idx="1">
                  <c:v>6.4</c:v>
                </c:pt>
                <c:pt idx="2">
                  <c:v>35.9</c:v>
                </c:pt>
              </c:numCache>
            </c:numRef>
          </c:val>
          <c:extLst xmlns:c16r2="http://schemas.microsoft.com/office/drawing/2015/06/chart">
            <c:ext xmlns:c16="http://schemas.microsoft.com/office/drawing/2014/chart" uri="{C3380CC4-5D6E-409C-BE32-E72D297353CC}">
              <c16:uniqueId val="{00000002-BE78-0F44-B5C4-4333B5DE5EA4}"/>
            </c:ext>
          </c:extLst>
        </c:ser>
        <c:dLbls>
          <c:dLblPos val="outEnd"/>
          <c:showLegendKey val="0"/>
          <c:showVal val="1"/>
          <c:showCatName val="0"/>
          <c:showSerName val="0"/>
          <c:showPercent val="0"/>
          <c:showBubbleSize val="0"/>
        </c:dLbls>
        <c:gapWidth val="219"/>
        <c:overlap val="-27"/>
        <c:axId val="393364968"/>
        <c:axId val="393365360"/>
      </c:barChart>
      <c:catAx>
        <c:axId val="39336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5360"/>
        <c:crosses val="autoZero"/>
        <c:auto val="1"/>
        <c:lblAlgn val="ctr"/>
        <c:lblOffset val="100"/>
        <c:noMultiLvlLbl val="0"/>
      </c:catAx>
      <c:valAx>
        <c:axId val="39336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1111111111111112E-2"/>
              <c:y val="0.317457349081364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64968"/>
        <c:crosses val="autoZero"/>
        <c:crossBetween val="between"/>
      </c:valAx>
      <c:spPr>
        <a:noFill/>
        <a:ln>
          <a:noFill/>
        </a:ln>
        <a:effectLst/>
      </c:spPr>
    </c:plotArea>
    <c:legend>
      <c:legendPos val="b"/>
      <c:layout>
        <c:manualLayout>
          <c:xMode val="edge"/>
          <c:yMode val="edge"/>
          <c:x val="0.5805555555555556"/>
          <c:y val="2.8355934674832314E-2"/>
          <c:w val="0.3611111111111111"/>
          <c:h val="0.2123848060659084"/>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0185185185185182E-2"/>
          <c:w val="0.83468285214348203"/>
          <c:h val="0.75898877223680361"/>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82.7</c:v>
                </c:pt>
                <c:pt idx="1">
                  <c:v>32.200000000000003</c:v>
                </c:pt>
                <c:pt idx="2">
                  <c:v>7.3</c:v>
                </c:pt>
              </c:numCache>
            </c:numRef>
          </c:val>
          <c:extLst xmlns:c16r2="http://schemas.microsoft.com/office/drawing/2015/06/chart">
            <c:ext xmlns:c16="http://schemas.microsoft.com/office/drawing/2014/chart" uri="{C3380CC4-5D6E-409C-BE32-E72D297353CC}">
              <c16:uniqueId val="{00000000-2F4D-403A-BA5F-C673DF7974AD}"/>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15.2</c:v>
                </c:pt>
                <c:pt idx="1">
                  <c:v>55.9</c:v>
                </c:pt>
                <c:pt idx="2">
                  <c:v>43.9</c:v>
                </c:pt>
              </c:numCache>
            </c:numRef>
          </c:val>
          <c:extLst xmlns:c16r2="http://schemas.microsoft.com/office/drawing/2015/06/chart">
            <c:ext xmlns:c16="http://schemas.microsoft.com/office/drawing/2014/chart" uri="{C3380CC4-5D6E-409C-BE32-E72D297353CC}">
              <c16:uniqueId val="{00000001-2F4D-403A-BA5F-C673DF7974AD}"/>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2.1</c:v>
                </c:pt>
                <c:pt idx="1">
                  <c:v>11.9</c:v>
                </c:pt>
                <c:pt idx="2">
                  <c:v>48.8</c:v>
                </c:pt>
              </c:numCache>
            </c:numRef>
          </c:val>
          <c:extLst xmlns:c16r2="http://schemas.microsoft.com/office/drawing/2015/06/chart">
            <c:ext xmlns:c16="http://schemas.microsoft.com/office/drawing/2014/chart" uri="{C3380CC4-5D6E-409C-BE32-E72D297353CC}">
              <c16:uniqueId val="{00000002-2F4D-403A-BA5F-C673DF7974AD}"/>
            </c:ext>
          </c:extLst>
        </c:ser>
        <c:dLbls>
          <c:dLblPos val="outEnd"/>
          <c:showLegendKey val="0"/>
          <c:showVal val="1"/>
          <c:showCatName val="0"/>
          <c:showSerName val="0"/>
          <c:showPercent val="0"/>
          <c:showBubbleSize val="0"/>
        </c:dLbls>
        <c:gapWidth val="219"/>
        <c:overlap val="-27"/>
        <c:axId val="393363792"/>
        <c:axId val="393364184"/>
      </c:barChart>
      <c:catAx>
        <c:axId val="39336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4184"/>
        <c:crosses val="autoZero"/>
        <c:auto val="1"/>
        <c:lblAlgn val="ctr"/>
        <c:lblOffset val="100"/>
        <c:noMultiLvlLbl val="0"/>
      </c:catAx>
      <c:valAx>
        <c:axId val="3933641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1111111111111112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63792"/>
        <c:crosses val="autoZero"/>
        <c:crossBetween val="between"/>
      </c:valAx>
      <c:spPr>
        <a:noFill/>
        <a:ln>
          <a:noFill/>
        </a:ln>
        <a:effectLst/>
      </c:spPr>
    </c:plotArea>
    <c:legend>
      <c:legendPos val="b"/>
      <c:layout>
        <c:manualLayout>
          <c:xMode val="edge"/>
          <c:yMode val="edge"/>
          <c:x val="0.56388888888888888"/>
          <c:y val="3.7615193934091573E-2"/>
          <c:w val="0.38611111111111113"/>
          <c:h val="0.17997739865850099"/>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8.3333333333333329E-2"/>
          <c:w val="0.83468285214348203"/>
          <c:h val="0.7404702537182851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90.6</c:v>
                </c:pt>
                <c:pt idx="1">
                  <c:v>45.8</c:v>
                </c:pt>
                <c:pt idx="2">
                  <c:v>24.3</c:v>
                </c:pt>
              </c:numCache>
            </c:numRef>
          </c:val>
          <c:extLst xmlns:c16r2="http://schemas.microsoft.com/office/drawing/2015/06/chart">
            <c:ext xmlns:c16="http://schemas.microsoft.com/office/drawing/2014/chart" uri="{C3380CC4-5D6E-409C-BE32-E72D297353CC}">
              <c16:uniqueId val="{00000000-2391-C24C-9730-083AD8F29709}"/>
            </c:ext>
          </c:extLst>
        </c:ser>
        <c:ser>
          <c:idx val="1"/>
          <c:order val="1"/>
          <c:tx>
            <c:strRef>
              <c:f>Sheet1!$C$1</c:f>
              <c:strCache>
                <c:ptCount val="1"/>
                <c:pt idx="0">
                  <c:v>Subsyndromal disorder 2015</c:v>
                </c:pt>
              </c:strCache>
            </c:strRef>
          </c:tx>
          <c:spPr>
            <a:solidFill>
              <a:schemeClr val="accent3"/>
            </a:solidFill>
            <a:ln>
              <a:noFill/>
            </a:ln>
            <a:effectLst/>
          </c:spPr>
          <c:invertIfNegative val="0"/>
          <c:dLbls>
            <c:dLbl>
              <c:idx val="1"/>
              <c:tx>
                <c:rich>
                  <a:bodyPr/>
                  <a:lstStyle/>
                  <a:p>
                    <a:fld id="{37FD6E67-BDC0-DA47-A8BE-7D38798AF187}" type="VALUE">
                      <a:rPr lang="en-US"/>
                      <a:pPr/>
                      <a:t>[VALUE]</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91-C24C-9730-083AD8F29709}"/>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9.1999999999999993</c:v>
                </c:pt>
                <c:pt idx="1">
                  <c:v>50</c:v>
                </c:pt>
                <c:pt idx="2">
                  <c:v>54.1</c:v>
                </c:pt>
              </c:numCache>
            </c:numRef>
          </c:val>
          <c:extLst xmlns:c16r2="http://schemas.microsoft.com/office/drawing/2015/06/chart">
            <c:ext xmlns:c16="http://schemas.microsoft.com/office/drawing/2014/chart" uri="{C3380CC4-5D6E-409C-BE32-E72D297353CC}">
              <c16:uniqueId val="{00000001-2391-C24C-9730-083AD8F29709}"/>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0.2</c:v>
                </c:pt>
                <c:pt idx="1">
                  <c:v>4.2</c:v>
                </c:pt>
                <c:pt idx="2">
                  <c:v>21.6</c:v>
                </c:pt>
              </c:numCache>
            </c:numRef>
          </c:val>
          <c:extLst xmlns:c16r2="http://schemas.microsoft.com/office/drawing/2015/06/chart">
            <c:ext xmlns:c16="http://schemas.microsoft.com/office/drawing/2014/chart" uri="{C3380CC4-5D6E-409C-BE32-E72D297353CC}">
              <c16:uniqueId val="{00000002-2391-C24C-9730-083AD8F29709}"/>
            </c:ext>
          </c:extLst>
        </c:ser>
        <c:dLbls>
          <c:dLblPos val="outEnd"/>
          <c:showLegendKey val="0"/>
          <c:showVal val="1"/>
          <c:showCatName val="0"/>
          <c:showSerName val="0"/>
          <c:showPercent val="0"/>
          <c:showBubbleSize val="0"/>
        </c:dLbls>
        <c:gapWidth val="219"/>
        <c:overlap val="-27"/>
        <c:axId val="393360656"/>
        <c:axId val="393360264"/>
      </c:barChart>
      <c:catAx>
        <c:axId val="3933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0264"/>
        <c:crosses val="autoZero"/>
        <c:auto val="1"/>
        <c:lblAlgn val="ctr"/>
        <c:lblOffset val="100"/>
        <c:noMultiLvlLbl val="0"/>
      </c:catAx>
      <c:valAx>
        <c:axId val="393360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128277194517352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60656"/>
        <c:crosses val="autoZero"/>
        <c:crossBetween val="between"/>
      </c:valAx>
      <c:spPr>
        <a:noFill/>
        <a:ln>
          <a:noFill/>
        </a:ln>
        <a:effectLst/>
      </c:spPr>
    </c:plotArea>
    <c:legend>
      <c:legendPos val="b"/>
      <c:layout>
        <c:manualLayout>
          <c:xMode val="edge"/>
          <c:yMode val="edge"/>
          <c:x val="0.60277777777777775"/>
          <c:y val="3.7615193934091573E-2"/>
          <c:w val="0.34444444444444444"/>
          <c:h val="0.207755176436278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2825896762905"/>
          <c:y val="6.9444444444444448E-2"/>
          <c:w val="0.86001618547681535"/>
          <c:h val="0.71725284339457573"/>
        </c:manualLayout>
      </c:layout>
      <c:barChart>
        <c:barDir val="col"/>
        <c:grouping val="clustered"/>
        <c:varyColors val="0"/>
        <c:ser>
          <c:idx val="0"/>
          <c:order val="0"/>
          <c:tx>
            <c:strRef>
              <c:f>Sheet1!$B$1</c:f>
              <c:strCache>
                <c:ptCount val="1"/>
                <c:pt idx="0">
                  <c:v>Transitioned ADF</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1146-EC44-9026-2C7E0D5A715E}"/>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Sheet1!$B$2:$B$3</c:f>
              <c:numCache>
                <c:formatCode>General</c:formatCode>
                <c:ptCount val="2"/>
                <c:pt idx="0">
                  <c:v>3.9</c:v>
                </c:pt>
                <c:pt idx="1">
                  <c:v>6.9</c:v>
                </c:pt>
              </c:numCache>
            </c:numRef>
          </c:val>
          <c:extLst xmlns:c16r2="http://schemas.microsoft.com/office/drawing/2015/06/chart">
            <c:ext xmlns:c16="http://schemas.microsoft.com/office/drawing/2014/chart" uri="{C3380CC4-5D6E-409C-BE32-E72D297353CC}">
              <c16:uniqueId val="{00000000-4F59-D243-9ED8-0521B4BE1701}"/>
            </c:ext>
          </c:extLst>
        </c:ser>
        <c:ser>
          <c:idx val="1"/>
          <c:order val="1"/>
          <c:tx>
            <c:strRef>
              <c:f>Sheet1!$C$1</c:f>
              <c:strCache>
                <c:ptCount val="1"/>
                <c:pt idx="0">
                  <c:v>2015 Regular ADF</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Sheet1!$C$2:$C$3</c:f>
              <c:numCache>
                <c:formatCode>General</c:formatCode>
                <c:ptCount val="2"/>
                <c:pt idx="0">
                  <c:v>2.8</c:v>
                </c:pt>
                <c:pt idx="1">
                  <c:v>4.7</c:v>
                </c:pt>
              </c:numCache>
            </c:numRef>
          </c:val>
          <c:extLst xmlns:c16r2="http://schemas.microsoft.com/office/drawing/2015/06/chart">
            <c:ext xmlns:c16="http://schemas.microsoft.com/office/drawing/2014/chart" uri="{C3380CC4-5D6E-409C-BE32-E72D297353CC}">
              <c16:uniqueId val="{00000001-4F59-D243-9ED8-0521B4BE1701}"/>
            </c:ext>
          </c:extLst>
        </c:ser>
        <c:dLbls>
          <c:dLblPos val="outEnd"/>
          <c:showLegendKey val="0"/>
          <c:showVal val="1"/>
          <c:showCatName val="0"/>
          <c:showSerName val="0"/>
          <c:showPercent val="0"/>
          <c:showBubbleSize val="0"/>
        </c:dLbls>
        <c:gapWidth val="219"/>
        <c:overlap val="-27"/>
        <c:axId val="393359872"/>
        <c:axId val="393366144"/>
      </c:barChart>
      <c:catAx>
        <c:axId val="3933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6144"/>
        <c:crosses val="autoZero"/>
        <c:auto val="1"/>
        <c:lblAlgn val="ctr"/>
        <c:lblOffset val="100"/>
        <c:noMultiLvlLbl val="0"/>
      </c:catAx>
      <c:valAx>
        <c:axId val="39336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a:t>
                </a:r>
              </a:p>
            </c:rich>
          </c:tx>
          <c:layout>
            <c:manualLayout>
              <c:xMode val="edge"/>
              <c:yMode val="edge"/>
              <c:x val="1.1111111111111112E-2"/>
              <c:y val="0.3593901283172936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59872"/>
        <c:crosses val="autoZero"/>
        <c:crossBetween val="between"/>
      </c:valAx>
      <c:spPr>
        <a:noFill/>
        <a:ln>
          <a:noFill/>
        </a:ln>
        <a:effectLst/>
      </c:spPr>
    </c:plotArea>
    <c:legend>
      <c:legendPos val="b"/>
      <c:layout>
        <c:manualLayout>
          <c:xMode val="edge"/>
          <c:yMode val="edge"/>
          <c:x val="0.48726881014873141"/>
          <c:y val="0.88946704578594338"/>
          <c:w val="0.4921288276465442"/>
          <c:h val="7.8125546806649168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7.8703703703703706E-2"/>
          <c:w val="0.84734951881014875"/>
          <c:h val="0.7497295129775444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72.3</c:v>
                </c:pt>
                <c:pt idx="1">
                  <c:v>30.5</c:v>
                </c:pt>
                <c:pt idx="2">
                  <c:v>12.3</c:v>
                </c:pt>
              </c:numCache>
            </c:numRef>
          </c:val>
          <c:extLst xmlns:c16r2="http://schemas.microsoft.com/office/drawing/2015/06/chart">
            <c:ext xmlns:c16="http://schemas.microsoft.com/office/drawing/2014/chart" uri="{C3380CC4-5D6E-409C-BE32-E72D297353CC}">
              <c16:uniqueId val="{00000000-1786-F74E-95F7-6821C5979FF0}"/>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24.8</c:v>
                </c:pt>
                <c:pt idx="1">
                  <c:v>55.4</c:v>
                </c:pt>
                <c:pt idx="2">
                  <c:v>48.2</c:v>
                </c:pt>
              </c:numCache>
            </c:numRef>
          </c:val>
          <c:extLst xmlns:c16r2="http://schemas.microsoft.com/office/drawing/2015/06/chart">
            <c:ext xmlns:c16="http://schemas.microsoft.com/office/drawing/2014/chart" uri="{C3380CC4-5D6E-409C-BE32-E72D297353CC}">
              <c16:uniqueId val="{00000001-1786-F74E-95F7-6821C5979FF0}"/>
            </c:ext>
          </c:extLst>
        </c:ser>
        <c:ser>
          <c:idx val="2"/>
          <c:order val="2"/>
          <c:tx>
            <c:strRef>
              <c:f>Sheet1!$D$1</c:f>
              <c:strCache>
                <c:ptCount val="1"/>
                <c:pt idx="0">
                  <c:v>Probable disorder 2015</c:v>
                </c:pt>
              </c:strCache>
            </c:strRef>
          </c:tx>
          <c:spPr>
            <a:solidFill>
              <a:schemeClr val="accent2"/>
            </a:solidFill>
            <a:ln>
              <a:noFill/>
            </a:ln>
            <a:effectLst/>
          </c:spPr>
          <c:invertIfNegative val="0"/>
          <c:dLbls>
            <c:dLbl>
              <c:idx val="0"/>
              <c:tx>
                <c:rich>
                  <a:bodyPr/>
                  <a:lstStyle/>
                  <a:p>
                    <a:r>
                      <a:rPr lang="en-US"/>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47-41CD-8C12-4AFE2801497C}"/>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3</c:v>
                </c:pt>
                <c:pt idx="1">
                  <c:v>14.2</c:v>
                </c:pt>
                <c:pt idx="2">
                  <c:v>39.5</c:v>
                </c:pt>
              </c:numCache>
            </c:numRef>
          </c:val>
          <c:extLst xmlns:c16r2="http://schemas.microsoft.com/office/drawing/2015/06/chart">
            <c:ext xmlns:c16="http://schemas.microsoft.com/office/drawing/2014/chart" uri="{C3380CC4-5D6E-409C-BE32-E72D297353CC}">
              <c16:uniqueId val="{00000002-1786-F74E-95F7-6821C5979FF0}"/>
            </c:ext>
          </c:extLst>
        </c:ser>
        <c:dLbls>
          <c:dLblPos val="outEnd"/>
          <c:showLegendKey val="0"/>
          <c:showVal val="1"/>
          <c:showCatName val="0"/>
          <c:showSerName val="0"/>
          <c:showPercent val="0"/>
          <c:showBubbleSize val="0"/>
        </c:dLbls>
        <c:gapWidth val="219"/>
        <c:overlap val="-27"/>
        <c:axId val="393361440"/>
        <c:axId val="393365752"/>
      </c:barChart>
      <c:catAx>
        <c:axId val="3933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5752"/>
        <c:crosses val="autoZero"/>
        <c:auto val="1"/>
        <c:lblAlgn val="ctr"/>
        <c:lblOffset val="100"/>
        <c:noMultiLvlLbl val="0"/>
      </c:catAx>
      <c:valAx>
        <c:axId val="39336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61440"/>
        <c:crosses val="autoZero"/>
        <c:crossBetween val="between"/>
      </c:valAx>
      <c:spPr>
        <a:noFill/>
        <a:ln>
          <a:noFill/>
        </a:ln>
        <a:effectLst/>
      </c:spPr>
    </c:plotArea>
    <c:legend>
      <c:legendPos val="b"/>
      <c:layout>
        <c:manualLayout>
          <c:xMode val="edge"/>
          <c:yMode val="edge"/>
          <c:x val="0.56111111111111112"/>
          <c:y val="3.2985564304461944E-2"/>
          <c:w val="0.375"/>
          <c:h val="0.1984959171770195"/>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8.3333333333333329E-2"/>
          <c:w val="0.84734951881014875"/>
          <c:h val="0.75435914260717407"/>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66.099999999999994</c:v>
                </c:pt>
                <c:pt idx="1">
                  <c:v>24.9</c:v>
                </c:pt>
                <c:pt idx="2">
                  <c:v>10.7</c:v>
                </c:pt>
              </c:numCache>
            </c:numRef>
          </c:val>
          <c:extLst xmlns:c16r2="http://schemas.microsoft.com/office/drawing/2015/06/chart">
            <c:ext xmlns:c16="http://schemas.microsoft.com/office/drawing/2014/chart" uri="{C3380CC4-5D6E-409C-BE32-E72D297353CC}">
              <c16:uniqueId val="{00000000-8D3F-469B-A32F-D6FA32533A45}"/>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27.4</c:v>
                </c:pt>
                <c:pt idx="1">
                  <c:v>51.9</c:v>
                </c:pt>
                <c:pt idx="2">
                  <c:v>41.1</c:v>
                </c:pt>
              </c:numCache>
            </c:numRef>
          </c:val>
          <c:extLst xmlns:c16r2="http://schemas.microsoft.com/office/drawing/2015/06/chart">
            <c:ext xmlns:c16="http://schemas.microsoft.com/office/drawing/2014/chart" uri="{C3380CC4-5D6E-409C-BE32-E72D297353CC}">
              <c16:uniqueId val="{00000001-8D3F-469B-A32F-D6FA32533A45}"/>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6.4</c:v>
                </c:pt>
                <c:pt idx="1">
                  <c:v>23.1</c:v>
                </c:pt>
                <c:pt idx="2">
                  <c:v>48.2</c:v>
                </c:pt>
              </c:numCache>
            </c:numRef>
          </c:val>
          <c:extLst xmlns:c16r2="http://schemas.microsoft.com/office/drawing/2015/06/chart">
            <c:ext xmlns:c16="http://schemas.microsoft.com/office/drawing/2014/chart" uri="{C3380CC4-5D6E-409C-BE32-E72D297353CC}">
              <c16:uniqueId val="{00000002-8D3F-469B-A32F-D6FA32533A45}"/>
            </c:ext>
          </c:extLst>
        </c:ser>
        <c:dLbls>
          <c:dLblPos val="outEnd"/>
          <c:showLegendKey val="0"/>
          <c:showVal val="1"/>
          <c:showCatName val="0"/>
          <c:showSerName val="0"/>
          <c:showPercent val="0"/>
          <c:showBubbleSize val="0"/>
        </c:dLbls>
        <c:gapWidth val="219"/>
        <c:overlap val="-27"/>
        <c:axId val="393364576"/>
        <c:axId val="393366536"/>
      </c:barChart>
      <c:catAx>
        <c:axId val="39336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3366536"/>
        <c:crosses val="autoZero"/>
        <c:auto val="1"/>
        <c:lblAlgn val="ctr"/>
        <c:lblOffset val="100"/>
        <c:noMultiLvlLbl val="0"/>
      </c:catAx>
      <c:valAx>
        <c:axId val="39336653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1111111111111112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3364576"/>
        <c:crosses val="autoZero"/>
        <c:crossBetween val="between"/>
      </c:valAx>
      <c:spPr>
        <a:noFill/>
        <a:ln>
          <a:noFill/>
        </a:ln>
        <a:effectLst/>
      </c:spPr>
    </c:plotArea>
    <c:legend>
      <c:legendPos val="b"/>
      <c:layout>
        <c:manualLayout>
          <c:xMode val="edge"/>
          <c:yMode val="edge"/>
          <c:x val="0.55277777777777781"/>
          <c:y val="4.6874453193350832E-2"/>
          <c:w val="0.38333333333333336"/>
          <c:h val="0.19849591717701953"/>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2015 Regular ADF</c:v>
                </c:pt>
              </c:strCache>
            </c:strRef>
          </c:tx>
          <c:spPr>
            <a:solidFill>
              <a:schemeClr val="accent3"/>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Any anxiety disorder</c:v>
                </c:pt>
                <c:pt idx="1">
                  <c:v>Posttraumatic stress disorder</c:v>
                </c:pt>
                <c:pt idx="2">
                  <c:v>Obsessive-compulsive disorder</c:v>
                </c:pt>
                <c:pt idx="3">
                  <c:v>Generalised anxiety disorder</c:v>
                </c:pt>
                <c:pt idx="4">
                  <c:v>Specific phobia</c:v>
                </c:pt>
                <c:pt idx="5">
                  <c:v>Social phobia</c:v>
                </c:pt>
                <c:pt idx="6">
                  <c:v>Agoraphobia</c:v>
                </c:pt>
                <c:pt idx="7">
                  <c:v>Panic disorder</c:v>
                </c:pt>
                <c:pt idx="8">
                  <c:v>Panic attack</c:v>
                </c:pt>
              </c:strCache>
            </c:strRef>
          </c:cat>
          <c:val>
            <c:numRef>
              <c:f>Sheet1!$B$2:$B$10</c:f>
              <c:numCache>
                <c:formatCode>0.0%</c:formatCode>
                <c:ptCount val="9"/>
                <c:pt idx="0">
                  <c:v>5.7000000000000002E-2</c:v>
                </c:pt>
                <c:pt idx="1">
                  <c:v>2.5000000000000001E-2</c:v>
                </c:pt>
                <c:pt idx="2">
                  <c:v>1.2999999999999999E-2</c:v>
                </c:pt>
                <c:pt idx="3">
                  <c:v>3.5000000000000003E-2</c:v>
                </c:pt>
                <c:pt idx="4">
                  <c:v>1.0999999999999999E-2</c:v>
                </c:pt>
                <c:pt idx="5">
                  <c:v>1.7999999999999999E-2</c:v>
                </c:pt>
                <c:pt idx="6">
                  <c:v>2.7E-2</c:v>
                </c:pt>
                <c:pt idx="7">
                  <c:v>-1.2999999999999999E-2</c:v>
                </c:pt>
                <c:pt idx="8">
                  <c:v>2.9000000000000001E-2</c:v>
                </c:pt>
              </c:numCache>
            </c:numRef>
          </c:val>
          <c:extLst xmlns:c16r2="http://schemas.microsoft.com/office/drawing/2015/06/chart">
            <c:ext xmlns:c16="http://schemas.microsoft.com/office/drawing/2014/chart" uri="{C3380CC4-5D6E-409C-BE32-E72D297353CC}">
              <c16:uniqueId val="{00000000-9F35-CB48-B210-A0F40C04DFAD}"/>
            </c:ext>
          </c:extLst>
        </c:ser>
        <c:ser>
          <c:idx val="1"/>
          <c:order val="1"/>
          <c:tx>
            <c:strRef>
              <c:f>Sheet1!$C$1</c:f>
              <c:strCache>
                <c:ptCount val="1"/>
                <c:pt idx="0">
                  <c:v>Transitioned ADF</c:v>
                </c:pt>
              </c:strCache>
            </c:strRef>
          </c:tx>
          <c:spPr>
            <a:solidFill>
              <a:srgbClr val="002561"/>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Any anxiety disorder</c:v>
                </c:pt>
                <c:pt idx="1">
                  <c:v>Posttraumatic stress disorder</c:v>
                </c:pt>
                <c:pt idx="2">
                  <c:v>Obsessive-compulsive disorder</c:v>
                </c:pt>
                <c:pt idx="3">
                  <c:v>Generalised anxiety disorder</c:v>
                </c:pt>
                <c:pt idx="4">
                  <c:v>Specific phobia</c:v>
                </c:pt>
                <c:pt idx="5">
                  <c:v>Social phobia</c:v>
                </c:pt>
                <c:pt idx="6">
                  <c:v>Agoraphobia</c:v>
                </c:pt>
                <c:pt idx="7">
                  <c:v>Panic disorder</c:v>
                </c:pt>
                <c:pt idx="8">
                  <c:v>Panic attack</c:v>
                </c:pt>
              </c:strCache>
            </c:strRef>
          </c:cat>
          <c:val>
            <c:numRef>
              <c:f>Sheet1!$C$2:$C$10</c:f>
              <c:numCache>
                <c:formatCode>0.0%</c:formatCode>
                <c:ptCount val="9"/>
                <c:pt idx="0">
                  <c:v>4.2000000000000003E-2</c:v>
                </c:pt>
                <c:pt idx="1">
                  <c:v>0.05</c:v>
                </c:pt>
                <c:pt idx="2">
                  <c:v>4.0000000000000001E-3</c:v>
                </c:pt>
                <c:pt idx="3">
                  <c:v>4.0000000000000001E-3</c:v>
                </c:pt>
                <c:pt idx="4">
                  <c:v>5.7000000000000002E-2</c:v>
                </c:pt>
                <c:pt idx="5">
                  <c:v>1.9E-2</c:v>
                </c:pt>
                <c:pt idx="6">
                  <c:v>6.5000000000000002E-2</c:v>
                </c:pt>
                <c:pt idx="7">
                  <c:v>2.5999999999999999E-2</c:v>
                </c:pt>
                <c:pt idx="8">
                  <c:v>7.0000000000000001E-3</c:v>
                </c:pt>
              </c:numCache>
            </c:numRef>
          </c:val>
          <c:extLst xmlns:c16r2="http://schemas.microsoft.com/office/drawing/2015/06/chart">
            <c:ext xmlns:c16="http://schemas.microsoft.com/office/drawing/2014/chart" uri="{C3380CC4-5D6E-409C-BE32-E72D297353CC}">
              <c16:uniqueId val="{00000001-9F35-CB48-B210-A0F40C04DFAD}"/>
            </c:ext>
          </c:extLst>
        </c:ser>
        <c:dLbls>
          <c:showLegendKey val="0"/>
          <c:showVal val="0"/>
          <c:showCatName val="0"/>
          <c:showSerName val="0"/>
          <c:showPercent val="0"/>
          <c:showBubbleSize val="0"/>
        </c:dLbls>
        <c:gapWidth val="150"/>
        <c:axId val="269260904"/>
        <c:axId val="269261296"/>
      </c:barChart>
      <c:catAx>
        <c:axId val="269260904"/>
        <c:scaling>
          <c:orientation val="minMax"/>
        </c:scaling>
        <c:delete val="0"/>
        <c:axPos val="l"/>
        <c:numFmt formatCode="General" sourceLinked="0"/>
        <c:majorTickMark val="out"/>
        <c:minorTickMark val="none"/>
        <c:tickLblPos val="low"/>
        <c:crossAx val="269261296"/>
        <c:crosses val="autoZero"/>
        <c:auto val="1"/>
        <c:lblAlgn val="ctr"/>
        <c:lblOffset val="100"/>
        <c:noMultiLvlLbl val="0"/>
      </c:catAx>
      <c:valAx>
        <c:axId val="269261296"/>
        <c:scaling>
          <c:orientation val="minMax"/>
          <c:max val="7.0000000000000007E-2"/>
          <c:min val="-0.03"/>
        </c:scaling>
        <c:delete val="0"/>
        <c:axPos val="b"/>
        <c:majorGridlines>
          <c:spPr>
            <a:ln>
              <a:solidFill>
                <a:schemeClr val="bg1">
                  <a:lumMod val="50000"/>
                  <a:alpha val="34000"/>
                </a:schemeClr>
              </a:solidFill>
            </a:ln>
          </c:spPr>
        </c:majorGridlines>
        <c:numFmt formatCode="0.0%" sourceLinked="1"/>
        <c:majorTickMark val="out"/>
        <c:minorTickMark val="none"/>
        <c:tickLblPos val="nextTo"/>
        <c:crossAx val="269260904"/>
        <c:crosses val="autoZero"/>
        <c:crossBetween val="between"/>
        <c:majorUnit val="0.01"/>
      </c:valAx>
    </c:plotArea>
    <c:legend>
      <c:legendPos val="b"/>
      <c:layout>
        <c:manualLayout>
          <c:xMode val="edge"/>
          <c:yMode val="edge"/>
          <c:x val="0.55070669291338581"/>
          <c:y val="0.93050681164854399"/>
          <c:w val="0.43747528433945759"/>
          <c:h val="5.4400426509186355E-2"/>
        </c:manualLayout>
      </c:layout>
      <c:overlay val="0"/>
    </c:legend>
    <c:plotVisOnly val="1"/>
    <c:dispBlanksAs val="gap"/>
    <c:showDLblsOverMax val="0"/>
  </c:chart>
  <c:spPr>
    <a:ln>
      <a:noFill/>
    </a:ln>
  </c:spPr>
  <c:txPr>
    <a:bodyPr/>
    <a:lstStyle/>
    <a:p>
      <a:pPr>
        <a:defRPr sz="800" baseline="0">
          <a:latin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0.10185185185185185"/>
          <c:w val="0.84734951881014875"/>
          <c:h val="0.72195173519976663"/>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74.3</c:v>
                </c:pt>
                <c:pt idx="1">
                  <c:v>33.5</c:v>
                </c:pt>
                <c:pt idx="2">
                  <c:v>13.8</c:v>
                </c:pt>
              </c:numCache>
            </c:numRef>
          </c:val>
          <c:extLst xmlns:c16r2="http://schemas.microsoft.com/office/drawing/2015/06/chart">
            <c:ext xmlns:c16="http://schemas.microsoft.com/office/drawing/2014/chart" uri="{C3380CC4-5D6E-409C-BE32-E72D297353CC}">
              <c16:uniqueId val="{00000000-6CE4-CC42-9827-FE268C4F324A}"/>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23.9</c:v>
                </c:pt>
                <c:pt idx="1">
                  <c:v>57.3</c:v>
                </c:pt>
                <c:pt idx="2">
                  <c:v>55.2</c:v>
                </c:pt>
              </c:numCache>
            </c:numRef>
          </c:val>
          <c:extLst xmlns:c16r2="http://schemas.microsoft.com/office/drawing/2015/06/chart">
            <c:ext xmlns:c16="http://schemas.microsoft.com/office/drawing/2014/chart" uri="{C3380CC4-5D6E-409C-BE32-E72D297353CC}">
              <c16:uniqueId val="{00000001-6CE4-CC42-9827-FE268C4F324A}"/>
            </c:ext>
          </c:extLst>
        </c:ser>
        <c:ser>
          <c:idx val="2"/>
          <c:order val="2"/>
          <c:tx>
            <c:strRef>
              <c:f>Sheet1!$D$1</c:f>
              <c:strCache>
                <c:ptCount val="1"/>
                <c:pt idx="0">
                  <c:v>Probable disorder 2015</c:v>
                </c:pt>
              </c:strCache>
            </c:strRef>
          </c:tx>
          <c:spPr>
            <a:solidFill>
              <a:schemeClr val="accent2"/>
            </a:solidFill>
            <a:ln>
              <a:noFill/>
            </a:ln>
            <a:effectLst/>
          </c:spPr>
          <c:invertIfNegative val="0"/>
          <c:dLbls>
            <c:dLbl>
              <c:idx val="2"/>
              <c:tx>
                <c:rich>
                  <a:bodyPr/>
                  <a:lstStyle/>
                  <a:p>
                    <a:r>
                      <a:rPr lang="en-US"/>
                      <a:t>31.0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E4-CC42-9827-FE268C4F324A}"/>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1.8</c:v>
                </c:pt>
                <c:pt idx="1">
                  <c:v>9.1999999999999993</c:v>
                </c:pt>
                <c:pt idx="2">
                  <c:v>31</c:v>
                </c:pt>
              </c:numCache>
            </c:numRef>
          </c:val>
          <c:extLst xmlns:c16r2="http://schemas.microsoft.com/office/drawing/2015/06/chart">
            <c:ext xmlns:c16="http://schemas.microsoft.com/office/drawing/2014/chart" uri="{C3380CC4-5D6E-409C-BE32-E72D297353CC}">
              <c16:uniqueId val="{00000003-6CE4-CC42-9827-FE268C4F324A}"/>
            </c:ext>
          </c:extLst>
        </c:ser>
        <c:dLbls>
          <c:dLblPos val="outEnd"/>
          <c:showLegendKey val="0"/>
          <c:showVal val="1"/>
          <c:showCatName val="0"/>
          <c:showSerName val="0"/>
          <c:showPercent val="0"/>
          <c:showBubbleSize val="0"/>
        </c:dLbls>
        <c:gapWidth val="219"/>
        <c:overlap val="-27"/>
        <c:axId val="394195792"/>
        <c:axId val="394195400"/>
      </c:barChart>
      <c:catAx>
        <c:axId val="39419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4195400"/>
        <c:crosses val="autoZero"/>
        <c:auto val="1"/>
        <c:lblAlgn val="ctr"/>
        <c:lblOffset val="100"/>
        <c:noMultiLvlLbl val="0"/>
      </c:catAx>
      <c:valAx>
        <c:axId val="39419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128277194517352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4195792"/>
        <c:crosses val="autoZero"/>
        <c:crossBetween val="between"/>
      </c:valAx>
      <c:spPr>
        <a:noFill/>
        <a:ln>
          <a:noFill/>
        </a:ln>
        <a:effectLst/>
      </c:spPr>
    </c:plotArea>
    <c:legend>
      <c:legendPos val="b"/>
      <c:layout>
        <c:manualLayout>
          <c:xMode val="edge"/>
          <c:yMode val="edge"/>
          <c:x val="0.57222222222222219"/>
          <c:y val="2.3726305045202681E-2"/>
          <c:w val="0.37222222222222223"/>
          <c:h val="0.19386628754738991"/>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6023915089701711E-2"/>
          <c:y val="4.9976565429321336E-2"/>
          <c:w val="0.87971376110880872"/>
          <c:h val="0.72488893360098039"/>
        </c:manualLayout>
      </c:layout>
      <c:barChart>
        <c:barDir val="col"/>
        <c:grouping val="clustered"/>
        <c:varyColors val="0"/>
        <c:ser>
          <c:idx val="0"/>
          <c:order val="0"/>
          <c:tx>
            <c:strRef>
              <c:f>Sheet1!$C$1</c:f>
              <c:strCache>
                <c:ptCount val="1"/>
                <c:pt idx="0">
                  <c:v>2010</c:v>
                </c:pt>
              </c:strCache>
            </c:strRef>
          </c:tx>
          <c:spPr>
            <a:solidFill>
              <a:schemeClr val="accent1"/>
            </a:solidFill>
          </c:spPr>
          <c:invertIfNegative val="0"/>
          <c:dLbls>
            <c:dLbl>
              <c:idx val="1"/>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7B-49FB-A06E-24209B5F42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Sheet1!$A$2:$B$9</c:f>
              <c:multiLvlStrCache>
                <c:ptCount val="8"/>
                <c:lvl>
                  <c:pt idx="0">
                    <c:v>Transitioned ADF</c:v>
                  </c:pt>
                  <c:pt idx="1">
                    <c:v>2015 Regular ADF</c:v>
                  </c:pt>
                  <c:pt idx="2">
                    <c:v>Transitioned ADF</c:v>
                  </c:pt>
                  <c:pt idx="3">
                    <c:v>2015 Regular ADF</c:v>
                  </c:pt>
                  <c:pt idx="4">
                    <c:v>Transitioned ADF</c:v>
                  </c:pt>
                  <c:pt idx="5">
                    <c:v>2015 Regular ADF</c:v>
                  </c:pt>
                  <c:pt idx="6">
                    <c:v>Transitioned ADF</c:v>
                  </c:pt>
                  <c:pt idx="7">
                    <c:v>2015 Regular ADF</c:v>
                  </c:pt>
                </c:lvl>
                <c:lvl>
                  <c:pt idx="0">
                    <c:v>Felt life not worth living</c:v>
                  </c:pt>
                  <c:pt idx="2">
                    <c:v>Felt so low thought about committing suicide</c:v>
                  </c:pt>
                  <c:pt idx="4">
                    <c:v>Made a suicide plan</c:v>
                  </c:pt>
                  <c:pt idx="6">
                    <c:v>Attempted suicide</c:v>
                  </c:pt>
                </c:lvl>
              </c:multiLvlStrCache>
            </c:multiLvlStrRef>
          </c:cat>
          <c:val>
            <c:numRef>
              <c:f>Sheet1!$C$2:$C$9</c:f>
              <c:numCache>
                <c:formatCode>General</c:formatCode>
                <c:ptCount val="8"/>
                <c:pt idx="0">
                  <c:v>11.3</c:v>
                </c:pt>
                <c:pt idx="1">
                  <c:v>7</c:v>
                </c:pt>
                <c:pt idx="2">
                  <c:v>6.9</c:v>
                </c:pt>
                <c:pt idx="3">
                  <c:v>3.9</c:v>
                </c:pt>
                <c:pt idx="4">
                  <c:v>1.9</c:v>
                </c:pt>
                <c:pt idx="5">
                  <c:v>0.8</c:v>
                </c:pt>
                <c:pt idx="6">
                  <c:v>0.5</c:v>
                </c:pt>
                <c:pt idx="7">
                  <c:v>0.4</c:v>
                </c:pt>
              </c:numCache>
            </c:numRef>
          </c:val>
          <c:extLst xmlns:c16r2="http://schemas.microsoft.com/office/drawing/2015/06/chart">
            <c:ext xmlns:c16="http://schemas.microsoft.com/office/drawing/2014/chart" uri="{C3380CC4-5D6E-409C-BE32-E72D297353CC}">
              <c16:uniqueId val="{00000001-167B-49FB-A06E-24209B5F42DE}"/>
            </c:ext>
          </c:extLst>
        </c:ser>
        <c:ser>
          <c:idx val="1"/>
          <c:order val="1"/>
          <c:tx>
            <c:strRef>
              <c:f>Sheet1!$D$1</c:f>
              <c:strCache>
                <c:ptCount val="1"/>
                <c:pt idx="0">
                  <c:v>2015</c:v>
                </c:pt>
              </c:strCache>
            </c:strRef>
          </c:tx>
          <c:spPr>
            <a:solidFill>
              <a:schemeClr val="accent3"/>
            </a:solidFill>
          </c:spPr>
          <c:invertIfNegative val="0"/>
          <c:dLbls>
            <c:dLbl>
              <c:idx val="5"/>
              <c:tx>
                <c:rich>
                  <a:bodyPr/>
                  <a:lstStyle/>
                  <a:p>
                    <a:r>
                      <a:rPr lang="en-US" sz="1000"/>
                      <a:t>2.0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7B-49FB-A06E-24209B5F42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Sheet1!$A$2:$B$9</c:f>
              <c:multiLvlStrCache>
                <c:ptCount val="8"/>
                <c:lvl>
                  <c:pt idx="0">
                    <c:v>Transitioned ADF</c:v>
                  </c:pt>
                  <c:pt idx="1">
                    <c:v>2015 Regular ADF</c:v>
                  </c:pt>
                  <c:pt idx="2">
                    <c:v>Transitioned ADF</c:v>
                  </c:pt>
                  <c:pt idx="3">
                    <c:v>2015 Regular ADF</c:v>
                  </c:pt>
                  <c:pt idx="4">
                    <c:v>Transitioned ADF</c:v>
                  </c:pt>
                  <c:pt idx="5">
                    <c:v>2015 Regular ADF</c:v>
                  </c:pt>
                  <c:pt idx="6">
                    <c:v>Transitioned ADF</c:v>
                  </c:pt>
                  <c:pt idx="7">
                    <c:v>2015 Regular ADF</c:v>
                  </c:pt>
                </c:lvl>
                <c:lvl>
                  <c:pt idx="0">
                    <c:v>Felt life not worth living</c:v>
                  </c:pt>
                  <c:pt idx="2">
                    <c:v>Felt so low thought about committing suicide</c:v>
                  </c:pt>
                  <c:pt idx="4">
                    <c:v>Made a suicide plan</c:v>
                  </c:pt>
                  <c:pt idx="6">
                    <c:v>Attempted suicide</c:v>
                  </c:pt>
                </c:lvl>
              </c:multiLvlStrCache>
            </c:multiLvlStrRef>
          </c:cat>
          <c:val>
            <c:numRef>
              <c:f>Sheet1!$D$2:$D$9</c:f>
              <c:numCache>
                <c:formatCode>General</c:formatCode>
                <c:ptCount val="8"/>
                <c:pt idx="0">
                  <c:v>26.2</c:v>
                </c:pt>
                <c:pt idx="1">
                  <c:v>11.9</c:v>
                </c:pt>
                <c:pt idx="2">
                  <c:v>18.600000000000001</c:v>
                </c:pt>
                <c:pt idx="3">
                  <c:v>7.6</c:v>
                </c:pt>
                <c:pt idx="4">
                  <c:v>7.2</c:v>
                </c:pt>
                <c:pt idx="5">
                  <c:v>2</c:v>
                </c:pt>
                <c:pt idx="6">
                  <c:v>1.3</c:v>
                </c:pt>
                <c:pt idx="7">
                  <c:v>0.5</c:v>
                </c:pt>
              </c:numCache>
            </c:numRef>
          </c:val>
          <c:extLst xmlns:c16r2="http://schemas.microsoft.com/office/drawing/2015/06/chart">
            <c:ext xmlns:c16="http://schemas.microsoft.com/office/drawing/2014/chart" uri="{C3380CC4-5D6E-409C-BE32-E72D297353CC}">
              <c16:uniqueId val="{00000003-167B-49FB-A06E-24209B5F42DE}"/>
            </c:ext>
          </c:extLst>
        </c:ser>
        <c:dLbls>
          <c:showLegendKey val="0"/>
          <c:showVal val="0"/>
          <c:showCatName val="0"/>
          <c:showSerName val="0"/>
          <c:showPercent val="0"/>
          <c:showBubbleSize val="0"/>
        </c:dLbls>
        <c:gapWidth val="150"/>
        <c:axId val="394195008"/>
        <c:axId val="394202456"/>
      </c:barChart>
      <c:catAx>
        <c:axId val="394195008"/>
        <c:scaling>
          <c:orientation val="minMax"/>
        </c:scaling>
        <c:delete val="0"/>
        <c:axPos val="b"/>
        <c:numFmt formatCode="General" sourceLinked="0"/>
        <c:majorTickMark val="out"/>
        <c:minorTickMark val="none"/>
        <c:tickLblPos val="nextTo"/>
        <c:crossAx val="394202456"/>
        <c:crosses val="autoZero"/>
        <c:auto val="1"/>
        <c:lblAlgn val="ctr"/>
        <c:lblOffset val="100"/>
        <c:noMultiLvlLbl val="0"/>
      </c:catAx>
      <c:valAx>
        <c:axId val="394202456"/>
        <c:scaling>
          <c:orientation val="minMax"/>
        </c:scaling>
        <c:delete val="0"/>
        <c:axPos val="l"/>
        <c:majorGridlines/>
        <c:title>
          <c:tx>
            <c:rich>
              <a:bodyPr/>
              <a:lstStyle/>
              <a:p>
                <a:pPr>
                  <a:defRPr/>
                </a:pPr>
                <a:r>
                  <a:rPr lang="en-US"/>
                  <a:t>Per cent</a:t>
                </a:r>
              </a:p>
            </c:rich>
          </c:tx>
          <c:layout>
            <c:manualLayout>
              <c:xMode val="edge"/>
              <c:yMode val="edge"/>
              <c:x val="1.2779209189760762E-2"/>
              <c:y val="0.34310815314752324"/>
            </c:manualLayout>
          </c:layout>
          <c:overlay val="0"/>
        </c:title>
        <c:numFmt formatCode="General" sourceLinked="1"/>
        <c:majorTickMark val="out"/>
        <c:minorTickMark val="none"/>
        <c:tickLblPos val="nextTo"/>
        <c:crossAx val="394195008"/>
        <c:crosses val="autoZero"/>
        <c:crossBetween val="between"/>
      </c:valAx>
    </c:plotArea>
    <c:legend>
      <c:legendPos val="r"/>
      <c:layout>
        <c:manualLayout>
          <c:xMode val="edge"/>
          <c:yMode val="edge"/>
          <c:x val="0.87524760616231001"/>
          <c:y val="7.3051806024246962E-2"/>
          <c:w val="6.8100307362895421E-2"/>
          <c:h val="7.6566358101109913E-2"/>
        </c:manualLayout>
      </c:layout>
      <c:overlay val="0"/>
    </c:legend>
    <c:plotVisOnly val="1"/>
    <c:dispBlanksAs val="gap"/>
    <c:showDLblsOverMax val="0"/>
  </c:chart>
  <c:spPr>
    <a:ln>
      <a:noFill/>
    </a:ln>
  </c:spPr>
  <c:txPr>
    <a:bodyPr/>
    <a:lstStyle/>
    <a:p>
      <a:pPr>
        <a:defRPr sz="900" baseline="0">
          <a:latin typeface="Calibri" panose="020F050202020403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8.3333333333333329E-2"/>
          <c:w val="0.83468285214348203"/>
          <c:h val="0.80521580635753864"/>
        </c:manualLayout>
      </c:layout>
      <c:barChart>
        <c:barDir val="col"/>
        <c:grouping val="clustered"/>
        <c:varyColors val="0"/>
        <c:ser>
          <c:idx val="0"/>
          <c:order val="0"/>
          <c:tx>
            <c:strRef>
              <c:f>Sheet1!$B$1</c:f>
              <c:strCache>
                <c:ptCount val="1"/>
                <c:pt idx="0">
                  <c:v>No suicidality 2015</c:v>
                </c:pt>
              </c:strCache>
            </c:strRef>
          </c:tx>
          <c:spPr>
            <a:solidFill>
              <a:schemeClr val="accent1"/>
            </a:solidFill>
            <a:ln>
              <a:noFill/>
            </a:ln>
            <a:effectLst/>
          </c:spPr>
          <c:invertIfNegative val="0"/>
          <c:dLbls>
            <c:dLbl>
              <c:idx val="0"/>
              <c:tx>
                <c:rich>
                  <a:bodyPr/>
                  <a:lstStyle/>
                  <a:p>
                    <a:r>
                      <a:rPr lang="en-US"/>
                      <a:t>87.0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EC-4221-B201-6B4E1428DF3A}"/>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Sheet1!$B$2:$B$3</c:f>
              <c:numCache>
                <c:formatCode>General</c:formatCode>
                <c:ptCount val="2"/>
                <c:pt idx="0">
                  <c:v>87</c:v>
                </c:pt>
                <c:pt idx="1">
                  <c:v>44.8</c:v>
                </c:pt>
              </c:numCache>
            </c:numRef>
          </c:val>
          <c:extLst xmlns:c16r2="http://schemas.microsoft.com/office/drawing/2015/06/chart">
            <c:ext xmlns:c16="http://schemas.microsoft.com/office/drawing/2014/chart" uri="{C3380CC4-5D6E-409C-BE32-E72D297353CC}">
              <c16:uniqueId val="{00000000-3625-2044-A2A1-B97499409E87}"/>
            </c:ext>
          </c:extLst>
        </c:ser>
        <c:ser>
          <c:idx val="1"/>
          <c:order val="1"/>
          <c:tx>
            <c:strRef>
              <c:f>Sheet1!$C$1</c:f>
              <c:strCache>
                <c:ptCount val="1"/>
                <c:pt idx="0">
                  <c:v>Any suicidality 2015</c:v>
                </c:pt>
              </c:strCache>
            </c:strRef>
          </c:tx>
          <c:spPr>
            <a:solidFill>
              <a:schemeClr val="accent3"/>
            </a:solidFill>
            <a:ln>
              <a:noFill/>
            </a:ln>
            <a:effectLst/>
          </c:spPr>
          <c:invertIfNegative val="0"/>
          <c:dLbls>
            <c:dLbl>
              <c:idx val="0"/>
              <c:tx>
                <c:rich>
                  <a:bodyPr/>
                  <a:lstStyle/>
                  <a:p>
                    <a:r>
                      <a:rPr lang="en-US"/>
                      <a:t>13.0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EC-4221-B201-6B4E1428DF3A}"/>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Sheet1!$C$2:$C$3</c:f>
              <c:numCache>
                <c:formatCode>General</c:formatCode>
                <c:ptCount val="2"/>
                <c:pt idx="0">
                  <c:v>13</c:v>
                </c:pt>
                <c:pt idx="1">
                  <c:v>55.2</c:v>
                </c:pt>
              </c:numCache>
            </c:numRef>
          </c:val>
          <c:extLst xmlns:c16r2="http://schemas.microsoft.com/office/drawing/2015/06/chart">
            <c:ext xmlns:c16="http://schemas.microsoft.com/office/drawing/2014/chart" uri="{C3380CC4-5D6E-409C-BE32-E72D297353CC}">
              <c16:uniqueId val="{00000001-3625-2044-A2A1-B97499409E87}"/>
            </c:ext>
          </c:extLst>
        </c:ser>
        <c:dLbls>
          <c:dLblPos val="outEnd"/>
          <c:showLegendKey val="0"/>
          <c:showVal val="1"/>
          <c:showCatName val="0"/>
          <c:showSerName val="0"/>
          <c:showPercent val="0"/>
          <c:showBubbleSize val="0"/>
        </c:dLbls>
        <c:gapWidth val="219"/>
        <c:overlap val="-27"/>
        <c:axId val="394199712"/>
        <c:axId val="394198144"/>
      </c:barChart>
      <c:catAx>
        <c:axId val="3941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4198144"/>
        <c:crosses val="autoZero"/>
        <c:auto val="1"/>
        <c:lblAlgn val="ctr"/>
        <c:lblOffset val="100"/>
        <c:noMultiLvlLbl val="0"/>
      </c:catAx>
      <c:valAx>
        <c:axId val="39419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289967920676581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4199712"/>
        <c:crosses val="autoZero"/>
        <c:crossBetween val="between"/>
      </c:valAx>
      <c:spPr>
        <a:noFill/>
        <a:ln>
          <a:noFill/>
        </a:ln>
        <a:effectLst/>
      </c:spPr>
    </c:plotArea>
    <c:legend>
      <c:legendPos val="b"/>
      <c:layout>
        <c:manualLayout>
          <c:xMode val="edge"/>
          <c:yMode val="edge"/>
          <c:x val="0.66635476815398076"/>
          <c:y val="4.6874453193350832E-2"/>
          <c:w val="0.27006824146981628"/>
          <c:h val="0.1521996208807232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7.8703703703703706E-2"/>
          <c:w val="0.83468285214348203"/>
          <c:h val="0.80058617672790899"/>
        </c:manualLayout>
      </c:layout>
      <c:barChart>
        <c:barDir val="col"/>
        <c:grouping val="clustered"/>
        <c:varyColors val="0"/>
        <c:ser>
          <c:idx val="0"/>
          <c:order val="0"/>
          <c:tx>
            <c:strRef>
              <c:f>Sheet1!$B$1</c:f>
              <c:strCache>
                <c:ptCount val="1"/>
                <c:pt idx="0">
                  <c:v>No suicidality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Sheet1!$B$2:$B$3</c:f>
              <c:numCache>
                <c:formatCode>General</c:formatCode>
                <c:ptCount val="2"/>
                <c:pt idx="0">
                  <c:v>78.3</c:v>
                </c:pt>
                <c:pt idx="1">
                  <c:v>31.9</c:v>
                </c:pt>
              </c:numCache>
            </c:numRef>
          </c:val>
          <c:extLst xmlns:c16r2="http://schemas.microsoft.com/office/drawing/2015/06/chart">
            <c:ext xmlns:c16="http://schemas.microsoft.com/office/drawing/2014/chart" uri="{C3380CC4-5D6E-409C-BE32-E72D297353CC}">
              <c16:uniqueId val="{00000000-EDBF-43E9-A507-8F7BCD133092}"/>
            </c:ext>
          </c:extLst>
        </c:ser>
        <c:ser>
          <c:idx val="1"/>
          <c:order val="1"/>
          <c:tx>
            <c:strRef>
              <c:f>Sheet1!$C$1</c:f>
              <c:strCache>
                <c:ptCount val="1"/>
                <c:pt idx="0">
                  <c:v>Any suicidality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Sheet1!$C$2:$C$3</c:f>
              <c:numCache>
                <c:formatCode>General</c:formatCode>
                <c:ptCount val="2"/>
                <c:pt idx="0">
                  <c:v>21.7</c:v>
                </c:pt>
                <c:pt idx="1">
                  <c:v>68.099999999999994</c:v>
                </c:pt>
              </c:numCache>
            </c:numRef>
          </c:val>
          <c:extLst xmlns:c16r2="http://schemas.microsoft.com/office/drawing/2015/06/chart">
            <c:ext xmlns:c16="http://schemas.microsoft.com/office/drawing/2014/chart" uri="{C3380CC4-5D6E-409C-BE32-E72D297353CC}">
              <c16:uniqueId val="{00000001-EDBF-43E9-A507-8F7BCD133092}"/>
            </c:ext>
          </c:extLst>
        </c:ser>
        <c:dLbls>
          <c:dLblPos val="outEnd"/>
          <c:showLegendKey val="0"/>
          <c:showVal val="1"/>
          <c:showCatName val="0"/>
          <c:showSerName val="0"/>
          <c:showPercent val="0"/>
          <c:showBubbleSize val="0"/>
        </c:dLbls>
        <c:gapWidth val="219"/>
        <c:overlap val="-27"/>
        <c:axId val="394198536"/>
        <c:axId val="394196968"/>
      </c:barChart>
      <c:catAx>
        <c:axId val="39419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4196968"/>
        <c:crosses val="autoZero"/>
        <c:auto val="1"/>
        <c:lblAlgn val="ctr"/>
        <c:lblOffset val="100"/>
        <c:noMultiLvlLbl val="0"/>
      </c:catAx>
      <c:valAx>
        <c:axId val="3941969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33626421697287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4198536"/>
        <c:crosses val="autoZero"/>
        <c:crossBetween val="between"/>
      </c:valAx>
      <c:spPr>
        <a:noFill/>
        <a:ln>
          <a:noFill/>
        </a:ln>
        <a:effectLst/>
      </c:spPr>
    </c:plotArea>
    <c:legend>
      <c:legendPos val="b"/>
      <c:layout>
        <c:manualLayout>
          <c:xMode val="edge"/>
          <c:yMode val="edge"/>
          <c:x val="0.69691032370953632"/>
          <c:y val="2.8355934674832314E-2"/>
          <c:w val="0.24229046369203849"/>
          <c:h val="0.16145888013998247"/>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7.8703703703703706E-2"/>
          <c:w val="0.83468285214348203"/>
          <c:h val="0.80058617672790899"/>
        </c:manualLayout>
      </c:layout>
      <c:barChart>
        <c:barDir val="col"/>
        <c:grouping val="clustered"/>
        <c:varyColors val="0"/>
        <c:ser>
          <c:idx val="0"/>
          <c:order val="0"/>
          <c:tx>
            <c:strRef>
              <c:f>Sheet1!$B$1</c:f>
              <c:strCache>
                <c:ptCount val="1"/>
                <c:pt idx="0">
                  <c:v>No suicidality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Sheet1!$B$2:$B$3</c:f>
              <c:numCache>
                <c:formatCode>General</c:formatCode>
                <c:ptCount val="2"/>
                <c:pt idx="0">
                  <c:v>90.1</c:v>
                </c:pt>
                <c:pt idx="1">
                  <c:v>52.8</c:v>
                </c:pt>
              </c:numCache>
            </c:numRef>
          </c:val>
          <c:extLst xmlns:c16r2="http://schemas.microsoft.com/office/drawing/2015/06/chart">
            <c:ext xmlns:c16="http://schemas.microsoft.com/office/drawing/2014/chart" uri="{C3380CC4-5D6E-409C-BE32-E72D297353CC}">
              <c16:uniqueId val="{00000000-1DF8-3040-BE00-ADAF55C6D7C1}"/>
            </c:ext>
          </c:extLst>
        </c:ser>
        <c:ser>
          <c:idx val="1"/>
          <c:order val="1"/>
          <c:tx>
            <c:strRef>
              <c:f>Sheet1!$C$1</c:f>
              <c:strCache>
                <c:ptCount val="1"/>
                <c:pt idx="0">
                  <c:v>Any suicidality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suicidality 2010</c:v>
                </c:pt>
                <c:pt idx="1">
                  <c:v>Any suicidality 2010</c:v>
                </c:pt>
              </c:strCache>
            </c:strRef>
          </c:cat>
          <c:val>
            <c:numRef>
              <c:f>Sheet1!$C$2:$C$3</c:f>
              <c:numCache>
                <c:formatCode>General</c:formatCode>
                <c:ptCount val="2"/>
                <c:pt idx="0">
                  <c:v>9.9</c:v>
                </c:pt>
                <c:pt idx="1">
                  <c:v>47.2</c:v>
                </c:pt>
              </c:numCache>
            </c:numRef>
          </c:val>
          <c:extLst xmlns:c16r2="http://schemas.microsoft.com/office/drawing/2015/06/chart">
            <c:ext xmlns:c16="http://schemas.microsoft.com/office/drawing/2014/chart" uri="{C3380CC4-5D6E-409C-BE32-E72D297353CC}">
              <c16:uniqueId val="{00000001-1DF8-3040-BE00-ADAF55C6D7C1}"/>
            </c:ext>
          </c:extLst>
        </c:ser>
        <c:dLbls>
          <c:dLblPos val="outEnd"/>
          <c:showLegendKey val="0"/>
          <c:showVal val="1"/>
          <c:showCatName val="0"/>
          <c:showSerName val="0"/>
          <c:showPercent val="0"/>
          <c:showBubbleSize val="0"/>
        </c:dLbls>
        <c:gapWidth val="219"/>
        <c:overlap val="-27"/>
        <c:axId val="394197360"/>
        <c:axId val="394197752"/>
      </c:barChart>
      <c:catAx>
        <c:axId val="394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4197752"/>
        <c:crosses val="autoZero"/>
        <c:auto val="1"/>
        <c:lblAlgn val="ctr"/>
        <c:lblOffset val="100"/>
        <c:noMultiLvlLbl val="0"/>
      </c:catAx>
      <c:valAx>
        <c:axId val="394197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38256051326917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4197360"/>
        <c:crosses val="autoZero"/>
        <c:crossBetween val="between"/>
      </c:valAx>
      <c:spPr>
        <a:noFill/>
        <a:ln>
          <a:noFill/>
        </a:ln>
        <a:effectLst/>
      </c:spPr>
    </c:plotArea>
    <c:legend>
      <c:legendPos val="b"/>
      <c:layout>
        <c:manualLayout>
          <c:xMode val="edge"/>
          <c:yMode val="edge"/>
          <c:x val="0.68857699037620301"/>
          <c:y val="3.7615193934091573E-2"/>
          <c:w val="0.24784601924759406"/>
          <c:h val="0.15682925051035285"/>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06714785651794"/>
          <c:y val="8.7962962962962965E-2"/>
          <c:w val="0.82837729658792647"/>
          <c:h val="0.81447506561679794"/>
        </c:manualLayout>
      </c:layout>
      <c:barChart>
        <c:barDir val="col"/>
        <c:grouping val="clustered"/>
        <c:varyColors val="0"/>
        <c:ser>
          <c:idx val="0"/>
          <c:order val="0"/>
          <c:tx>
            <c:strRef>
              <c:f>Sheet1!$B$1</c:f>
              <c:strCache>
                <c:ptCount val="1"/>
                <c:pt idx="0">
                  <c:v>Transitioned ADF</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Sheet1!$B$2:$B$3</c:f>
              <c:numCache>
                <c:formatCode>General</c:formatCode>
                <c:ptCount val="2"/>
                <c:pt idx="0" formatCode="0.0">
                  <c:v>7.6582938</c:v>
                </c:pt>
                <c:pt idx="1">
                  <c:v>9.1</c:v>
                </c:pt>
              </c:numCache>
            </c:numRef>
          </c:val>
          <c:extLst xmlns:c16r2="http://schemas.microsoft.com/office/drawing/2015/06/chart">
            <c:ext xmlns:c16="http://schemas.microsoft.com/office/drawing/2014/chart" uri="{C3380CC4-5D6E-409C-BE32-E72D297353CC}">
              <c16:uniqueId val="{00000000-E58D-C847-AA37-D5A19481706E}"/>
            </c:ext>
          </c:extLst>
        </c:ser>
        <c:ser>
          <c:idx val="1"/>
          <c:order val="1"/>
          <c:tx>
            <c:strRef>
              <c:f>Sheet1!$C$1</c:f>
              <c:strCache>
                <c:ptCount val="1"/>
                <c:pt idx="0">
                  <c:v>2015 Regular ADF </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1A70-0A4D-BF5E-ADDD68746AFD}"/>
              </c:ext>
            </c:extLst>
          </c:dPt>
          <c:dPt>
            <c:idx val="1"/>
            <c:invertIfNegative val="0"/>
            <c:bubble3D val="0"/>
            <c:extLst xmlns:c16r2="http://schemas.microsoft.com/office/drawing/2015/06/chart">
              <c:ext xmlns:c16="http://schemas.microsoft.com/office/drawing/2014/chart" uri="{C3380CC4-5D6E-409C-BE32-E72D297353CC}">
                <c16:uniqueId val="{00000001-1A70-0A4D-BF5E-ADDD68746AFD}"/>
              </c:ext>
            </c:extLst>
          </c:dPt>
          <c:dLbls>
            <c:dLbl>
              <c:idx val="0"/>
              <c:tx>
                <c:rich>
                  <a:bodyPr/>
                  <a:lstStyle/>
                  <a:p>
                    <a:r>
                      <a:rPr lang="en-US"/>
                      <a:t>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70-0A4D-BF5E-ADDD68746AFD}"/>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Sheet1!$C$2:$C$3</c:f>
              <c:numCache>
                <c:formatCode>General</c:formatCode>
                <c:ptCount val="2"/>
                <c:pt idx="0">
                  <c:v>7</c:v>
                </c:pt>
                <c:pt idx="1">
                  <c:v>7.7</c:v>
                </c:pt>
              </c:numCache>
            </c:numRef>
          </c:val>
          <c:extLst xmlns:c16r2="http://schemas.microsoft.com/office/drawing/2015/06/chart">
            <c:ext xmlns:c16="http://schemas.microsoft.com/office/drawing/2014/chart" uri="{C3380CC4-5D6E-409C-BE32-E72D297353CC}">
              <c16:uniqueId val="{00000001-E58D-C847-AA37-D5A19481706E}"/>
            </c:ext>
          </c:extLst>
        </c:ser>
        <c:dLbls>
          <c:dLblPos val="outEnd"/>
          <c:showLegendKey val="0"/>
          <c:showVal val="1"/>
          <c:showCatName val="0"/>
          <c:showSerName val="0"/>
          <c:showPercent val="0"/>
          <c:showBubbleSize val="0"/>
        </c:dLbls>
        <c:gapWidth val="219"/>
        <c:overlap val="-28"/>
        <c:axId val="394200888"/>
        <c:axId val="394201280"/>
      </c:barChart>
      <c:catAx>
        <c:axId val="39420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4201280"/>
        <c:crosses val="autoZero"/>
        <c:auto val="1"/>
        <c:lblAlgn val="ctr"/>
        <c:lblOffset val="100"/>
        <c:noMultiLvlLbl val="0"/>
      </c:catAx>
      <c:valAx>
        <c:axId val="3942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a:t>
                </a:r>
              </a:p>
            </c:rich>
          </c:tx>
          <c:layout>
            <c:manualLayout>
              <c:xMode val="edge"/>
              <c:yMode val="edge"/>
              <c:x val="1.9444444444444445E-2"/>
              <c:y val="0.35939012831729367"/>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394200888"/>
        <c:crosses val="autoZero"/>
        <c:crossBetween val="between"/>
      </c:valAx>
      <c:spPr>
        <a:noFill/>
        <a:ln>
          <a:noFill/>
        </a:ln>
        <a:effectLst/>
      </c:spPr>
    </c:plotArea>
    <c:legend>
      <c:legendPos val="b"/>
      <c:layout>
        <c:manualLayout>
          <c:xMode val="edge"/>
          <c:yMode val="edge"/>
          <c:x val="0.34498818897637795"/>
          <c:y val="3.2985564304461944E-2"/>
          <c:w val="0.2600234033245844"/>
          <c:h val="0.13831073199183436"/>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9444444444444448E-2"/>
          <c:w val="0.83468285214348203"/>
          <c:h val="0.80058617672790899"/>
        </c:manualLayout>
      </c:layout>
      <c:barChart>
        <c:barDir val="col"/>
        <c:grouping val="clustered"/>
        <c:varyColors val="0"/>
        <c:ser>
          <c:idx val="0"/>
          <c:order val="0"/>
          <c:tx>
            <c:strRef>
              <c:f>Sheet1!$B$1</c:f>
              <c:strCache>
                <c:ptCount val="1"/>
                <c:pt idx="0">
                  <c:v>No problem anger 2015</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A91-8C47-BF60-15B20580B2BB}"/>
              </c:ext>
            </c:extLst>
          </c:dPt>
          <c:dPt>
            <c:idx val="1"/>
            <c:invertIfNegative val="0"/>
            <c:bubble3D val="0"/>
            <c:extLst xmlns:c16r2="http://schemas.microsoft.com/office/drawing/2015/06/chart">
              <c:ext xmlns:c16="http://schemas.microsoft.com/office/drawing/2014/chart" uri="{C3380CC4-5D6E-409C-BE32-E72D297353CC}">
                <c16:uniqueId val="{00000001-FA91-8C47-BF60-15B20580B2BB}"/>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Sheet1!$B$2:$B$3</c:f>
              <c:numCache>
                <c:formatCode>General</c:formatCode>
                <c:ptCount val="2"/>
                <c:pt idx="0">
                  <c:v>87.1</c:v>
                </c:pt>
                <c:pt idx="1">
                  <c:v>48.2</c:v>
                </c:pt>
              </c:numCache>
            </c:numRef>
          </c:val>
          <c:extLst xmlns:c16r2="http://schemas.microsoft.com/office/drawing/2015/06/chart">
            <c:ext xmlns:c16="http://schemas.microsoft.com/office/drawing/2014/chart" uri="{C3380CC4-5D6E-409C-BE32-E72D297353CC}">
              <c16:uniqueId val="{00000000-EC46-484E-9F7F-CFC9A9E9EE32}"/>
            </c:ext>
          </c:extLst>
        </c:ser>
        <c:ser>
          <c:idx val="1"/>
          <c:order val="1"/>
          <c:tx>
            <c:strRef>
              <c:f>Sheet1!$C$1</c:f>
              <c:strCache>
                <c:ptCount val="1"/>
                <c:pt idx="0">
                  <c:v>Problem anger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Sheet1!$C$2:$C$3</c:f>
              <c:numCache>
                <c:formatCode>General</c:formatCode>
                <c:ptCount val="2"/>
                <c:pt idx="0">
                  <c:v>12.9</c:v>
                </c:pt>
                <c:pt idx="1">
                  <c:v>51.8</c:v>
                </c:pt>
              </c:numCache>
            </c:numRef>
          </c:val>
          <c:extLst xmlns:c16r2="http://schemas.microsoft.com/office/drawing/2015/06/chart">
            <c:ext xmlns:c16="http://schemas.microsoft.com/office/drawing/2014/chart" uri="{C3380CC4-5D6E-409C-BE32-E72D297353CC}">
              <c16:uniqueId val="{00000001-EC46-484E-9F7F-CFC9A9E9EE32}"/>
            </c:ext>
          </c:extLst>
        </c:ser>
        <c:dLbls>
          <c:dLblPos val="outEnd"/>
          <c:showLegendKey val="0"/>
          <c:showVal val="1"/>
          <c:showCatName val="0"/>
          <c:showSerName val="0"/>
          <c:showPercent val="0"/>
          <c:showBubbleSize val="0"/>
        </c:dLbls>
        <c:gapWidth val="219"/>
        <c:overlap val="-27"/>
        <c:axId val="395068064"/>
        <c:axId val="395069632"/>
      </c:barChart>
      <c:catAx>
        <c:axId val="3950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69632"/>
        <c:crosses val="autoZero"/>
        <c:auto val="1"/>
        <c:lblAlgn val="ctr"/>
        <c:lblOffset val="100"/>
        <c:noMultiLvlLbl val="0"/>
      </c:catAx>
      <c:valAx>
        <c:axId val="39506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33626421697287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68064"/>
        <c:crosses val="autoZero"/>
        <c:crossBetween val="between"/>
      </c:valAx>
      <c:spPr>
        <a:noFill/>
        <a:ln>
          <a:noFill/>
        </a:ln>
        <a:effectLst/>
      </c:spPr>
    </c:plotArea>
    <c:legend>
      <c:legendPos val="b"/>
      <c:layout>
        <c:manualLayout>
          <c:xMode val="edge"/>
          <c:yMode val="edge"/>
          <c:x val="0.64024409448818898"/>
          <c:y val="2.8355934674832314E-2"/>
          <c:w val="0.29728958880139983"/>
          <c:h val="0.15682925051035287"/>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9.7222222222222224E-2"/>
          <c:w val="0.83468285214348203"/>
          <c:h val="0.7913269174686498"/>
        </c:manualLayout>
      </c:layout>
      <c:barChart>
        <c:barDir val="col"/>
        <c:grouping val="clustered"/>
        <c:varyColors val="0"/>
        <c:ser>
          <c:idx val="0"/>
          <c:order val="0"/>
          <c:tx>
            <c:strRef>
              <c:f>Sheet1!$B$1</c:f>
              <c:strCache>
                <c:ptCount val="1"/>
                <c:pt idx="0">
                  <c:v>No problem anger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Sheet1!$B$2:$B$3</c:f>
              <c:numCache>
                <c:formatCode>General</c:formatCode>
                <c:ptCount val="2"/>
                <c:pt idx="0">
                  <c:v>80.099999999999994</c:v>
                </c:pt>
                <c:pt idx="1">
                  <c:v>38.700000000000003</c:v>
                </c:pt>
              </c:numCache>
            </c:numRef>
          </c:val>
          <c:extLst xmlns:c16r2="http://schemas.microsoft.com/office/drawing/2015/06/chart">
            <c:ext xmlns:c16="http://schemas.microsoft.com/office/drawing/2014/chart" uri="{C3380CC4-5D6E-409C-BE32-E72D297353CC}">
              <c16:uniqueId val="{00000000-2074-4C12-B885-033F78EA7E21}"/>
            </c:ext>
          </c:extLst>
        </c:ser>
        <c:ser>
          <c:idx val="1"/>
          <c:order val="1"/>
          <c:tx>
            <c:strRef>
              <c:f>Sheet1!$C$1</c:f>
              <c:strCache>
                <c:ptCount val="1"/>
                <c:pt idx="0">
                  <c:v>Problem anger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Sheet1!$C$2:$C$3</c:f>
              <c:numCache>
                <c:formatCode>General</c:formatCode>
                <c:ptCount val="2"/>
                <c:pt idx="0">
                  <c:v>19.899999999999999</c:v>
                </c:pt>
                <c:pt idx="1">
                  <c:v>61.3</c:v>
                </c:pt>
              </c:numCache>
            </c:numRef>
          </c:val>
          <c:extLst xmlns:c16r2="http://schemas.microsoft.com/office/drawing/2015/06/chart">
            <c:ext xmlns:c16="http://schemas.microsoft.com/office/drawing/2014/chart" uri="{C3380CC4-5D6E-409C-BE32-E72D297353CC}">
              <c16:uniqueId val="{00000001-2074-4C12-B885-033F78EA7E21}"/>
            </c:ext>
          </c:extLst>
        </c:ser>
        <c:dLbls>
          <c:dLblPos val="outEnd"/>
          <c:showLegendKey val="0"/>
          <c:showVal val="1"/>
          <c:showCatName val="0"/>
          <c:showSerName val="0"/>
          <c:showPercent val="0"/>
          <c:showBubbleSize val="0"/>
        </c:dLbls>
        <c:gapWidth val="219"/>
        <c:overlap val="-26"/>
        <c:axId val="395071592"/>
        <c:axId val="395070024"/>
      </c:barChart>
      <c:catAx>
        <c:axId val="39507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70024"/>
        <c:crosses val="autoZero"/>
        <c:auto val="1"/>
        <c:lblAlgn val="ctr"/>
        <c:lblOffset val="100"/>
        <c:noMultiLvlLbl val="0"/>
      </c:catAx>
      <c:valAx>
        <c:axId val="3950700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33626421697287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71592"/>
        <c:crosses val="autoZero"/>
        <c:crossBetween val="between"/>
      </c:valAx>
      <c:spPr>
        <a:noFill/>
        <a:ln>
          <a:noFill/>
        </a:ln>
        <a:effectLst/>
      </c:spPr>
    </c:plotArea>
    <c:legend>
      <c:legendPos val="b"/>
      <c:layout>
        <c:manualLayout>
          <c:xMode val="edge"/>
          <c:yMode val="edge"/>
          <c:x val="0.60413298337707788"/>
          <c:y val="3.2985564304461902E-2"/>
          <c:w val="0.33340069991251092"/>
          <c:h val="0.13831073199183436"/>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latin typeface="Calibri" panose="020F050202020403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7.8703703703703706E-2"/>
          <c:w val="0.83468285214348203"/>
          <c:h val="0.79595654709827934"/>
        </c:manualLayout>
      </c:layout>
      <c:barChart>
        <c:barDir val="col"/>
        <c:grouping val="clustered"/>
        <c:varyColors val="0"/>
        <c:ser>
          <c:idx val="0"/>
          <c:order val="0"/>
          <c:tx>
            <c:strRef>
              <c:f>Sheet1!$B$1</c:f>
              <c:strCache>
                <c:ptCount val="1"/>
                <c:pt idx="0">
                  <c:v>No problem anger 2015</c:v>
                </c:pt>
              </c:strCache>
            </c:strRef>
          </c:tx>
          <c:spPr>
            <a:solidFill>
              <a:schemeClr val="accent1"/>
            </a:solidFill>
            <a:ln>
              <a:noFill/>
            </a:ln>
            <a:effectLst/>
          </c:spPr>
          <c:invertIfNegative val="0"/>
          <c:dLbls>
            <c:dLbl>
              <c:idx val="1"/>
              <c:tx>
                <c:rich>
                  <a:bodyPr/>
                  <a:lstStyle/>
                  <a:p>
                    <a:r>
                      <a:rPr lang="en-US"/>
                      <a:t>54.0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CA-426C-BDCF-5244318E9349}"/>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Sheet1!$B$2:$B$3</c:f>
              <c:numCache>
                <c:formatCode>General</c:formatCode>
                <c:ptCount val="2"/>
                <c:pt idx="0">
                  <c:v>89.6</c:v>
                </c:pt>
                <c:pt idx="1">
                  <c:v>54</c:v>
                </c:pt>
              </c:numCache>
            </c:numRef>
          </c:val>
          <c:extLst xmlns:c16r2="http://schemas.microsoft.com/office/drawing/2015/06/chart">
            <c:ext xmlns:c16="http://schemas.microsoft.com/office/drawing/2014/chart" uri="{C3380CC4-5D6E-409C-BE32-E72D297353CC}">
              <c16:uniqueId val="{00000000-DADC-2143-9EDF-001F81E95EC6}"/>
            </c:ext>
          </c:extLst>
        </c:ser>
        <c:ser>
          <c:idx val="1"/>
          <c:order val="1"/>
          <c:tx>
            <c:strRef>
              <c:f>Sheet1!$C$1</c:f>
              <c:strCache>
                <c:ptCount val="1"/>
                <c:pt idx="0">
                  <c:v>Problem anger 2015</c:v>
                </c:pt>
              </c:strCache>
            </c:strRef>
          </c:tx>
          <c:spPr>
            <a:solidFill>
              <a:schemeClr val="accent3"/>
            </a:solidFill>
            <a:ln>
              <a:noFill/>
            </a:ln>
            <a:effectLst/>
          </c:spPr>
          <c:invertIfNegative val="0"/>
          <c:dLbls>
            <c:dLbl>
              <c:idx val="1"/>
              <c:tx>
                <c:rich>
                  <a:bodyPr/>
                  <a:lstStyle/>
                  <a:p>
                    <a:r>
                      <a:rPr lang="en-US"/>
                      <a:t>46.0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CA-426C-BDCF-5244318E9349}"/>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problem anger 2010</c:v>
                </c:pt>
                <c:pt idx="1">
                  <c:v>Problem anger 2010</c:v>
                </c:pt>
              </c:strCache>
            </c:strRef>
          </c:cat>
          <c:val>
            <c:numRef>
              <c:f>Sheet1!$C$2:$C$3</c:f>
              <c:numCache>
                <c:formatCode>General</c:formatCode>
                <c:ptCount val="2"/>
                <c:pt idx="0">
                  <c:v>10.4</c:v>
                </c:pt>
                <c:pt idx="1">
                  <c:v>46</c:v>
                </c:pt>
              </c:numCache>
            </c:numRef>
          </c:val>
          <c:extLst xmlns:c16r2="http://schemas.microsoft.com/office/drawing/2015/06/chart">
            <c:ext xmlns:c16="http://schemas.microsoft.com/office/drawing/2014/chart" uri="{C3380CC4-5D6E-409C-BE32-E72D297353CC}">
              <c16:uniqueId val="{00000001-DADC-2143-9EDF-001F81E95EC6}"/>
            </c:ext>
          </c:extLst>
        </c:ser>
        <c:dLbls>
          <c:dLblPos val="outEnd"/>
          <c:showLegendKey val="0"/>
          <c:showVal val="1"/>
          <c:showCatName val="0"/>
          <c:showSerName val="0"/>
          <c:showPercent val="0"/>
          <c:showBubbleSize val="0"/>
        </c:dLbls>
        <c:gapWidth val="219"/>
        <c:overlap val="-27"/>
        <c:axId val="395070416"/>
        <c:axId val="395067672"/>
      </c:barChart>
      <c:catAx>
        <c:axId val="39507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67672"/>
        <c:crosses val="autoZero"/>
        <c:auto val="1"/>
        <c:lblAlgn val="ctr"/>
        <c:lblOffset val="100"/>
        <c:noMultiLvlLbl val="0"/>
      </c:catAx>
      <c:valAx>
        <c:axId val="39506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289967920676581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70416"/>
        <c:crosses val="autoZero"/>
        <c:crossBetween val="between"/>
      </c:valAx>
      <c:spPr>
        <a:noFill/>
        <a:ln>
          <a:noFill/>
        </a:ln>
        <a:effectLst/>
      </c:spPr>
    </c:plotArea>
    <c:legend>
      <c:legendPos val="b"/>
      <c:layout>
        <c:manualLayout>
          <c:xMode val="edge"/>
          <c:yMode val="edge"/>
          <c:x val="0.61524409448818895"/>
          <c:y val="3.7615193934091531E-2"/>
          <c:w val="0.32228958880139985"/>
          <c:h val="0.13831073199183436"/>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7.8703703703703706E-2"/>
          <c:w val="0.83468285214348203"/>
          <c:h val="0.80521580635753864"/>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98.9</c:v>
                </c:pt>
                <c:pt idx="1">
                  <c:v>89.4</c:v>
                </c:pt>
              </c:numCache>
            </c:numRef>
          </c:val>
          <c:extLst xmlns:c16r2="http://schemas.microsoft.com/office/drawing/2015/06/chart">
            <c:ext xmlns:c16="http://schemas.microsoft.com/office/drawing/2014/chart" uri="{C3380CC4-5D6E-409C-BE32-E72D297353CC}">
              <c16:uniqueId val="{00000000-C2F3-4F44-A299-A4F75AFEB64B}"/>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1.1000000000000001</c:v>
                </c:pt>
                <c:pt idx="1">
                  <c:v>10.6</c:v>
                </c:pt>
              </c:numCache>
            </c:numRef>
          </c:val>
          <c:extLst xmlns:c16r2="http://schemas.microsoft.com/office/drawing/2015/06/chart">
            <c:ext xmlns:c16="http://schemas.microsoft.com/office/drawing/2014/chart" uri="{C3380CC4-5D6E-409C-BE32-E72D297353CC}">
              <c16:uniqueId val="{00000001-C2F3-4F44-A299-A4F75AFEB64B}"/>
            </c:ext>
          </c:extLst>
        </c:ser>
        <c:dLbls>
          <c:dLblPos val="outEnd"/>
          <c:showLegendKey val="0"/>
          <c:showVal val="1"/>
          <c:showCatName val="0"/>
          <c:showSerName val="0"/>
          <c:showPercent val="0"/>
          <c:showBubbleSize val="0"/>
        </c:dLbls>
        <c:gapWidth val="219"/>
        <c:overlap val="-27"/>
        <c:axId val="395072376"/>
        <c:axId val="395072768"/>
      </c:barChart>
      <c:catAx>
        <c:axId val="39507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72768"/>
        <c:crosses val="autoZero"/>
        <c:auto val="1"/>
        <c:lblAlgn val="ctr"/>
        <c:lblOffset val="100"/>
        <c:noMultiLvlLbl val="0"/>
      </c:catAx>
      <c:valAx>
        <c:axId val="39507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38256051326917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72376"/>
        <c:crosses val="autoZero"/>
        <c:crossBetween val="between"/>
      </c:valAx>
      <c:spPr>
        <a:noFill/>
        <a:ln>
          <a:noFill/>
        </a:ln>
        <a:effectLst/>
      </c:spPr>
    </c:plotArea>
    <c:legend>
      <c:legendPos val="b"/>
      <c:layout>
        <c:manualLayout>
          <c:xMode val="edge"/>
          <c:yMode val="edge"/>
          <c:x val="0.55564632545931758"/>
          <c:y val="2.372630504520264E-2"/>
          <c:w val="0.37759623797025371"/>
          <c:h val="0.13368110236220473"/>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2015 Regular ADF</c:v>
                </c:pt>
              </c:strCache>
            </c:strRef>
          </c:tx>
          <c:spPr>
            <a:solidFill>
              <a:schemeClr val="accent3"/>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Any affective disorder</c:v>
                </c:pt>
                <c:pt idx="1">
                  <c:v>Bipolar affective disorder</c:v>
                </c:pt>
                <c:pt idx="2">
                  <c:v>Dysthymia</c:v>
                </c:pt>
                <c:pt idx="3">
                  <c:v>Depressive episodes</c:v>
                </c:pt>
              </c:strCache>
            </c:strRef>
          </c:cat>
          <c:val>
            <c:numRef>
              <c:f>Sheet1!$B$2:$B$5</c:f>
              <c:numCache>
                <c:formatCode>0.0%</c:formatCode>
                <c:ptCount val="4"/>
                <c:pt idx="0">
                  <c:v>0.03</c:v>
                </c:pt>
                <c:pt idx="1">
                  <c:v>1.2E-2</c:v>
                </c:pt>
                <c:pt idx="2">
                  <c:v>8.9999999999999993E-3</c:v>
                </c:pt>
                <c:pt idx="3">
                  <c:v>4.0000000000000001E-3</c:v>
                </c:pt>
              </c:numCache>
            </c:numRef>
          </c:val>
          <c:extLst xmlns:c16r2="http://schemas.microsoft.com/office/drawing/2015/06/chart">
            <c:ext xmlns:c16="http://schemas.microsoft.com/office/drawing/2014/chart" uri="{C3380CC4-5D6E-409C-BE32-E72D297353CC}">
              <c16:uniqueId val="{00000000-F1CC-6144-95BF-96DBD0CE3178}"/>
            </c:ext>
          </c:extLst>
        </c:ser>
        <c:ser>
          <c:idx val="1"/>
          <c:order val="1"/>
          <c:tx>
            <c:strRef>
              <c:f>Sheet1!$C$1</c:f>
              <c:strCache>
                <c:ptCount val="1"/>
                <c:pt idx="0">
                  <c:v>Transitioned ADF</c:v>
                </c:pt>
              </c:strCache>
            </c:strRef>
          </c:tx>
          <c:spPr>
            <a:solidFill>
              <a:srgbClr val="002561"/>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Any affective disorder</c:v>
                </c:pt>
                <c:pt idx="1">
                  <c:v>Bipolar affective disorder</c:v>
                </c:pt>
                <c:pt idx="2">
                  <c:v>Dysthymia</c:v>
                </c:pt>
                <c:pt idx="3">
                  <c:v>Depressive episodes</c:v>
                </c:pt>
              </c:strCache>
            </c:strRef>
          </c:cat>
          <c:val>
            <c:numRef>
              <c:f>Sheet1!$C$2:$C$5</c:f>
              <c:numCache>
                <c:formatCode>0.0%</c:formatCode>
                <c:ptCount val="4"/>
                <c:pt idx="0">
                  <c:v>2.3E-2</c:v>
                </c:pt>
                <c:pt idx="1">
                  <c:v>2.7E-2</c:v>
                </c:pt>
                <c:pt idx="2">
                  <c:v>5.3999999999999999E-2</c:v>
                </c:pt>
                <c:pt idx="3">
                  <c:v>-1.9E-2</c:v>
                </c:pt>
              </c:numCache>
            </c:numRef>
          </c:val>
          <c:extLst xmlns:c16r2="http://schemas.microsoft.com/office/drawing/2015/06/chart">
            <c:ext xmlns:c16="http://schemas.microsoft.com/office/drawing/2014/chart" uri="{C3380CC4-5D6E-409C-BE32-E72D297353CC}">
              <c16:uniqueId val="{00000001-F1CC-6144-95BF-96DBD0CE3178}"/>
            </c:ext>
          </c:extLst>
        </c:ser>
        <c:dLbls>
          <c:showLegendKey val="0"/>
          <c:showVal val="0"/>
          <c:showCatName val="0"/>
          <c:showSerName val="0"/>
          <c:showPercent val="0"/>
          <c:showBubbleSize val="0"/>
        </c:dLbls>
        <c:gapWidth val="150"/>
        <c:axId val="391685952"/>
        <c:axId val="391685168"/>
      </c:barChart>
      <c:catAx>
        <c:axId val="391685952"/>
        <c:scaling>
          <c:orientation val="minMax"/>
        </c:scaling>
        <c:delete val="0"/>
        <c:axPos val="l"/>
        <c:numFmt formatCode="General" sourceLinked="0"/>
        <c:majorTickMark val="out"/>
        <c:minorTickMark val="none"/>
        <c:tickLblPos val="low"/>
        <c:crossAx val="391685168"/>
        <c:crosses val="autoZero"/>
        <c:auto val="1"/>
        <c:lblAlgn val="ctr"/>
        <c:lblOffset val="100"/>
        <c:noMultiLvlLbl val="0"/>
      </c:catAx>
      <c:valAx>
        <c:axId val="391685168"/>
        <c:scaling>
          <c:orientation val="minMax"/>
          <c:max val="0.06"/>
        </c:scaling>
        <c:delete val="0"/>
        <c:axPos val="b"/>
        <c:majorGridlines>
          <c:spPr>
            <a:ln>
              <a:solidFill>
                <a:schemeClr val="bg1">
                  <a:lumMod val="50000"/>
                  <a:alpha val="34000"/>
                </a:schemeClr>
              </a:solidFill>
            </a:ln>
          </c:spPr>
        </c:majorGridlines>
        <c:numFmt formatCode="0.0%" sourceLinked="1"/>
        <c:majorTickMark val="out"/>
        <c:minorTickMark val="none"/>
        <c:tickLblPos val="nextTo"/>
        <c:crossAx val="391685952"/>
        <c:crosses val="autoZero"/>
        <c:crossBetween val="between"/>
        <c:majorUnit val="0.01"/>
      </c:valAx>
    </c:plotArea>
    <c:legend>
      <c:legendPos val="b"/>
      <c:layout>
        <c:manualLayout>
          <c:xMode val="edge"/>
          <c:yMode val="edge"/>
          <c:x val="0.49282436570428695"/>
          <c:y val="0.89409667541557303"/>
          <c:w val="0.4921288276465442"/>
          <c:h val="7.8125546806649168E-2"/>
        </c:manualLayout>
      </c:layout>
      <c:overlay val="0"/>
    </c:legend>
    <c:plotVisOnly val="1"/>
    <c:dispBlanksAs val="gap"/>
    <c:showDLblsOverMax val="0"/>
  </c:chart>
  <c:spPr>
    <a:ln>
      <a:noFill/>
    </a:ln>
  </c:spPr>
  <c:txPr>
    <a:bodyPr/>
    <a:lstStyle/>
    <a:p>
      <a:pPr>
        <a:defRPr sz="900" baseline="0">
          <a:latin typeface="Calibri"/>
          <a:cs typeface="Calibri"/>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7.407407407407407E-2"/>
          <c:w val="0.83468285214348203"/>
          <c:h val="0.80521580635753864"/>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97.9</c:v>
                </c:pt>
                <c:pt idx="1">
                  <c:v>83.3</c:v>
                </c:pt>
              </c:numCache>
            </c:numRef>
          </c:val>
          <c:extLst xmlns:c16r2="http://schemas.microsoft.com/office/drawing/2015/06/chart">
            <c:ext xmlns:c16="http://schemas.microsoft.com/office/drawing/2014/chart" uri="{C3380CC4-5D6E-409C-BE32-E72D297353CC}">
              <c16:uniqueId val="{00000000-3918-434D-A4C5-62348915A1D8}"/>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2.1</c:v>
                </c:pt>
                <c:pt idx="1">
                  <c:v>16.7</c:v>
                </c:pt>
              </c:numCache>
            </c:numRef>
          </c:val>
          <c:extLst xmlns:c16r2="http://schemas.microsoft.com/office/drawing/2015/06/chart">
            <c:ext xmlns:c16="http://schemas.microsoft.com/office/drawing/2014/chart" uri="{C3380CC4-5D6E-409C-BE32-E72D297353CC}">
              <c16:uniqueId val="{00000001-3918-434D-A4C5-62348915A1D8}"/>
            </c:ext>
          </c:extLst>
        </c:ser>
        <c:dLbls>
          <c:dLblPos val="outEnd"/>
          <c:showLegendKey val="0"/>
          <c:showVal val="1"/>
          <c:showCatName val="0"/>
          <c:showSerName val="0"/>
          <c:showPercent val="0"/>
          <c:showBubbleSize val="0"/>
        </c:dLbls>
        <c:gapWidth val="219"/>
        <c:overlap val="-27"/>
        <c:axId val="395069240"/>
        <c:axId val="395073160"/>
      </c:barChart>
      <c:catAx>
        <c:axId val="39506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73160"/>
        <c:crosses val="autoZero"/>
        <c:auto val="1"/>
        <c:lblAlgn val="ctr"/>
        <c:lblOffset val="100"/>
        <c:noMultiLvlLbl val="0"/>
      </c:catAx>
      <c:valAx>
        <c:axId val="39507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289967920676581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69240"/>
        <c:crosses val="autoZero"/>
        <c:crossBetween val="between"/>
      </c:valAx>
      <c:spPr>
        <a:noFill/>
        <a:ln>
          <a:noFill/>
        </a:ln>
        <a:effectLst/>
      </c:spPr>
    </c:plotArea>
    <c:legend>
      <c:legendPos val="b"/>
      <c:layout>
        <c:manualLayout>
          <c:xMode val="edge"/>
          <c:yMode val="edge"/>
          <c:x val="0.60009076990376198"/>
          <c:y val="1.9096675415573052E-2"/>
          <c:w val="0.34148512685914262"/>
          <c:h val="0.1429403616214639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9.7222222222222224E-2"/>
          <c:w val="0.83468285214348203"/>
          <c:h val="0.79595654709827934"/>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99.2</c:v>
                </c:pt>
                <c:pt idx="1">
                  <c:v>94.2</c:v>
                </c:pt>
              </c:numCache>
            </c:numRef>
          </c:val>
          <c:extLst xmlns:c16r2="http://schemas.microsoft.com/office/drawing/2015/06/chart">
            <c:ext xmlns:c16="http://schemas.microsoft.com/office/drawing/2014/chart" uri="{C3380CC4-5D6E-409C-BE32-E72D297353CC}">
              <c16:uniqueId val="{00000000-4BFD-9046-88ED-0FC29F8FE049}"/>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0.8</c:v>
                </c:pt>
                <c:pt idx="1">
                  <c:v>5.8</c:v>
                </c:pt>
              </c:numCache>
            </c:numRef>
          </c:val>
          <c:extLst xmlns:c16r2="http://schemas.microsoft.com/office/drawing/2015/06/chart">
            <c:ext xmlns:c16="http://schemas.microsoft.com/office/drawing/2014/chart" uri="{C3380CC4-5D6E-409C-BE32-E72D297353CC}">
              <c16:uniqueId val="{00000001-4BFD-9046-88ED-0FC29F8FE049}"/>
            </c:ext>
          </c:extLst>
        </c:ser>
        <c:dLbls>
          <c:dLblPos val="outEnd"/>
          <c:showLegendKey val="0"/>
          <c:showVal val="1"/>
          <c:showCatName val="0"/>
          <c:showSerName val="0"/>
          <c:showPercent val="0"/>
          <c:showBubbleSize val="0"/>
        </c:dLbls>
        <c:gapWidth val="219"/>
        <c:overlap val="-27"/>
        <c:axId val="395073944"/>
        <c:axId val="395074336"/>
      </c:barChart>
      <c:catAx>
        <c:axId val="39507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74336"/>
        <c:crosses val="autoZero"/>
        <c:auto val="1"/>
        <c:lblAlgn val="ctr"/>
        <c:lblOffset val="100"/>
        <c:noMultiLvlLbl val="0"/>
      </c:catAx>
      <c:valAx>
        <c:axId val="3950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33626421697287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73944"/>
        <c:crosses val="autoZero"/>
        <c:crossBetween val="between"/>
      </c:valAx>
      <c:spPr>
        <a:noFill/>
        <a:ln>
          <a:noFill/>
        </a:ln>
        <a:effectLst/>
      </c:spPr>
    </c:plotArea>
    <c:legend>
      <c:legendPos val="b"/>
      <c:layout>
        <c:manualLayout>
          <c:xMode val="edge"/>
          <c:yMode val="edge"/>
          <c:x val="0.56397965879265088"/>
          <c:y val="2.8355934674832269E-2"/>
          <c:w val="0.37759623797025371"/>
          <c:h val="0.13368110236220473"/>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9444444444444448E-2"/>
          <c:w val="0.83468285214348203"/>
          <c:h val="0.81447506561679794"/>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95.3</c:v>
                </c:pt>
                <c:pt idx="1">
                  <c:v>70.099999999999994</c:v>
                </c:pt>
              </c:numCache>
            </c:numRef>
          </c:val>
          <c:extLst xmlns:c16r2="http://schemas.microsoft.com/office/drawing/2015/06/chart">
            <c:ext xmlns:c16="http://schemas.microsoft.com/office/drawing/2014/chart" uri="{C3380CC4-5D6E-409C-BE32-E72D297353CC}">
              <c16:uniqueId val="{00000000-84E3-4D47-AFDE-EBC7D0FFCEE8}"/>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4.7</c:v>
                </c:pt>
                <c:pt idx="1">
                  <c:v>29.9</c:v>
                </c:pt>
              </c:numCache>
            </c:numRef>
          </c:val>
          <c:extLst xmlns:c16r2="http://schemas.microsoft.com/office/drawing/2015/06/chart">
            <c:ext xmlns:c16="http://schemas.microsoft.com/office/drawing/2014/chart" uri="{C3380CC4-5D6E-409C-BE32-E72D297353CC}">
              <c16:uniqueId val="{00000001-84E3-4D47-AFDE-EBC7D0FFCEE8}"/>
            </c:ext>
          </c:extLst>
        </c:ser>
        <c:dLbls>
          <c:dLblPos val="outEnd"/>
          <c:showLegendKey val="0"/>
          <c:showVal val="1"/>
          <c:showCatName val="0"/>
          <c:showSerName val="0"/>
          <c:showPercent val="0"/>
          <c:showBubbleSize val="0"/>
        </c:dLbls>
        <c:gapWidth val="219"/>
        <c:overlap val="-27"/>
        <c:axId val="395068456"/>
        <c:axId val="395068848"/>
      </c:barChart>
      <c:catAx>
        <c:axId val="39506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068848"/>
        <c:crosses val="autoZero"/>
        <c:auto val="1"/>
        <c:lblAlgn val="ctr"/>
        <c:lblOffset val="100"/>
        <c:noMultiLvlLbl val="0"/>
      </c:catAx>
      <c:valAx>
        <c:axId val="39506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38256051326917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068456"/>
        <c:crosses val="autoZero"/>
        <c:crossBetween val="between"/>
      </c:valAx>
      <c:spPr>
        <a:noFill/>
        <a:ln>
          <a:noFill/>
        </a:ln>
        <a:effectLst/>
      </c:spPr>
    </c:plotArea>
    <c:legend>
      <c:legendPos val="b"/>
      <c:layout>
        <c:manualLayout>
          <c:xMode val="edge"/>
          <c:yMode val="edge"/>
          <c:x val="0.61120188101487316"/>
          <c:y val="1.909667541557301E-2"/>
          <c:w val="0.33037401574803149"/>
          <c:h val="0.1290514727325750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6.9444444444444448E-2"/>
          <c:w val="0.83468285214348203"/>
          <c:h val="0.79595654709827934"/>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92.1</c:v>
                </c:pt>
                <c:pt idx="1">
                  <c:v>57.1</c:v>
                </c:pt>
              </c:numCache>
            </c:numRef>
          </c:val>
          <c:extLst xmlns:c16r2="http://schemas.microsoft.com/office/drawing/2015/06/chart">
            <c:ext xmlns:c16="http://schemas.microsoft.com/office/drawing/2014/chart" uri="{C3380CC4-5D6E-409C-BE32-E72D297353CC}">
              <c16:uniqueId val="{00000000-3565-470A-9C10-7DF7D8D8E11C}"/>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7.9</c:v>
                </c:pt>
                <c:pt idx="1">
                  <c:v>42.9</c:v>
                </c:pt>
              </c:numCache>
            </c:numRef>
          </c:val>
          <c:extLst xmlns:c16r2="http://schemas.microsoft.com/office/drawing/2015/06/chart">
            <c:ext xmlns:c16="http://schemas.microsoft.com/office/drawing/2014/chart" uri="{C3380CC4-5D6E-409C-BE32-E72D297353CC}">
              <c16:uniqueId val="{00000001-3565-470A-9C10-7DF7D8D8E11C}"/>
            </c:ext>
          </c:extLst>
        </c:ser>
        <c:dLbls>
          <c:dLblPos val="outEnd"/>
          <c:showLegendKey val="0"/>
          <c:showVal val="1"/>
          <c:showCatName val="0"/>
          <c:showSerName val="0"/>
          <c:showPercent val="0"/>
          <c:showBubbleSize val="0"/>
        </c:dLbls>
        <c:gapWidth val="219"/>
        <c:overlap val="-27"/>
        <c:axId val="395810720"/>
        <c:axId val="395813072"/>
      </c:barChart>
      <c:catAx>
        <c:axId val="3958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813072"/>
        <c:crosses val="autoZero"/>
        <c:auto val="1"/>
        <c:lblAlgn val="ctr"/>
        <c:lblOffset val="100"/>
        <c:noMultiLvlLbl val="0"/>
      </c:catAx>
      <c:valAx>
        <c:axId val="39581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33626421697287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810720"/>
        <c:crosses val="autoZero"/>
        <c:crossBetween val="between"/>
      </c:valAx>
      <c:spPr>
        <a:noFill/>
        <a:ln>
          <a:noFill/>
        </a:ln>
        <a:effectLst/>
      </c:spPr>
    </c:plotArea>
    <c:legend>
      <c:legendPos val="b"/>
      <c:layout>
        <c:manualLayout>
          <c:xMode val="edge"/>
          <c:yMode val="edge"/>
          <c:x val="0.58620188101487314"/>
          <c:y val="3.2985564304461902E-2"/>
          <c:w val="0.34981846019247592"/>
          <c:h val="0.1429403616214639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8.7962962962962965E-2"/>
          <c:w val="0.83468285214348203"/>
          <c:h val="0.7820676582093905"/>
        </c:manualLayout>
      </c:layout>
      <c:barChart>
        <c:barDir val="col"/>
        <c:grouping val="clustered"/>
        <c:varyColors val="0"/>
        <c:ser>
          <c:idx val="0"/>
          <c:order val="0"/>
          <c:tx>
            <c:strRef>
              <c:f>Sheet1!$B$1</c:f>
              <c:strCache>
                <c:ptCount val="1"/>
                <c:pt idx="0">
                  <c:v>Not in the last month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Sheet1!$B$2:$B$3</c:f>
              <c:numCache>
                <c:formatCode>General</c:formatCode>
                <c:ptCount val="2"/>
                <c:pt idx="0">
                  <c:v>96.5</c:v>
                </c:pt>
                <c:pt idx="1">
                  <c:v>78.3</c:v>
                </c:pt>
              </c:numCache>
            </c:numRef>
          </c:val>
          <c:extLst xmlns:c16r2="http://schemas.microsoft.com/office/drawing/2015/06/chart">
            <c:ext xmlns:c16="http://schemas.microsoft.com/office/drawing/2014/chart" uri="{C3380CC4-5D6E-409C-BE32-E72D297353CC}">
              <c16:uniqueId val="{00000000-D2D1-8442-A17B-F22BF2E7CA38}"/>
            </c:ext>
          </c:extLst>
        </c:ser>
        <c:ser>
          <c:idx val="1"/>
          <c:order val="1"/>
          <c:tx>
            <c:strRef>
              <c:f>Sheet1!$C$1</c:f>
              <c:strCache>
                <c:ptCount val="1"/>
                <c:pt idx="0">
                  <c:v>One or more times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the last month (2010)</c:v>
                </c:pt>
                <c:pt idx="1">
                  <c:v>One or more times (2010)</c:v>
                </c:pt>
              </c:strCache>
            </c:strRef>
          </c:cat>
          <c:val>
            <c:numRef>
              <c:f>Sheet1!$C$2:$C$3</c:f>
              <c:numCache>
                <c:formatCode>General</c:formatCode>
                <c:ptCount val="2"/>
                <c:pt idx="0">
                  <c:v>3.5</c:v>
                </c:pt>
                <c:pt idx="1">
                  <c:v>21.7</c:v>
                </c:pt>
              </c:numCache>
            </c:numRef>
          </c:val>
          <c:extLst xmlns:c16r2="http://schemas.microsoft.com/office/drawing/2015/06/chart">
            <c:ext xmlns:c16="http://schemas.microsoft.com/office/drawing/2014/chart" uri="{C3380CC4-5D6E-409C-BE32-E72D297353CC}">
              <c16:uniqueId val="{00000001-D2D1-8442-A17B-F22BF2E7CA38}"/>
            </c:ext>
          </c:extLst>
        </c:ser>
        <c:dLbls>
          <c:dLblPos val="outEnd"/>
          <c:showLegendKey val="0"/>
          <c:showVal val="1"/>
          <c:showCatName val="0"/>
          <c:showSerName val="0"/>
          <c:showPercent val="0"/>
          <c:showBubbleSize val="0"/>
        </c:dLbls>
        <c:gapWidth val="219"/>
        <c:overlap val="-27"/>
        <c:axId val="395809544"/>
        <c:axId val="395815424"/>
      </c:barChart>
      <c:catAx>
        <c:axId val="3958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815424"/>
        <c:crosses val="autoZero"/>
        <c:auto val="1"/>
        <c:lblAlgn val="ctr"/>
        <c:lblOffset val="100"/>
        <c:noMultiLvlLbl val="0"/>
      </c:catAx>
      <c:valAx>
        <c:axId val="39581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1111111111111112E-2"/>
              <c:y val="0.3428856809565470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809544"/>
        <c:crosses val="autoZero"/>
        <c:crossBetween val="between"/>
      </c:valAx>
      <c:spPr>
        <a:noFill/>
        <a:ln>
          <a:noFill/>
        </a:ln>
        <a:effectLst/>
      </c:spPr>
    </c:plotArea>
    <c:legend>
      <c:legendPos val="b"/>
      <c:layout>
        <c:manualLayout>
          <c:xMode val="edge"/>
          <c:yMode val="edge"/>
          <c:x val="0.5806463254593176"/>
          <c:y val="4.2244823563721161E-2"/>
          <c:w val="0.36092957130358705"/>
          <c:h val="0.13368110236220473"/>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7.8703703703703706E-2"/>
          <c:w val="0.84734951881014875"/>
          <c:h val="0.7682480314960630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74.2</c:v>
                </c:pt>
                <c:pt idx="1">
                  <c:v>42.1</c:v>
                </c:pt>
                <c:pt idx="2">
                  <c:v>22.5</c:v>
                </c:pt>
              </c:numCache>
            </c:numRef>
          </c:val>
          <c:extLst xmlns:c16r2="http://schemas.microsoft.com/office/drawing/2015/06/chart">
            <c:ext xmlns:c16="http://schemas.microsoft.com/office/drawing/2014/chart" uri="{C3380CC4-5D6E-409C-BE32-E72D297353CC}">
              <c16:uniqueId val="{00000000-C48F-9941-A9B4-229C0DD1E790}"/>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15.7</c:v>
                </c:pt>
                <c:pt idx="1">
                  <c:v>36.9</c:v>
                </c:pt>
                <c:pt idx="2">
                  <c:v>34.1</c:v>
                </c:pt>
              </c:numCache>
            </c:numRef>
          </c:val>
          <c:extLst xmlns:c16r2="http://schemas.microsoft.com/office/drawing/2015/06/chart">
            <c:ext xmlns:c16="http://schemas.microsoft.com/office/drawing/2014/chart" uri="{C3380CC4-5D6E-409C-BE32-E72D297353CC}">
              <c16:uniqueId val="{00000001-C48F-9941-A9B4-229C0DD1E790}"/>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10.1</c:v>
                </c:pt>
                <c:pt idx="1">
                  <c:v>21</c:v>
                </c:pt>
                <c:pt idx="2">
                  <c:v>43.4</c:v>
                </c:pt>
              </c:numCache>
            </c:numRef>
          </c:val>
          <c:extLst xmlns:c16r2="http://schemas.microsoft.com/office/drawing/2015/06/chart">
            <c:ext xmlns:c16="http://schemas.microsoft.com/office/drawing/2014/chart" uri="{C3380CC4-5D6E-409C-BE32-E72D297353CC}">
              <c16:uniqueId val="{00000002-C48F-9941-A9B4-229C0DD1E790}"/>
            </c:ext>
          </c:extLst>
        </c:ser>
        <c:dLbls>
          <c:dLblPos val="outEnd"/>
          <c:showLegendKey val="0"/>
          <c:showVal val="1"/>
          <c:showCatName val="0"/>
          <c:showSerName val="0"/>
          <c:showPercent val="0"/>
          <c:showBubbleSize val="0"/>
        </c:dLbls>
        <c:gapWidth val="219"/>
        <c:overlap val="-27"/>
        <c:axId val="395807976"/>
        <c:axId val="395813464"/>
      </c:barChart>
      <c:catAx>
        <c:axId val="39580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813464"/>
        <c:crosses val="autoZero"/>
        <c:auto val="1"/>
        <c:lblAlgn val="ctr"/>
        <c:lblOffset val="100"/>
        <c:noMultiLvlLbl val="0"/>
      </c:catAx>
      <c:valAx>
        <c:axId val="395813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807976"/>
        <c:crosses val="autoZero"/>
        <c:crossBetween val="between"/>
      </c:valAx>
      <c:spPr>
        <a:noFill/>
        <a:ln>
          <a:noFill/>
        </a:ln>
        <a:effectLst/>
      </c:spPr>
    </c:plotArea>
    <c:legend>
      <c:legendPos val="b"/>
      <c:layout>
        <c:manualLayout>
          <c:xMode val="edge"/>
          <c:yMode val="edge"/>
          <c:x val="0.53055555555555556"/>
          <c:y val="3.7615193934091531E-2"/>
          <c:w val="0.40555555555555556"/>
          <c:h val="0.2170144356955380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8.3333333333333329E-2"/>
          <c:w val="0.84734951881014875"/>
          <c:h val="0.74509988334791477"/>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65.400000000000006</c:v>
                </c:pt>
                <c:pt idx="1">
                  <c:v>35.700000000000003</c:v>
                </c:pt>
                <c:pt idx="2">
                  <c:v>15.3</c:v>
                </c:pt>
              </c:numCache>
            </c:numRef>
          </c:val>
          <c:extLst xmlns:c16r2="http://schemas.microsoft.com/office/drawing/2015/06/chart">
            <c:ext xmlns:c16="http://schemas.microsoft.com/office/drawing/2014/chart" uri="{C3380CC4-5D6E-409C-BE32-E72D297353CC}">
              <c16:uniqueId val="{00000000-9789-494E-9FAE-9608BC9EFC06}"/>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19.899999999999999</c:v>
                </c:pt>
                <c:pt idx="1">
                  <c:v>36.799999999999997</c:v>
                </c:pt>
                <c:pt idx="2">
                  <c:v>25.5</c:v>
                </c:pt>
              </c:numCache>
            </c:numRef>
          </c:val>
          <c:extLst xmlns:c16r2="http://schemas.microsoft.com/office/drawing/2015/06/chart">
            <c:ext xmlns:c16="http://schemas.microsoft.com/office/drawing/2014/chart" uri="{C3380CC4-5D6E-409C-BE32-E72D297353CC}">
              <c16:uniqueId val="{00000001-9789-494E-9FAE-9608BC9EFC06}"/>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14.7</c:v>
                </c:pt>
                <c:pt idx="1">
                  <c:v>27.6</c:v>
                </c:pt>
                <c:pt idx="2">
                  <c:v>59.1</c:v>
                </c:pt>
              </c:numCache>
            </c:numRef>
          </c:val>
          <c:extLst xmlns:c16r2="http://schemas.microsoft.com/office/drawing/2015/06/chart">
            <c:ext xmlns:c16="http://schemas.microsoft.com/office/drawing/2014/chart" uri="{C3380CC4-5D6E-409C-BE32-E72D297353CC}">
              <c16:uniqueId val="{00000002-9789-494E-9FAE-9608BC9EFC06}"/>
            </c:ext>
          </c:extLst>
        </c:ser>
        <c:dLbls>
          <c:dLblPos val="outEnd"/>
          <c:showLegendKey val="0"/>
          <c:showVal val="1"/>
          <c:showCatName val="0"/>
          <c:showSerName val="0"/>
          <c:showPercent val="0"/>
          <c:showBubbleSize val="0"/>
        </c:dLbls>
        <c:gapWidth val="219"/>
        <c:overlap val="-27"/>
        <c:axId val="395811896"/>
        <c:axId val="395808368"/>
      </c:barChart>
      <c:catAx>
        <c:axId val="39581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808368"/>
        <c:crosses val="autoZero"/>
        <c:auto val="1"/>
        <c:lblAlgn val="ctr"/>
        <c:lblOffset val="100"/>
        <c:noMultiLvlLbl val="0"/>
      </c:catAx>
      <c:valAx>
        <c:axId val="395808368"/>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128277194517352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811896"/>
        <c:crosses val="autoZero"/>
        <c:crossBetween val="between"/>
      </c:valAx>
      <c:spPr>
        <a:noFill/>
        <a:ln>
          <a:noFill/>
        </a:ln>
        <a:effectLst/>
      </c:spPr>
    </c:plotArea>
    <c:legend>
      <c:legendPos val="b"/>
      <c:layout>
        <c:manualLayout>
          <c:xMode val="edge"/>
          <c:yMode val="edge"/>
          <c:x val="0.54722222222222228"/>
          <c:y val="2.8355934674832269E-2"/>
          <c:w val="0.38611111111111113"/>
          <c:h val="0.18923665791776029"/>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7.8703703703703706E-2"/>
          <c:w val="0.84734951881014875"/>
          <c:h val="0.73584062408865547"/>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dLbl>
              <c:idx val="0"/>
              <c:tx>
                <c:rich>
                  <a:bodyPr/>
                  <a:lstStyle/>
                  <a:p>
                    <a:r>
                      <a:rPr lang="en-US"/>
                      <a:t>77.0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E5-7A41-B819-23690D78C86E}"/>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77</c:v>
                </c:pt>
                <c:pt idx="1">
                  <c:v>44.9</c:v>
                </c:pt>
                <c:pt idx="2">
                  <c:v>27.6</c:v>
                </c:pt>
              </c:numCache>
            </c:numRef>
          </c:val>
          <c:extLst xmlns:c16r2="http://schemas.microsoft.com/office/drawing/2015/06/chart">
            <c:ext xmlns:c16="http://schemas.microsoft.com/office/drawing/2014/chart" uri="{C3380CC4-5D6E-409C-BE32-E72D297353CC}">
              <c16:uniqueId val="{00000001-BAE5-7A41-B819-23690D78C86E}"/>
            </c:ext>
          </c:extLst>
        </c:ser>
        <c:ser>
          <c:idx val="1"/>
          <c:order val="1"/>
          <c:tx>
            <c:strRef>
              <c:f>Sheet1!$C$1</c:f>
              <c:strCache>
                <c:ptCount val="1"/>
                <c:pt idx="0">
                  <c:v>Subsyndromal disorder 2015</c:v>
                </c:pt>
              </c:strCache>
            </c:strRef>
          </c:tx>
          <c:spPr>
            <a:solidFill>
              <a:schemeClr val="accent3"/>
            </a:solidFill>
            <a:ln>
              <a:noFill/>
            </a:ln>
            <a:effectLst/>
          </c:spPr>
          <c:invertIfNegative val="0"/>
          <c:dLbls>
            <c:dLbl>
              <c:idx val="1"/>
              <c:tx>
                <c:rich>
                  <a:bodyPr/>
                  <a:lstStyle/>
                  <a:p>
                    <a:r>
                      <a:rPr lang="en-US"/>
                      <a:t>37.0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E5-7A41-B819-23690D78C86E}"/>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14.4</c:v>
                </c:pt>
                <c:pt idx="1">
                  <c:v>37</c:v>
                </c:pt>
                <c:pt idx="2">
                  <c:v>40.1</c:v>
                </c:pt>
              </c:numCache>
            </c:numRef>
          </c:val>
          <c:extLst xmlns:c16r2="http://schemas.microsoft.com/office/drawing/2015/06/chart">
            <c:ext xmlns:c16="http://schemas.microsoft.com/office/drawing/2014/chart" uri="{C3380CC4-5D6E-409C-BE32-E72D297353CC}">
              <c16:uniqueId val="{00000003-BAE5-7A41-B819-23690D78C86E}"/>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8.6</c:v>
                </c:pt>
                <c:pt idx="1">
                  <c:v>18.100000000000001</c:v>
                </c:pt>
                <c:pt idx="2">
                  <c:v>32.4</c:v>
                </c:pt>
              </c:numCache>
            </c:numRef>
          </c:val>
          <c:extLst xmlns:c16r2="http://schemas.microsoft.com/office/drawing/2015/06/chart">
            <c:ext xmlns:c16="http://schemas.microsoft.com/office/drawing/2014/chart" uri="{C3380CC4-5D6E-409C-BE32-E72D297353CC}">
              <c16:uniqueId val="{00000004-BAE5-7A41-B819-23690D78C86E}"/>
            </c:ext>
          </c:extLst>
        </c:ser>
        <c:dLbls>
          <c:dLblPos val="outEnd"/>
          <c:showLegendKey val="0"/>
          <c:showVal val="1"/>
          <c:showCatName val="0"/>
          <c:showSerName val="0"/>
          <c:showPercent val="0"/>
          <c:showBubbleSize val="0"/>
        </c:dLbls>
        <c:gapWidth val="219"/>
        <c:overlap val="-27"/>
        <c:axId val="395814248"/>
        <c:axId val="395808760"/>
      </c:barChart>
      <c:catAx>
        <c:axId val="39581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5808760"/>
        <c:crosses val="autoZero"/>
        <c:auto val="1"/>
        <c:lblAlgn val="ctr"/>
        <c:lblOffset val="100"/>
        <c:noMultiLvlLbl val="0"/>
      </c:catAx>
      <c:valAx>
        <c:axId val="395808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081980898221055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5814248"/>
        <c:crosses val="autoZero"/>
        <c:crossBetween val="between"/>
      </c:valAx>
      <c:spPr>
        <a:noFill/>
        <a:ln>
          <a:noFill/>
        </a:ln>
        <a:effectLst/>
      </c:spPr>
    </c:plotArea>
    <c:legend>
      <c:legendPos val="b"/>
      <c:layout>
        <c:manualLayout>
          <c:xMode val="edge"/>
          <c:yMode val="edge"/>
          <c:x val="0.55277777777777781"/>
          <c:y val="2.8355934674832269E-2"/>
          <c:w val="0.37777777777777777"/>
          <c:h val="0.17534776902887136"/>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2015 Regular ADF</c:v>
                </c:pt>
              </c:strCache>
            </c:strRef>
          </c:tx>
          <c:spPr>
            <a:solidFill>
              <a:schemeClr val="accent3"/>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Any alcohol disorder</c:v>
                </c:pt>
                <c:pt idx="1">
                  <c:v>Alcohol dependence</c:v>
                </c:pt>
                <c:pt idx="2">
                  <c:v>Alcohol harmful use</c:v>
                </c:pt>
              </c:strCache>
            </c:strRef>
          </c:cat>
          <c:val>
            <c:numRef>
              <c:f>Sheet1!$B$2:$B$4</c:f>
              <c:numCache>
                <c:formatCode>0.0%</c:formatCode>
                <c:ptCount val="3"/>
                <c:pt idx="0">
                  <c:v>-8.9999999999999993E-3</c:v>
                </c:pt>
                <c:pt idx="1">
                  <c:v>1E-3</c:v>
                </c:pt>
                <c:pt idx="2">
                  <c:v>-0.01</c:v>
                </c:pt>
              </c:numCache>
            </c:numRef>
          </c:val>
          <c:extLst xmlns:c16r2="http://schemas.microsoft.com/office/drawing/2015/06/chart">
            <c:ext xmlns:c16="http://schemas.microsoft.com/office/drawing/2014/chart" uri="{C3380CC4-5D6E-409C-BE32-E72D297353CC}">
              <c16:uniqueId val="{00000000-1840-D441-99D5-DB8CCD470391}"/>
            </c:ext>
          </c:extLst>
        </c:ser>
        <c:ser>
          <c:idx val="1"/>
          <c:order val="1"/>
          <c:tx>
            <c:strRef>
              <c:f>Sheet1!$C$1</c:f>
              <c:strCache>
                <c:ptCount val="1"/>
                <c:pt idx="0">
                  <c:v>Transitioned ADF</c:v>
                </c:pt>
              </c:strCache>
            </c:strRef>
          </c:tx>
          <c:spPr>
            <a:solidFill>
              <a:srgbClr val="002561"/>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Any alcohol disorder</c:v>
                </c:pt>
                <c:pt idx="1">
                  <c:v>Alcohol dependence</c:v>
                </c:pt>
                <c:pt idx="2">
                  <c:v>Alcohol harmful use</c:v>
                </c:pt>
              </c:strCache>
            </c:strRef>
          </c:cat>
          <c:val>
            <c:numRef>
              <c:f>Sheet1!$C$2:$C$4</c:f>
              <c:numCache>
                <c:formatCode>0.0%</c:formatCode>
                <c:ptCount val="3"/>
                <c:pt idx="0">
                  <c:v>1.4999999999999999E-2</c:v>
                </c:pt>
                <c:pt idx="1">
                  <c:v>2.5999999999999999E-2</c:v>
                </c:pt>
                <c:pt idx="2">
                  <c:v>-1.2E-2</c:v>
                </c:pt>
              </c:numCache>
            </c:numRef>
          </c:val>
          <c:extLst xmlns:c16r2="http://schemas.microsoft.com/office/drawing/2015/06/chart">
            <c:ext xmlns:c16="http://schemas.microsoft.com/office/drawing/2014/chart" uri="{C3380CC4-5D6E-409C-BE32-E72D297353CC}">
              <c16:uniqueId val="{00000001-1840-D441-99D5-DB8CCD470391}"/>
            </c:ext>
          </c:extLst>
        </c:ser>
        <c:dLbls>
          <c:showLegendKey val="0"/>
          <c:showVal val="0"/>
          <c:showCatName val="0"/>
          <c:showSerName val="0"/>
          <c:showPercent val="0"/>
          <c:showBubbleSize val="0"/>
        </c:dLbls>
        <c:gapWidth val="150"/>
        <c:axId val="391689088"/>
        <c:axId val="391685560"/>
      </c:barChart>
      <c:catAx>
        <c:axId val="391689088"/>
        <c:scaling>
          <c:orientation val="minMax"/>
        </c:scaling>
        <c:delete val="0"/>
        <c:axPos val="l"/>
        <c:numFmt formatCode="General" sourceLinked="0"/>
        <c:majorTickMark val="out"/>
        <c:minorTickMark val="none"/>
        <c:tickLblPos val="low"/>
        <c:crossAx val="391685560"/>
        <c:crosses val="autoZero"/>
        <c:auto val="1"/>
        <c:lblAlgn val="ctr"/>
        <c:lblOffset val="100"/>
        <c:noMultiLvlLbl val="0"/>
      </c:catAx>
      <c:valAx>
        <c:axId val="391685560"/>
        <c:scaling>
          <c:orientation val="minMax"/>
          <c:max val="0.03"/>
        </c:scaling>
        <c:delete val="0"/>
        <c:axPos val="b"/>
        <c:majorGridlines>
          <c:spPr>
            <a:ln>
              <a:solidFill>
                <a:schemeClr val="bg1">
                  <a:lumMod val="50000"/>
                  <a:alpha val="34000"/>
                </a:schemeClr>
              </a:solidFill>
            </a:ln>
          </c:spPr>
        </c:majorGridlines>
        <c:numFmt formatCode="0.0%" sourceLinked="1"/>
        <c:majorTickMark val="out"/>
        <c:minorTickMark val="none"/>
        <c:tickLblPos val="nextTo"/>
        <c:crossAx val="391689088"/>
        <c:crosses val="autoZero"/>
        <c:crossBetween val="between"/>
        <c:majorUnit val="0.01"/>
      </c:valAx>
    </c:plotArea>
    <c:legend>
      <c:legendPos val="b"/>
      <c:layout>
        <c:manualLayout>
          <c:xMode val="edge"/>
          <c:yMode val="edge"/>
          <c:x val="0.48726881014873141"/>
          <c:y val="0.89409667541557303"/>
          <c:w val="0.4921288276465442"/>
          <c:h val="7.8125546806649168E-2"/>
        </c:manualLayout>
      </c:layout>
      <c:overlay val="0"/>
    </c:legend>
    <c:plotVisOnly val="1"/>
    <c:dispBlanksAs val="gap"/>
    <c:showDLblsOverMax val="0"/>
  </c:chart>
  <c:spPr>
    <a:ln>
      <a:noFill/>
    </a:ln>
  </c:spPr>
  <c:txPr>
    <a:bodyPr/>
    <a:lstStyle/>
    <a:p>
      <a:pPr>
        <a:defRPr sz="900">
          <a:latin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6.4814814814814811E-2"/>
          <c:w val="0.84734951881014875"/>
          <c:h val="0.73577136191309422"/>
        </c:manualLayout>
      </c:layout>
      <c:barChart>
        <c:barDir val="col"/>
        <c:grouping val="clustered"/>
        <c:varyColors val="0"/>
        <c:ser>
          <c:idx val="0"/>
          <c:order val="0"/>
          <c:tx>
            <c:strRef>
              <c:f>Sheet1!$B$1</c:f>
              <c:strCache>
                <c:ptCount val="1"/>
                <c:pt idx="0">
                  <c:v>Transtioned ADF</c:v>
                </c:pt>
              </c:strCache>
            </c:strRef>
          </c:tx>
          <c:spPr>
            <a:solidFill>
              <a:srgbClr val="002561"/>
            </a:solidFill>
            <a:ln>
              <a:noFill/>
            </a:ln>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2010</c:v>
                </c:pt>
                <c:pt idx="1">
                  <c:v>2015</c:v>
                </c:pt>
              </c:numCache>
            </c:numRef>
          </c:cat>
          <c:val>
            <c:numRef>
              <c:f>Sheet1!$B$2:$B$3</c:f>
              <c:numCache>
                <c:formatCode>General</c:formatCode>
                <c:ptCount val="2"/>
                <c:pt idx="0">
                  <c:v>16.5</c:v>
                </c:pt>
                <c:pt idx="1">
                  <c:v>19</c:v>
                </c:pt>
              </c:numCache>
            </c:numRef>
          </c:val>
          <c:extLst xmlns:c16r2="http://schemas.microsoft.com/office/drawing/2015/06/chart">
            <c:ext xmlns:c16="http://schemas.microsoft.com/office/drawing/2014/chart" uri="{C3380CC4-5D6E-409C-BE32-E72D297353CC}">
              <c16:uniqueId val="{00000000-37C5-0741-9249-CD95AE0CC103}"/>
            </c:ext>
          </c:extLst>
        </c:ser>
        <c:ser>
          <c:idx val="1"/>
          <c:order val="1"/>
          <c:tx>
            <c:strRef>
              <c:f>Sheet1!$C$1</c:f>
              <c:strCache>
                <c:ptCount val="1"/>
                <c:pt idx="0">
                  <c:v>2015 Regular ADF</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Sheet1!$C$2:$C$3</c:f>
              <c:numCache>
                <c:formatCode>General</c:formatCode>
                <c:ptCount val="2"/>
                <c:pt idx="0">
                  <c:v>15.1</c:v>
                </c:pt>
                <c:pt idx="1">
                  <c:v>16.2</c:v>
                </c:pt>
              </c:numCache>
            </c:numRef>
          </c:val>
          <c:extLst xmlns:c16r2="http://schemas.microsoft.com/office/drawing/2015/06/chart">
            <c:ext xmlns:c16="http://schemas.microsoft.com/office/drawing/2014/chart" uri="{C3380CC4-5D6E-409C-BE32-E72D297353CC}">
              <c16:uniqueId val="{00000001-37C5-0741-9249-CD95AE0CC103}"/>
            </c:ext>
          </c:extLst>
        </c:ser>
        <c:dLbls>
          <c:dLblPos val="outEnd"/>
          <c:showLegendKey val="0"/>
          <c:showVal val="1"/>
          <c:showCatName val="0"/>
          <c:showSerName val="0"/>
          <c:showPercent val="0"/>
          <c:showBubbleSize val="0"/>
        </c:dLbls>
        <c:gapWidth val="219"/>
        <c:overlap val="-27"/>
        <c:axId val="391686736"/>
        <c:axId val="391691440"/>
      </c:barChart>
      <c:catAx>
        <c:axId val="39168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1691440"/>
        <c:crosses val="autoZero"/>
        <c:auto val="1"/>
        <c:lblAlgn val="ctr"/>
        <c:lblOffset val="100"/>
        <c:noMultiLvlLbl val="0"/>
      </c:catAx>
      <c:valAx>
        <c:axId val="39169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a:t>
                </a:r>
              </a:p>
            </c:rich>
          </c:tx>
          <c:layout>
            <c:manualLayout>
              <c:xMode val="edge"/>
              <c:yMode val="edge"/>
              <c:x val="1.9444444444444445E-2"/>
              <c:y val="0.3593901283172936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1686736"/>
        <c:crosses val="autoZero"/>
        <c:crossBetween val="between"/>
      </c:valAx>
      <c:spPr>
        <a:noFill/>
        <a:ln>
          <a:noFill/>
        </a:ln>
        <a:effectLst/>
      </c:spPr>
    </c:plotArea>
    <c:legend>
      <c:legendPos val="b"/>
      <c:layout>
        <c:manualLayout>
          <c:xMode val="edge"/>
          <c:yMode val="edge"/>
          <c:x val="0.49071062992125986"/>
          <c:y val="0.89409667541557303"/>
          <c:w val="0.48524540682414696"/>
          <c:h val="7.8125546806649168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latin typeface="Calibri" panose="020F0502020204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9.2592592592592587E-2"/>
          <c:w val="0.84734951881014875"/>
          <c:h val="0.74047025371828512"/>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77.099999999999994</c:v>
                </c:pt>
                <c:pt idx="1">
                  <c:v>47.6</c:v>
                </c:pt>
                <c:pt idx="2">
                  <c:v>28.6</c:v>
                </c:pt>
              </c:numCache>
            </c:numRef>
          </c:val>
          <c:extLst xmlns:c16r2="http://schemas.microsoft.com/office/drawing/2015/06/chart">
            <c:ext xmlns:c16="http://schemas.microsoft.com/office/drawing/2014/chart" uri="{C3380CC4-5D6E-409C-BE32-E72D297353CC}">
              <c16:uniqueId val="{00000000-60AC-2B41-9032-EBBC0F275E94}"/>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12.7</c:v>
                </c:pt>
                <c:pt idx="1">
                  <c:v>32.5</c:v>
                </c:pt>
                <c:pt idx="2">
                  <c:v>28.9</c:v>
                </c:pt>
              </c:numCache>
            </c:numRef>
          </c:val>
          <c:extLst xmlns:c16r2="http://schemas.microsoft.com/office/drawing/2015/06/chart">
            <c:ext xmlns:c16="http://schemas.microsoft.com/office/drawing/2014/chart" uri="{C3380CC4-5D6E-409C-BE32-E72D297353CC}">
              <c16:uniqueId val="{00000001-60AC-2B41-9032-EBBC0F275E94}"/>
            </c:ext>
          </c:extLst>
        </c:ser>
        <c:ser>
          <c:idx val="2"/>
          <c:order val="2"/>
          <c:tx>
            <c:strRef>
              <c:f>Sheet1!$D$1</c:f>
              <c:strCache>
                <c:ptCount val="1"/>
                <c:pt idx="0">
                  <c:v>Probable disorder 2015</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10.199999999999999</c:v>
                </c:pt>
                <c:pt idx="1">
                  <c:v>19.8</c:v>
                </c:pt>
                <c:pt idx="2">
                  <c:v>42.5</c:v>
                </c:pt>
              </c:numCache>
            </c:numRef>
          </c:val>
          <c:extLst xmlns:c16r2="http://schemas.microsoft.com/office/drawing/2015/06/chart">
            <c:ext xmlns:c16="http://schemas.microsoft.com/office/drawing/2014/chart" uri="{C3380CC4-5D6E-409C-BE32-E72D297353CC}">
              <c16:uniqueId val="{00000002-60AC-2B41-9032-EBBC0F275E94}"/>
            </c:ext>
          </c:extLst>
        </c:ser>
        <c:dLbls>
          <c:dLblPos val="outEnd"/>
          <c:showLegendKey val="0"/>
          <c:showVal val="1"/>
          <c:showCatName val="0"/>
          <c:showSerName val="0"/>
          <c:showPercent val="0"/>
          <c:showBubbleSize val="0"/>
        </c:dLbls>
        <c:gapWidth val="219"/>
        <c:overlap val="-27"/>
        <c:axId val="391690656"/>
        <c:axId val="391689872"/>
      </c:barChart>
      <c:catAx>
        <c:axId val="3916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1689872"/>
        <c:crosses val="autoZero"/>
        <c:auto val="1"/>
        <c:lblAlgn val="ctr"/>
        <c:lblOffset val="100"/>
        <c:noMultiLvlLbl val="0"/>
      </c:catAx>
      <c:valAx>
        <c:axId val="39168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128277194517352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1690656"/>
        <c:crosses val="autoZero"/>
        <c:crossBetween val="between"/>
      </c:valAx>
      <c:spPr>
        <a:noFill/>
        <a:ln>
          <a:noFill/>
        </a:ln>
        <a:effectLst/>
      </c:spPr>
    </c:plotArea>
    <c:legend>
      <c:legendPos val="b"/>
      <c:layout>
        <c:manualLayout>
          <c:xMode val="edge"/>
          <c:yMode val="edge"/>
          <c:x val="0.56666666666666665"/>
          <c:y val="6.076334208223972E-2"/>
          <c:w val="0.37222222222222223"/>
          <c:h val="0.19386628754738985"/>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7270341207349"/>
          <c:y val="8.3333333333333329E-2"/>
          <c:w val="0.84734951881014875"/>
          <c:h val="0.77287766112569267"/>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68.7</c:v>
                </c:pt>
                <c:pt idx="1">
                  <c:v>42.2</c:v>
                </c:pt>
                <c:pt idx="2">
                  <c:v>18.8</c:v>
                </c:pt>
              </c:numCache>
            </c:numRef>
          </c:val>
          <c:extLst xmlns:c16r2="http://schemas.microsoft.com/office/drawing/2015/06/chart">
            <c:ext xmlns:c16="http://schemas.microsoft.com/office/drawing/2014/chart" uri="{C3380CC4-5D6E-409C-BE32-E72D297353CC}">
              <c16:uniqueId val="{00000000-6C52-459E-B1C9-F13B2BC51F9D}"/>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16.100000000000001</c:v>
                </c:pt>
                <c:pt idx="1">
                  <c:v>32.700000000000003</c:v>
                </c:pt>
                <c:pt idx="2">
                  <c:v>23.2</c:v>
                </c:pt>
              </c:numCache>
            </c:numRef>
          </c:val>
          <c:extLst xmlns:c16r2="http://schemas.microsoft.com/office/drawing/2015/06/chart">
            <c:ext xmlns:c16="http://schemas.microsoft.com/office/drawing/2014/chart" uri="{C3380CC4-5D6E-409C-BE32-E72D297353CC}">
              <c16:uniqueId val="{00000001-6C52-459E-B1C9-F13B2BC51F9D}"/>
            </c:ext>
          </c:extLst>
        </c:ser>
        <c:ser>
          <c:idx val="2"/>
          <c:order val="2"/>
          <c:tx>
            <c:strRef>
              <c:f>Sheet1!$D$1</c:f>
              <c:strCache>
                <c:ptCount val="1"/>
                <c:pt idx="0">
                  <c:v>Probable disorder 2015</c:v>
                </c:pt>
              </c:strCache>
            </c:strRef>
          </c:tx>
          <c:spPr>
            <a:solidFill>
              <a:schemeClr val="accent2"/>
            </a:solidFill>
            <a:ln>
              <a:noFill/>
            </a:ln>
            <a:effectLst/>
          </c:spPr>
          <c:invertIfNegative val="0"/>
          <c:dLbls>
            <c:dLbl>
              <c:idx val="2"/>
              <c:tx>
                <c:rich>
                  <a:bodyPr/>
                  <a:lstStyle/>
                  <a:p>
                    <a:r>
                      <a:rPr lang="en-US"/>
                      <a:t>58.0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52-459E-B1C9-F13B2BC51F9D}"/>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15.2</c:v>
                </c:pt>
                <c:pt idx="1">
                  <c:v>25.2</c:v>
                </c:pt>
                <c:pt idx="2">
                  <c:v>58</c:v>
                </c:pt>
              </c:numCache>
            </c:numRef>
          </c:val>
          <c:extLst xmlns:c16r2="http://schemas.microsoft.com/office/drawing/2015/06/chart">
            <c:ext xmlns:c16="http://schemas.microsoft.com/office/drawing/2014/chart" uri="{C3380CC4-5D6E-409C-BE32-E72D297353CC}">
              <c16:uniqueId val="{00000003-6C52-459E-B1C9-F13B2BC51F9D}"/>
            </c:ext>
          </c:extLst>
        </c:ser>
        <c:dLbls>
          <c:dLblPos val="outEnd"/>
          <c:showLegendKey val="0"/>
          <c:showVal val="1"/>
          <c:showCatName val="0"/>
          <c:showSerName val="0"/>
          <c:showPercent val="0"/>
          <c:showBubbleSize val="0"/>
        </c:dLbls>
        <c:gapWidth val="219"/>
        <c:overlap val="-27"/>
        <c:axId val="391689480"/>
        <c:axId val="391690264"/>
      </c:barChart>
      <c:catAx>
        <c:axId val="39168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1690264"/>
        <c:crosses val="autoZero"/>
        <c:auto val="1"/>
        <c:lblAlgn val="ctr"/>
        <c:lblOffset val="100"/>
        <c:noMultiLvlLbl val="0"/>
      </c:catAx>
      <c:valAx>
        <c:axId val="391690264"/>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035684601924759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1689480"/>
        <c:crosses val="autoZero"/>
        <c:crossBetween val="between"/>
      </c:valAx>
      <c:spPr>
        <a:noFill/>
        <a:ln>
          <a:noFill/>
        </a:ln>
        <a:effectLst/>
      </c:spPr>
    </c:plotArea>
    <c:legend>
      <c:legendPos val="b"/>
      <c:layout>
        <c:manualLayout>
          <c:xMode val="edge"/>
          <c:yMode val="edge"/>
          <c:x val="0.56111111111111112"/>
          <c:y val="4.2244823563721202E-2"/>
          <c:w val="0.36944444444444446"/>
          <c:h val="0.19386628754738991"/>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6.9444444444444448E-2"/>
          <c:w val="0.84734951881014875"/>
          <c:h val="0.77229950422863813"/>
        </c:manualLayout>
      </c:layout>
      <c:barChart>
        <c:barDir val="col"/>
        <c:grouping val="clustered"/>
        <c:varyColors val="0"/>
        <c:ser>
          <c:idx val="0"/>
          <c:order val="0"/>
          <c:tx>
            <c:strRef>
              <c:f>Sheet1!$B$1</c:f>
              <c:strCache>
                <c:ptCount val="1"/>
                <c:pt idx="0">
                  <c:v>No disorder 2015</c:v>
                </c:pt>
              </c:strCache>
            </c:strRef>
          </c:tx>
          <c:spPr>
            <a:solidFill>
              <a:schemeClr val="accent1"/>
            </a:solidFill>
            <a:ln>
              <a:noFill/>
            </a:ln>
            <a:effectLst/>
          </c:spPr>
          <c:invertIfNegative val="0"/>
          <c:dLbls>
            <c:dLbl>
              <c:idx val="1"/>
              <c:tx>
                <c:rich>
                  <a:bodyPr/>
                  <a:lstStyle/>
                  <a:p>
                    <a:r>
                      <a:rPr lang="en-US"/>
                      <a:t>50.0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D8-47BC-91E2-AC45D4691400}"/>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Sheet1!$B$2:$B$4</c:f>
              <c:numCache>
                <c:formatCode>General</c:formatCode>
                <c:ptCount val="3"/>
                <c:pt idx="0">
                  <c:v>79.900000000000006</c:v>
                </c:pt>
                <c:pt idx="1">
                  <c:v>50</c:v>
                </c:pt>
                <c:pt idx="2">
                  <c:v>35.200000000000003</c:v>
                </c:pt>
              </c:numCache>
            </c:numRef>
          </c:val>
          <c:extLst xmlns:c16r2="http://schemas.microsoft.com/office/drawing/2015/06/chart">
            <c:ext xmlns:c16="http://schemas.microsoft.com/office/drawing/2014/chart" uri="{C3380CC4-5D6E-409C-BE32-E72D297353CC}">
              <c16:uniqueId val="{00000000-265C-044D-BD1B-7E1068D70811}"/>
            </c:ext>
          </c:extLst>
        </c:ser>
        <c:ser>
          <c:idx val="1"/>
          <c:order val="1"/>
          <c:tx>
            <c:strRef>
              <c:f>Sheet1!$C$1</c:f>
              <c:strCache>
                <c:ptCount val="1"/>
                <c:pt idx="0">
                  <c:v>Subsyndromal disorder 2015</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Sheet1!$C$2:$C$4</c:f>
              <c:numCache>
                <c:formatCode>General</c:formatCode>
                <c:ptCount val="3"/>
                <c:pt idx="0">
                  <c:v>11.5</c:v>
                </c:pt>
                <c:pt idx="1">
                  <c:v>32.5</c:v>
                </c:pt>
                <c:pt idx="2">
                  <c:v>32.799999999999997</c:v>
                </c:pt>
              </c:numCache>
            </c:numRef>
          </c:val>
          <c:extLst xmlns:c16r2="http://schemas.microsoft.com/office/drawing/2015/06/chart">
            <c:ext xmlns:c16="http://schemas.microsoft.com/office/drawing/2014/chart" uri="{C3380CC4-5D6E-409C-BE32-E72D297353CC}">
              <c16:uniqueId val="{00000001-265C-044D-BD1B-7E1068D70811}"/>
            </c:ext>
          </c:extLst>
        </c:ser>
        <c:ser>
          <c:idx val="2"/>
          <c:order val="2"/>
          <c:tx>
            <c:strRef>
              <c:f>Sheet1!$D$1</c:f>
              <c:strCache>
                <c:ptCount val="1"/>
                <c:pt idx="0">
                  <c:v>Probable disorder 2015</c:v>
                </c:pt>
              </c:strCache>
            </c:strRef>
          </c:tx>
          <c:spPr>
            <a:solidFill>
              <a:schemeClr val="accent2"/>
            </a:solidFill>
            <a:ln>
              <a:noFill/>
            </a:ln>
            <a:effectLst/>
          </c:spPr>
          <c:invertIfNegative val="0"/>
          <c:dLbls>
            <c:dLbl>
              <c:idx val="2"/>
              <c:tx>
                <c:rich>
                  <a:bodyPr/>
                  <a:lstStyle/>
                  <a:p>
                    <a:r>
                      <a:rPr lang="en-US"/>
                      <a:t>32.0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D8-47BC-91E2-AC45D4691400}"/>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disorder 2010</c:v>
                </c:pt>
                <c:pt idx="1">
                  <c:v>Subsyndromal disorder 2010</c:v>
                </c:pt>
                <c:pt idx="2">
                  <c:v>Probable disorder 2010</c:v>
                </c:pt>
              </c:strCache>
            </c:strRef>
          </c:cat>
          <c:val>
            <c:numRef>
              <c:f>Sheet1!$D$2:$D$4</c:f>
              <c:numCache>
                <c:formatCode>General</c:formatCode>
                <c:ptCount val="3"/>
                <c:pt idx="0">
                  <c:v>8.5</c:v>
                </c:pt>
                <c:pt idx="1">
                  <c:v>17.5</c:v>
                </c:pt>
                <c:pt idx="2">
                  <c:v>32</c:v>
                </c:pt>
              </c:numCache>
            </c:numRef>
          </c:val>
          <c:extLst xmlns:c16r2="http://schemas.microsoft.com/office/drawing/2015/06/chart">
            <c:ext xmlns:c16="http://schemas.microsoft.com/office/drawing/2014/chart" uri="{C3380CC4-5D6E-409C-BE32-E72D297353CC}">
              <c16:uniqueId val="{00000002-265C-044D-BD1B-7E1068D70811}"/>
            </c:ext>
          </c:extLst>
        </c:ser>
        <c:dLbls>
          <c:dLblPos val="outEnd"/>
          <c:showLegendKey val="0"/>
          <c:showVal val="1"/>
          <c:showCatName val="0"/>
          <c:showSerName val="0"/>
          <c:showPercent val="0"/>
          <c:showBubbleSize val="0"/>
        </c:dLbls>
        <c:gapWidth val="219"/>
        <c:overlap val="-27"/>
        <c:axId val="391688304"/>
        <c:axId val="392785960"/>
      </c:barChart>
      <c:catAx>
        <c:axId val="39168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85960"/>
        <c:crosses val="autoZero"/>
        <c:auto val="1"/>
        <c:lblAlgn val="ctr"/>
        <c:lblOffset val="100"/>
        <c:noMultiLvlLbl val="0"/>
      </c:catAx>
      <c:valAx>
        <c:axId val="392785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1111111111111112E-2"/>
              <c:y val="0.3035684601924759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1688304"/>
        <c:crosses val="autoZero"/>
        <c:crossBetween val="between"/>
      </c:valAx>
      <c:spPr>
        <a:noFill/>
        <a:ln>
          <a:noFill/>
        </a:ln>
        <a:effectLst/>
      </c:spPr>
    </c:plotArea>
    <c:legend>
      <c:legendPos val="b"/>
      <c:layout>
        <c:manualLayout>
          <c:xMode val="edge"/>
          <c:yMode val="edge"/>
          <c:x val="0.58611111111111114"/>
          <c:y val="6.0763342082239734E-2"/>
          <c:w val="0.36944444444444446"/>
          <c:h val="0.18923665791776029"/>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6.9444444444444448E-2"/>
          <c:w val="0.84734951881014875"/>
          <c:h val="0.71725284339457573"/>
        </c:manualLayout>
      </c:layout>
      <c:barChart>
        <c:barDir val="col"/>
        <c:grouping val="clustered"/>
        <c:varyColors val="0"/>
        <c:ser>
          <c:idx val="0"/>
          <c:order val="0"/>
          <c:tx>
            <c:strRef>
              <c:f>Sheet1!$B$1</c:f>
              <c:strCache>
                <c:ptCount val="1"/>
                <c:pt idx="0">
                  <c:v>Transitioned ADF</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Sheet1!$B$2:$B$3</c:f>
              <c:numCache>
                <c:formatCode>General</c:formatCode>
                <c:ptCount val="2"/>
                <c:pt idx="0">
                  <c:v>25.6</c:v>
                </c:pt>
                <c:pt idx="1">
                  <c:v>30.3</c:v>
                </c:pt>
              </c:numCache>
            </c:numRef>
          </c:val>
          <c:extLst xmlns:c16r2="http://schemas.microsoft.com/office/drawing/2015/06/chart">
            <c:ext xmlns:c16="http://schemas.microsoft.com/office/drawing/2014/chart" uri="{C3380CC4-5D6E-409C-BE32-E72D297353CC}">
              <c16:uniqueId val="{00000000-0558-4F49-9EB1-F3E7D28B4B7C}"/>
            </c:ext>
          </c:extLst>
        </c:ser>
        <c:ser>
          <c:idx val="1"/>
          <c:order val="1"/>
          <c:tx>
            <c:strRef>
              <c:f>Sheet1!$C$1</c:f>
              <c:strCache>
                <c:ptCount val="1"/>
                <c:pt idx="0">
                  <c:v>2015 Regular ADF</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2010</c:v>
                </c:pt>
                <c:pt idx="1">
                  <c:v>2015</c:v>
                </c:pt>
              </c:numCache>
            </c:numRef>
          </c:cat>
          <c:val>
            <c:numRef>
              <c:f>Sheet1!$C$2:$C$3</c:f>
              <c:numCache>
                <c:formatCode>General</c:formatCode>
                <c:ptCount val="2"/>
                <c:pt idx="0">
                  <c:v>22.7</c:v>
                </c:pt>
                <c:pt idx="1">
                  <c:v>24.1</c:v>
                </c:pt>
              </c:numCache>
            </c:numRef>
          </c:val>
          <c:extLst xmlns:c16r2="http://schemas.microsoft.com/office/drawing/2015/06/chart">
            <c:ext xmlns:c16="http://schemas.microsoft.com/office/drawing/2014/chart" uri="{C3380CC4-5D6E-409C-BE32-E72D297353CC}">
              <c16:uniqueId val="{00000001-0558-4F49-9EB1-F3E7D28B4B7C}"/>
            </c:ext>
          </c:extLst>
        </c:ser>
        <c:dLbls>
          <c:dLblPos val="outEnd"/>
          <c:showLegendKey val="0"/>
          <c:showVal val="1"/>
          <c:showCatName val="0"/>
          <c:showSerName val="0"/>
          <c:showPercent val="0"/>
          <c:showBubbleSize val="0"/>
        </c:dLbls>
        <c:gapWidth val="219"/>
        <c:overlap val="-27"/>
        <c:axId val="392791056"/>
        <c:axId val="392787920"/>
      </c:barChart>
      <c:catAx>
        <c:axId val="39279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2787920"/>
        <c:crosses val="autoZero"/>
        <c:auto val="1"/>
        <c:lblAlgn val="ctr"/>
        <c:lblOffset val="100"/>
        <c:noMultiLvlLbl val="0"/>
      </c:catAx>
      <c:valAx>
        <c:axId val="39278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a:t>
                </a:r>
              </a:p>
            </c:rich>
          </c:tx>
          <c:layout>
            <c:manualLayout>
              <c:xMode val="edge"/>
              <c:yMode val="edge"/>
              <c:x val="1.9444444444444445E-2"/>
              <c:y val="0.3593901283172936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92791056"/>
        <c:crosses val="autoZero"/>
        <c:crossBetween val="between"/>
      </c:valAx>
      <c:spPr>
        <a:noFill/>
        <a:ln>
          <a:noFill/>
        </a:ln>
        <a:effectLst/>
      </c:spPr>
    </c:plotArea>
    <c:legend>
      <c:legendPos val="b"/>
      <c:layout>
        <c:manualLayout>
          <c:xMode val="edge"/>
          <c:yMode val="edge"/>
          <c:x val="0.48449103237095364"/>
          <c:y val="0.89409667541557303"/>
          <c:w val="0.4921288276465442"/>
          <c:h val="7.8125546806649168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88753</Words>
  <Characters>505898</Characters>
  <Application>Microsoft Office Word</Application>
  <DocSecurity>4</DocSecurity>
  <Lines>4215</Lines>
  <Paragraphs>1186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2018-12-16T21:33:00Z</dcterms:created>
  <dcterms:modified xsi:type="dcterms:W3CDTF">2018-12-16T21:33:00Z</dcterms:modified>
</cp:coreProperties>
</file>