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E1" w:rsidRDefault="00912BE1" w:rsidP="00580980">
      <w:pPr>
        <w:pStyle w:val="Heading1"/>
        <w:rPr>
          <w:lang w:val="en-GB" w:eastAsia="en-US"/>
        </w:rPr>
      </w:pPr>
      <w:bookmarkStart w:id="0" w:name="_Toc357151709"/>
      <w:bookmarkStart w:id="1" w:name="_GoBack"/>
      <w:bookmarkEnd w:id="1"/>
      <w:r w:rsidRPr="00912BE1">
        <w:rPr>
          <w:lang w:val="en-GB" w:eastAsia="en-US"/>
        </w:rPr>
        <w:t>Evidence Profile</w:t>
      </w:r>
      <w:bookmarkEnd w:id="0"/>
      <w:r w:rsidR="00101BD3">
        <w:rPr>
          <w:lang w:val="en-GB" w:eastAsia="en-US"/>
        </w:rPr>
        <w:t xml:space="preserve"> </w:t>
      </w:r>
      <w:r w:rsidR="00580980">
        <w:rPr>
          <w:lang w:val="en-GB" w:eastAsia="en-US"/>
        </w:rPr>
        <w:t>–</w:t>
      </w:r>
      <w:r w:rsidR="00101BD3">
        <w:rPr>
          <w:lang w:val="en-GB" w:eastAsia="en-US"/>
        </w:rPr>
        <w:t xml:space="preserve"> Depression</w:t>
      </w: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  <w:tblCaption w:val="Depression Table"/>
      </w:tblPr>
      <w:tblGrid>
        <w:gridCol w:w="2263"/>
        <w:gridCol w:w="3501"/>
        <w:gridCol w:w="3020"/>
      </w:tblGrid>
      <w:tr w:rsidR="008D0287" w:rsidTr="009D1897">
        <w:trPr>
          <w:trHeight w:val="554"/>
          <w:tblHeader/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</w:p>
        </w:tc>
        <w:tc>
          <w:tcPr>
            <w:tcW w:w="3501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Study 1</w:t>
            </w:r>
          </w:p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</w:p>
        </w:tc>
        <w:tc>
          <w:tcPr>
            <w:tcW w:w="3020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Study 2</w:t>
            </w:r>
          </w:p>
        </w:tc>
      </w:tr>
      <w:tr w:rsidR="008D0287" w:rsidTr="009D1897">
        <w:trPr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Authors &amp; </w:t>
            </w:r>
          </w:p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year</w:t>
            </w:r>
          </w:p>
        </w:tc>
        <w:tc>
          <w:tcPr>
            <w:tcW w:w="3501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580980">
              <w:rPr>
                <w:lang w:val="en-GB" w:eastAsia="en-US"/>
              </w:rPr>
              <w:t xml:space="preserve">Van </w:t>
            </w:r>
            <w:proofErr w:type="spellStart"/>
            <w:r w:rsidRPr="00580980">
              <w:rPr>
                <w:lang w:val="en-GB" w:eastAsia="en-US"/>
              </w:rPr>
              <w:t>Straten</w:t>
            </w:r>
            <w:proofErr w:type="spellEnd"/>
            <w:r w:rsidRPr="00580980">
              <w:rPr>
                <w:lang w:val="en-GB" w:eastAsia="en-US"/>
              </w:rPr>
              <w:t xml:space="preserve">, Hill, Richards &amp; </w:t>
            </w:r>
            <w:proofErr w:type="spellStart"/>
            <w:r w:rsidRPr="00580980">
              <w:rPr>
                <w:lang w:val="en-GB" w:eastAsia="en-US"/>
              </w:rPr>
              <w:t>Cuijpers</w:t>
            </w:r>
            <w:proofErr w:type="spellEnd"/>
            <w:r w:rsidRPr="00580980">
              <w:rPr>
                <w:lang w:val="en-GB" w:eastAsia="en-US"/>
              </w:rPr>
              <w:t>, 2014</w:t>
            </w:r>
          </w:p>
        </w:tc>
        <w:tc>
          <w:tcPr>
            <w:tcW w:w="3020" w:type="dxa"/>
          </w:tcPr>
          <w:p w:rsidR="008D0287" w:rsidRDefault="008D0287" w:rsidP="00580980">
            <w:pPr>
              <w:rPr>
                <w:lang w:val="en-GB" w:eastAsia="en-US"/>
              </w:rPr>
            </w:pPr>
            <w:proofErr w:type="spellStart"/>
            <w:r w:rsidRPr="00870BC9">
              <w:rPr>
                <w:lang w:val="en-GB" w:eastAsia="en-US"/>
              </w:rPr>
              <w:t>Oosterbaan</w:t>
            </w:r>
            <w:proofErr w:type="spellEnd"/>
            <w:r w:rsidRPr="00870BC9">
              <w:rPr>
                <w:lang w:val="en-GB" w:eastAsia="en-US"/>
              </w:rPr>
              <w:t xml:space="preserve">, </w:t>
            </w:r>
            <w:proofErr w:type="spellStart"/>
            <w:r w:rsidRPr="00870BC9">
              <w:rPr>
                <w:lang w:val="en-GB" w:eastAsia="en-US"/>
              </w:rPr>
              <w:t>Verbraak</w:t>
            </w:r>
            <w:proofErr w:type="spellEnd"/>
            <w:r w:rsidRPr="00870BC9">
              <w:rPr>
                <w:lang w:val="en-GB" w:eastAsia="en-US"/>
              </w:rPr>
              <w:t xml:space="preserve">, </w:t>
            </w:r>
            <w:proofErr w:type="spellStart"/>
            <w:r w:rsidRPr="00870BC9">
              <w:rPr>
                <w:lang w:val="en-GB" w:eastAsia="en-US"/>
              </w:rPr>
              <w:t>Terluin</w:t>
            </w:r>
            <w:proofErr w:type="spellEnd"/>
            <w:proofErr w:type="gramStart"/>
            <w:r w:rsidRPr="00870BC9">
              <w:rPr>
                <w:lang w:val="en-GB" w:eastAsia="en-US"/>
              </w:rPr>
              <w:t>,.</w:t>
            </w:r>
            <w:proofErr w:type="gramEnd"/>
            <w:r w:rsidRPr="00870BC9">
              <w:rPr>
                <w:lang w:val="en-GB" w:eastAsia="en-US"/>
              </w:rPr>
              <w:t xml:space="preserve"> </w:t>
            </w:r>
            <w:proofErr w:type="spellStart"/>
            <w:r w:rsidRPr="00870BC9">
              <w:rPr>
                <w:lang w:val="en-GB" w:eastAsia="en-US"/>
              </w:rPr>
              <w:t>Hoogendoorn</w:t>
            </w:r>
            <w:proofErr w:type="spellEnd"/>
            <w:r w:rsidRPr="00870BC9">
              <w:rPr>
                <w:lang w:val="en-GB" w:eastAsia="en-US"/>
              </w:rPr>
              <w:t xml:space="preserve">, </w:t>
            </w:r>
            <w:proofErr w:type="spellStart"/>
            <w:r w:rsidRPr="00870BC9">
              <w:rPr>
                <w:lang w:val="en-GB" w:eastAsia="en-US"/>
              </w:rPr>
              <w:t>Peyrot</w:t>
            </w:r>
            <w:proofErr w:type="spellEnd"/>
            <w:r w:rsidRPr="00870BC9">
              <w:rPr>
                <w:lang w:val="en-GB" w:eastAsia="en-US"/>
              </w:rPr>
              <w:t xml:space="preserve">, </w:t>
            </w:r>
            <w:proofErr w:type="spellStart"/>
            <w:r w:rsidRPr="00870BC9">
              <w:rPr>
                <w:lang w:val="en-GB" w:eastAsia="en-US"/>
              </w:rPr>
              <w:t>Muntingh</w:t>
            </w:r>
            <w:proofErr w:type="spellEnd"/>
            <w:r w:rsidRPr="00870BC9">
              <w:rPr>
                <w:lang w:val="en-GB" w:eastAsia="en-US"/>
              </w:rPr>
              <w:t xml:space="preserve"> &amp; van </w:t>
            </w:r>
            <w:proofErr w:type="spellStart"/>
            <w:r w:rsidRPr="00870BC9">
              <w:rPr>
                <w:lang w:val="en-GB" w:eastAsia="en-US"/>
              </w:rPr>
              <w:t>Balkom</w:t>
            </w:r>
            <w:proofErr w:type="spellEnd"/>
            <w:r w:rsidRPr="00870BC9">
              <w:rPr>
                <w:lang w:val="en-GB" w:eastAsia="en-US"/>
              </w:rPr>
              <w:t>, 2013</w:t>
            </w:r>
          </w:p>
        </w:tc>
      </w:tr>
      <w:tr w:rsidR="008D0287" w:rsidTr="009D1897">
        <w:trPr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Design</w:t>
            </w:r>
          </w:p>
        </w:tc>
        <w:tc>
          <w:tcPr>
            <w:tcW w:w="3501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580980">
              <w:rPr>
                <w:lang w:val="en-GB" w:eastAsia="en-US"/>
              </w:rPr>
              <w:t>Systematic review and meta-analysis (12 RCTs, 2 cluster RCTS)</w:t>
            </w:r>
          </w:p>
        </w:tc>
        <w:tc>
          <w:tcPr>
            <w:tcW w:w="3020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Cluster RCT</w:t>
            </w:r>
          </w:p>
        </w:tc>
      </w:tr>
      <w:tr w:rsidR="008D0287" w:rsidTr="009D1897">
        <w:trPr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Intervention (I) and Comparison (C)</w:t>
            </w:r>
          </w:p>
        </w:tc>
        <w:tc>
          <w:tcPr>
            <w:tcW w:w="3501" w:type="dxa"/>
          </w:tcPr>
          <w:p w:rsidR="008D0287" w:rsidRPr="00580980" w:rsidRDefault="008D0287" w:rsidP="00580980">
            <w:pPr>
              <w:rPr>
                <w:lang w:val="en-GB" w:eastAsia="en-US"/>
              </w:rPr>
            </w:pPr>
            <w:r w:rsidRPr="00580980">
              <w:rPr>
                <w:lang w:val="en-GB" w:eastAsia="en-US"/>
              </w:rPr>
              <w:t>(I): Stepped care (SC)</w:t>
            </w:r>
          </w:p>
          <w:p w:rsidR="008D0287" w:rsidRDefault="008D0287" w:rsidP="00580980">
            <w:pPr>
              <w:rPr>
                <w:lang w:val="en-GB" w:eastAsia="en-US"/>
              </w:rPr>
            </w:pPr>
            <w:r w:rsidRPr="00580980">
              <w:rPr>
                <w:lang w:val="en-GB" w:eastAsia="en-US"/>
              </w:rPr>
              <w:t>(C): Usual care (11 studies) or enhanced usual care (3 studies)</w:t>
            </w:r>
          </w:p>
        </w:tc>
        <w:tc>
          <w:tcPr>
            <w:tcW w:w="3020" w:type="dxa"/>
          </w:tcPr>
          <w:p w:rsidR="008D0287" w:rsidRPr="00870BC9" w:rsidRDefault="008D0287" w:rsidP="00870BC9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(I): Collaborative stepped care (CSC)</w:t>
            </w:r>
          </w:p>
          <w:p w:rsidR="008D0287" w:rsidRDefault="008D0287" w:rsidP="00870BC9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(C): Care as usual (CAU)</w:t>
            </w:r>
          </w:p>
        </w:tc>
      </w:tr>
      <w:tr w:rsidR="008D0287" w:rsidTr="009D1897">
        <w:trPr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Focus of intervention</w:t>
            </w:r>
          </w:p>
        </w:tc>
        <w:tc>
          <w:tcPr>
            <w:tcW w:w="3501" w:type="dxa"/>
          </w:tcPr>
          <w:p w:rsidR="008D0287" w:rsidRPr="00580980" w:rsidRDefault="008D0287" w:rsidP="00580980">
            <w:pPr>
              <w:rPr>
                <w:lang w:val="en-GB" w:eastAsia="en-US"/>
              </w:rPr>
            </w:pPr>
            <w:r w:rsidRPr="00580980">
              <w:rPr>
                <w:lang w:val="en-GB" w:eastAsia="en-US"/>
              </w:rPr>
              <w:t xml:space="preserve">8 Treatment studies, </w:t>
            </w:r>
          </w:p>
          <w:p w:rsidR="008D0287" w:rsidRDefault="008D0287" w:rsidP="00580980">
            <w:pPr>
              <w:rPr>
                <w:lang w:val="en-GB" w:eastAsia="en-US"/>
              </w:rPr>
            </w:pPr>
            <w:r w:rsidRPr="00580980">
              <w:rPr>
                <w:lang w:val="en-GB" w:eastAsia="en-US"/>
              </w:rPr>
              <w:t>3 Prevention studies</w:t>
            </w:r>
          </w:p>
        </w:tc>
        <w:tc>
          <w:tcPr>
            <w:tcW w:w="3020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Treatment</w:t>
            </w:r>
          </w:p>
        </w:tc>
      </w:tr>
      <w:tr w:rsidR="008D0287" w:rsidTr="009D1897">
        <w:trPr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Baseline Diagnosis</w:t>
            </w:r>
          </w:p>
        </w:tc>
        <w:tc>
          <w:tcPr>
            <w:tcW w:w="3501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580980">
              <w:rPr>
                <w:lang w:val="en-GB" w:eastAsia="en-US"/>
              </w:rPr>
              <w:t>The presence or absence of a DSM-IV diagnosis of depressive disorder obtained through interview, or depressive symptoms according to a questionnaire</w:t>
            </w:r>
          </w:p>
        </w:tc>
        <w:tc>
          <w:tcPr>
            <w:tcW w:w="3020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DSM-IV diagnosis of depressive or anxiety disorder (MINI)</w:t>
            </w:r>
          </w:p>
        </w:tc>
      </w:tr>
      <w:tr w:rsidR="008D0287" w:rsidTr="009D1897">
        <w:trPr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Primary Outcome domain (Measure(s))</w:t>
            </w:r>
          </w:p>
        </w:tc>
        <w:tc>
          <w:tcPr>
            <w:tcW w:w="3501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Various, including MINI, SCID, CIDI, CES-D, BDI, PHQ, SCL, K10, CIS-R, GHQ.</w:t>
            </w:r>
          </w:p>
        </w:tc>
        <w:tc>
          <w:tcPr>
            <w:tcW w:w="3020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- % of patients responding to and remitting after treatment (CGI-I; CGI-S)</w:t>
            </w:r>
          </w:p>
        </w:tc>
      </w:tr>
      <w:tr w:rsidR="008D0287" w:rsidTr="009D1897">
        <w:trPr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Secondary Outcome domain (Measure(s))</w:t>
            </w:r>
          </w:p>
        </w:tc>
        <w:tc>
          <w:tcPr>
            <w:tcW w:w="3501" w:type="dxa"/>
          </w:tcPr>
          <w:p w:rsidR="008D0287" w:rsidRDefault="008D0287" w:rsidP="00580980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Various</w:t>
            </w:r>
          </w:p>
        </w:tc>
        <w:tc>
          <w:tcPr>
            <w:tcW w:w="3020" w:type="dxa"/>
          </w:tcPr>
          <w:p w:rsidR="008D0287" w:rsidRPr="00F06A04" w:rsidRDefault="008D0287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- Anxiety symptoms (HRSA)</w:t>
            </w:r>
          </w:p>
          <w:p w:rsidR="008D0287" w:rsidRPr="00F06A04" w:rsidRDefault="008D0287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-Depressive symptoms (CES-D)</w:t>
            </w:r>
          </w:p>
          <w:p w:rsidR="008D0287" w:rsidRPr="00F06A04" w:rsidRDefault="008D0287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- Phobic behaviour (FQ)</w:t>
            </w:r>
          </w:p>
          <w:p w:rsidR="008D0287" w:rsidRPr="00F06A04" w:rsidRDefault="008D0287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lastRenderedPageBreak/>
              <w:t>-General symptoms (SCL-90-R)</w:t>
            </w:r>
          </w:p>
          <w:p w:rsidR="008D0287" w:rsidRDefault="008D0287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- Quality of life (SF-36).</w:t>
            </w:r>
          </w:p>
        </w:tc>
      </w:tr>
      <w:tr w:rsidR="008D0287" w:rsidTr="009D1897">
        <w:trPr>
          <w:jc w:val="center"/>
        </w:trPr>
        <w:tc>
          <w:tcPr>
            <w:tcW w:w="2263" w:type="dxa"/>
            <w:shd w:val="clear" w:color="auto" w:fill="002060"/>
          </w:tcPr>
          <w:p w:rsidR="008D0287" w:rsidRPr="00580980" w:rsidRDefault="008D0287" w:rsidP="00580980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lastRenderedPageBreak/>
              <w:t>Setting and characteristics of sample</w:t>
            </w:r>
          </w:p>
        </w:tc>
        <w:tc>
          <w:tcPr>
            <w:tcW w:w="3501" w:type="dxa"/>
          </w:tcPr>
          <w:p w:rsidR="008D0287" w:rsidRPr="00870BC9" w:rsidRDefault="008D0287" w:rsidP="00870BC9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 xml:space="preserve">Adults in primary care (4 studies), adults with comorbid physical conditions (6 studies), elderly people </w:t>
            </w:r>
          </w:p>
          <w:p w:rsidR="008D0287" w:rsidRPr="00870BC9" w:rsidRDefault="008D0287" w:rsidP="00870BC9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 xml:space="preserve">(5 studies) </w:t>
            </w:r>
          </w:p>
          <w:p w:rsidR="008D0287" w:rsidRPr="00870BC9" w:rsidRDefault="008D0287" w:rsidP="00870BC9">
            <w:pPr>
              <w:rPr>
                <w:lang w:val="en-GB" w:eastAsia="en-US"/>
              </w:rPr>
            </w:pPr>
          </w:p>
          <w:p w:rsidR="008D0287" w:rsidRPr="00870BC9" w:rsidRDefault="008D0287" w:rsidP="00870BC9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Countries where studies were conducted:</w:t>
            </w:r>
          </w:p>
          <w:p w:rsidR="008D0287" w:rsidRDefault="008D0287" w:rsidP="00870BC9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Chile (1 study), India (1 study), Netherlands (6 studies), USA (6 studies)</w:t>
            </w:r>
          </w:p>
        </w:tc>
        <w:tc>
          <w:tcPr>
            <w:tcW w:w="3020" w:type="dxa"/>
          </w:tcPr>
          <w:p w:rsidR="008D0287" w:rsidRPr="00F06A04" w:rsidRDefault="008D0287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Adults in primary care in the Netherlands</w:t>
            </w:r>
          </w:p>
          <w:p w:rsidR="008D0287" w:rsidRDefault="008D0287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N=158</w:t>
            </w:r>
          </w:p>
        </w:tc>
      </w:tr>
      <w:tr w:rsidR="0068100B" w:rsidTr="009D1897">
        <w:trPr>
          <w:trHeight w:val="188"/>
          <w:jc w:val="center"/>
        </w:trPr>
        <w:tc>
          <w:tcPr>
            <w:tcW w:w="2263" w:type="dxa"/>
            <w:shd w:val="clear" w:color="auto" w:fill="002060"/>
          </w:tcPr>
          <w:p w:rsidR="0068100B" w:rsidRPr="00580980" w:rsidRDefault="0068100B" w:rsidP="0068100B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Participants</w:t>
            </w:r>
            <w:r>
              <w:rPr>
                <w:b/>
                <w:color w:val="FFFFFF" w:themeColor="background1"/>
                <w:lang w:val="en-GB" w:eastAsia="en-US"/>
              </w:rPr>
              <w:t xml:space="preserve">: </w:t>
            </w:r>
            <w:r w:rsidRPr="00580980">
              <w:rPr>
                <w:b/>
                <w:color w:val="FFFFFF" w:themeColor="background1"/>
                <w:lang w:val="en-GB" w:eastAsia="en-US"/>
              </w:rPr>
              <w:t>I</w:t>
            </w:r>
          </w:p>
        </w:tc>
        <w:tc>
          <w:tcPr>
            <w:tcW w:w="3501" w:type="dxa"/>
          </w:tcPr>
          <w:p w:rsidR="0068100B" w:rsidRDefault="0068100B" w:rsidP="00580980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NA</w:t>
            </w:r>
          </w:p>
        </w:tc>
        <w:tc>
          <w:tcPr>
            <w:tcW w:w="3020" w:type="dxa"/>
          </w:tcPr>
          <w:p w:rsidR="0068100B" w:rsidRPr="00F06A04" w:rsidRDefault="0068100B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N = 94</w:t>
            </w:r>
          </w:p>
          <w:p w:rsidR="0068100B" w:rsidRPr="00F06A04" w:rsidRDefault="0068100B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Mean age: 37 (12)</w:t>
            </w:r>
          </w:p>
          <w:p w:rsidR="0068100B" w:rsidRDefault="0068100B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63% female</w:t>
            </w:r>
          </w:p>
        </w:tc>
      </w:tr>
      <w:tr w:rsidR="0068100B" w:rsidTr="009D1897">
        <w:trPr>
          <w:trHeight w:val="187"/>
          <w:jc w:val="center"/>
        </w:trPr>
        <w:tc>
          <w:tcPr>
            <w:tcW w:w="2263" w:type="dxa"/>
            <w:shd w:val="clear" w:color="auto" w:fill="002060"/>
          </w:tcPr>
          <w:p w:rsidR="0068100B" w:rsidRPr="00580980" w:rsidRDefault="0068100B" w:rsidP="00580980">
            <w:pPr>
              <w:rPr>
                <w:b/>
                <w:color w:val="FFFFFF" w:themeColor="background1"/>
                <w:lang w:val="en-GB" w:eastAsia="en-US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Participants: </w:t>
            </w:r>
            <w:r w:rsidRPr="00580980">
              <w:rPr>
                <w:b/>
                <w:color w:val="FFFFFF" w:themeColor="background1"/>
                <w:lang w:val="en-GB" w:eastAsia="en-US"/>
              </w:rPr>
              <w:t>C</w:t>
            </w:r>
          </w:p>
        </w:tc>
        <w:tc>
          <w:tcPr>
            <w:tcW w:w="3501" w:type="dxa"/>
          </w:tcPr>
          <w:p w:rsidR="0068100B" w:rsidRDefault="0068100B" w:rsidP="00580980">
            <w:pPr>
              <w:rPr>
                <w:lang w:val="en-GB" w:eastAsia="en-US"/>
              </w:rPr>
            </w:pPr>
            <w:r w:rsidRPr="00870BC9">
              <w:rPr>
                <w:lang w:val="en-GB" w:eastAsia="en-US"/>
              </w:rPr>
              <w:t>NA</w:t>
            </w:r>
          </w:p>
        </w:tc>
        <w:tc>
          <w:tcPr>
            <w:tcW w:w="3020" w:type="dxa"/>
          </w:tcPr>
          <w:p w:rsidR="0068100B" w:rsidRPr="00F06A04" w:rsidRDefault="0068100B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N=64</w:t>
            </w:r>
          </w:p>
          <w:p w:rsidR="0068100B" w:rsidRPr="00F06A04" w:rsidRDefault="0068100B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Mean age: 39 (12)</w:t>
            </w:r>
          </w:p>
          <w:p w:rsidR="0068100B" w:rsidRDefault="0068100B" w:rsidP="00F06A04">
            <w:pPr>
              <w:rPr>
                <w:lang w:val="en-GB" w:eastAsia="en-US"/>
              </w:rPr>
            </w:pPr>
            <w:r w:rsidRPr="00F06A04">
              <w:rPr>
                <w:lang w:val="en-GB" w:eastAsia="en-US"/>
              </w:rPr>
              <w:t>61% female</w:t>
            </w:r>
          </w:p>
        </w:tc>
      </w:tr>
    </w:tbl>
    <w:p w:rsidR="00580980" w:rsidRDefault="00580980" w:rsidP="00580980">
      <w:pPr>
        <w:rPr>
          <w:lang w:val="en-GB" w:eastAsia="en-US"/>
        </w:rPr>
      </w:pPr>
    </w:p>
    <w:p w:rsidR="00870BC9" w:rsidRDefault="00870BC9" w:rsidP="00870BC9">
      <w:r w:rsidRPr="00870BC9">
        <w:rPr>
          <w:b/>
          <w:lang w:val="en-GB" w:eastAsia="en-US"/>
        </w:rPr>
        <w:t>Study 1:</w:t>
      </w:r>
      <w:r>
        <w:rPr>
          <w:lang w:val="en-GB" w:eastAsia="en-US"/>
        </w:rPr>
        <w:t xml:space="preserve"> </w:t>
      </w:r>
      <w:r>
        <w:t xml:space="preserve">Study quality was overall relatively high. A meta-analysis of the 10 studies that were treatment-focused and had post-treatment data found an overall post-intervention effect size of d=0.38 (95% CI 0.18-0.57). Effect sizes at specific time points were d=0.57 (2-4 months; 95% CI 0.21-0.94), d=0.34 (6 months; 95% CI programs 0.20-0.48), d=0.43 (9-12 months; 95% CI 0.20 -0.65) and d=0.26 (18 months; ns). Heterogeneity was high for all effect sizes. SC with interventions arranged </w:t>
      </w:r>
      <w:r>
        <w:lastRenderedPageBreak/>
        <w:t>by progressive intensity had significantly less effect than SC not arranged as such (d=0.07 vs d=0.41, p &lt;0.01). Location of study, physical health comorbidity and diagnostic status at baseline were not related to effect size. Of the three prevention-focused studies, two found positive effects for SC on 12-month rates of major depressive disorder, while the other found no difference.</w:t>
      </w:r>
    </w:p>
    <w:p w:rsidR="00F8124F" w:rsidRDefault="00F8124F" w:rsidP="00F8124F">
      <w:r w:rsidRPr="00F8124F">
        <w:rPr>
          <w:b/>
        </w:rPr>
        <w:t>Study 2:</w:t>
      </w:r>
      <w:r>
        <w:t xml:space="preserve"> </w:t>
      </w:r>
      <w:r w:rsidRPr="00A2726A">
        <w:rPr>
          <w:b/>
        </w:rPr>
        <w:t>Description of intervention</w:t>
      </w:r>
      <w:r>
        <w:rPr>
          <w:b/>
        </w:rPr>
        <w:t xml:space="preserve"> and comparison</w:t>
      </w:r>
      <w:r w:rsidRPr="00A2726A">
        <w:rPr>
          <w:b/>
        </w:rPr>
        <w:t>:</w:t>
      </w:r>
      <w:r>
        <w:t xml:space="preserve"> Step 1: A</w:t>
      </w:r>
      <w:r w:rsidRPr="00A2726A">
        <w:t xml:space="preserve"> 3.5-month </w:t>
      </w:r>
      <w:r>
        <w:t xml:space="preserve">guided </w:t>
      </w:r>
      <w:r w:rsidRPr="00A2726A">
        <w:t xml:space="preserve">self-help course, </w:t>
      </w:r>
      <w:r>
        <w:t>with</w:t>
      </w:r>
      <w:r w:rsidRPr="00A2726A">
        <w:t xml:space="preserve"> five 45-minute sessions</w:t>
      </w:r>
      <w:r>
        <w:t xml:space="preserve">, provided in primary care, with AD medication offered to </w:t>
      </w:r>
      <w:r w:rsidRPr="00A2726A">
        <w:t xml:space="preserve">patients with a moderately severe </w:t>
      </w:r>
      <w:r>
        <w:t>disorder</w:t>
      </w:r>
      <w:r w:rsidRPr="00A2726A">
        <w:t xml:space="preserve">. </w:t>
      </w:r>
      <w:r>
        <w:t>Step 2:</w:t>
      </w:r>
      <w:r w:rsidRPr="00A2726A">
        <w:t xml:space="preserve"> CBT in combination with </w:t>
      </w:r>
      <w:r>
        <w:t>AD medication</w:t>
      </w:r>
      <w:r w:rsidRPr="00A2726A">
        <w:t xml:space="preserve"> provided </w:t>
      </w:r>
      <w:r>
        <w:t>by a specialist</w:t>
      </w:r>
      <w:r w:rsidRPr="00A2726A">
        <w:t xml:space="preserve"> out-patient mental health service. </w:t>
      </w:r>
      <w:r>
        <w:t xml:space="preserve">Within each step, participants were allocated to a depression, anxiety or stress treatment program, depending on their diagnosis. </w:t>
      </w:r>
      <w:r w:rsidRPr="00A2726A">
        <w:t xml:space="preserve">Remission was evaluated after 4 months, using the </w:t>
      </w:r>
      <w:r>
        <w:t xml:space="preserve">CGI-S. Participants with scores </w:t>
      </w:r>
      <w:r w:rsidRPr="00A2726A">
        <w:t>of at least 3 on the CGI-S (i.e. mild severity or worse) proceeded to the second-step treatment.</w:t>
      </w:r>
      <w:r>
        <w:t xml:space="preserve"> P</w:t>
      </w:r>
      <w:r w:rsidRPr="00A2726A">
        <w:t xml:space="preserve">atients with stress-related disorders </w:t>
      </w:r>
      <w:r>
        <w:t xml:space="preserve">or </w:t>
      </w:r>
      <w:r w:rsidRPr="00A2726A">
        <w:t xml:space="preserve">mild or moderately severe anxiety or depressive disorders started </w:t>
      </w:r>
      <w:r>
        <w:t>at Step 1</w:t>
      </w:r>
      <w:r w:rsidRPr="00A2726A">
        <w:t xml:space="preserve">. </w:t>
      </w:r>
      <w:r>
        <w:t>Participants</w:t>
      </w:r>
      <w:r w:rsidRPr="00A2726A">
        <w:t xml:space="preserve"> with a severe disorder </w:t>
      </w:r>
      <w:r>
        <w:t>went directly</w:t>
      </w:r>
      <w:r w:rsidRPr="00A2726A">
        <w:t xml:space="preserve"> </w:t>
      </w:r>
      <w:r>
        <w:t>to</w:t>
      </w:r>
      <w:r w:rsidRPr="00A2726A">
        <w:t xml:space="preserve"> </w:t>
      </w:r>
      <w:r>
        <w:t>Step 2</w:t>
      </w:r>
      <w:r w:rsidRPr="00A2726A">
        <w:t xml:space="preserve">. </w:t>
      </w:r>
      <w:r>
        <w:t>Participants</w:t>
      </w:r>
      <w:r w:rsidRPr="00910347">
        <w:t xml:space="preserve"> assigned to CAU could obtain any service normally available in The Netherlands.</w:t>
      </w:r>
    </w:p>
    <w:p w:rsidR="00F8124F" w:rsidRDefault="00F8124F" w:rsidP="00F8124F">
      <w:r w:rsidRPr="00A2726A">
        <w:rPr>
          <w:b/>
        </w:rPr>
        <w:t>Results</w:t>
      </w:r>
      <w:r>
        <w:t xml:space="preserve">: </w:t>
      </w:r>
      <w:r w:rsidRPr="009A6EB3">
        <w:t xml:space="preserve">At 4-month mid-test CSC was superior to CAU: </w:t>
      </w:r>
      <w:r>
        <w:t xml:space="preserve">74.7% v. 50.8% responders (P = 0.003) and 57.8% </w:t>
      </w:r>
      <w:r w:rsidRPr="002D36E3">
        <w:t>v. 31.7% (P = 0.002)</w:t>
      </w:r>
      <w:r>
        <w:t>; however, a</w:t>
      </w:r>
      <w:r w:rsidRPr="009A6EB3">
        <w:t xml:space="preserve">t 8-month post-test and 12-month follow-up no significant differences were found. </w:t>
      </w:r>
      <w:r>
        <w:t xml:space="preserve">A similar pattern of response and remission results was found for the specific depression treatment program. </w:t>
      </w:r>
      <w:r w:rsidRPr="009A6EB3">
        <w:t>Compared with patients in the CAU group, CSC patients had a significantly larger reduction in depressive symptoms (CES</w:t>
      </w:r>
      <w:r>
        <w:t>-D) after 4 months</w:t>
      </w:r>
      <w:r w:rsidRPr="009A6EB3">
        <w:t xml:space="preserve">. However, for the depression treatment programme </w:t>
      </w:r>
      <w:r>
        <w:t>no</w:t>
      </w:r>
      <w:r w:rsidRPr="009A6EB3">
        <w:t xml:space="preserve"> significant differences </w:t>
      </w:r>
      <w:r>
        <w:t xml:space="preserve">were found between </w:t>
      </w:r>
      <w:r w:rsidRPr="009A6EB3">
        <w:t xml:space="preserve">groups </w:t>
      </w:r>
      <w:r>
        <w:t>at any time point</w:t>
      </w:r>
      <w:r w:rsidRPr="009A6EB3">
        <w:t>.</w:t>
      </w:r>
    </w:p>
    <w:p w:rsidR="0090455A" w:rsidRDefault="0090455A" w:rsidP="000C3FD6">
      <w:pPr>
        <w:pStyle w:val="Heading1"/>
        <w:rPr>
          <w:lang w:val="en-GB" w:eastAsia="en-US"/>
        </w:rPr>
        <w:sectPr w:rsidR="0090455A" w:rsidSect="005809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440" w:left="1701" w:header="709" w:footer="709" w:gutter="0"/>
          <w:cols w:space="708"/>
          <w:titlePg/>
          <w:docGrid w:linePitch="360"/>
        </w:sectPr>
      </w:pPr>
    </w:p>
    <w:p w:rsidR="005F3264" w:rsidRDefault="005F3264" w:rsidP="000C3FD6">
      <w:pPr>
        <w:pStyle w:val="Heading1"/>
        <w:rPr>
          <w:lang w:val="en-GB" w:eastAsia="en-US"/>
        </w:rPr>
      </w:pPr>
      <w:r w:rsidRPr="00912BE1">
        <w:rPr>
          <w:lang w:val="en-GB" w:eastAsia="en-US"/>
        </w:rPr>
        <w:lastRenderedPageBreak/>
        <w:t>Evidence Profile</w:t>
      </w:r>
      <w:r>
        <w:rPr>
          <w:lang w:val="en-GB" w:eastAsia="en-US"/>
        </w:rPr>
        <w:t xml:space="preserve"> </w:t>
      </w:r>
      <w:r w:rsidR="000C3FD6">
        <w:rPr>
          <w:lang w:val="en-GB" w:eastAsia="en-US"/>
        </w:rPr>
        <w:t>–</w:t>
      </w:r>
      <w:r>
        <w:rPr>
          <w:lang w:val="en-GB" w:eastAsia="en-US"/>
        </w:rPr>
        <w:t xml:space="preserve"> Anxiety</w:t>
      </w:r>
    </w:p>
    <w:tbl>
      <w:tblPr>
        <w:tblStyle w:val="TableGrid"/>
        <w:tblW w:w="8720" w:type="dxa"/>
        <w:jc w:val="center"/>
        <w:tblLook w:val="04A0" w:firstRow="1" w:lastRow="0" w:firstColumn="1" w:lastColumn="0" w:noHBand="0" w:noVBand="1"/>
        <w:tblCaption w:val="Anxiety Table"/>
      </w:tblPr>
      <w:tblGrid>
        <w:gridCol w:w="1727"/>
        <w:gridCol w:w="1370"/>
        <w:gridCol w:w="1573"/>
        <w:gridCol w:w="1573"/>
        <w:gridCol w:w="1371"/>
        <w:gridCol w:w="1299"/>
        <w:gridCol w:w="1371"/>
        <w:gridCol w:w="1418"/>
        <w:gridCol w:w="1418"/>
      </w:tblGrid>
      <w:tr w:rsidR="000C3FD6" w:rsidTr="0068100B">
        <w:trPr>
          <w:tblHeader/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</w:p>
        </w:tc>
        <w:tc>
          <w:tcPr>
            <w:tcW w:w="907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Study </w:t>
            </w:r>
            <w:r>
              <w:rPr>
                <w:b/>
                <w:color w:val="FFFFFF" w:themeColor="background1"/>
                <w:lang w:val="en-GB" w:eastAsia="en-US"/>
              </w:rPr>
              <w:t>1</w:t>
            </w:r>
          </w:p>
        </w:tc>
        <w:tc>
          <w:tcPr>
            <w:tcW w:w="1028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Study </w:t>
            </w:r>
            <w:r>
              <w:rPr>
                <w:b/>
                <w:color w:val="FFFFFF" w:themeColor="background1"/>
                <w:lang w:val="en-GB" w:eastAsia="en-US"/>
              </w:rPr>
              <w:t>2</w:t>
            </w:r>
          </w:p>
        </w:tc>
        <w:tc>
          <w:tcPr>
            <w:tcW w:w="1028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Study </w:t>
            </w:r>
            <w:r>
              <w:rPr>
                <w:b/>
                <w:color w:val="FFFFFF" w:themeColor="background1"/>
                <w:lang w:val="en-GB" w:eastAsia="en-US"/>
              </w:rPr>
              <w:t>3</w:t>
            </w:r>
          </w:p>
        </w:tc>
        <w:tc>
          <w:tcPr>
            <w:tcW w:w="907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Study </w:t>
            </w:r>
            <w:r>
              <w:rPr>
                <w:b/>
                <w:color w:val="FFFFFF" w:themeColor="background1"/>
                <w:lang w:val="en-GB" w:eastAsia="en-US"/>
              </w:rPr>
              <w:t>4</w:t>
            </w:r>
          </w:p>
        </w:tc>
        <w:tc>
          <w:tcPr>
            <w:tcW w:w="864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Study </w:t>
            </w:r>
            <w:r>
              <w:rPr>
                <w:b/>
                <w:color w:val="FFFFFF" w:themeColor="background1"/>
                <w:lang w:val="en-GB" w:eastAsia="en-US"/>
              </w:rPr>
              <w:t>5</w:t>
            </w:r>
          </w:p>
        </w:tc>
        <w:tc>
          <w:tcPr>
            <w:tcW w:w="907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Study </w:t>
            </w:r>
            <w:r>
              <w:rPr>
                <w:b/>
                <w:color w:val="FFFFFF" w:themeColor="background1"/>
                <w:lang w:val="en-GB" w:eastAsia="en-US"/>
              </w:rPr>
              <w:t>6</w:t>
            </w:r>
          </w:p>
        </w:tc>
        <w:tc>
          <w:tcPr>
            <w:tcW w:w="935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Study</w:t>
            </w:r>
            <w:r>
              <w:rPr>
                <w:b/>
                <w:color w:val="FFFFFF" w:themeColor="background1"/>
                <w:lang w:val="en-GB" w:eastAsia="en-US"/>
              </w:rPr>
              <w:t xml:space="preserve"> 7</w:t>
            </w:r>
          </w:p>
        </w:tc>
        <w:tc>
          <w:tcPr>
            <w:tcW w:w="935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Study </w:t>
            </w:r>
            <w:r>
              <w:rPr>
                <w:b/>
                <w:color w:val="FFFFFF" w:themeColor="background1"/>
                <w:lang w:val="en-GB" w:eastAsia="en-US"/>
              </w:rPr>
              <w:t>8</w:t>
            </w:r>
          </w:p>
        </w:tc>
      </w:tr>
      <w:tr w:rsidR="000C3FD6" w:rsidTr="0068100B">
        <w:trPr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Authors &amp; </w:t>
            </w:r>
          </w:p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year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proofErr w:type="spellStart"/>
            <w:r w:rsidRPr="00296A1C">
              <w:rPr>
                <w:lang w:val="en-GB" w:eastAsia="en-US"/>
              </w:rPr>
              <w:t>Dozeman</w:t>
            </w:r>
            <w:proofErr w:type="spellEnd"/>
            <w:r w:rsidRPr="00296A1C">
              <w:rPr>
                <w:lang w:val="en-GB" w:eastAsia="en-US"/>
              </w:rPr>
              <w:t xml:space="preserve">, van </w:t>
            </w:r>
            <w:proofErr w:type="spellStart"/>
            <w:r w:rsidRPr="00296A1C">
              <w:rPr>
                <w:lang w:val="en-GB" w:eastAsia="en-US"/>
              </w:rPr>
              <w:t>Marwijk</w:t>
            </w:r>
            <w:proofErr w:type="spellEnd"/>
            <w:r w:rsidRPr="00296A1C">
              <w:rPr>
                <w:lang w:val="en-GB" w:eastAsia="en-US"/>
              </w:rPr>
              <w:t xml:space="preserve">, van Schaik, Smit, </w:t>
            </w:r>
            <w:proofErr w:type="spellStart"/>
            <w:r w:rsidRPr="00296A1C">
              <w:rPr>
                <w:lang w:val="en-GB" w:eastAsia="en-US"/>
              </w:rPr>
              <w:t>Stek</w:t>
            </w:r>
            <w:proofErr w:type="spellEnd"/>
            <w:r w:rsidRPr="00296A1C">
              <w:rPr>
                <w:lang w:val="en-GB" w:eastAsia="en-US"/>
              </w:rPr>
              <w:t xml:space="preserve">, van der Horst, </w:t>
            </w:r>
            <w:proofErr w:type="spellStart"/>
            <w:r w:rsidRPr="00296A1C">
              <w:rPr>
                <w:lang w:val="en-GB" w:eastAsia="en-US"/>
              </w:rPr>
              <w:t>Bohlmeijer</w:t>
            </w:r>
            <w:proofErr w:type="spellEnd"/>
            <w:r w:rsidRPr="00296A1C">
              <w:rPr>
                <w:lang w:val="en-GB" w:eastAsia="en-US"/>
              </w:rPr>
              <w:t xml:space="preserve"> &amp; </w:t>
            </w:r>
            <w:proofErr w:type="spellStart"/>
            <w:r w:rsidRPr="00296A1C">
              <w:rPr>
                <w:lang w:val="en-GB" w:eastAsia="en-US"/>
              </w:rPr>
              <w:t>Beekman</w:t>
            </w:r>
            <w:proofErr w:type="spellEnd"/>
            <w:r w:rsidRPr="00296A1C">
              <w:rPr>
                <w:lang w:val="en-GB" w:eastAsia="en-US"/>
              </w:rPr>
              <w:t>, 2012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proofErr w:type="spellStart"/>
            <w:r w:rsidRPr="00BF75E4">
              <w:rPr>
                <w:lang w:val="en-GB" w:eastAsia="en-US"/>
              </w:rPr>
              <w:t>Kronish</w:t>
            </w:r>
            <w:proofErr w:type="spellEnd"/>
            <w:r w:rsidRPr="00BF75E4">
              <w:rPr>
                <w:lang w:val="en-GB" w:eastAsia="en-US"/>
              </w:rPr>
              <w:t xml:space="preserve">, </w:t>
            </w:r>
            <w:proofErr w:type="spellStart"/>
            <w:r w:rsidRPr="00BF75E4">
              <w:rPr>
                <w:lang w:val="en-GB" w:eastAsia="en-US"/>
              </w:rPr>
              <w:t>Rieckmann</w:t>
            </w:r>
            <w:proofErr w:type="spellEnd"/>
            <w:r w:rsidRPr="00BF75E4">
              <w:rPr>
                <w:lang w:val="en-GB" w:eastAsia="en-US"/>
              </w:rPr>
              <w:t>, Burg &amp; Davidson, 2012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proofErr w:type="spellStart"/>
            <w:r w:rsidRPr="00B35B45">
              <w:rPr>
                <w:lang w:val="en-GB" w:eastAsia="en-US"/>
              </w:rPr>
              <w:t>Oosterbaan</w:t>
            </w:r>
            <w:proofErr w:type="spellEnd"/>
            <w:r w:rsidRPr="00B35B45">
              <w:rPr>
                <w:lang w:val="en-GB" w:eastAsia="en-US"/>
              </w:rPr>
              <w:t xml:space="preserve">, </w:t>
            </w:r>
            <w:proofErr w:type="spellStart"/>
            <w:r w:rsidRPr="00B35B45">
              <w:rPr>
                <w:lang w:val="en-GB" w:eastAsia="en-US"/>
              </w:rPr>
              <w:t>Verbraak</w:t>
            </w:r>
            <w:proofErr w:type="spellEnd"/>
            <w:r w:rsidRPr="00B35B45">
              <w:rPr>
                <w:lang w:val="en-GB" w:eastAsia="en-US"/>
              </w:rPr>
              <w:t xml:space="preserve">, </w:t>
            </w:r>
            <w:proofErr w:type="spellStart"/>
            <w:r w:rsidRPr="00B35B45">
              <w:rPr>
                <w:lang w:val="en-GB" w:eastAsia="en-US"/>
              </w:rPr>
              <w:t>Terluin</w:t>
            </w:r>
            <w:proofErr w:type="spellEnd"/>
            <w:proofErr w:type="gramStart"/>
            <w:r w:rsidRPr="00B35B45">
              <w:rPr>
                <w:lang w:val="en-GB" w:eastAsia="en-US"/>
              </w:rPr>
              <w:t>,.</w:t>
            </w:r>
            <w:proofErr w:type="gramEnd"/>
            <w:r w:rsidRPr="00B35B45">
              <w:rPr>
                <w:lang w:val="en-GB" w:eastAsia="en-US"/>
              </w:rPr>
              <w:t xml:space="preserve"> </w:t>
            </w:r>
            <w:proofErr w:type="spellStart"/>
            <w:r w:rsidRPr="00B35B45">
              <w:rPr>
                <w:lang w:val="en-GB" w:eastAsia="en-US"/>
              </w:rPr>
              <w:t>Hoogendoorn</w:t>
            </w:r>
            <w:proofErr w:type="spellEnd"/>
            <w:r w:rsidRPr="00B35B45">
              <w:rPr>
                <w:lang w:val="en-GB" w:eastAsia="en-US"/>
              </w:rPr>
              <w:t xml:space="preserve">, </w:t>
            </w:r>
            <w:proofErr w:type="spellStart"/>
            <w:r w:rsidRPr="00B35B45">
              <w:rPr>
                <w:lang w:val="en-GB" w:eastAsia="en-US"/>
              </w:rPr>
              <w:t>Peyrot</w:t>
            </w:r>
            <w:proofErr w:type="spellEnd"/>
            <w:r w:rsidRPr="00B35B45">
              <w:rPr>
                <w:lang w:val="en-GB" w:eastAsia="en-US"/>
              </w:rPr>
              <w:t xml:space="preserve">, </w:t>
            </w:r>
            <w:proofErr w:type="spellStart"/>
            <w:r w:rsidRPr="00B35B45">
              <w:rPr>
                <w:lang w:val="en-GB" w:eastAsia="en-US"/>
              </w:rPr>
              <w:t>Muntingh</w:t>
            </w:r>
            <w:proofErr w:type="spellEnd"/>
            <w:r w:rsidRPr="00B35B45">
              <w:rPr>
                <w:lang w:val="en-GB" w:eastAsia="en-US"/>
              </w:rPr>
              <w:t xml:space="preserve"> &amp; van </w:t>
            </w:r>
            <w:proofErr w:type="spellStart"/>
            <w:r w:rsidRPr="00B35B45">
              <w:rPr>
                <w:lang w:val="en-GB" w:eastAsia="en-US"/>
              </w:rPr>
              <w:t>Balkom</w:t>
            </w:r>
            <w:proofErr w:type="spellEnd"/>
            <w:r w:rsidRPr="00B35B45">
              <w:rPr>
                <w:lang w:val="en-GB" w:eastAsia="en-US"/>
              </w:rPr>
              <w:t>, 2013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proofErr w:type="spellStart"/>
            <w:r w:rsidRPr="00B35B45">
              <w:rPr>
                <w:lang w:val="en-GB" w:eastAsia="en-US"/>
              </w:rPr>
              <w:t>Seekles</w:t>
            </w:r>
            <w:proofErr w:type="spellEnd"/>
            <w:r w:rsidRPr="00B35B45">
              <w:rPr>
                <w:lang w:val="en-GB" w:eastAsia="en-US"/>
              </w:rPr>
              <w:t xml:space="preserve">, van </w:t>
            </w:r>
            <w:proofErr w:type="spellStart"/>
            <w:r w:rsidRPr="00B35B45">
              <w:rPr>
                <w:lang w:val="en-GB" w:eastAsia="en-US"/>
              </w:rPr>
              <w:t>Straten</w:t>
            </w:r>
            <w:proofErr w:type="spellEnd"/>
            <w:r w:rsidRPr="00B35B45">
              <w:rPr>
                <w:lang w:val="en-GB" w:eastAsia="en-US"/>
              </w:rPr>
              <w:t xml:space="preserve">, </w:t>
            </w:r>
            <w:proofErr w:type="spellStart"/>
            <w:r w:rsidRPr="00B35B45">
              <w:rPr>
                <w:lang w:val="en-GB" w:eastAsia="en-US"/>
              </w:rPr>
              <w:t>Beekman</w:t>
            </w:r>
            <w:proofErr w:type="spellEnd"/>
            <w:r w:rsidRPr="00B35B45">
              <w:rPr>
                <w:lang w:val="en-GB" w:eastAsia="en-US"/>
              </w:rPr>
              <w:t xml:space="preserve">,  van </w:t>
            </w:r>
            <w:proofErr w:type="spellStart"/>
            <w:r w:rsidRPr="00B35B45">
              <w:rPr>
                <w:lang w:val="en-GB" w:eastAsia="en-US"/>
              </w:rPr>
              <w:t>Marwijk</w:t>
            </w:r>
            <w:proofErr w:type="spellEnd"/>
            <w:r w:rsidRPr="00B35B45">
              <w:rPr>
                <w:lang w:val="en-GB" w:eastAsia="en-US"/>
              </w:rPr>
              <w:t xml:space="preserve"> &amp; </w:t>
            </w:r>
            <w:proofErr w:type="spellStart"/>
            <w:r w:rsidRPr="00B35B45">
              <w:rPr>
                <w:lang w:val="en-GB" w:eastAsia="en-US"/>
              </w:rPr>
              <w:t>Cuijpers</w:t>
            </w:r>
            <w:proofErr w:type="spellEnd"/>
            <w:r w:rsidRPr="00B35B45">
              <w:rPr>
                <w:lang w:val="en-GB" w:eastAsia="en-US"/>
              </w:rPr>
              <w:t>, 2011</w:t>
            </w:r>
          </w:p>
        </w:tc>
        <w:tc>
          <w:tcPr>
            <w:tcW w:w="864" w:type="dxa"/>
          </w:tcPr>
          <w:p w:rsidR="000C3FD6" w:rsidRDefault="000C3FD6" w:rsidP="00B07B7F">
            <w:pPr>
              <w:rPr>
                <w:lang w:val="en-GB" w:eastAsia="en-US"/>
              </w:rPr>
            </w:pPr>
            <w:proofErr w:type="spellStart"/>
            <w:r w:rsidRPr="00BA3A98">
              <w:rPr>
                <w:lang w:val="en-GB" w:eastAsia="en-US"/>
              </w:rPr>
              <w:t>Tolin</w:t>
            </w:r>
            <w:proofErr w:type="spellEnd"/>
            <w:r w:rsidRPr="00BA3A98">
              <w:rPr>
                <w:lang w:val="en-GB" w:eastAsia="en-US"/>
              </w:rPr>
              <w:t xml:space="preserve">, </w:t>
            </w:r>
            <w:proofErr w:type="spellStart"/>
            <w:r w:rsidRPr="00BA3A98">
              <w:rPr>
                <w:lang w:val="en-GB" w:eastAsia="en-US"/>
              </w:rPr>
              <w:t>Diefenbach</w:t>
            </w:r>
            <w:proofErr w:type="spellEnd"/>
            <w:r w:rsidRPr="00BA3A98">
              <w:rPr>
                <w:lang w:val="en-GB" w:eastAsia="en-US"/>
              </w:rPr>
              <w:t xml:space="preserve"> &amp; Gilliam, 2011</w:t>
            </w:r>
          </w:p>
        </w:tc>
        <w:tc>
          <w:tcPr>
            <w:tcW w:w="907" w:type="dxa"/>
          </w:tcPr>
          <w:p w:rsidR="000C3FD6" w:rsidRPr="00FC4CDC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Primary paper</w:t>
            </w:r>
          </w:p>
          <w:p w:rsidR="000C3FD6" w:rsidRPr="00FC4CDC" w:rsidRDefault="000C3FD6" w:rsidP="00B07B7F">
            <w:pPr>
              <w:rPr>
                <w:lang w:val="en-GB" w:eastAsia="en-US"/>
              </w:rPr>
            </w:pPr>
            <w:proofErr w:type="spellStart"/>
            <w:r w:rsidRPr="00FC4CDC">
              <w:rPr>
                <w:lang w:val="en-GB" w:eastAsia="en-US"/>
              </w:rPr>
              <w:t>van't</w:t>
            </w:r>
            <w:proofErr w:type="spellEnd"/>
            <w:r w:rsidRPr="00FC4CDC">
              <w:rPr>
                <w:lang w:val="en-GB" w:eastAsia="en-US"/>
              </w:rPr>
              <w:t xml:space="preserve"> Veer-</w:t>
            </w:r>
            <w:proofErr w:type="spellStart"/>
            <w:r w:rsidRPr="00FC4CDC">
              <w:rPr>
                <w:lang w:val="en-GB" w:eastAsia="en-US"/>
              </w:rPr>
              <w:t>Tazelaar</w:t>
            </w:r>
            <w:proofErr w:type="spellEnd"/>
            <w:r w:rsidRPr="00FC4CDC">
              <w:rPr>
                <w:lang w:val="en-GB" w:eastAsia="en-US"/>
              </w:rPr>
              <w:t xml:space="preserve">, van </w:t>
            </w:r>
            <w:proofErr w:type="spellStart"/>
            <w:r w:rsidRPr="00FC4CDC">
              <w:rPr>
                <w:lang w:val="en-GB" w:eastAsia="en-US"/>
              </w:rPr>
              <w:t>Marwijk</w:t>
            </w:r>
            <w:proofErr w:type="spellEnd"/>
            <w:r w:rsidRPr="00FC4CDC">
              <w:rPr>
                <w:lang w:val="en-GB" w:eastAsia="en-US"/>
              </w:rPr>
              <w:t xml:space="preserve">, van </w:t>
            </w:r>
            <w:proofErr w:type="spellStart"/>
            <w:r w:rsidRPr="00FC4CDC">
              <w:rPr>
                <w:lang w:val="en-GB" w:eastAsia="en-US"/>
              </w:rPr>
              <w:t>Oppen</w:t>
            </w:r>
            <w:proofErr w:type="spellEnd"/>
            <w:r w:rsidRPr="00FC4CDC">
              <w:rPr>
                <w:lang w:val="en-GB" w:eastAsia="en-US"/>
              </w:rPr>
              <w:t xml:space="preserve">, van </w:t>
            </w:r>
            <w:proofErr w:type="spellStart"/>
            <w:r w:rsidRPr="00FC4CDC">
              <w:rPr>
                <w:lang w:val="en-GB" w:eastAsia="en-US"/>
              </w:rPr>
              <w:t>Hout</w:t>
            </w:r>
            <w:proofErr w:type="spellEnd"/>
            <w:r w:rsidRPr="00FC4CDC">
              <w:rPr>
                <w:lang w:val="en-GB" w:eastAsia="en-US"/>
              </w:rPr>
              <w:t xml:space="preserve">,  van der Horst, </w:t>
            </w:r>
            <w:proofErr w:type="spellStart"/>
            <w:r w:rsidRPr="00FC4CDC">
              <w:rPr>
                <w:lang w:val="en-GB" w:eastAsia="en-US"/>
              </w:rPr>
              <w:t>Cuijpers</w:t>
            </w:r>
            <w:proofErr w:type="spellEnd"/>
            <w:r w:rsidRPr="00FC4CDC">
              <w:rPr>
                <w:lang w:val="en-GB" w:eastAsia="en-US"/>
              </w:rPr>
              <w:t xml:space="preserve">, Smit &amp; </w:t>
            </w:r>
            <w:proofErr w:type="spellStart"/>
            <w:r w:rsidRPr="00FC4CDC">
              <w:rPr>
                <w:lang w:val="en-GB" w:eastAsia="en-US"/>
              </w:rPr>
              <w:t>Beekman</w:t>
            </w:r>
            <w:proofErr w:type="spellEnd"/>
            <w:r w:rsidRPr="00FC4CDC">
              <w:rPr>
                <w:lang w:val="en-GB" w:eastAsia="en-US"/>
              </w:rPr>
              <w:t>, 2009</w:t>
            </w:r>
          </w:p>
          <w:p w:rsidR="000C3FD6" w:rsidRPr="00FC4CDC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Follow-up paper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proofErr w:type="spellStart"/>
            <w:r w:rsidRPr="00FC4CDC">
              <w:rPr>
                <w:lang w:val="en-GB" w:eastAsia="en-US"/>
              </w:rPr>
              <w:lastRenderedPageBreak/>
              <w:t>van't</w:t>
            </w:r>
            <w:proofErr w:type="spellEnd"/>
            <w:r w:rsidRPr="00FC4CDC">
              <w:rPr>
                <w:lang w:val="en-GB" w:eastAsia="en-US"/>
              </w:rPr>
              <w:t xml:space="preserve"> Veer-</w:t>
            </w:r>
            <w:proofErr w:type="spellStart"/>
            <w:r w:rsidRPr="00FC4CDC">
              <w:rPr>
                <w:lang w:val="en-GB" w:eastAsia="en-US"/>
              </w:rPr>
              <w:t>Tazelaar</w:t>
            </w:r>
            <w:proofErr w:type="spellEnd"/>
            <w:r w:rsidRPr="00FC4CDC">
              <w:rPr>
                <w:lang w:val="en-GB" w:eastAsia="en-US"/>
              </w:rPr>
              <w:t xml:space="preserve">, van </w:t>
            </w:r>
            <w:proofErr w:type="spellStart"/>
            <w:r w:rsidRPr="00FC4CDC">
              <w:rPr>
                <w:lang w:val="en-GB" w:eastAsia="en-US"/>
              </w:rPr>
              <w:t>Marwijk</w:t>
            </w:r>
            <w:proofErr w:type="spellEnd"/>
            <w:r w:rsidRPr="00FC4CDC">
              <w:rPr>
                <w:lang w:val="en-GB" w:eastAsia="en-US"/>
              </w:rPr>
              <w:t xml:space="preserve">, van </w:t>
            </w:r>
            <w:proofErr w:type="spellStart"/>
            <w:r w:rsidRPr="00FC4CDC">
              <w:rPr>
                <w:lang w:val="en-GB" w:eastAsia="en-US"/>
              </w:rPr>
              <w:t>Oppen</w:t>
            </w:r>
            <w:proofErr w:type="spellEnd"/>
            <w:r w:rsidRPr="00FC4CDC">
              <w:rPr>
                <w:lang w:val="en-GB" w:eastAsia="en-US"/>
              </w:rPr>
              <w:t xml:space="preserve">, van der Horst, Smit, </w:t>
            </w:r>
            <w:proofErr w:type="spellStart"/>
            <w:r w:rsidRPr="00FC4CDC">
              <w:rPr>
                <w:lang w:val="en-GB" w:eastAsia="en-US"/>
              </w:rPr>
              <w:t>Cuijpers</w:t>
            </w:r>
            <w:proofErr w:type="spellEnd"/>
            <w:r w:rsidRPr="00FC4CDC">
              <w:rPr>
                <w:lang w:val="en-GB" w:eastAsia="en-US"/>
              </w:rPr>
              <w:t xml:space="preserve"> &amp; </w:t>
            </w:r>
            <w:proofErr w:type="spellStart"/>
            <w:r w:rsidRPr="00FC4CDC">
              <w:rPr>
                <w:lang w:val="en-GB" w:eastAsia="en-US"/>
              </w:rPr>
              <w:t>Beekman</w:t>
            </w:r>
            <w:proofErr w:type="spellEnd"/>
            <w:r w:rsidRPr="00FC4CDC">
              <w:rPr>
                <w:lang w:val="en-GB" w:eastAsia="en-US"/>
              </w:rPr>
              <w:t>, 2011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proofErr w:type="spellStart"/>
            <w:r w:rsidRPr="00FC4CDC">
              <w:rPr>
                <w:lang w:val="en-GB" w:eastAsia="en-US"/>
              </w:rPr>
              <w:lastRenderedPageBreak/>
              <w:t>Zatzick</w:t>
            </w:r>
            <w:proofErr w:type="spellEnd"/>
            <w:r w:rsidRPr="00FC4CDC">
              <w:rPr>
                <w:lang w:val="en-GB" w:eastAsia="en-US"/>
              </w:rPr>
              <w:t xml:space="preserve">; Roy-Byrne, Russo, </w:t>
            </w:r>
            <w:proofErr w:type="spellStart"/>
            <w:r w:rsidRPr="00FC4CDC">
              <w:rPr>
                <w:lang w:val="en-GB" w:eastAsia="en-US"/>
              </w:rPr>
              <w:t>Rivara</w:t>
            </w:r>
            <w:proofErr w:type="spellEnd"/>
            <w:r w:rsidRPr="00FC4CDC">
              <w:rPr>
                <w:lang w:val="en-GB" w:eastAsia="en-US"/>
              </w:rPr>
              <w:t xml:space="preserve">, </w:t>
            </w:r>
            <w:proofErr w:type="spellStart"/>
            <w:r w:rsidRPr="00FC4CDC">
              <w:rPr>
                <w:lang w:val="en-GB" w:eastAsia="en-US"/>
              </w:rPr>
              <w:t>Droesch</w:t>
            </w:r>
            <w:proofErr w:type="spellEnd"/>
            <w:r w:rsidRPr="00FC4CDC">
              <w:rPr>
                <w:lang w:val="en-GB" w:eastAsia="en-US"/>
              </w:rPr>
              <w:t xml:space="preserve">, Wagner, Dunn, </w:t>
            </w:r>
            <w:proofErr w:type="spellStart"/>
            <w:r w:rsidRPr="00FC4CDC">
              <w:rPr>
                <w:lang w:val="en-GB" w:eastAsia="en-US"/>
              </w:rPr>
              <w:t>Jurkovich</w:t>
            </w:r>
            <w:proofErr w:type="spellEnd"/>
            <w:r w:rsidRPr="00FC4CDC">
              <w:rPr>
                <w:lang w:val="en-GB" w:eastAsia="en-US"/>
              </w:rPr>
              <w:t xml:space="preserve">, Uehara &amp; </w:t>
            </w:r>
            <w:proofErr w:type="spellStart"/>
            <w:r w:rsidRPr="00FC4CDC">
              <w:rPr>
                <w:lang w:val="en-GB" w:eastAsia="en-US"/>
              </w:rPr>
              <w:t>Katon</w:t>
            </w:r>
            <w:proofErr w:type="spellEnd"/>
            <w:r w:rsidRPr="00FC4CDC">
              <w:rPr>
                <w:lang w:val="en-GB" w:eastAsia="en-US"/>
              </w:rPr>
              <w:t>, 2004</w:t>
            </w:r>
          </w:p>
        </w:tc>
        <w:tc>
          <w:tcPr>
            <w:tcW w:w="935" w:type="dxa"/>
          </w:tcPr>
          <w:p w:rsidR="000C3FD6" w:rsidRPr="00FC4CDC" w:rsidRDefault="000C3FD6" w:rsidP="00B07B7F">
            <w:pPr>
              <w:rPr>
                <w:lang w:val="en-GB" w:eastAsia="en-US"/>
              </w:rPr>
            </w:pPr>
            <w:proofErr w:type="spellStart"/>
            <w:r w:rsidRPr="00F33F76">
              <w:rPr>
                <w:lang w:val="en-GB" w:eastAsia="en-US"/>
              </w:rPr>
              <w:t>Zatzick</w:t>
            </w:r>
            <w:proofErr w:type="spellEnd"/>
            <w:r w:rsidRPr="00F33F76">
              <w:rPr>
                <w:lang w:val="en-GB" w:eastAsia="en-US"/>
              </w:rPr>
              <w:t xml:space="preserve">, </w:t>
            </w:r>
            <w:proofErr w:type="spellStart"/>
            <w:r w:rsidRPr="00F33F76">
              <w:rPr>
                <w:lang w:val="en-GB" w:eastAsia="en-US"/>
              </w:rPr>
              <w:t>Jurkovich</w:t>
            </w:r>
            <w:proofErr w:type="spellEnd"/>
            <w:r w:rsidRPr="00F33F76">
              <w:rPr>
                <w:lang w:val="en-GB" w:eastAsia="en-US"/>
              </w:rPr>
              <w:t xml:space="preserve">, </w:t>
            </w:r>
            <w:proofErr w:type="spellStart"/>
            <w:r w:rsidRPr="00F33F76">
              <w:rPr>
                <w:lang w:val="en-GB" w:eastAsia="en-US"/>
              </w:rPr>
              <w:t>Rivara</w:t>
            </w:r>
            <w:proofErr w:type="spellEnd"/>
            <w:r w:rsidRPr="00F33F76">
              <w:rPr>
                <w:lang w:val="en-GB" w:eastAsia="en-US"/>
              </w:rPr>
              <w:t xml:space="preserve">, Russo,  Wagner, Wang, Dunn, Lord, Petrie, O'Connor &amp; </w:t>
            </w:r>
            <w:proofErr w:type="spellStart"/>
            <w:r w:rsidRPr="00F33F76">
              <w:rPr>
                <w:lang w:val="en-GB" w:eastAsia="en-US"/>
              </w:rPr>
              <w:t>Katon</w:t>
            </w:r>
            <w:proofErr w:type="spellEnd"/>
            <w:r w:rsidRPr="00F33F76">
              <w:rPr>
                <w:lang w:val="en-GB" w:eastAsia="en-US"/>
              </w:rPr>
              <w:t>, 2013</w:t>
            </w:r>
          </w:p>
        </w:tc>
      </w:tr>
      <w:tr w:rsidR="000C3FD6" w:rsidTr="0068100B">
        <w:trPr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Design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296A1C">
              <w:rPr>
                <w:lang w:val="en-GB" w:eastAsia="en-US"/>
              </w:rPr>
              <w:t>RCT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RCT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Cluster RCT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RCT</w:t>
            </w:r>
          </w:p>
        </w:tc>
        <w:tc>
          <w:tcPr>
            <w:tcW w:w="864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RCT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RCT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RCT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RCT</w:t>
            </w:r>
          </w:p>
        </w:tc>
      </w:tr>
      <w:tr w:rsidR="000C3FD6" w:rsidTr="0068100B">
        <w:trPr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Intervention (I) and Comparison (C)</w:t>
            </w:r>
          </w:p>
        </w:tc>
        <w:tc>
          <w:tcPr>
            <w:tcW w:w="907" w:type="dxa"/>
          </w:tcPr>
          <w:p w:rsidR="000C3FD6" w:rsidRPr="00B52C15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(I): Stepped care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(C): Usual care</w:t>
            </w:r>
          </w:p>
        </w:tc>
        <w:tc>
          <w:tcPr>
            <w:tcW w:w="1028" w:type="dxa"/>
          </w:tcPr>
          <w:p w:rsidR="000C3FD6" w:rsidRPr="00BF75E4" w:rsidRDefault="000C3FD6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(I): Enhanced depression care (COPES)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(C): Care as usual (CAU)</w:t>
            </w:r>
          </w:p>
        </w:tc>
        <w:tc>
          <w:tcPr>
            <w:tcW w:w="1028" w:type="dxa"/>
          </w:tcPr>
          <w:p w:rsidR="000C3FD6" w:rsidRPr="00B35B45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(I): Collaborative stepped care (CSC)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(C): Care as usual (CAU)</w:t>
            </w:r>
          </w:p>
        </w:tc>
        <w:tc>
          <w:tcPr>
            <w:tcW w:w="907" w:type="dxa"/>
          </w:tcPr>
          <w:p w:rsidR="000C3FD6" w:rsidRPr="00F7533F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(I): Stepped care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 xml:space="preserve">(C): Usual care  </w:t>
            </w:r>
          </w:p>
        </w:tc>
        <w:tc>
          <w:tcPr>
            <w:tcW w:w="864" w:type="dxa"/>
          </w:tcPr>
          <w:p w:rsidR="000C3FD6" w:rsidRPr="00BA3A98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(I): Stepped care exposure and response prevention (ERP)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lastRenderedPageBreak/>
              <w:t>(C): Standard ERP</w:t>
            </w:r>
          </w:p>
        </w:tc>
        <w:tc>
          <w:tcPr>
            <w:tcW w:w="907" w:type="dxa"/>
          </w:tcPr>
          <w:p w:rsidR="000C3FD6" w:rsidRPr="00FC4CDC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lastRenderedPageBreak/>
              <w:t>(I): Preventive stepped care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(C): Usual care (UC)</w:t>
            </w:r>
          </w:p>
        </w:tc>
        <w:tc>
          <w:tcPr>
            <w:tcW w:w="935" w:type="dxa"/>
          </w:tcPr>
          <w:p w:rsidR="000C3FD6" w:rsidRPr="00FC4CDC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(I): Stepped collaborative care (SCC)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(C): Usual care (UC)</w:t>
            </w:r>
          </w:p>
        </w:tc>
        <w:tc>
          <w:tcPr>
            <w:tcW w:w="935" w:type="dxa"/>
          </w:tcPr>
          <w:p w:rsidR="000C3FD6" w:rsidRPr="00F33F76" w:rsidRDefault="000C3FD6" w:rsidP="00B07B7F">
            <w:pPr>
              <w:rPr>
                <w:lang w:val="en-GB" w:eastAsia="en-US"/>
              </w:rPr>
            </w:pPr>
            <w:r w:rsidRPr="00F33F76">
              <w:rPr>
                <w:lang w:val="en-GB" w:eastAsia="en-US"/>
              </w:rPr>
              <w:t xml:space="preserve">(I): Stepped collaborative care 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F33F76">
              <w:rPr>
                <w:lang w:val="en-GB" w:eastAsia="en-US"/>
              </w:rPr>
              <w:t>(C): Usual care</w:t>
            </w:r>
          </w:p>
        </w:tc>
      </w:tr>
      <w:tr w:rsidR="000C3FD6" w:rsidTr="0068100B">
        <w:trPr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Focus of intervention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Prevention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Treatment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Treatment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Treatment</w:t>
            </w:r>
          </w:p>
        </w:tc>
        <w:tc>
          <w:tcPr>
            <w:tcW w:w="864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Treatment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Prevention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Treatment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Treatment</w:t>
            </w:r>
          </w:p>
        </w:tc>
      </w:tr>
      <w:tr w:rsidR="000C3FD6" w:rsidTr="0068100B">
        <w:trPr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Baseline Diagnosis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A score of at least 8 on the CES-D, but no depressive or anxiety disorder (MINI)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A score from 10-45 on the BDI 1 week and 3 months post hospitalisation for acute coronary syndrome (ACS).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DSM-IV diagnosis of depressive or anxiety disorder (MINI)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 xml:space="preserve">DSM-IV diagnosis of major depression, minor depression, dysthymia, panic disorder, social phobia or GAD (CIDI), minor anxiety </w:t>
            </w:r>
            <w:r w:rsidRPr="00F7533F">
              <w:rPr>
                <w:lang w:val="en-GB" w:eastAsia="en-US"/>
              </w:rPr>
              <w:lastRenderedPageBreak/>
              <w:t>(score of 12 or more on the HADS)</w:t>
            </w:r>
          </w:p>
        </w:tc>
        <w:tc>
          <w:tcPr>
            <w:tcW w:w="864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lastRenderedPageBreak/>
              <w:t>DSM-IV diagnosis of OCD (ADIS-IV)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A score of at least 16 on the CES-D, but no depressive or anxiety disorder (MINI)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A score of at least 45 on the PCL and/or at 16 on the CES-D in the surgical ward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A score of at least 35 on the PCL in the surgical ward and following discharge.</w:t>
            </w:r>
          </w:p>
        </w:tc>
      </w:tr>
      <w:tr w:rsidR="000C3FD6" w:rsidTr="0068100B">
        <w:trPr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Primary Outcome domain (Measure(s))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- Cumulative 12 month incidence of depressive and anxiety disorders (MINI)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- Anxiety  (HADS-A)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- % of patients responding to and remitting after treatment (CGI-I; CGI-S)</w:t>
            </w:r>
          </w:p>
        </w:tc>
        <w:tc>
          <w:tcPr>
            <w:tcW w:w="907" w:type="dxa"/>
          </w:tcPr>
          <w:p w:rsidR="000C3FD6" w:rsidRPr="00F7533F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- Depression symptoms (IDS)</w:t>
            </w:r>
          </w:p>
          <w:p w:rsidR="000C3FD6" w:rsidRPr="00F7533F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- Anxiety symptoms (HADS)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- Daily functioning (WSAS)</w:t>
            </w:r>
          </w:p>
        </w:tc>
        <w:tc>
          <w:tcPr>
            <w:tcW w:w="864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- OCD symptoms (Y-BOCS)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- Cumulative 12-month incidence of anxiety and depressive disorders (MINI)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- DSM-IV diagnosis of PTSD (PCL)</w:t>
            </w:r>
          </w:p>
        </w:tc>
        <w:tc>
          <w:tcPr>
            <w:tcW w:w="935" w:type="dxa"/>
          </w:tcPr>
          <w:p w:rsidR="000C3FD6" w:rsidRPr="000C3FD6" w:rsidRDefault="000C3FD6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-PTSD symptoms and diagnosis (CAPS; PCL)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-PTSD remission and treatment response (CAPS)</w:t>
            </w:r>
          </w:p>
        </w:tc>
      </w:tr>
      <w:tr w:rsidR="000C3FD6" w:rsidTr="0068100B">
        <w:trPr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 xml:space="preserve">Secondary Outcome </w:t>
            </w:r>
            <w:r w:rsidRPr="00580980">
              <w:rPr>
                <w:b/>
                <w:color w:val="FFFFFF" w:themeColor="background1"/>
                <w:lang w:val="en-GB" w:eastAsia="en-US"/>
              </w:rPr>
              <w:lastRenderedPageBreak/>
              <w:t>domain (Measure(s))</w:t>
            </w:r>
          </w:p>
        </w:tc>
        <w:tc>
          <w:tcPr>
            <w:tcW w:w="907" w:type="dxa"/>
          </w:tcPr>
          <w:p w:rsidR="000C3FD6" w:rsidRPr="00B52C15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lastRenderedPageBreak/>
              <w:t xml:space="preserve">-  Depression </w:t>
            </w:r>
            <w:r w:rsidRPr="00B52C15">
              <w:rPr>
                <w:lang w:val="en-GB" w:eastAsia="en-US"/>
              </w:rPr>
              <w:lastRenderedPageBreak/>
              <w:t>symptoms (CES-D)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- Anxiety (HADS-A)</w:t>
            </w:r>
          </w:p>
        </w:tc>
        <w:tc>
          <w:tcPr>
            <w:tcW w:w="1028" w:type="dxa"/>
          </w:tcPr>
          <w:p w:rsidR="000C3FD6" w:rsidRDefault="000C3FD6" w:rsidP="00B07B7F">
            <w:pPr>
              <w:rPr>
                <w:lang w:val="en-GB" w:eastAsia="en-US"/>
              </w:rPr>
            </w:pPr>
          </w:p>
        </w:tc>
        <w:tc>
          <w:tcPr>
            <w:tcW w:w="1028" w:type="dxa"/>
          </w:tcPr>
          <w:p w:rsidR="000C3FD6" w:rsidRPr="00B35B45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- Anxiety symptoms (HRSA)</w:t>
            </w:r>
          </w:p>
          <w:p w:rsidR="000C3FD6" w:rsidRPr="00B35B45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lastRenderedPageBreak/>
              <w:t>- Depressive symptoms (CES-D)</w:t>
            </w:r>
          </w:p>
          <w:p w:rsidR="000C3FD6" w:rsidRPr="00B35B45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- Phobic behaviour (FQ)</w:t>
            </w:r>
          </w:p>
          <w:p w:rsidR="000C3FD6" w:rsidRPr="00B35B45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- General symptoms (SCL-90-R)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 xml:space="preserve"> Quality of life (SF-36)</w:t>
            </w: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</w:p>
        </w:tc>
        <w:tc>
          <w:tcPr>
            <w:tcW w:w="864" w:type="dxa"/>
          </w:tcPr>
          <w:p w:rsidR="000C3FD6" w:rsidRDefault="000C3FD6" w:rsidP="00B07B7F">
            <w:pPr>
              <w:rPr>
                <w:lang w:val="en-GB" w:eastAsia="en-US"/>
              </w:rPr>
            </w:pPr>
          </w:p>
        </w:tc>
        <w:tc>
          <w:tcPr>
            <w:tcW w:w="907" w:type="dxa"/>
          </w:tcPr>
          <w:p w:rsidR="000C3FD6" w:rsidRDefault="000C3FD6" w:rsidP="00B07B7F">
            <w:pPr>
              <w:rPr>
                <w:lang w:val="en-GB" w:eastAsia="en-US"/>
              </w:rPr>
            </w:pP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 xml:space="preserve">DSM-IV diagnosis of alcohol abuse or </w:t>
            </w:r>
            <w:r w:rsidRPr="00FC4CDC">
              <w:rPr>
                <w:lang w:val="en-GB" w:eastAsia="en-US"/>
              </w:rPr>
              <w:lastRenderedPageBreak/>
              <w:t>dependence (CIDI)</w:t>
            </w:r>
          </w:p>
        </w:tc>
        <w:tc>
          <w:tcPr>
            <w:tcW w:w="935" w:type="dxa"/>
          </w:tcPr>
          <w:p w:rsidR="000C3FD6" w:rsidRDefault="000C3FD6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lastRenderedPageBreak/>
              <w:t xml:space="preserve">- Depressive symptoms (PHQ) - </w:t>
            </w:r>
            <w:r w:rsidRPr="000C3FD6">
              <w:rPr>
                <w:lang w:val="en-GB" w:eastAsia="en-US"/>
              </w:rPr>
              <w:lastRenderedPageBreak/>
              <w:t>Alcohol use (AUDIT-C).</w:t>
            </w:r>
          </w:p>
        </w:tc>
      </w:tr>
      <w:tr w:rsidR="000C3FD6" w:rsidTr="0068100B">
        <w:trPr>
          <w:jc w:val="center"/>
        </w:trPr>
        <w:tc>
          <w:tcPr>
            <w:tcW w:w="1209" w:type="dxa"/>
            <w:shd w:val="clear" w:color="auto" w:fill="002060"/>
          </w:tcPr>
          <w:p w:rsidR="000C3FD6" w:rsidRPr="00580980" w:rsidRDefault="000C3FD6" w:rsidP="00B07B7F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lastRenderedPageBreak/>
              <w:t>Setting and characteristics of sample</w:t>
            </w:r>
          </w:p>
        </w:tc>
        <w:tc>
          <w:tcPr>
            <w:tcW w:w="907" w:type="dxa"/>
          </w:tcPr>
          <w:p w:rsidR="000C3FD6" w:rsidRPr="00B52C15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Elderly people in nursing homes in the Netherlands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lastRenderedPageBreak/>
              <w:t>Total sample size: N=185</w:t>
            </w:r>
          </w:p>
        </w:tc>
        <w:tc>
          <w:tcPr>
            <w:tcW w:w="1028" w:type="dxa"/>
          </w:tcPr>
          <w:p w:rsidR="000C3FD6" w:rsidRPr="00BF75E4" w:rsidRDefault="000C3FD6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lastRenderedPageBreak/>
              <w:t>US patients with ACS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Total sample size: N=157</w:t>
            </w:r>
          </w:p>
        </w:tc>
        <w:tc>
          <w:tcPr>
            <w:tcW w:w="1028" w:type="dxa"/>
          </w:tcPr>
          <w:p w:rsidR="000C3FD6" w:rsidRPr="00B35B45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Adults in primary care in the Netherlands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Total sample size: N=158</w:t>
            </w:r>
          </w:p>
        </w:tc>
        <w:tc>
          <w:tcPr>
            <w:tcW w:w="907" w:type="dxa"/>
          </w:tcPr>
          <w:p w:rsidR="000C3FD6" w:rsidRPr="00F7533F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Adults in primary care in the Netherlands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 xml:space="preserve">Total sample </w:t>
            </w:r>
            <w:r w:rsidRPr="00F7533F">
              <w:rPr>
                <w:lang w:val="en-GB" w:eastAsia="en-US"/>
              </w:rPr>
              <w:lastRenderedPageBreak/>
              <w:t>size: N=120</w:t>
            </w:r>
          </w:p>
        </w:tc>
        <w:tc>
          <w:tcPr>
            <w:tcW w:w="864" w:type="dxa"/>
          </w:tcPr>
          <w:p w:rsidR="000C3FD6" w:rsidRPr="00BA3A98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lastRenderedPageBreak/>
              <w:t>US adults in outpatient mental health care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 xml:space="preserve">Total sample </w:t>
            </w:r>
            <w:r w:rsidRPr="00BA3A98">
              <w:rPr>
                <w:lang w:val="en-GB" w:eastAsia="en-US"/>
              </w:rPr>
              <w:lastRenderedPageBreak/>
              <w:t>size: N=185</w:t>
            </w:r>
          </w:p>
        </w:tc>
        <w:tc>
          <w:tcPr>
            <w:tcW w:w="907" w:type="dxa"/>
          </w:tcPr>
          <w:p w:rsidR="000C3FD6" w:rsidRPr="00FC4CDC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lastRenderedPageBreak/>
              <w:t>Adults aged over 75 in primary care in the Netherlands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lastRenderedPageBreak/>
              <w:t>Total sample size: N=170</w:t>
            </w:r>
          </w:p>
        </w:tc>
        <w:tc>
          <w:tcPr>
            <w:tcW w:w="935" w:type="dxa"/>
          </w:tcPr>
          <w:p w:rsidR="000C3FD6" w:rsidRPr="00FC4CDC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lastRenderedPageBreak/>
              <w:t>US patients admitted to hospital for surgery after injury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Total sample size: N=120</w:t>
            </w:r>
          </w:p>
        </w:tc>
        <w:tc>
          <w:tcPr>
            <w:tcW w:w="935" w:type="dxa"/>
          </w:tcPr>
          <w:p w:rsidR="000C3FD6" w:rsidRPr="000C3FD6" w:rsidRDefault="000C3FD6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US patients admitted to hospital for surgery after injury</w:t>
            </w:r>
          </w:p>
          <w:p w:rsidR="000C3FD6" w:rsidRDefault="000C3FD6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Total sample size: N=207</w:t>
            </w:r>
          </w:p>
        </w:tc>
      </w:tr>
      <w:tr w:rsidR="0068100B" w:rsidTr="0068100B">
        <w:trPr>
          <w:trHeight w:val="188"/>
          <w:jc w:val="center"/>
        </w:trPr>
        <w:tc>
          <w:tcPr>
            <w:tcW w:w="1209" w:type="dxa"/>
            <w:shd w:val="clear" w:color="auto" w:fill="002060"/>
          </w:tcPr>
          <w:p w:rsidR="0068100B" w:rsidRPr="00580980" w:rsidRDefault="0068100B" w:rsidP="0068100B">
            <w:pPr>
              <w:rPr>
                <w:b/>
                <w:color w:val="FFFFFF" w:themeColor="background1"/>
                <w:lang w:val="en-GB" w:eastAsia="en-US"/>
              </w:rPr>
            </w:pPr>
            <w:r w:rsidRPr="00580980">
              <w:rPr>
                <w:b/>
                <w:color w:val="FFFFFF" w:themeColor="background1"/>
                <w:lang w:val="en-GB" w:eastAsia="en-US"/>
              </w:rPr>
              <w:t>Participants</w:t>
            </w:r>
            <w:r>
              <w:rPr>
                <w:b/>
                <w:color w:val="FFFFFF" w:themeColor="background1"/>
                <w:lang w:val="en-GB" w:eastAsia="en-US"/>
              </w:rPr>
              <w:t xml:space="preserve">: </w:t>
            </w:r>
            <w:r w:rsidRPr="00580980">
              <w:rPr>
                <w:b/>
                <w:color w:val="FFFFFF" w:themeColor="background1"/>
                <w:lang w:val="en-GB" w:eastAsia="en-US"/>
              </w:rPr>
              <w:t>I</w:t>
            </w:r>
          </w:p>
        </w:tc>
        <w:tc>
          <w:tcPr>
            <w:tcW w:w="907" w:type="dxa"/>
          </w:tcPr>
          <w:p w:rsidR="0068100B" w:rsidRPr="00B52C15" w:rsidRDefault="0068100B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n= 93</w:t>
            </w:r>
          </w:p>
          <w:p w:rsidR="0068100B" w:rsidRPr="00B52C15" w:rsidRDefault="0068100B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Mean age: 85 (7)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72% female</w:t>
            </w:r>
          </w:p>
        </w:tc>
        <w:tc>
          <w:tcPr>
            <w:tcW w:w="1028" w:type="dxa"/>
          </w:tcPr>
          <w:p w:rsidR="0068100B" w:rsidRPr="00BF75E4" w:rsidRDefault="0068100B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n= 80</w:t>
            </w:r>
          </w:p>
          <w:p w:rsidR="0068100B" w:rsidRPr="00BF75E4" w:rsidRDefault="0068100B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Mean age: 59 (11)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54% female</w:t>
            </w:r>
          </w:p>
        </w:tc>
        <w:tc>
          <w:tcPr>
            <w:tcW w:w="1028" w:type="dxa"/>
          </w:tcPr>
          <w:p w:rsidR="0068100B" w:rsidRPr="00B35B45" w:rsidRDefault="0068100B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n= 94</w:t>
            </w:r>
          </w:p>
          <w:p w:rsidR="0068100B" w:rsidRPr="00B35B45" w:rsidRDefault="0068100B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Mean age: 37 (12)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63% female</w:t>
            </w:r>
          </w:p>
        </w:tc>
        <w:tc>
          <w:tcPr>
            <w:tcW w:w="907" w:type="dxa"/>
          </w:tcPr>
          <w:p w:rsidR="0068100B" w:rsidRPr="00F7533F" w:rsidRDefault="0068100B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n= 60</w:t>
            </w:r>
          </w:p>
          <w:p w:rsidR="0068100B" w:rsidRPr="00F7533F" w:rsidRDefault="0068100B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Mean age: 51 (10)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F7533F">
              <w:rPr>
                <w:lang w:val="en-GB" w:eastAsia="en-US"/>
              </w:rPr>
              <w:t>68% female</w:t>
            </w:r>
          </w:p>
        </w:tc>
        <w:tc>
          <w:tcPr>
            <w:tcW w:w="864" w:type="dxa"/>
          </w:tcPr>
          <w:p w:rsidR="0068100B" w:rsidRPr="00BA3A98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 xml:space="preserve">n= 19 </w:t>
            </w:r>
          </w:p>
          <w:p w:rsidR="0068100B" w:rsidRPr="00BA3A98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Mean age: 36 (15)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68% female</w:t>
            </w:r>
          </w:p>
        </w:tc>
        <w:tc>
          <w:tcPr>
            <w:tcW w:w="907" w:type="dxa"/>
          </w:tcPr>
          <w:p w:rsidR="0068100B" w:rsidRPr="00FC4CDC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n= 86</w:t>
            </w:r>
          </w:p>
          <w:p w:rsidR="0068100B" w:rsidRPr="00FC4CDC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Mean age: 82 (4)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70% female</w:t>
            </w:r>
          </w:p>
        </w:tc>
        <w:tc>
          <w:tcPr>
            <w:tcW w:w="935" w:type="dxa"/>
          </w:tcPr>
          <w:p w:rsidR="0068100B" w:rsidRPr="00FC4CDC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n= 59</w:t>
            </w:r>
          </w:p>
          <w:p w:rsidR="0068100B" w:rsidRPr="00FC4CDC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Mean age: 37 (13)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32% female</w:t>
            </w:r>
          </w:p>
        </w:tc>
        <w:tc>
          <w:tcPr>
            <w:tcW w:w="935" w:type="dxa"/>
          </w:tcPr>
          <w:p w:rsidR="0068100B" w:rsidRPr="000C3FD6" w:rsidRDefault="0068100B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n= 104</w:t>
            </w:r>
          </w:p>
          <w:p w:rsidR="0068100B" w:rsidRPr="000C3FD6" w:rsidRDefault="0068100B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Mean age: 39 (13)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52% female</w:t>
            </w:r>
          </w:p>
        </w:tc>
      </w:tr>
      <w:tr w:rsidR="0068100B" w:rsidTr="0068100B">
        <w:trPr>
          <w:trHeight w:val="187"/>
          <w:jc w:val="center"/>
        </w:trPr>
        <w:tc>
          <w:tcPr>
            <w:tcW w:w="1209" w:type="dxa"/>
            <w:shd w:val="clear" w:color="auto" w:fill="002060"/>
          </w:tcPr>
          <w:p w:rsidR="0068100B" w:rsidRPr="00580980" w:rsidRDefault="0068100B" w:rsidP="00B07B7F">
            <w:pPr>
              <w:rPr>
                <w:b/>
                <w:color w:val="FFFFFF" w:themeColor="background1"/>
                <w:lang w:val="en-GB" w:eastAsia="en-US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Participants: </w:t>
            </w:r>
            <w:r w:rsidRPr="00580980">
              <w:rPr>
                <w:b/>
                <w:color w:val="FFFFFF" w:themeColor="background1"/>
                <w:lang w:val="en-GB" w:eastAsia="en-US"/>
              </w:rPr>
              <w:t>C</w:t>
            </w:r>
          </w:p>
        </w:tc>
        <w:tc>
          <w:tcPr>
            <w:tcW w:w="907" w:type="dxa"/>
          </w:tcPr>
          <w:p w:rsidR="0068100B" w:rsidRPr="00B52C15" w:rsidRDefault="0068100B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N= 92</w:t>
            </w:r>
          </w:p>
          <w:p w:rsidR="0068100B" w:rsidRPr="00B52C15" w:rsidRDefault="0068100B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Mean age: 84 (6)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52C15">
              <w:rPr>
                <w:lang w:val="en-GB" w:eastAsia="en-US"/>
              </w:rPr>
              <w:t>73.9% female</w:t>
            </w:r>
          </w:p>
        </w:tc>
        <w:tc>
          <w:tcPr>
            <w:tcW w:w="1028" w:type="dxa"/>
          </w:tcPr>
          <w:p w:rsidR="0068100B" w:rsidRPr="00BF75E4" w:rsidRDefault="0068100B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n= 77</w:t>
            </w:r>
          </w:p>
          <w:p w:rsidR="0068100B" w:rsidRPr="00BF75E4" w:rsidRDefault="0068100B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Mean age: 61 (11)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F75E4">
              <w:rPr>
                <w:lang w:val="en-GB" w:eastAsia="en-US"/>
              </w:rPr>
              <w:t>53% female</w:t>
            </w:r>
          </w:p>
        </w:tc>
        <w:tc>
          <w:tcPr>
            <w:tcW w:w="1028" w:type="dxa"/>
          </w:tcPr>
          <w:p w:rsidR="0068100B" w:rsidRPr="00B35B45" w:rsidRDefault="0068100B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n= 64</w:t>
            </w:r>
          </w:p>
          <w:p w:rsidR="0068100B" w:rsidRPr="00B35B45" w:rsidRDefault="0068100B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Mean age: 39 (12)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35B45">
              <w:rPr>
                <w:lang w:val="en-GB" w:eastAsia="en-US"/>
              </w:rPr>
              <w:t>61% female</w:t>
            </w:r>
          </w:p>
        </w:tc>
        <w:tc>
          <w:tcPr>
            <w:tcW w:w="907" w:type="dxa"/>
          </w:tcPr>
          <w:p w:rsidR="0068100B" w:rsidRPr="00BA3A98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n= 60</w:t>
            </w:r>
          </w:p>
          <w:p w:rsidR="0068100B" w:rsidRPr="00BA3A98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Mean age: 49 (12)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62% female</w:t>
            </w:r>
          </w:p>
        </w:tc>
        <w:tc>
          <w:tcPr>
            <w:tcW w:w="864" w:type="dxa"/>
          </w:tcPr>
          <w:p w:rsidR="0068100B" w:rsidRPr="00BA3A98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n= 15</w:t>
            </w:r>
          </w:p>
          <w:p w:rsidR="0068100B" w:rsidRPr="00BA3A98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Mean age: 33 (11)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BA3A98">
              <w:rPr>
                <w:lang w:val="en-GB" w:eastAsia="en-US"/>
              </w:rPr>
              <w:t>47% female</w:t>
            </w:r>
          </w:p>
        </w:tc>
        <w:tc>
          <w:tcPr>
            <w:tcW w:w="907" w:type="dxa"/>
          </w:tcPr>
          <w:p w:rsidR="0068100B" w:rsidRPr="00FC4CDC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n= 84</w:t>
            </w:r>
          </w:p>
          <w:p w:rsidR="0068100B" w:rsidRPr="00FC4CDC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Mean age: 81 (4)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77% female</w:t>
            </w:r>
          </w:p>
        </w:tc>
        <w:tc>
          <w:tcPr>
            <w:tcW w:w="935" w:type="dxa"/>
          </w:tcPr>
          <w:p w:rsidR="0068100B" w:rsidRPr="00FC4CDC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n= 61</w:t>
            </w:r>
          </w:p>
          <w:p w:rsidR="0068100B" w:rsidRPr="00FC4CDC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Mean age: 44 (16)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FC4CDC">
              <w:rPr>
                <w:lang w:val="en-GB" w:eastAsia="en-US"/>
              </w:rPr>
              <w:t>33% female</w:t>
            </w:r>
          </w:p>
        </w:tc>
        <w:tc>
          <w:tcPr>
            <w:tcW w:w="935" w:type="dxa"/>
          </w:tcPr>
          <w:p w:rsidR="0068100B" w:rsidRPr="000C3FD6" w:rsidRDefault="0068100B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n= 103</w:t>
            </w:r>
          </w:p>
          <w:p w:rsidR="0068100B" w:rsidRPr="000C3FD6" w:rsidRDefault="0068100B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Mean age: 38 (13)</w:t>
            </w:r>
          </w:p>
          <w:p w:rsidR="0068100B" w:rsidRDefault="0068100B" w:rsidP="00B07B7F">
            <w:pPr>
              <w:rPr>
                <w:lang w:val="en-GB" w:eastAsia="en-US"/>
              </w:rPr>
            </w:pPr>
            <w:r w:rsidRPr="000C3FD6">
              <w:rPr>
                <w:lang w:val="en-GB" w:eastAsia="en-US"/>
              </w:rPr>
              <w:t>44% female</w:t>
            </w:r>
          </w:p>
        </w:tc>
      </w:tr>
    </w:tbl>
    <w:p w:rsidR="000C3FD6" w:rsidRPr="000C3FD6" w:rsidRDefault="000C3FD6" w:rsidP="000C3FD6">
      <w:pPr>
        <w:rPr>
          <w:lang w:val="en-GB" w:eastAsia="en-US"/>
        </w:rPr>
      </w:pPr>
    </w:p>
    <w:p w:rsidR="0090455A" w:rsidRDefault="0090455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0455A" w:rsidRDefault="0090455A" w:rsidP="000C3FD6">
      <w:pPr>
        <w:rPr>
          <w:b/>
        </w:rPr>
        <w:sectPr w:rsidR="0090455A" w:rsidSect="0090455A">
          <w:pgSz w:w="16838" w:h="11906" w:orient="landscape" w:code="9"/>
          <w:pgMar w:top="1701" w:right="2268" w:bottom="1701" w:left="1440" w:header="709" w:footer="709" w:gutter="0"/>
          <w:cols w:space="708"/>
          <w:titlePg/>
          <w:docGrid w:linePitch="360"/>
        </w:sectPr>
      </w:pPr>
    </w:p>
    <w:p w:rsidR="000C3FD6" w:rsidRDefault="000C3FD6" w:rsidP="000C3FD6">
      <w:r>
        <w:rPr>
          <w:b/>
        </w:rPr>
        <w:lastRenderedPageBreak/>
        <w:t>Study 1</w:t>
      </w:r>
      <w:r w:rsidRPr="00BF75E4">
        <w:rPr>
          <w:b/>
        </w:rPr>
        <w:t>:</w:t>
      </w:r>
      <w:r>
        <w:t xml:space="preserve"> Description of intervention and comparison: Step 1: watchful waiting. Step 2: Activity scheduling. Step 3: life review with GP. Step 4: additional specialist treatment. After one month of watchful waiting, assessments took place in cycles of three months. Failure to improve by at least 5 points on the CES-D determined step-up, while those with a decrease of 0-5 points received further monitoring. Participants who had a CES-D score ≥ 16 after 7 months went to Step 4. Residents in the usual care group had access to any form of health care that was considered appropriate.</w:t>
      </w:r>
    </w:p>
    <w:p w:rsidR="000C3FD6" w:rsidRDefault="000C3FD6" w:rsidP="000C3FD6">
      <w:r>
        <w:t>Results: The intervention was not effective in reducing the incidence of anxiety disorders relative to the usual care group (IRR = 1.32; 95% CI = 0.48–3.62).</w:t>
      </w:r>
    </w:p>
    <w:p w:rsidR="000C3FD6" w:rsidRDefault="000C3FD6" w:rsidP="000C3FD6">
      <w:r>
        <w:rPr>
          <w:b/>
        </w:rPr>
        <w:t>Study 2</w:t>
      </w:r>
      <w:r w:rsidRPr="00BF75E4">
        <w:rPr>
          <w:b/>
        </w:rPr>
        <w:t>:</w:t>
      </w:r>
      <w:r>
        <w:t xml:space="preserve"> </w:t>
      </w:r>
      <w:r w:rsidRPr="002A448B">
        <w:rPr>
          <w:b/>
        </w:rPr>
        <w:t>Description of intervention and comparison</w:t>
      </w:r>
      <w:r>
        <w:t>: Stepped care was embedded within a collaborative care approach, which included</w:t>
      </w:r>
      <w:r w:rsidRPr="007E4D59">
        <w:t xml:space="preserve"> </w:t>
      </w:r>
      <w:r>
        <w:t>participant</w:t>
      </w:r>
      <w:r w:rsidRPr="007E4D59">
        <w:t xml:space="preserve"> choice of psychotherapy </w:t>
      </w:r>
      <w:r>
        <w:t>(PST) and/or pharmacotherapy. Symptoms were</w:t>
      </w:r>
      <w:r w:rsidRPr="007E4D59">
        <w:t xml:space="preserve"> reviewed every 8 weeks.</w:t>
      </w:r>
      <w:r>
        <w:t xml:space="preserve"> Patients who achieved recovery from depression (at least a 50% reduction on PHQ-9 score and fewer than 3 of 9 symptoms) were followed up monthly. Participants who had not responded to treatment at a given time point had a treatment plan developed that could include change and/or augmentation of ADs or a change from ADs to PST or vice versa. Usual care was d</w:t>
      </w:r>
      <w:r w:rsidRPr="006B4DF7">
        <w:t>efined by the</w:t>
      </w:r>
      <w:r>
        <w:t xml:space="preserve"> patient’s treating physicians, who were informed that their </w:t>
      </w:r>
      <w:r w:rsidRPr="006B4DF7">
        <w:t>patients were participating in a trial and that they ha</w:t>
      </w:r>
      <w:r>
        <w:t xml:space="preserve">d elevated depressive symptoms or </w:t>
      </w:r>
      <w:r w:rsidRPr="006B4DF7">
        <w:t>met the criteria for a major depressive episode.</w:t>
      </w:r>
    </w:p>
    <w:p w:rsidR="000C3FD6" w:rsidRDefault="000C3FD6" w:rsidP="000C3FD6">
      <w:r w:rsidRPr="007E4D59">
        <w:rPr>
          <w:b/>
        </w:rPr>
        <w:t>Results</w:t>
      </w:r>
      <w:r>
        <w:t xml:space="preserve">: </w:t>
      </w:r>
      <w:r w:rsidRPr="007E4D59">
        <w:t xml:space="preserve">At </w:t>
      </w:r>
      <w:r>
        <w:t>post-treatment</w:t>
      </w:r>
      <w:r w:rsidRPr="007E4D59">
        <w:t xml:space="preserve">, </w:t>
      </w:r>
      <w:r>
        <w:t>COPES participants</w:t>
      </w:r>
      <w:r w:rsidRPr="007E4D59">
        <w:t xml:space="preserve"> showed a significant decrease in HADS-A compared to </w:t>
      </w:r>
      <w:r>
        <w:t>baseline</w:t>
      </w:r>
      <w:r w:rsidRPr="007E4D59">
        <w:t xml:space="preserve"> whereas there was no significant change in usual care patients</w:t>
      </w:r>
      <w:r>
        <w:t xml:space="preserve"> (</w:t>
      </w:r>
      <w:r w:rsidRPr="007E4D59">
        <w:t>effect size of 0.53</w:t>
      </w:r>
      <w:r>
        <w:t>)</w:t>
      </w:r>
      <w:r w:rsidRPr="007E4D59">
        <w:t>. Controlling for depression, the effect of enhanced care on anxiety decreased, but remained significant. A subgroup analysis suggested a benefit of enhanced care on anxiety in women but not men.</w:t>
      </w:r>
    </w:p>
    <w:p w:rsidR="000C3FD6" w:rsidRDefault="000C3FD6" w:rsidP="000C3FD6">
      <w:r>
        <w:rPr>
          <w:b/>
        </w:rPr>
        <w:t>Study 3</w:t>
      </w:r>
      <w:r w:rsidRPr="00B35B45">
        <w:rPr>
          <w:b/>
        </w:rPr>
        <w:t>:</w:t>
      </w:r>
      <w:r>
        <w:t xml:space="preserve"> </w:t>
      </w:r>
      <w:r w:rsidRPr="00A2726A">
        <w:rPr>
          <w:b/>
        </w:rPr>
        <w:t>Description of intervention</w:t>
      </w:r>
      <w:r>
        <w:rPr>
          <w:b/>
        </w:rPr>
        <w:t xml:space="preserve"> and comparison</w:t>
      </w:r>
      <w:r w:rsidRPr="00A2726A">
        <w:rPr>
          <w:b/>
        </w:rPr>
        <w:t>:</w:t>
      </w:r>
      <w:r>
        <w:rPr>
          <w:b/>
        </w:rPr>
        <w:t xml:space="preserve"> </w:t>
      </w:r>
      <w:r w:rsidRPr="007101B3">
        <w:t xml:space="preserve">Step 1: A 3.5-month guided self-help course, with five 45-minute sessions, provided in primary care, with AD medication offered to patients with a moderately severe disorder. Step 2: CBT in combination with AD medication provided by a specialist out-patient mental health service. Within each step, participants were allocated to a depression, anxiety or stress treatment program, depending on their diagnosis. Remission was evaluated after 4 months, using the CGI-S. Participants with scores of at least 3 on the CGI-S (i.e. mild severity or worse) proceeded to the second-step treatment. Patients with stress-related disorders or mild or moderately severe anxiety or depressive disorders started at Step </w:t>
      </w:r>
      <w:r w:rsidRPr="007101B3">
        <w:lastRenderedPageBreak/>
        <w:t>1. Participants with a severe disorder went directly to Step 2. Participants assigned to CAU could obtain any service normally available in The Netherlands</w:t>
      </w:r>
      <w:r>
        <w:t>.</w:t>
      </w:r>
    </w:p>
    <w:p w:rsidR="000C3FD6" w:rsidRDefault="000C3FD6" w:rsidP="000C3FD6">
      <w:r w:rsidRPr="00A2726A">
        <w:rPr>
          <w:b/>
        </w:rPr>
        <w:t>Results</w:t>
      </w:r>
      <w:r>
        <w:t xml:space="preserve">: </w:t>
      </w:r>
      <w:r w:rsidRPr="009A6EB3">
        <w:t xml:space="preserve">At 4-month mid-test CSC was superior to CAU: </w:t>
      </w:r>
      <w:r>
        <w:t xml:space="preserve">74.7% v. 50.8% responders (P = 0.003) and 57.8% </w:t>
      </w:r>
      <w:r w:rsidRPr="002D36E3">
        <w:t>v. 31.7% (P = 0.002)</w:t>
      </w:r>
      <w:r>
        <w:t>; however, a</w:t>
      </w:r>
      <w:r w:rsidRPr="009A6EB3">
        <w:t xml:space="preserve">t 8-month post-test and 12-month follow-up no significant differences were found. </w:t>
      </w:r>
      <w:r>
        <w:t xml:space="preserve">A similar pattern of response and remission results was found for the specific anxiety treatment program. </w:t>
      </w:r>
      <w:r w:rsidRPr="009A6EB3">
        <w:t xml:space="preserve">Compared with </w:t>
      </w:r>
      <w:r>
        <w:t>those</w:t>
      </w:r>
      <w:r w:rsidRPr="009A6EB3">
        <w:t xml:space="preserve"> in the CAU group, CSC </w:t>
      </w:r>
      <w:r>
        <w:t>participants</w:t>
      </w:r>
      <w:r w:rsidRPr="009A6EB3">
        <w:t xml:space="preserve"> had a significantly larger reduction in anxiety symptoms (HRSA, FQ) </w:t>
      </w:r>
      <w:r>
        <w:t>after 4 months</w:t>
      </w:r>
      <w:r w:rsidRPr="009A6EB3">
        <w:t>. In the anxiety treatment programme scores on the HRSA were</w:t>
      </w:r>
      <w:r>
        <w:t xml:space="preserve"> also</w:t>
      </w:r>
      <w:r w:rsidRPr="009A6EB3">
        <w:t xml:space="preserve"> significantly more reduced </w:t>
      </w:r>
      <w:r>
        <w:t>at 4 months for</w:t>
      </w:r>
      <w:r w:rsidRPr="009A6EB3">
        <w:t xml:space="preserve"> </w:t>
      </w:r>
      <w:r>
        <w:t>CSC compared with CAU</w:t>
      </w:r>
      <w:r w:rsidRPr="009A6EB3">
        <w:t>.</w:t>
      </w:r>
    </w:p>
    <w:p w:rsidR="000C3FD6" w:rsidRDefault="000C3FD6" w:rsidP="000C3FD6">
      <w:r>
        <w:rPr>
          <w:b/>
        </w:rPr>
        <w:t>Study 4</w:t>
      </w:r>
      <w:r w:rsidRPr="00BA3A98">
        <w:rPr>
          <w:b/>
        </w:rPr>
        <w:t>:</w:t>
      </w:r>
      <w:r>
        <w:t xml:space="preserve"> Description of intervention and comparison: Step 1: watchful waiting. Step 2: guided self-help. Step 3: problem-solving therapy. Step 4: pharmacotherapy and/or referral for specialized mental health care. Scores of at least 14 on the IDS, at least 8 on the HADS and at least 6 on the WSAS CES-D determined step-up. Usual care participants were advised to see their GP to discuss treatment options.</w:t>
      </w:r>
    </w:p>
    <w:p w:rsidR="000C3FD6" w:rsidRDefault="000C3FD6" w:rsidP="000C3FD6">
      <w:r>
        <w:t>Results: Symptoms of anxiety decreased significantly over 24 weeks for both groups; however, there was no significant difference in symptom reduction between the two groups.</w:t>
      </w:r>
    </w:p>
    <w:p w:rsidR="000C3FD6" w:rsidRDefault="000C3FD6" w:rsidP="000C3FD6">
      <w:r>
        <w:rPr>
          <w:b/>
        </w:rPr>
        <w:t>Study 5</w:t>
      </w:r>
      <w:r w:rsidRPr="00BA3A98">
        <w:rPr>
          <w:b/>
        </w:rPr>
        <w:t>:</w:t>
      </w:r>
      <w:r>
        <w:t xml:space="preserve"> </w:t>
      </w:r>
      <w:r w:rsidRPr="002A448B">
        <w:rPr>
          <w:b/>
        </w:rPr>
        <w:t>Description of intervention and comparison</w:t>
      </w:r>
      <w:r>
        <w:t>: Step 1:</w:t>
      </w:r>
      <w:r w:rsidRPr="00EB3006">
        <w:t xml:space="preserve"> </w:t>
      </w:r>
      <w:r>
        <w:t>bibliotherapy plus counselling</w:t>
      </w:r>
      <w:r w:rsidRPr="00EB3006">
        <w:t>. The therapist answered questions regarding ERP, and provided suggestions for implementing ERP; however, no ERP was performed or model</w:t>
      </w:r>
      <w:r>
        <w:t>l</w:t>
      </w:r>
      <w:r w:rsidRPr="00EB3006">
        <w:t xml:space="preserve">ed within these sessions. </w:t>
      </w:r>
      <w:r>
        <w:t>Step 2: Standard ERP, including modelling within sessions</w:t>
      </w:r>
      <w:r w:rsidRPr="00EB3006">
        <w:t>.</w:t>
      </w:r>
      <w:r>
        <w:t xml:space="preserve"> Participants</w:t>
      </w:r>
      <w:r w:rsidRPr="00EB3006">
        <w:t xml:space="preserve"> assigned to the standard ERP condition received ERP </w:t>
      </w:r>
      <w:r>
        <w:t>as per S</w:t>
      </w:r>
      <w:r w:rsidRPr="00EB3006">
        <w:t>tep 2.</w:t>
      </w:r>
      <w:r>
        <w:t xml:space="preserve"> Failure to improve by at least 5 points on the Y-BOCS determined step-up.</w:t>
      </w:r>
    </w:p>
    <w:p w:rsidR="000C3FD6" w:rsidRDefault="000C3FD6" w:rsidP="000C3FD6">
      <w:r>
        <w:rPr>
          <w:b/>
        </w:rPr>
        <w:t xml:space="preserve">Results: </w:t>
      </w:r>
      <w:r>
        <w:t>N</w:t>
      </w:r>
      <w:r w:rsidRPr="00930EA8">
        <w:t xml:space="preserve">o significant differences in response rates were found </w:t>
      </w:r>
      <w:r>
        <w:t>between the two samples at posttreatment (</w:t>
      </w:r>
      <w:r w:rsidRPr="00D27B68">
        <w:t>50%</w:t>
      </w:r>
      <w:r>
        <w:t xml:space="preserve"> </w:t>
      </w:r>
      <w:r w:rsidRPr="00D27B68">
        <w:t xml:space="preserve">stepped care versus 42% standard ERP, </w:t>
      </w:r>
      <w:r>
        <w:t>p=.66).</w:t>
      </w:r>
    </w:p>
    <w:p w:rsidR="000C3FD6" w:rsidRDefault="000C3FD6" w:rsidP="000C3FD6">
      <w:r>
        <w:rPr>
          <w:b/>
        </w:rPr>
        <w:t>Study 6</w:t>
      </w:r>
      <w:r w:rsidRPr="00FC4CDC">
        <w:rPr>
          <w:b/>
        </w:rPr>
        <w:t>:</w:t>
      </w:r>
      <w:r>
        <w:t xml:space="preserve"> </w:t>
      </w:r>
      <w:r w:rsidRPr="009D24AC">
        <w:rPr>
          <w:b/>
        </w:rPr>
        <w:t>Description of intervention and comparison</w:t>
      </w:r>
      <w:r>
        <w:t xml:space="preserve">: Step 1: watchful waiting. Step 2: </w:t>
      </w:r>
      <w:r w:rsidRPr="009D24AC">
        <w:t>CBT-based</w:t>
      </w:r>
      <w:r>
        <w:t xml:space="preserve"> bibliotherapy. Step 3: brief CBT-</w:t>
      </w:r>
      <w:r w:rsidRPr="009D24AC">
        <w:t xml:space="preserve">based </w:t>
      </w:r>
      <w:r>
        <w:t>problem solving therapy. Step 4</w:t>
      </w:r>
      <w:proofErr w:type="gramStart"/>
      <w:r>
        <w:t>:referral</w:t>
      </w:r>
      <w:proofErr w:type="gramEnd"/>
      <w:r>
        <w:t xml:space="preserve"> to primary care. A s</w:t>
      </w:r>
      <w:r w:rsidRPr="009D24AC">
        <w:t>core of at least 16 on CES-D</w:t>
      </w:r>
      <w:r>
        <w:t>, administered every three months,</w:t>
      </w:r>
      <w:r w:rsidRPr="009D24AC">
        <w:t xml:space="preserve"> determined step-up.</w:t>
      </w:r>
      <w:r>
        <w:t xml:space="preserve"> </w:t>
      </w:r>
      <w:r w:rsidRPr="009D24AC">
        <w:t xml:space="preserve">Participants </w:t>
      </w:r>
      <w:r>
        <w:t>assigned to UC</w:t>
      </w:r>
      <w:r w:rsidRPr="009D24AC">
        <w:t xml:space="preserve"> had unrestricted access to usual care for their</w:t>
      </w:r>
      <w:r>
        <w:t xml:space="preserve"> depression or anxiety concerns</w:t>
      </w:r>
      <w:r w:rsidRPr="009D24AC">
        <w:t>.</w:t>
      </w:r>
    </w:p>
    <w:p w:rsidR="000C3FD6" w:rsidRDefault="000C3FD6" w:rsidP="000C3FD6">
      <w:r w:rsidRPr="009D24AC">
        <w:rPr>
          <w:b/>
        </w:rPr>
        <w:lastRenderedPageBreak/>
        <w:t>Results</w:t>
      </w:r>
      <w:r>
        <w:t xml:space="preserve">: The 12 month rate of </w:t>
      </w:r>
      <w:r w:rsidRPr="008A320D">
        <w:t>depressi</w:t>
      </w:r>
      <w:r>
        <w:t xml:space="preserve">ve and anxiety disorders was significantly lower in the intervention group than in the UC group (12 % v.24%; </w:t>
      </w:r>
      <w:r w:rsidRPr="008A320D">
        <w:t xml:space="preserve">relative risk, 0.49; 95% </w:t>
      </w:r>
      <w:r>
        <w:t>CI</w:t>
      </w:r>
      <w:r w:rsidRPr="008A320D">
        <w:t xml:space="preserve"> 0.24 to 0.98). </w:t>
      </w:r>
      <w:r>
        <w:t>The rate of anxiety disorders in the intervention group after 12 months was not significantly different from that of depressive disorders.</w:t>
      </w:r>
      <w:r w:rsidRPr="008A320D">
        <w:t xml:space="preserve"> </w:t>
      </w:r>
      <w:r>
        <w:t>These results were maintained at 24-month follow-up.</w:t>
      </w:r>
    </w:p>
    <w:p w:rsidR="000C3FD6" w:rsidRDefault="000C3FD6" w:rsidP="000C3FD6">
      <w:r>
        <w:rPr>
          <w:b/>
        </w:rPr>
        <w:t>Study 7</w:t>
      </w:r>
      <w:r w:rsidRPr="00FC4CDC">
        <w:rPr>
          <w:b/>
        </w:rPr>
        <w:t>:</w:t>
      </w:r>
      <w:r>
        <w:t xml:space="preserve"> </w:t>
      </w:r>
      <w:r w:rsidRPr="002A448B">
        <w:rPr>
          <w:b/>
        </w:rPr>
        <w:t>Description of intervention and comparison</w:t>
      </w:r>
      <w:r>
        <w:t xml:space="preserve">: Stepped care was embedded within a collaborative care approach. </w:t>
      </w:r>
      <w:r w:rsidRPr="005433AF">
        <w:t xml:space="preserve">For the first 6 months after injury, all </w:t>
      </w:r>
      <w:r>
        <w:t>S</w:t>
      </w:r>
      <w:r w:rsidRPr="005433AF">
        <w:t xml:space="preserve">CC </w:t>
      </w:r>
      <w:r>
        <w:t>participants</w:t>
      </w:r>
      <w:r w:rsidRPr="005433AF">
        <w:t xml:space="preserve"> received case management. All </w:t>
      </w:r>
      <w:r>
        <w:t>participants</w:t>
      </w:r>
      <w:r w:rsidRPr="005433AF">
        <w:t xml:space="preserve"> with positive alcohol toxicology test results on admission, or who demonstrated post</w:t>
      </w:r>
      <w:r>
        <w:t>-injury alcohol abuse received motivational interviewing (</w:t>
      </w:r>
      <w:r w:rsidRPr="005433AF">
        <w:t>MI</w:t>
      </w:r>
      <w:r>
        <w:t>)</w:t>
      </w:r>
      <w:r w:rsidRPr="005433AF">
        <w:t>. Three months after the injury</w:t>
      </w:r>
      <w:r>
        <w:t>, each</w:t>
      </w:r>
      <w:r w:rsidRPr="005433AF">
        <w:t xml:space="preserve"> </w:t>
      </w:r>
      <w:r>
        <w:t xml:space="preserve">SCC participant </w:t>
      </w:r>
      <w:r w:rsidRPr="005433AF">
        <w:t>was adm</w:t>
      </w:r>
      <w:r>
        <w:t xml:space="preserve">inistered the SCID PTSD module, and participants with PTSD </w:t>
      </w:r>
      <w:r w:rsidRPr="005433AF">
        <w:t>were given their preference of CBT, pharmacotherapy, or combined treatment. During the PTSD intervention, the TSS performed brief assessme</w:t>
      </w:r>
      <w:r>
        <w:t xml:space="preserve">nts of adherence to medication </w:t>
      </w:r>
      <w:r w:rsidRPr="005433AF">
        <w:t xml:space="preserve">and symptom relapse, outside scheduled sessions. From 6 to 12 months after the injury, </w:t>
      </w:r>
      <w:r>
        <w:t>participants had their symptoms periodically reassessed and participants</w:t>
      </w:r>
      <w:r w:rsidRPr="005433AF">
        <w:t xml:space="preserve"> who remained symptomatic with PTSD and/or alcohol abuse received ongoing support and MI and PTSD treatments. </w:t>
      </w:r>
      <w:r>
        <w:t xml:space="preserve">All participants, including those in the UC condition, </w:t>
      </w:r>
      <w:r w:rsidRPr="005433AF">
        <w:t>received</w:t>
      </w:r>
      <w:r>
        <w:t xml:space="preserve"> a list of community referrals</w:t>
      </w:r>
      <w:r w:rsidRPr="005433AF">
        <w:t>.</w:t>
      </w:r>
    </w:p>
    <w:p w:rsidR="000C3FD6" w:rsidRDefault="000C3FD6" w:rsidP="000C3FD6">
      <w:r w:rsidRPr="005433AF">
        <w:rPr>
          <w:b/>
        </w:rPr>
        <w:t>Results</w:t>
      </w:r>
      <w:r>
        <w:t xml:space="preserve">: </w:t>
      </w:r>
      <w:r w:rsidRPr="003A7565">
        <w:t xml:space="preserve">The </w:t>
      </w:r>
      <w:r>
        <w:t>S</w:t>
      </w:r>
      <w:r w:rsidRPr="003A7565">
        <w:t xml:space="preserve">CC group demonstrated no difference (−0.07%; 95% </w:t>
      </w:r>
      <w:r>
        <w:t>CI</w:t>
      </w:r>
      <w:r w:rsidRPr="003A7565">
        <w:t>, −4.2% to 4.3%) in the adjusted rates of change in PTSD from baseline to 12 months, whereas the UC</w:t>
      </w:r>
      <w:r>
        <w:t xml:space="preserve"> </w:t>
      </w:r>
      <w:r w:rsidRPr="003A7565">
        <w:t>group had a 6%</w:t>
      </w:r>
      <w:r>
        <w:t xml:space="preserve"> </w:t>
      </w:r>
      <w:r w:rsidRPr="003A7565">
        <w:t xml:space="preserve">increase (95% CI, 3.1%-9.3%). </w:t>
      </w:r>
      <w:r>
        <w:t>The intervention effect on PTSD</w:t>
      </w:r>
      <w:r w:rsidRPr="003A7565">
        <w:t xml:space="preserve"> </w:t>
      </w:r>
      <w:r>
        <w:t>commenced</w:t>
      </w:r>
      <w:r w:rsidRPr="003A7565">
        <w:t xml:space="preserve"> at 3 months, with between-group differences reaching trend level at 6 months, and significance at 12 months.</w:t>
      </w:r>
    </w:p>
    <w:p w:rsidR="000C3FD6" w:rsidRDefault="000C3FD6" w:rsidP="000C3FD6">
      <w:r>
        <w:rPr>
          <w:b/>
        </w:rPr>
        <w:t xml:space="preserve">Study 8: </w:t>
      </w:r>
      <w:r w:rsidRPr="002A448B">
        <w:rPr>
          <w:b/>
        </w:rPr>
        <w:t>Description of intervention and comparison</w:t>
      </w:r>
      <w:r>
        <w:t xml:space="preserve">: As for </w:t>
      </w:r>
      <w:proofErr w:type="spellStart"/>
      <w:r>
        <w:t>Zatzick</w:t>
      </w:r>
      <w:proofErr w:type="spellEnd"/>
      <w:r>
        <w:t xml:space="preserve"> et al (2004)</w:t>
      </w:r>
      <w:r w:rsidRPr="005433AF">
        <w:t xml:space="preserve">. </w:t>
      </w:r>
      <w:r w:rsidRPr="00E01921">
        <w:t>Behavioural activation was also part of case management.</w:t>
      </w:r>
      <w:r w:rsidRPr="005433AF">
        <w:t xml:space="preserve"> </w:t>
      </w:r>
      <w:r>
        <w:t xml:space="preserve">UC participants </w:t>
      </w:r>
      <w:r w:rsidRPr="00E01921">
        <w:t xml:space="preserve">underwent PTSD screening, </w:t>
      </w:r>
      <w:r>
        <w:t xml:space="preserve">and </w:t>
      </w:r>
      <w:r w:rsidRPr="00E01921">
        <w:t>baseline and follow-up interviews</w:t>
      </w:r>
    </w:p>
    <w:p w:rsidR="002243ED" w:rsidRDefault="000C3FD6" w:rsidP="008A795F">
      <w:r>
        <w:rPr>
          <w:b/>
        </w:rPr>
        <w:t xml:space="preserve">Results: </w:t>
      </w:r>
      <w:r w:rsidRPr="00BF5AEC">
        <w:t>Regression analyses demonstrated significant CAPS (</w:t>
      </w:r>
      <w:r>
        <w:t>p</w:t>
      </w:r>
      <w:r w:rsidRPr="00BF5AEC">
        <w:t xml:space="preserve"> &lt; 0.01), and PCL-C (</w:t>
      </w:r>
      <w:r>
        <w:t>p</w:t>
      </w:r>
      <w:r w:rsidRPr="00BF5AEC">
        <w:t xml:space="preserve"> &lt; 0.001) group by time interaction effects</w:t>
      </w:r>
      <w:r>
        <w:t xml:space="preserve"> in favour of SCC</w:t>
      </w:r>
      <w:r w:rsidRPr="00BF5AEC">
        <w:t xml:space="preserve"> over the course of the year. The intervention also achieved a significant impact on PTSD treatment response (</w:t>
      </w:r>
      <w:r>
        <w:t>OR = 1.93, 95% CI = 1.0 -3.7</w:t>
      </w:r>
      <w:r w:rsidRPr="00BF5AEC">
        <w:t>). PTSD remission criteria also demonstrated significant reductions over the course of the year (</w:t>
      </w:r>
      <w:r>
        <w:t>p</w:t>
      </w:r>
      <w:r w:rsidRPr="00BF5AEC">
        <w:t xml:space="preserve"> &lt; 0.01). No significant treatment effects were observed for PTSD diagnostic criteria over the course of the year (</w:t>
      </w:r>
      <w:r>
        <w:t>OR = 1.4, 95% CI = 0.8, 2.5</w:t>
      </w:r>
      <w:r w:rsidRPr="00BF5AEC">
        <w:t>).</w:t>
      </w:r>
    </w:p>
    <w:sectPr w:rsidR="002243ED" w:rsidSect="0090455A">
      <w:pgSz w:w="11906" w:h="16838" w:code="9"/>
      <w:pgMar w:top="2268" w:right="170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AC" w:rsidRDefault="00304EAC">
      <w:r>
        <w:separator/>
      </w:r>
    </w:p>
  </w:endnote>
  <w:endnote w:type="continuationSeparator" w:id="0">
    <w:p w:rsidR="00304EAC" w:rsidRDefault="003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61" w:rsidRDefault="00446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61" w:rsidRDefault="00446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BA" w:rsidRPr="008F3191" w:rsidRDefault="00134CBA" w:rsidP="008F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AC" w:rsidRDefault="00304EAC">
      <w:r>
        <w:separator/>
      </w:r>
    </w:p>
  </w:footnote>
  <w:footnote w:type="continuationSeparator" w:id="0">
    <w:p w:rsidR="00304EAC" w:rsidRDefault="0030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61" w:rsidRDefault="00446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61" w:rsidRDefault="00446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BA" w:rsidRDefault="00134CBA">
    <w:pPr>
      <w:pStyle w:val="Header"/>
    </w:pPr>
  </w:p>
  <w:p w:rsidR="00134CBA" w:rsidRDefault="00134CBA">
    <w:pPr>
      <w:pStyle w:val="Header"/>
    </w:pPr>
  </w:p>
  <w:p w:rsidR="00134CBA" w:rsidRDefault="0013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776"/>
    <w:multiLevelType w:val="hybridMultilevel"/>
    <w:tmpl w:val="5694D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4C4B9A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A614A"/>
    <w:multiLevelType w:val="hybridMultilevel"/>
    <w:tmpl w:val="5FFCE3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B034A"/>
    <w:multiLevelType w:val="hybridMultilevel"/>
    <w:tmpl w:val="C7549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3438A"/>
    <w:multiLevelType w:val="hybridMultilevel"/>
    <w:tmpl w:val="6DF0F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5547A"/>
    <w:multiLevelType w:val="hybridMultilevel"/>
    <w:tmpl w:val="4E0698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7197F"/>
    <w:multiLevelType w:val="hybridMultilevel"/>
    <w:tmpl w:val="FBB64058"/>
    <w:lvl w:ilvl="0" w:tplc="1FEE52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0DF9"/>
    <w:multiLevelType w:val="hybridMultilevel"/>
    <w:tmpl w:val="6EECC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D7578"/>
    <w:multiLevelType w:val="hybridMultilevel"/>
    <w:tmpl w:val="7E4824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91402"/>
    <w:multiLevelType w:val="hybridMultilevel"/>
    <w:tmpl w:val="892005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76777"/>
    <w:multiLevelType w:val="hybridMultilevel"/>
    <w:tmpl w:val="1486DE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B3118"/>
    <w:multiLevelType w:val="hybridMultilevel"/>
    <w:tmpl w:val="636A6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6D4DA">
      <w:numFmt w:val="bullet"/>
      <w:lvlText w:val="•"/>
      <w:lvlJc w:val="left"/>
      <w:pPr>
        <w:ind w:left="1440" w:hanging="360"/>
      </w:pPr>
      <w:rPr>
        <w:rFonts w:ascii="Calibri" w:eastAsia="Arial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D3372"/>
    <w:multiLevelType w:val="hybridMultilevel"/>
    <w:tmpl w:val="D7D0F6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93A2B"/>
    <w:multiLevelType w:val="hybridMultilevel"/>
    <w:tmpl w:val="A1FA7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D32A0"/>
    <w:multiLevelType w:val="hybridMultilevel"/>
    <w:tmpl w:val="C7127F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CC2DCC"/>
    <w:multiLevelType w:val="hybridMultilevel"/>
    <w:tmpl w:val="5FFCAD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B124D"/>
    <w:multiLevelType w:val="hybridMultilevel"/>
    <w:tmpl w:val="B2CCB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7711C"/>
    <w:multiLevelType w:val="hybridMultilevel"/>
    <w:tmpl w:val="3820A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24AD0"/>
    <w:multiLevelType w:val="hybridMultilevel"/>
    <w:tmpl w:val="88EAFD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A6939"/>
    <w:multiLevelType w:val="hybridMultilevel"/>
    <w:tmpl w:val="06B81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8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E1"/>
    <w:rsid w:val="000037A2"/>
    <w:rsid w:val="00006357"/>
    <w:rsid w:val="00013770"/>
    <w:rsid w:val="000229EC"/>
    <w:rsid w:val="000273FC"/>
    <w:rsid w:val="0003402B"/>
    <w:rsid w:val="00045C44"/>
    <w:rsid w:val="00046083"/>
    <w:rsid w:val="000541DE"/>
    <w:rsid w:val="00054F3D"/>
    <w:rsid w:val="00065DC9"/>
    <w:rsid w:val="00070ACC"/>
    <w:rsid w:val="00081847"/>
    <w:rsid w:val="000B4839"/>
    <w:rsid w:val="000C3FD6"/>
    <w:rsid w:val="000E5BEB"/>
    <w:rsid w:val="000E6CDF"/>
    <w:rsid w:val="000E7496"/>
    <w:rsid w:val="00101BD3"/>
    <w:rsid w:val="00102386"/>
    <w:rsid w:val="00116979"/>
    <w:rsid w:val="00134CBA"/>
    <w:rsid w:val="00135017"/>
    <w:rsid w:val="001356EA"/>
    <w:rsid w:val="00137C9C"/>
    <w:rsid w:val="001504DC"/>
    <w:rsid w:val="00150B73"/>
    <w:rsid w:val="00156E5E"/>
    <w:rsid w:val="00160155"/>
    <w:rsid w:val="001713B6"/>
    <w:rsid w:val="00185F5C"/>
    <w:rsid w:val="001A6768"/>
    <w:rsid w:val="001B1517"/>
    <w:rsid w:val="001B2AEB"/>
    <w:rsid w:val="001B3D57"/>
    <w:rsid w:val="001D5CA1"/>
    <w:rsid w:val="001E724D"/>
    <w:rsid w:val="00204D6B"/>
    <w:rsid w:val="00207001"/>
    <w:rsid w:val="00211B1F"/>
    <w:rsid w:val="00213B6C"/>
    <w:rsid w:val="00215D71"/>
    <w:rsid w:val="002243ED"/>
    <w:rsid w:val="00227F04"/>
    <w:rsid w:val="002361B8"/>
    <w:rsid w:val="0024124B"/>
    <w:rsid w:val="00245F3B"/>
    <w:rsid w:val="002501CD"/>
    <w:rsid w:val="00253EBB"/>
    <w:rsid w:val="00255FDE"/>
    <w:rsid w:val="0026379F"/>
    <w:rsid w:val="00265163"/>
    <w:rsid w:val="0026519E"/>
    <w:rsid w:val="00266EBF"/>
    <w:rsid w:val="0026796C"/>
    <w:rsid w:val="002739B5"/>
    <w:rsid w:val="00285CC9"/>
    <w:rsid w:val="002869A1"/>
    <w:rsid w:val="00292370"/>
    <w:rsid w:val="00296A1C"/>
    <w:rsid w:val="00297A4F"/>
    <w:rsid w:val="002A0250"/>
    <w:rsid w:val="002A2CA7"/>
    <w:rsid w:val="002A6034"/>
    <w:rsid w:val="002B2C23"/>
    <w:rsid w:val="002C1429"/>
    <w:rsid w:val="002C2E6B"/>
    <w:rsid w:val="002C3C67"/>
    <w:rsid w:val="002C68D0"/>
    <w:rsid w:val="002D36E3"/>
    <w:rsid w:val="002E33DA"/>
    <w:rsid w:val="002E3D5B"/>
    <w:rsid w:val="002E790A"/>
    <w:rsid w:val="00304EAC"/>
    <w:rsid w:val="00305FF1"/>
    <w:rsid w:val="00306602"/>
    <w:rsid w:val="00312860"/>
    <w:rsid w:val="003168CD"/>
    <w:rsid w:val="003172F0"/>
    <w:rsid w:val="00332561"/>
    <w:rsid w:val="00343EA8"/>
    <w:rsid w:val="0035314F"/>
    <w:rsid w:val="00355E5F"/>
    <w:rsid w:val="00361175"/>
    <w:rsid w:val="00364A42"/>
    <w:rsid w:val="00370262"/>
    <w:rsid w:val="00390736"/>
    <w:rsid w:val="003A1B08"/>
    <w:rsid w:val="003A1B9E"/>
    <w:rsid w:val="003A55B3"/>
    <w:rsid w:val="003B26DF"/>
    <w:rsid w:val="003B2CB5"/>
    <w:rsid w:val="003D13BC"/>
    <w:rsid w:val="003D23D4"/>
    <w:rsid w:val="003D383E"/>
    <w:rsid w:val="003E410E"/>
    <w:rsid w:val="003E644A"/>
    <w:rsid w:val="003E6937"/>
    <w:rsid w:val="003E7D47"/>
    <w:rsid w:val="003E7D57"/>
    <w:rsid w:val="003F13F5"/>
    <w:rsid w:val="003F3440"/>
    <w:rsid w:val="00401306"/>
    <w:rsid w:val="00403FA6"/>
    <w:rsid w:val="00413D6C"/>
    <w:rsid w:val="004204E8"/>
    <w:rsid w:val="00420517"/>
    <w:rsid w:val="00422FCB"/>
    <w:rsid w:val="00427DC0"/>
    <w:rsid w:val="00436674"/>
    <w:rsid w:val="00443CE8"/>
    <w:rsid w:val="00446F61"/>
    <w:rsid w:val="004533F3"/>
    <w:rsid w:val="004572CB"/>
    <w:rsid w:val="00457EFE"/>
    <w:rsid w:val="00464FBB"/>
    <w:rsid w:val="00465657"/>
    <w:rsid w:val="004727B2"/>
    <w:rsid w:val="004847D6"/>
    <w:rsid w:val="00485D88"/>
    <w:rsid w:val="00490170"/>
    <w:rsid w:val="004A5963"/>
    <w:rsid w:val="004A6390"/>
    <w:rsid w:val="004A6C2E"/>
    <w:rsid w:val="004B2683"/>
    <w:rsid w:val="004B465F"/>
    <w:rsid w:val="004B4A2B"/>
    <w:rsid w:val="004C1D49"/>
    <w:rsid w:val="004D7EE8"/>
    <w:rsid w:val="004E7685"/>
    <w:rsid w:val="004F1968"/>
    <w:rsid w:val="004F203C"/>
    <w:rsid w:val="004F3BBB"/>
    <w:rsid w:val="004F476C"/>
    <w:rsid w:val="004F648E"/>
    <w:rsid w:val="004F6B55"/>
    <w:rsid w:val="00500C54"/>
    <w:rsid w:val="00505696"/>
    <w:rsid w:val="00514799"/>
    <w:rsid w:val="00516016"/>
    <w:rsid w:val="00532B0C"/>
    <w:rsid w:val="005357E5"/>
    <w:rsid w:val="00545918"/>
    <w:rsid w:val="00551D1F"/>
    <w:rsid w:val="005521DA"/>
    <w:rsid w:val="00552D38"/>
    <w:rsid w:val="00555710"/>
    <w:rsid w:val="00562A9C"/>
    <w:rsid w:val="005667C2"/>
    <w:rsid w:val="00580235"/>
    <w:rsid w:val="00580980"/>
    <w:rsid w:val="00581967"/>
    <w:rsid w:val="00596219"/>
    <w:rsid w:val="005A740A"/>
    <w:rsid w:val="005C0CF0"/>
    <w:rsid w:val="005C120B"/>
    <w:rsid w:val="005C43CE"/>
    <w:rsid w:val="005C5B25"/>
    <w:rsid w:val="005C7865"/>
    <w:rsid w:val="005D0140"/>
    <w:rsid w:val="005D4DB4"/>
    <w:rsid w:val="005D7297"/>
    <w:rsid w:val="005D72DB"/>
    <w:rsid w:val="005E1AD7"/>
    <w:rsid w:val="005E2A1C"/>
    <w:rsid w:val="005E6161"/>
    <w:rsid w:val="005F2182"/>
    <w:rsid w:val="005F2AAA"/>
    <w:rsid w:val="005F3264"/>
    <w:rsid w:val="005F5279"/>
    <w:rsid w:val="005F6A73"/>
    <w:rsid w:val="006045D0"/>
    <w:rsid w:val="00607F6F"/>
    <w:rsid w:val="006205E1"/>
    <w:rsid w:val="006374BA"/>
    <w:rsid w:val="00646F27"/>
    <w:rsid w:val="00650B1C"/>
    <w:rsid w:val="00650DFF"/>
    <w:rsid w:val="00660458"/>
    <w:rsid w:val="00661F1C"/>
    <w:rsid w:val="006665C0"/>
    <w:rsid w:val="00666A14"/>
    <w:rsid w:val="0067311F"/>
    <w:rsid w:val="00680E17"/>
    <w:rsid w:val="0068100B"/>
    <w:rsid w:val="00685626"/>
    <w:rsid w:val="00686A15"/>
    <w:rsid w:val="00693CEA"/>
    <w:rsid w:val="006A307A"/>
    <w:rsid w:val="006A360A"/>
    <w:rsid w:val="006A4413"/>
    <w:rsid w:val="006A6861"/>
    <w:rsid w:val="006B3BBE"/>
    <w:rsid w:val="006B3FDA"/>
    <w:rsid w:val="006B60A6"/>
    <w:rsid w:val="006B6BA1"/>
    <w:rsid w:val="006C4BBB"/>
    <w:rsid w:val="006E171E"/>
    <w:rsid w:val="006E3376"/>
    <w:rsid w:val="006F0138"/>
    <w:rsid w:val="006F26B5"/>
    <w:rsid w:val="006F2C76"/>
    <w:rsid w:val="007021EE"/>
    <w:rsid w:val="00702520"/>
    <w:rsid w:val="00702A38"/>
    <w:rsid w:val="0070677C"/>
    <w:rsid w:val="00716E75"/>
    <w:rsid w:val="007235A3"/>
    <w:rsid w:val="00733522"/>
    <w:rsid w:val="007465A0"/>
    <w:rsid w:val="007524BE"/>
    <w:rsid w:val="0076510F"/>
    <w:rsid w:val="00766D08"/>
    <w:rsid w:val="00767A19"/>
    <w:rsid w:val="00772CE8"/>
    <w:rsid w:val="007747B1"/>
    <w:rsid w:val="007771A1"/>
    <w:rsid w:val="00777B82"/>
    <w:rsid w:val="00780442"/>
    <w:rsid w:val="00783CAA"/>
    <w:rsid w:val="007910BB"/>
    <w:rsid w:val="00797520"/>
    <w:rsid w:val="007A21F1"/>
    <w:rsid w:val="007A326C"/>
    <w:rsid w:val="007A55D1"/>
    <w:rsid w:val="007A6E3A"/>
    <w:rsid w:val="007A783F"/>
    <w:rsid w:val="007B0D79"/>
    <w:rsid w:val="007B6658"/>
    <w:rsid w:val="007C1FCD"/>
    <w:rsid w:val="007C2A25"/>
    <w:rsid w:val="007C3EDF"/>
    <w:rsid w:val="007C4D47"/>
    <w:rsid w:val="007C7CD0"/>
    <w:rsid w:val="007D42AA"/>
    <w:rsid w:val="007D6B4D"/>
    <w:rsid w:val="007E0FAA"/>
    <w:rsid w:val="007E607A"/>
    <w:rsid w:val="007F5525"/>
    <w:rsid w:val="007F5C8D"/>
    <w:rsid w:val="00806B3D"/>
    <w:rsid w:val="00817E19"/>
    <w:rsid w:val="00826A10"/>
    <w:rsid w:val="0083790F"/>
    <w:rsid w:val="00840584"/>
    <w:rsid w:val="008565DD"/>
    <w:rsid w:val="00861C21"/>
    <w:rsid w:val="00861D50"/>
    <w:rsid w:val="00863D7E"/>
    <w:rsid w:val="008653C8"/>
    <w:rsid w:val="00870BC9"/>
    <w:rsid w:val="008735F8"/>
    <w:rsid w:val="00884158"/>
    <w:rsid w:val="00884F9D"/>
    <w:rsid w:val="008A0F63"/>
    <w:rsid w:val="008A5B34"/>
    <w:rsid w:val="008A795F"/>
    <w:rsid w:val="008C1F11"/>
    <w:rsid w:val="008D0287"/>
    <w:rsid w:val="008D1B03"/>
    <w:rsid w:val="008E4AEC"/>
    <w:rsid w:val="008F0671"/>
    <w:rsid w:val="008F27B8"/>
    <w:rsid w:val="008F3191"/>
    <w:rsid w:val="008F5662"/>
    <w:rsid w:val="00900535"/>
    <w:rsid w:val="00901D1E"/>
    <w:rsid w:val="0090455A"/>
    <w:rsid w:val="00905B42"/>
    <w:rsid w:val="00910347"/>
    <w:rsid w:val="00912BE1"/>
    <w:rsid w:val="00917E55"/>
    <w:rsid w:val="009301EC"/>
    <w:rsid w:val="009324CC"/>
    <w:rsid w:val="00954335"/>
    <w:rsid w:val="00960280"/>
    <w:rsid w:val="00965D50"/>
    <w:rsid w:val="00967B77"/>
    <w:rsid w:val="0097034F"/>
    <w:rsid w:val="00972239"/>
    <w:rsid w:val="00972EA3"/>
    <w:rsid w:val="009742D1"/>
    <w:rsid w:val="00982237"/>
    <w:rsid w:val="00984120"/>
    <w:rsid w:val="00995CF8"/>
    <w:rsid w:val="009961D0"/>
    <w:rsid w:val="009A0DA9"/>
    <w:rsid w:val="009A200D"/>
    <w:rsid w:val="009A36C5"/>
    <w:rsid w:val="009A6EB3"/>
    <w:rsid w:val="009B2649"/>
    <w:rsid w:val="009B2972"/>
    <w:rsid w:val="009C0C22"/>
    <w:rsid w:val="009C70D5"/>
    <w:rsid w:val="009C7EB5"/>
    <w:rsid w:val="009D1897"/>
    <w:rsid w:val="009D33AC"/>
    <w:rsid w:val="009D4705"/>
    <w:rsid w:val="009F3262"/>
    <w:rsid w:val="009F5266"/>
    <w:rsid w:val="00A01A51"/>
    <w:rsid w:val="00A02844"/>
    <w:rsid w:val="00A06693"/>
    <w:rsid w:val="00A1114C"/>
    <w:rsid w:val="00A17852"/>
    <w:rsid w:val="00A2726A"/>
    <w:rsid w:val="00A27C92"/>
    <w:rsid w:val="00A30BB3"/>
    <w:rsid w:val="00A3351A"/>
    <w:rsid w:val="00A3585A"/>
    <w:rsid w:val="00A40A6A"/>
    <w:rsid w:val="00A47CAA"/>
    <w:rsid w:val="00A528BC"/>
    <w:rsid w:val="00A529C8"/>
    <w:rsid w:val="00A55613"/>
    <w:rsid w:val="00A57D3F"/>
    <w:rsid w:val="00A625C8"/>
    <w:rsid w:val="00A64205"/>
    <w:rsid w:val="00A7593D"/>
    <w:rsid w:val="00A7693C"/>
    <w:rsid w:val="00A94E18"/>
    <w:rsid w:val="00A94F8D"/>
    <w:rsid w:val="00AD544F"/>
    <w:rsid w:val="00AE1E7B"/>
    <w:rsid w:val="00AE34A4"/>
    <w:rsid w:val="00AF4FE2"/>
    <w:rsid w:val="00B06544"/>
    <w:rsid w:val="00B11DFF"/>
    <w:rsid w:val="00B209ED"/>
    <w:rsid w:val="00B31C63"/>
    <w:rsid w:val="00B31EFA"/>
    <w:rsid w:val="00B3211E"/>
    <w:rsid w:val="00B35A60"/>
    <w:rsid w:val="00B35B45"/>
    <w:rsid w:val="00B41742"/>
    <w:rsid w:val="00B523BC"/>
    <w:rsid w:val="00B52C15"/>
    <w:rsid w:val="00B52C9B"/>
    <w:rsid w:val="00B54058"/>
    <w:rsid w:val="00B73DD0"/>
    <w:rsid w:val="00B7744E"/>
    <w:rsid w:val="00B90892"/>
    <w:rsid w:val="00B94D1A"/>
    <w:rsid w:val="00B97A6E"/>
    <w:rsid w:val="00BA3A98"/>
    <w:rsid w:val="00BB327A"/>
    <w:rsid w:val="00BC0698"/>
    <w:rsid w:val="00BC1B87"/>
    <w:rsid w:val="00BC37BE"/>
    <w:rsid w:val="00BD3F7F"/>
    <w:rsid w:val="00BD6379"/>
    <w:rsid w:val="00BD6B40"/>
    <w:rsid w:val="00BD7CDF"/>
    <w:rsid w:val="00BE6DC7"/>
    <w:rsid w:val="00BF2E3B"/>
    <w:rsid w:val="00BF3B18"/>
    <w:rsid w:val="00BF6DD3"/>
    <w:rsid w:val="00BF75E4"/>
    <w:rsid w:val="00C0159E"/>
    <w:rsid w:val="00C05A1E"/>
    <w:rsid w:val="00C07106"/>
    <w:rsid w:val="00C07CE4"/>
    <w:rsid w:val="00C10C09"/>
    <w:rsid w:val="00C115BA"/>
    <w:rsid w:val="00C37494"/>
    <w:rsid w:val="00C45BC0"/>
    <w:rsid w:val="00C5114A"/>
    <w:rsid w:val="00C53DD7"/>
    <w:rsid w:val="00C56D4B"/>
    <w:rsid w:val="00C71E66"/>
    <w:rsid w:val="00C76236"/>
    <w:rsid w:val="00C7643A"/>
    <w:rsid w:val="00C77180"/>
    <w:rsid w:val="00C81BC8"/>
    <w:rsid w:val="00C81C97"/>
    <w:rsid w:val="00C87CD6"/>
    <w:rsid w:val="00C935E4"/>
    <w:rsid w:val="00C93AFA"/>
    <w:rsid w:val="00C94A35"/>
    <w:rsid w:val="00C967E7"/>
    <w:rsid w:val="00C9743E"/>
    <w:rsid w:val="00CA0EE6"/>
    <w:rsid w:val="00CA4A34"/>
    <w:rsid w:val="00CB563D"/>
    <w:rsid w:val="00CC5AB7"/>
    <w:rsid w:val="00CC76C7"/>
    <w:rsid w:val="00CD0475"/>
    <w:rsid w:val="00CF112C"/>
    <w:rsid w:val="00D026C7"/>
    <w:rsid w:val="00D13470"/>
    <w:rsid w:val="00D17A6F"/>
    <w:rsid w:val="00D21AC6"/>
    <w:rsid w:val="00D25104"/>
    <w:rsid w:val="00D2618D"/>
    <w:rsid w:val="00D3702F"/>
    <w:rsid w:val="00D440B5"/>
    <w:rsid w:val="00D44CBA"/>
    <w:rsid w:val="00D543E7"/>
    <w:rsid w:val="00D560E6"/>
    <w:rsid w:val="00D5764E"/>
    <w:rsid w:val="00D6573D"/>
    <w:rsid w:val="00D65F48"/>
    <w:rsid w:val="00D72FDD"/>
    <w:rsid w:val="00D736F6"/>
    <w:rsid w:val="00D751FC"/>
    <w:rsid w:val="00D84F9F"/>
    <w:rsid w:val="00D87E85"/>
    <w:rsid w:val="00DC1F50"/>
    <w:rsid w:val="00DC6A20"/>
    <w:rsid w:val="00DF1075"/>
    <w:rsid w:val="00DF5E66"/>
    <w:rsid w:val="00DF7A49"/>
    <w:rsid w:val="00E01132"/>
    <w:rsid w:val="00E01680"/>
    <w:rsid w:val="00E04822"/>
    <w:rsid w:val="00E06214"/>
    <w:rsid w:val="00E236B2"/>
    <w:rsid w:val="00E25573"/>
    <w:rsid w:val="00E37637"/>
    <w:rsid w:val="00E45E7B"/>
    <w:rsid w:val="00E62016"/>
    <w:rsid w:val="00E70BF5"/>
    <w:rsid w:val="00E70C45"/>
    <w:rsid w:val="00E74BF6"/>
    <w:rsid w:val="00E8024E"/>
    <w:rsid w:val="00EA1D11"/>
    <w:rsid w:val="00EA2187"/>
    <w:rsid w:val="00EA27E4"/>
    <w:rsid w:val="00EB0839"/>
    <w:rsid w:val="00EC435D"/>
    <w:rsid w:val="00EC44EE"/>
    <w:rsid w:val="00ED0935"/>
    <w:rsid w:val="00ED097A"/>
    <w:rsid w:val="00ED0BA2"/>
    <w:rsid w:val="00ED2FCC"/>
    <w:rsid w:val="00ED5E8F"/>
    <w:rsid w:val="00EE1C24"/>
    <w:rsid w:val="00F02687"/>
    <w:rsid w:val="00F0583A"/>
    <w:rsid w:val="00F06A04"/>
    <w:rsid w:val="00F14314"/>
    <w:rsid w:val="00F21341"/>
    <w:rsid w:val="00F25C02"/>
    <w:rsid w:val="00F2602A"/>
    <w:rsid w:val="00F300A8"/>
    <w:rsid w:val="00F33737"/>
    <w:rsid w:val="00F33F76"/>
    <w:rsid w:val="00F34940"/>
    <w:rsid w:val="00F34C3B"/>
    <w:rsid w:val="00F407A4"/>
    <w:rsid w:val="00F41E54"/>
    <w:rsid w:val="00F44B7E"/>
    <w:rsid w:val="00F4660A"/>
    <w:rsid w:val="00F56543"/>
    <w:rsid w:val="00F56D57"/>
    <w:rsid w:val="00F57790"/>
    <w:rsid w:val="00F64516"/>
    <w:rsid w:val="00F74DE9"/>
    <w:rsid w:val="00F7533F"/>
    <w:rsid w:val="00F770F4"/>
    <w:rsid w:val="00F77668"/>
    <w:rsid w:val="00F8124F"/>
    <w:rsid w:val="00F81C94"/>
    <w:rsid w:val="00F860E4"/>
    <w:rsid w:val="00F91499"/>
    <w:rsid w:val="00F9300B"/>
    <w:rsid w:val="00F94159"/>
    <w:rsid w:val="00FA2916"/>
    <w:rsid w:val="00FA4251"/>
    <w:rsid w:val="00FB0290"/>
    <w:rsid w:val="00FB0A13"/>
    <w:rsid w:val="00FC23DC"/>
    <w:rsid w:val="00FC4CDC"/>
    <w:rsid w:val="00FC7665"/>
    <w:rsid w:val="00FD143B"/>
    <w:rsid w:val="00FE130E"/>
    <w:rsid w:val="00FF165D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BC9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80980"/>
    <w:pPr>
      <w:keepNext/>
      <w:spacing w:before="240" w:after="60"/>
      <w:outlineLvl w:val="0"/>
    </w:pPr>
    <w:rPr>
      <w:rFonts w:cs="Arial"/>
      <w:b/>
      <w:bCs/>
      <w:color w:val="00B0F0"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C435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56D5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C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0EE6"/>
    <w:pPr>
      <w:spacing w:after="60"/>
    </w:pPr>
    <w:rPr>
      <w:rFonts w:ascii="Century Gothic" w:hAnsi="Century Gothic"/>
      <w:sz w:val="17"/>
    </w:rPr>
  </w:style>
  <w:style w:type="character" w:styleId="Hyperlink">
    <w:name w:val="Hyperlink"/>
    <w:basedOn w:val="DefaultParagraphFont"/>
    <w:rsid w:val="00EC435D"/>
    <w:rPr>
      <w:color w:val="auto"/>
      <w:u w:val="single"/>
    </w:rPr>
  </w:style>
  <w:style w:type="paragraph" w:styleId="ListParagraph">
    <w:name w:val="List Paragraph"/>
    <w:basedOn w:val="Normal"/>
    <w:uiPriority w:val="34"/>
    <w:rsid w:val="0035314F"/>
    <w:pPr>
      <w:ind w:left="720"/>
      <w:contextualSpacing/>
    </w:pPr>
  </w:style>
  <w:style w:type="character" w:styleId="CommentReference">
    <w:name w:val="annotation reference"/>
    <w:basedOn w:val="DefaultParagraphFont"/>
    <w:rsid w:val="00861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D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1D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61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D50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61D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D5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1B03"/>
    <w:rPr>
      <w:rFonts w:ascii="Arial" w:hAnsi="Arial"/>
      <w:sz w:val="22"/>
    </w:rPr>
  </w:style>
  <w:style w:type="table" w:styleId="TableGrid">
    <w:name w:val="Table Grid"/>
    <w:basedOn w:val="TableNormal"/>
    <w:rsid w:val="0058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BCC9-53CB-4004-A35F-C7081D68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2446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2020-07-22T03:29:00Z</dcterms:created>
  <dcterms:modified xsi:type="dcterms:W3CDTF">2020-07-22T03:29:00Z</dcterms:modified>
</cp:coreProperties>
</file>